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10.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style3.xml" ContentType="application/vnd.ms-office.chartstyle+xml"/>
  <Override PartName="/word/charts/colors3.xml" ContentType="application/vnd.ms-office.chartcolorstyle+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32897" w14:textId="77777777" w:rsidR="00A75E40" w:rsidRPr="000A3A2C" w:rsidRDefault="00D57677" w:rsidP="00EA0987">
      <w:pPr>
        <w:pStyle w:val="Obsah"/>
        <w:rPr>
          <w:lang w:eastAsia="ar-SA"/>
        </w:rPr>
        <w:sectPr w:rsidR="00A75E40" w:rsidRPr="000A3A2C" w:rsidSect="0085114D">
          <w:headerReference w:type="even" r:id="rId11"/>
          <w:headerReference w:type="default" r:id="rId12"/>
          <w:footerReference w:type="even" r:id="rId13"/>
          <w:footerReference w:type="default" r:id="rId14"/>
          <w:pgSz w:w="11906" w:h="16838" w:code="9"/>
          <w:pgMar w:top="1134" w:right="1134" w:bottom="1418" w:left="1134" w:header="709" w:footer="709" w:gutter="0"/>
          <w:pgNumType w:start="1"/>
          <w:cols w:space="708"/>
          <w:docGrid w:linePitch="360"/>
        </w:sectPr>
      </w:pPr>
      <w:r>
        <w:rPr>
          <w:noProof/>
        </w:rPr>
        <mc:AlternateContent>
          <mc:Choice Requires="wpg">
            <w:drawing>
              <wp:anchor distT="0" distB="0" distL="114300" distR="114300" simplePos="0" relativeHeight="251657728" behindDoc="0" locked="1" layoutInCell="1" allowOverlap="1" wp14:anchorId="21432970" wp14:editId="21432971">
                <wp:simplePos x="0" y="0"/>
                <wp:positionH relativeFrom="page">
                  <wp:posOffset>571500</wp:posOffset>
                </wp:positionH>
                <wp:positionV relativeFrom="page">
                  <wp:posOffset>466725</wp:posOffset>
                </wp:positionV>
                <wp:extent cx="2249805" cy="554355"/>
                <wp:effectExtent l="0" t="0" r="0" b="0"/>
                <wp:wrapSquare wrapText="bothSides"/>
                <wp:docPr id="5" name="Group 2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249805" cy="554355"/>
                          <a:chOff x="567" y="851"/>
                          <a:chExt cx="2714" cy="667"/>
                        </a:xfrm>
                      </wpg:grpSpPr>
                      <wps:wsp>
                        <wps:cNvPr id="6" name="Rectangle 9"/>
                        <wps:cNvSpPr>
                          <a:spLocks noChangeAspect="1" noChangeArrowheads="1"/>
                        </wps:cNvSpPr>
                        <wps:spPr bwMode="auto">
                          <a:xfrm>
                            <a:off x="1215" y="901"/>
                            <a:ext cx="676" cy="154"/>
                          </a:xfrm>
                          <a:prstGeom prst="rect">
                            <a:avLst/>
                          </a:prstGeom>
                          <a:solidFill>
                            <a:srgbClr val="0071B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10"/>
                        <wps:cNvSpPr>
                          <a:spLocks noChangeAspect="1" noChangeArrowheads="1"/>
                        </wps:cNvSpPr>
                        <wps:spPr bwMode="auto">
                          <a:xfrm>
                            <a:off x="567" y="1131"/>
                            <a:ext cx="1324" cy="154"/>
                          </a:xfrm>
                          <a:prstGeom prst="rect">
                            <a:avLst/>
                          </a:prstGeom>
                          <a:solidFill>
                            <a:srgbClr val="0071B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11"/>
                        <wps:cNvSpPr>
                          <a:spLocks noChangeAspect="1" noChangeArrowheads="1"/>
                        </wps:cNvSpPr>
                        <wps:spPr bwMode="auto">
                          <a:xfrm>
                            <a:off x="1288" y="1361"/>
                            <a:ext cx="603" cy="153"/>
                          </a:xfrm>
                          <a:prstGeom prst="rect">
                            <a:avLst/>
                          </a:prstGeom>
                          <a:solidFill>
                            <a:srgbClr val="0071B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w="9525">
                                <a:solidFill>
                                  <a:srgbClr val="000000"/>
                                </a:solidFill>
                                <a:miter lim="800000"/>
                                <a:headEnd/>
                                <a:tailEnd/>
                              </a14:hiddenLine>
                            </a:ext>
                          </a:extLst>
                        </wps:spPr>
                        <wps:bodyPr rot="0" vert="horz" wrap="square" lIns="91440" tIns="45720" rIns="91440" bIns="45720" anchor="t" anchorCtr="0" upright="1">
                          <a:noAutofit/>
                        </wps:bodyPr>
                      </wps:wsp>
                      <wps:wsp>
                        <wps:cNvPr id="9" name="Freeform 12"/>
                        <wps:cNvSpPr>
                          <a:spLocks noChangeAspect="1" noEditPoints="1"/>
                        </wps:cNvSpPr>
                        <wps:spPr bwMode="auto">
                          <a:xfrm>
                            <a:off x="1969" y="1311"/>
                            <a:ext cx="600" cy="207"/>
                          </a:xfrm>
                          <a:custGeom>
                            <a:avLst/>
                            <a:gdLst>
                              <a:gd name="T0" fmla="*/ 520 w 1200"/>
                              <a:gd name="T1" fmla="*/ 84 h 415"/>
                              <a:gd name="T2" fmla="*/ 537 w 1200"/>
                              <a:gd name="T3" fmla="*/ 88 h 415"/>
                              <a:gd name="T4" fmla="*/ 550 w 1200"/>
                              <a:gd name="T5" fmla="*/ 100 h 415"/>
                              <a:gd name="T6" fmla="*/ 557 w 1200"/>
                              <a:gd name="T7" fmla="*/ 114 h 415"/>
                              <a:gd name="T8" fmla="*/ 559 w 1200"/>
                              <a:gd name="T9" fmla="*/ 131 h 415"/>
                              <a:gd name="T10" fmla="*/ 554 w 1200"/>
                              <a:gd name="T11" fmla="*/ 147 h 415"/>
                              <a:gd name="T12" fmla="*/ 544 w 1200"/>
                              <a:gd name="T13" fmla="*/ 160 h 415"/>
                              <a:gd name="T14" fmla="*/ 530 w 1200"/>
                              <a:gd name="T15" fmla="*/ 168 h 415"/>
                              <a:gd name="T16" fmla="*/ 506 w 1200"/>
                              <a:gd name="T17" fmla="*/ 170 h 415"/>
                              <a:gd name="T18" fmla="*/ 540 w 1200"/>
                              <a:gd name="T19" fmla="*/ 202 h 415"/>
                              <a:gd name="T20" fmla="*/ 567 w 1200"/>
                              <a:gd name="T21" fmla="*/ 190 h 415"/>
                              <a:gd name="T22" fmla="*/ 587 w 1200"/>
                              <a:gd name="T23" fmla="*/ 169 h 415"/>
                              <a:gd name="T24" fmla="*/ 599 w 1200"/>
                              <a:gd name="T25" fmla="*/ 142 h 415"/>
                              <a:gd name="T26" fmla="*/ 599 w 1200"/>
                              <a:gd name="T27" fmla="*/ 111 h 415"/>
                              <a:gd name="T28" fmla="*/ 587 w 1200"/>
                              <a:gd name="T29" fmla="*/ 84 h 415"/>
                              <a:gd name="T30" fmla="*/ 567 w 1200"/>
                              <a:gd name="T31" fmla="*/ 63 h 415"/>
                              <a:gd name="T32" fmla="*/ 540 w 1200"/>
                              <a:gd name="T33" fmla="*/ 51 h 415"/>
                              <a:gd name="T34" fmla="*/ 466 w 1200"/>
                              <a:gd name="T35" fmla="*/ 204 h 415"/>
                              <a:gd name="T36" fmla="*/ 388 w 1200"/>
                              <a:gd name="T37" fmla="*/ 146 h 415"/>
                              <a:gd name="T38" fmla="*/ 393 w 1200"/>
                              <a:gd name="T39" fmla="*/ 50 h 415"/>
                              <a:gd name="T40" fmla="*/ 343 w 1200"/>
                              <a:gd name="T41" fmla="*/ 177 h 415"/>
                              <a:gd name="T42" fmla="*/ 257 w 1200"/>
                              <a:gd name="T43" fmla="*/ 18 h 415"/>
                              <a:gd name="T44" fmla="*/ 174 w 1200"/>
                              <a:gd name="T45" fmla="*/ 18 h 415"/>
                              <a:gd name="T46" fmla="*/ 216 w 1200"/>
                              <a:gd name="T47" fmla="*/ 81 h 415"/>
                              <a:gd name="T48" fmla="*/ 231 w 1200"/>
                              <a:gd name="T49" fmla="*/ 88 h 415"/>
                              <a:gd name="T50" fmla="*/ 235 w 1200"/>
                              <a:gd name="T51" fmla="*/ 104 h 415"/>
                              <a:gd name="T52" fmla="*/ 225 w 1200"/>
                              <a:gd name="T53" fmla="*/ 116 h 415"/>
                              <a:gd name="T54" fmla="*/ 204 w 1200"/>
                              <a:gd name="T55" fmla="*/ 119 h 415"/>
                              <a:gd name="T56" fmla="*/ 258 w 1200"/>
                              <a:gd name="T57" fmla="*/ 135 h 415"/>
                              <a:gd name="T58" fmla="*/ 271 w 1200"/>
                              <a:gd name="T59" fmla="*/ 121 h 415"/>
                              <a:gd name="T60" fmla="*/ 276 w 1200"/>
                              <a:gd name="T61" fmla="*/ 102 h 415"/>
                              <a:gd name="T62" fmla="*/ 275 w 1200"/>
                              <a:gd name="T63" fmla="*/ 83 h 415"/>
                              <a:gd name="T64" fmla="*/ 266 w 1200"/>
                              <a:gd name="T65" fmla="*/ 67 h 415"/>
                              <a:gd name="T66" fmla="*/ 252 w 1200"/>
                              <a:gd name="T67" fmla="*/ 55 h 415"/>
                              <a:gd name="T68" fmla="*/ 232 w 1200"/>
                              <a:gd name="T69" fmla="*/ 50 h 415"/>
                              <a:gd name="T70" fmla="*/ 204 w 1200"/>
                              <a:gd name="T71" fmla="*/ 204 h 415"/>
                              <a:gd name="T72" fmla="*/ 243 w 1200"/>
                              <a:gd name="T73" fmla="*/ 141 h 415"/>
                              <a:gd name="T74" fmla="*/ 67 w 1200"/>
                              <a:gd name="T75" fmla="*/ 42 h 415"/>
                              <a:gd name="T76" fmla="*/ 0 w 1200"/>
                              <a:gd name="T77" fmla="*/ 139 h 415"/>
                              <a:gd name="T78" fmla="*/ 3 w 1200"/>
                              <a:gd name="T79" fmla="*/ 166 h 415"/>
                              <a:gd name="T80" fmla="*/ 12 w 1200"/>
                              <a:gd name="T81" fmla="*/ 184 h 415"/>
                              <a:gd name="T82" fmla="*/ 34 w 1200"/>
                              <a:gd name="T83" fmla="*/ 201 h 415"/>
                              <a:gd name="T84" fmla="*/ 67 w 1200"/>
                              <a:gd name="T85" fmla="*/ 207 h 415"/>
                              <a:gd name="T86" fmla="*/ 96 w 1200"/>
                              <a:gd name="T87" fmla="*/ 202 h 415"/>
                              <a:gd name="T88" fmla="*/ 119 w 1200"/>
                              <a:gd name="T89" fmla="*/ 186 h 415"/>
                              <a:gd name="T90" fmla="*/ 131 w 1200"/>
                              <a:gd name="T91" fmla="*/ 166 h 415"/>
                              <a:gd name="T92" fmla="*/ 134 w 1200"/>
                              <a:gd name="T93" fmla="*/ 139 h 415"/>
                              <a:gd name="T94" fmla="*/ 95 w 1200"/>
                              <a:gd name="T95" fmla="*/ 143 h 415"/>
                              <a:gd name="T96" fmla="*/ 89 w 1200"/>
                              <a:gd name="T97" fmla="*/ 163 h 415"/>
                              <a:gd name="T98" fmla="*/ 78 w 1200"/>
                              <a:gd name="T99" fmla="*/ 170 h 415"/>
                              <a:gd name="T100" fmla="*/ 63 w 1200"/>
                              <a:gd name="T101" fmla="*/ 172 h 415"/>
                              <a:gd name="T102" fmla="*/ 52 w 1200"/>
                              <a:gd name="T103" fmla="*/ 168 h 415"/>
                              <a:gd name="T104" fmla="*/ 42 w 1200"/>
                              <a:gd name="T105" fmla="*/ 156 h 415"/>
                              <a:gd name="T106" fmla="*/ 40 w 1200"/>
                              <a:gd name="T107" fmla="*/ 50 h 415"/>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Lst>
                            <a:ahLst/>
                            <a:cxnLst>
                              <a:cxn ang="T108">
                                <a:pos x="T0" y="T1"/>
                              </a:cxn>
                              <a:cxn ang="T109">
                                <a:pos x="T2" y="T3"/>
                              </a:cxn>
                              <a:cxn ang="T110">
                                <a:pos x="T4" y="T5"/>
                              </a:cxn>
                              <a:cxn ang="T111">
                                <a:pos x="T6" y="T7"/>
                              </a:cxn>
                              <a:cxn ang="T112">
                                <a:pos x="T8" y="T9"/>
                              </a:cxn>
                              <a:cxn ang="T113">
                                <a:pos x="T10" y="T11"/>
                              </a:cxn>
                              <a:cxn ang="T114">
                                <a:pos x="T12" y="T13"/>
                              </a:cxn>
                              <a:cxn ang="T115">
                                <a:pos x="T14" y="T15"/>
                              </a:cxn>
                              <a:cxn ang="T116">
                                <a:pos x="T16" y="T17"/>
                              </a:cxn>
                              <a:cxn ang="T117">
                                <a:pos x="T18" y="T19"/>
                              </a:cxn>
                              <a:cxn ang="T118">
                                <a:pos x="T20" y="T21"/>
                              </a:cxn>
                              <a:cxn ang="T119">
                                <a:pos x="T22" y="T23"/>
                              </a:cxn>
                              <a:cxn ang="T120">
                                <a:pos x="T24" y="T25"/>
                              </a:cxn>
                              <a:cxn ang="T121">
                                <a:pos x="T26" y="T27"/>
                              </a:cxn>
                              <a:cxn ang="T122">
                                <a:pos x="T28" y="T29"/>
                              </a:cxn>
                              <a:cxn ang="T123">
                                <a:pos x="T30" y="T31"/>
                              </a:cxn>
                              <a:cxn ang="T124">
                                <a:pos x="T32" y="T33"/>
                              </a:cxn>
                              <a:cxn ang="T125">
                                <a:pos x="T34" y="T35"/>
                              </a:cxn>
                              <a:cxn ang="T126">
                                <a:pos x="T36" y="T37"/>
                              </a:cxn>
                              <a:cxn ang="T127">
                                <a:pos x="T38" y="T39"/>
                              </a:cxn>
                              <a:cxn ang="T128">
                                <a:pos x="T40" y="T41"/>
                              </a:cxn>
                              <a:cxn ang="T129">
                                <a:pos x="T42" y="T43"/>
                              </a:cxn>
                              <a:cxn ang="T130">
                                <a:pos x="T44" y="T45"/>
                              </a:cxn>
                              <a:cxn ang="T131">
                                <a:pos x="T46" y="T47"/>
                              </a:cxn>
                              <a:cxn ang="T132">
                                <a:pos x="T48" y="T49"/>
                              </a:cxn>
                              <a:cxn ang="T133">
                                <a:pos x="T50" y="T51"/>
                              </a:cxn>
                              <a:cxn ang="T134">
                                <a:pos x="T52" y="T53"/>
                              </a:cxn>
                              <a:cxn ang="T135">
                                <a:pos x="T54" y="T55"/>
                              </a:cxn>
                              <a:cxn ang="T136">
                                <a:pos x="T56" y="T57"/>
                              </a:cxn>
                              <a:cxn ang="T137">
                                <a:pos x="T58" y="T59"/>
                              </a:cxn>
                              <a:cxn ang="T138">
                                <a:pos x="T60" y="T61"/>
                              </a:cxn>
                              <a:cxn ang="T139">
                                <a:pos x="T62" y="T63"/>
                              </a:cxn>
                              <a:cxn ang="T140">
                                <a:pos x="T64" y="T65"/>
                              </a:cxn>
                              <a:cxn ang="T141">
                                <a:pos x="T66" y="T67"/>
                              </a:cxn>
                              <a:cxn ang="T142">
                                <a:pos x="T68" y="T69"/>
                              </a:cxn>
                              <a:cxn ang="T143">
                                <a:pos x="T70" y="T71"/>
                              </a:cxn>
                              <a:cxn ang="T144">
                                <a:pos x="T72" y="T73"/>
                              </a:cxn>
                              <a:cxn ang="T145">
                                <a:pos x="T74" y="T75"/>
                              </a:cxn>
                              <a:cxn ang="T146">
                                <a:pos x="T76" y="T77"/>
                              </a:cxn>
                              <a:cxn ang="T147">
                                <a:pos x="T78" y="T79"/>
                              </a:cxn>
                              <a:cxn ang="T148">
                                <a:pos x="T80" y="T81"/>
                              </a:cxn>
                              <a:cxn ang="T149">
                                <a:pos x="T82" y="T83"/>
                              </a:cxn>
                              <a:cxn ang="T150">
                                <a:pos x="T84" y="T85"/>
                              </a:cxn>
                              <a:cxn ang="T151">
                                <a:pos x="T86" y="T87"/>
                              </a:cxn>
                              <a:cxn ang="T152">
                                <a:pos x="T88" y="T89"/>
                              </a:cxn>
                              <a:cxn ang="T153">
                                <a:pos x="T90" y="T91"/>
                              </a:cxn>
                              <a:cxn ang="T154">
                                <a:pos x="T92" y="T93"/>
                              </a:cxn>
                              <a:cxn ang="T155">
                                <a:pos x="T94" y="T95"/>
                              </a:cxn>
                              <a:cxn ang="T156">
                                <a:pos x="T96" y="T97"/>
                              </a:cxn>
                              <a:cxn ang="T157">
                                <a:pos x="T98" y="T99"/>
                              </a:cxn>
                              <a:cxn ang="T158">
                                <a:pos x="T100" y="T101"/>
                              </a:cxn>
                              <a:cxn ang="T159">
                                <a:pos x="T102" y="T103"/>
                              </a:cxn>
                              <a:cxn ang="T160">
                                <a:pos x="T104" y="T105"/>
                              </a:cxn>
                              <a:cxn ang="T161">
                                <a:pos x="T106" y="T107"/>
                              </a:cxn>
                            </a:cxnLst>
                            <a:rect l="0" t="0" r="r" b="b"/>
                            <a:pathLst>
                              <a:path w="1200" h="415">
                                <a:moveTo>
                                  <a:pt x="1011" y="341"/>
                                </a:moveTo>
                                <a:lnTo>
                                  <a:pt x="1011" y="167"/>
                                </a:lnTo>
                                <a:lnTo>
                                  <a:pt x="1030" y="167"/>
                                </a:lnTo>
                                <a:lnTo>
                                  <a:pt x="1040" y="169"/>
                                </a:lnTo>
                                <a:lnTo>
                                  <a:pt x="1049" y="170"/>
                                </a:lnTo>
                                <a:lnTo>
                                  <a:pt x="1059" y="171"/>
                                </a:lnTo>
                                <a:lnTo>
                                  <a:pt x="1067" y="174"/>
                                </a:lnTo>
                                <a:lnTo>
                                  <a:pt x="1074" y="177"/>
                                </a:lnTo>
                                <a:lnTo>
                                  <a:pt x="1082" y="182"/>
                                </a:lnTo>
                                <a:lnTo>
                                  <a:pt x="1088" y="187"/>
                                </a:lnTo>
                                <a:lnTo>
                                  <a:pt x="1094" y="194"/>
                                </a:lnTo>
                                <a:lnTo>
                                  <a:pt x="1099" y="200"/>
                                </a:lnTo>
                                <a:lnTo>
                                  <a:pt x="1104" y="206"/>
                                </a:lnTo>
                                <a:lnTo>
                                  <a:pt x="1108" y="213"/>
                                </a:lnTo>
                                <a:lnTo>
                                  <a:pt x="1112" y="221"/>
                                </a:lnTo>
                                <a:lnTo>
                                  <a:pt x="1114" y="228"/>
                                </a:lnTo>
                                <a:lnTo>
                                  <a:pt x="1116" y="237"/>
                                </a:lnTo>
                                <a:lnTo>
                                  <a:pt x="1117" y="245"/>
                                </a:lnTo>
                                <a:lnTo>
                                  <a:pt x="1117" y="253"/>
                                </a:lnTo>
                                <a:lnTo>
                                  <a:pt x="1117" y="262"/>
                                </a:lnTo>
                                <a:lnTo>
                                  <a:pt x="1116" y="271"/>
                                </a:lnTo>
                                <a:lnTo>
                                  <a:pt x="1114" y="278"/>
                                </a:lnTo>
                                <a:lnTo>
                                  <a:pt x="1112" y="287"/>
                                </a:lnTo>
                                <a:lnTo>
                                  <a:pt x="1108" y="294"/>
                                </a:lnTo>
                                <a:lnTo>
                                  <a:pt x="1104" y="301"/>
                                </a:lnTo>
                                <a:lnTo>
                                  <a:pt x="1099" y="308"/>
                                </a:lnTo>
                                <a:lnTo>
                                  <a:pt x="1094" y="314"/>
                                </a:lnTo>
                                <a:lnTo>
                                  <a:pt x="1088" y="321"/>
                                </a:lnTo>
                                <a:lnTo>
                                  <a:pt x="1082" y="326"/>
                                </a:lnTo>
                                <a:lnTo>
                                  <a:pt x="1074" y="331"/>
                                </a:lnTo>
                                <a:lnTo>
                                  <a:pt x="1067" y="334"/>
                                </a:lnTo>
                                <a:lnTo>
                                  <a:pt x="1059" y="337"/>
                                </a:lnTo>
                                <a:lnTo>
                                  <a:pt x="1049" y="338"/>
                                </a:lnTo>
                                <a:lnTo>
                                  <a:pt x="1040" y="339"/>
                                </a:lnTo>
                                <a:lnTo>
                                  <a:pt x="1030" y="341"/>
                                </a:lnTo>
                                <a:lnTo>
                                  <a:pt x="1011" y="341"/>
                                </a:lnTo>
                                <a:close/>
                                <a:moveTo>
                                  <a:pt x="931" y="408"/>
                                </a:moveTo>
                                <a:lnTo>
                                  <a:pt x="1049" y="408"/>
                                </a:lnTo>
                                <a:lnTo>
                                  <a:pt x="1064" y="407"/>
                                </a:lnTo>
                                <a:lnTo>
                                  <a:pt x="1079" y="404"/>
                                </a:lnTo>
                                <a:lnTo>
                                  <a:pt x="1093" y="400"/>
                                </a:lnTo>
                                <a:lnTo>
                                  <a:pt x="1107" y="395"/>
                                </a:lnTo>
                                <a:lnTo>
                                  <a:pt x="1121" y="389"/>
                                </a:lnTo>
                                <a:lnTo>
                                  <a:pt x="1133" y="380"/>
                                </a:lnTo>
                                <a:lnTo>
                                  <a:pt x="1144" y="372"/>
                                </a:lnTo>
                                <a:lnTo>
                                  <a:pt x="1155" y="362"/>
                                </a:lnTo>
                                <a:lnTo>
                                  <a:pt x="1165" y="351"/>
                                </a:lnTo>
                                <a:lnTo>
                                  <a:pt x="1174" y="339"/>
                                </a:lnTo>
                                <a:lnTo>
                                  <a:pt x="1182" y="326"/>
                                </a:lnTo>
                                <a:lnTo>
                                  <a:pt x="1188" y="313"/>
                                </a:lnTo>
                                <a:lnTo>
                                  <a:pt x="1194" y="298"/>
                                </a:lnTo>
                                <a:lnTo>
                                  <a:pt x="1198" y="284"/>
                                </a:lnTo>
                                <a:lnTo>
                                  <a:pt x="1200" y="270"/>
                                </a:lnTo>
                                <a:lnTo>
                                  <a:pt x="1200" y="253"/>
                                </a:lnTo>
                                <a:lnTo>
                                  <a:pt x="1200" y="238"/>
                                </a:lnTo>
                                <a:lnTo>
                                  <a:pt x="1198" y="223"/>
                                </a:lnTo>
                                <a:lnTo>
                                  <a:pt x="1194" y="208"/>
                                </a:lnTo>
                                <a:lnTo>
                                  <a:pt x="1188" y="195"/>
                                </a:lnTo>
                                <a:lnTo>
                                  <a:pt x="1182" y="181"/>
                                </a:lnTo>
                                <a:lnTo>
                                  <a:pt x="1174" y="169"/>
                                </a:lnTo>
                                <a:lnTo>
                                  <a:pt x="1165" y="157"/>
                                </a:lnTo>
                                <a:lnTo>
                                  <a:pt x="1155" y="146"/>
                                </a:lnTo>
                                <a:lnTo>
                                  <a:pt x="1144" y="136"/>
                                </a:lnTo>
                                <a:lnTo>
                                  <a:pt x="1133" y="126"/>
                                </a:lnTo>
                                <a:lnTo>
                                  <a:pt x="1121" y="119"/>
                                </a:lnTo>
                                <a:lnTo>
                                  <a:pt x="1107" y="113"/>
                                </a:lnTo>
                                <a:lnTo>
                                  <a:pt x="1093" y="108"/>
                                </a:lnTo>
                                <a:lnTo>
                                  <a:pt x="1079" y="103"/>
                                </a:lnTo>
                                <a:lnTo>
                                  <a:pt x="1064" y="101"/>
                                </a:lnTo>
                                <a:lnTo>
                                  <a:pt x="1049" y="100"/>
                                </a:lnTo>
                                <a:lnTo>
                                  <a:pt x="931" y="100"/>
                                </a:lnTo>
                                <a:lnTo>
                                  <a:pt x="931" y="408"/>
                                </a:lnTo>
                                <a:close/>
                                <a:moveTo>
                                  <a:pt x="775" y="293"/>
                                </a:moveTo>
                                <a:lnTo>
                                  <a:pt x="708" y="293"/>
                                </a:lnTo>
                                <a:lnTo>
                                  <a:pt x="742" y="195"/>
                                </a:lnTo>
                                <a:lnTo>
                                  <a:pt x="775" y="293"/>
                                </a:lnTo>
                                <a:close/>
                                <a:moveTo>
                                  <a:pt x="797" y="354"/>
                                </a:moveTo>
                                <a:lnTo>
                                  <a:pt x="817" y="408"/>
                                </a:lnTo>
                                <a:lnTo>
                                  <a:pt x="901" y="408"/>
                                </a:lnTo>
                                <a:lnTo>
                                  <a:pt x="785" y="100"/>
                                </a:lnTo>
                                <a:lnTo>
                                  <a:pt x="698" y="100"/>
                                </a:lnTo>
                                <a:lnTo>
                                  <a:pt x="581" y="408"/>
                                </a:lnTo>
                                <a:lnTo>
                                  <a:pt x="665" y="408"/>
                                </a:lnTo>
                                <a:lnTo>
                                  <a:pt x="686" y="354"/>
                                </a:lnTo>
                                <a:lnTo>
                                  <a:pt x="797" y="354"/>
                                </a:lnTo>
                                <a:close/>
                                <a:moveTo>
                                  <a:pt x="347" y="37"/>
                                </a:moveTo>
                                <a:lnTo>
                                  <a:pt x="430" y="83"/>
                                </a:lnTo>
                                <a:lnTo>
                                  <a:pt x="513" y="37"/>
                                </a:lnTo>
                                <a:lnTo>
                                  <a:pt x="491" y="3"/>
                                </a:lnTo>
                                <a:lnTo>
                                  <a:pt x="430" y="34"/>
                                </a:lnTo>
                                <a:lnTo>
                                  <a:pt x="369" y="3"/>
                                </a:lnTo>
                                <a:lnTo>
                                  <a:pt x="347" y="37"/>
                                </a:lnTo>
                                <a:close/>
                                <a:moveTo>
                                  <a:pt x="407" y="238"/>
                                </a:moveTo>
                                <a:lnTo>
                                  <a:pt x="407" y="161"/>
                                </a:lnTo>
                                <a:lnTo>
                                  <a:pt x="422" y="161"/>
                                </a:lnTo>
                                <a:lnTo>
                                  <a:pt x="432" y="162"/>
                                </a:lnTo>
                                <a:lnTo>
                                  <a:pt x="442" y="164"/>
                                </a:lnTo>
                                <a:lnTo>
                                  <a:pt x="449" y="166"/>
                                </a:lnTo>
                                <a:lnTo>
                                  <a:pt x="455" y="170"/>
                                </a:lnTo>
                                <a:lnTo>
                                  <a:pt x="461" y="176"/>
                                </a:lnTo>
                                <a:lnTo>
                                  <a:pt x="466" y="182"/>
                                </a:lnTo>
                                <a:lnTo>
                                  <a:pt x="469" y="191"/>
                                </a:lnTo>
                                <a:lnTo>
                                  <a:pt x="470" y="200"/>
                                </a:lnTo>
                                <a:lnTo>
                                  <a:pt x="469" y="208"/>
                                </a:lnTo>
                                <a:lnTo>
                                  <a:pt x="466" y="216"/>
                                </a:lnTo>
                                <a:lnTo>
                                  <a:pt x="461" y="223"/>
                                </a:lnTo>
                                <a:lnTo>
                                  <a:pt x="455" y="230"/>
                                </a:lnTo>
                                <a:lnTo>
                                  <a:pt x="449" y="233"/>
                                </a:lnTo>
                                <a:lnTo>
                                  <a:pt x="442" y="236"/>
                                </a:lnTo>
                                <a:lnTo>
                                  <a:pt x="432" y="237"/>
                                </a:lnTo>
                                <a:lnTo>
                                  <a:pt x="422" y="238"/>
                                </a:lnTo>
                                <a:lnTo>
                                  <a:pt x="407" y="238"/>
                                </a:lnTo>
                                <a:close/>
                                <a:moveTo>
                                  <a:pt x="485" y="282"/>
                                </a:moveTo>
                                <a:lnTo>
                                  <a:pt x="498" y="278"/>
                                </a:lnTo>
                                <a:lnTo>
                                  <a:pt x="508" y="275"/>
                                </a:lnTo>
                                <a:lnTo>
                                  <a:pt x="516" y="270"/>
                                </a:lnTo>
                                <a:lnTo>
                                  <a:pt x="525" y="263"/>
                                </a:lnTo>
                                <a:lnTo>
                                  <a:pt x="531" y="257"/>
                                </a:lnTo>
                                <a:lnTo>
                                  <a:pt x="536" y="250"/>
                                </a:lnTo>
                                <a:lnTo>
                                  <a:pt x="541" y="242"/>
                                </a:lnTo>
                                <a:lnTo>
                                  <a:pt x="545" y="233"/>
                                </a:lnTo>
                                <a:lnTo>
                                  <a:pt x="549" y="225"/>
                                </a:lnTo>
                                <a:lnTo>
                                  <a:pt x="551" y="215"/>
                                </a:lnTo>
                                <a:lnTo>
                                  <a:pt x="552" y="205"/>
                                </a:lnTo>
                                <a:lnTo>
                                  <a:pt x="552" y="195"/>
                                </a:lnTo>
                                <a:lnTo>
                                  <a:pt x="552" y="186"/>
                                </a:lnTo>
                                <a:lnTo>
                                  <a:pt x="551" y="176"/>
                                </a:lnTo>
                                <a:lnTo>
                                  <a:pt x="549" y="167"/>
                                </a:lnTo>
                                <a:lnTo>
                                  <a:pt x="546" y="159"/>
                                </a:lnTo>
                                <a:lnTo>
                                  <a:pt x="542" y="150"/>
                                </a:lnTo>
                                <a:lnTo>
                                  <a:pt x="537" y="141"/>
                                </a:lnTo>
                                <a:lnTo>
                                  <a:pt x="532" y="134"/>
                                </a:lnTo>
                                <a:lnTo>
                                  <a:pt x="526" y="128"/>
                                </a:lnTo>
                                <a:lnTo>
                                  <a:pt x="519" y="120"/>
                                </a:lnTo>
                                <a:lnTo>
                                  <a:pt x="511" y="115"/>
                                </a:lnTo>
                                <a:lnTo>
                                  <a:pt x="504" y="110"/>
                                </a:lnTo>
                                <a:lnTo>
                                  <a:pt x="495" y="106"/>
                                </a:lnTo>
                                <a:lnTo>
                                  <a:pt x="485" y="104"/>
                                </a:lnTo>
                                <a:lnTo>
                                  <a:pt x="475" y="101"/>
                                </a:lnTo>
                                <a:lnTo>
                                  <a:pt x="463" y="100"/>
                                </a:lnTo>
                                <a:lnTo>
                                  <a:pt x="450" y="100"/>
                                </a:lnTo>
                                <a:lnTo>
                                  <a:pt x="327" y="100"/>
                                </a:lnTo>
                                <a:lnTo>
                                  <a:pt x="327" y="408"/>
                                </a:lnTo>
                                <a:lnTo>
                                  <a:pt x="407" y="408"/>
                                </a:lnTo>
                                <a:lnTo>
                                  <a:pt x="407" y="289"/>
                                </a:lnTo>
                                <a:lnTo>
                                  <a:pt x="483" y="408"/>
                                </a:lnTo>
                                <a:lnTo>
                                  <a:pt x="582" y="408"/>
                                </a:lnTo>
                                <a:lnTo>
                                  <a:pt x="485" y="282"/>
                                </a:lnTo>
                                <a:close/>
                                <a:moveTo>
                                  <a:pt x="210" y="35"/>
                                </a:moveTo>
                                <a:lnTo>
                                  <a:pt x="171" y="0"/>
                                </a:lnTo>
                                <a:lnTo>
                                  <a:pt x="105" y="56"/>
                                </a:lnTo>
                                <a:lnTo>
                                  <a:pt x="133" y="85"/>
                                </a:lnTo>
                                <a:lnTo>
                                  <a:pt x="210" y="35"/>
                                </a:lnTo>
                                <a:close/>
                                <a:moveTo>
                                  <a:pt x="80" y="100"/>
                                </a:moveTo>
                                <a:lnTo>
                                  <a:pt x="0" y="100"/>
                                </a:lnTo>
                                <a:lnTo>
                                  <a:pt x="0" y="278"/>
                                </a:lnTo>
                                <a:lnTo>
                                  <a:pt x="0" y="293"/>
                                </a:lnTo>
                                <a:lnTo>
                                  <a:pt x="2" y="308"/>
                                </a:lnTo>
                                <a:lnTo>
                                  <a:pt x="3" y="321"/>
                                </a:lnTo>
                                <a:lnTo>
                                  <a:pt x="5" y="333"/>
                                </a:lnTo>
                                <a:lnTo>
                                  <a:pt x="9" y="343"/>
                                </a:lnTo>
                                <a:lnTo>
                                  <a:pt x="13" y="353"/>
                                </a:lnTo>
                                <a:lnTo>
                                  <a:pt x="17" y="362"/>
                                </a:lnTo>
                                <a:lnTo>
                                  <a:pt x="23" y="369"/>
                                </a:lnTo>
                                <a:lnTo>
                                  <a:pt x="32" y="379"/>
                                </a:lnTo>
                                <a:lnTo>
                                  <a:pt x="43" y="389"/>
                                </a:lnTo>
                                <a:lnTo>
                                  <a:pt x="54" y="397"/>
                                </a:lnTo>
                                <a:lnTo>
                                  <a:pt x="68" y="403"/>
                                </a:lnTo>
                                <a:lnTo>
                                  <a:pt x="83" y="409"/>
                                </a:lnTo>
                                <a:lnTo>
                                  <a:pt x="99" y="413"/>
                                </a:lnTo>
                                <a:lnTo>
                                  <a:pt x="115" y="415"/>
                                </a:lnTo>
                                <a:lnTo>
                                  <a:pt x="133" y="415"/>
                                </a:lnTo>
                                <a:lnTo>
                                  <a:pt x="149" y="415"/>
                                </a:lnTo>
                                <a:lnTo>
                                  <a:pt x="165" y="413"/>
                                </a:lnTo>
                                <a:lnTo>
                                  <a:pt x="179" y="409"/>
                                </a:lnTo>
                                <a:lnTo>
                                  <a:pt x="192" y="404"/>
                                </a:lnTo>
                                <a:lnTo>
                                  <a:pt x="206" y="399"/>
                                </a:lnTo>
                                <a:lnTo>
                                  <a:pt x="217" y="392"/>
                                </a:lnTo>
                                <a:lnTo>
                                  <a:pt x="228" y="383"/>
                                </a:lnTo>
                                <a:lnTo>
                                  <a:pt x="238" y="372"/>
                                </a:lnTo>
                                <a:lnTo>
                                  <a:pt x="246" y="363"/>
                                </a:lnTo>
                                <a:lnTo>
                                  <a:pt x="253" y="353"/>
                                </a:lnTo>
                                <a:lnTo>
                                  <a:pt x="258" y="343"/>
                                </a:lnTo>
                                <a:lnTo>
                                  <a:pt x="262" y="333"/>
                                </a:lnTo>
                                <a:lnTo>
                                  <a:pt x="265" y="321"/>
                                </a:lnTo>
                                <a:lnTo>
                                  <a:pt x="267" y="308"/>
                                </a:lnTo>
                                <a:lnTo>
                                  <a:pt x="268" y="293"/>
                                </a:lnTo>
                                <a:lnTo>
                                  <a:pt x="268" y="278"/>
                                </a:lnTo>
                                <a:lnTo>
                                  <a:pt x="268" y="100"/>
                                </a:lnTo>
                                <a:lnTo>
                                  <a:pt x="189" y="100"/>
                                </a:lnTo>
                                <a:lnTo>
                                  <a:pt x="189" y="267"/>
                                </a:lnTo>
                                <a:lnTo>
                                  <a:pt x="189" y="287"/>
                                </a:lnTo>
                                <a:lnTo>
                                  <a:pt x="187" y="301"/>
                                </a:lnTo>
                                <a:lnTo>
                                  <a:pt x="185" y="311"/>
                                </a:lnTo>
                                <a:lnTo>
                                  <a:pt x="181" y="321"/>
                                </a:lnTo>
                                <a:lnTo>
                                  <a:pt x="177" y="326"/>
                                </a:lnTo>
                                <a:lnTo>
                                  <a:pt x="172" y="331"/>
                                </a:lnTo>
                                <a:lnTo>
                                  <a:pt x="167" y="334"/>
                                </a:lnTo>
                                <a:lnTo>
                                  <a:pt x="161" y="338"/>
                                </a:lnTo>
                                <a:lnTo>
                                  <a:pt x="155" y="341"/>
                                </a:lnTo>
                                <a:lnTo>
                                  <a:pt x="149" y="343"/>
                                </a:lnTo>
                                <a:lnTo>
                                  <a:pt x="141" y="344"/>
                                </a:lnTo>
                                <a:lnTo>
                                  <a:pt x="134" y="346"/>
                                </a:lnTo>
                                <a:lnTo>
                                  <a:pt x="126" y="344"/>
                                </a:lnTo>
                                <a:lnTo>
                                  <a:pt x="120" y="343"/>
                                </a:lnTo>
                                <a:lnTo>
                                  <a:pt x="114" y="342"/>
                                </a:lnTo>
                                <a:lnTo>
                                  <a:pt x="108" y="339"/>
                                </a:lnTo>
                                <a:lnTo>
                                  <a:pt x="103" y="336"/>
                                </a:lnTo>
                                <a:lnTo>
                                  <a:pt x="98" y="332"/>
                                </a:lnTo>
                                <a:lnTo>
                                  <a:pt x="93" y="327"/>
                                </a:lnTo>
                                <a:lnTo>
                                  <a:pt x="89" y="322"/>
                                </a:lnTo>
                                <a:lnTo>
                                  <a:pt x="84" y="312"/>
                                </a:lnTo>
                                <a:lnTo>
                                  <a:pt x="81" y="302"/>
                                </a:lnTo>
                                <a:lnTo>
                                  <a:pt x="80" y="288"/>
                                </a:lnTo>
                                <a:lnTo>
                                  <a:pt x="80" y="267"/>
                                </a:lnTo>
                                <a:lnTo>
                                  <a:pt x="80" y="100"/>
                                </a:lnTo>
                                <a:close/>
                              </a:path>
                            </a:pathLst>
                          </a:custGeom>
                          <a:solidFill>
                            <a:srgbClr val="BD1B21"/>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ChangeAspect="1" noEditPoints="1"/>
                        </wps:cNvSpPr>
                        <wps:spPr bwMode="auto">
                          <a:xfrm>
                            <a:off x="1962" y="1081"/>
                            <a:ext cx="1319" cy="208"/>
                          </a:xfrm>
                          <a:custGeom>
                            <a:avLst/>
                            <a:gdLst>
                              <a:gd name="T0" fmla="*/ 1221 w 2637"/>
                              <a:gd name="T1" fmla="*/ 204 h 416"/>
                              <a:gd name="T2" fmla="*/ 1166 w 2637"/>
                              <a:gd name="T3" fmla="*/ 50 h 416"/>
                              <a:gd name="T4" fmla="*/ 1072 w 2637"/>
                              <a:gd name="T5" fmla="*/ 137 h 416"/>
                              <a:gd name="T6" fmla="*/ 1004 w 2637"/>
                              <a:gd name="T7" fmla="*/ 54 h 416"/>
                              <a:gd name="T8" fmla="*/ 943 w 2637"/>
                              <a:gd name="T9" fmla="*/ 51 h 416"/>
                              <a:gd name="T10" fmla="*/ 900 w 2637"/>
                              <a:gd name="T11" fmla="*/ 82 h 416"/>
                              <a:gd name="T12" fmla="*/ 887 w 2637"/>
                              <a:gd name="T13" fmla="*/ 136 h 416"/>
                              <a:gd name="T14" fmla="*/ 907 w 2637"/>
                              <a:gd name="T15" fmla="*/ 181 h 416"/>
                              <a:gd name="T16" fmla="*/ 959 w 2637"/>
                              <a:gd name="T17" fmla="*/ 208 h 416"/>
                              <a:gd name="T18" fmla="*/ 1000 w 2637"/>
                              <a:gd name="T19" fmla="*/ 157 h 416"/>
                              <a:gd name="T20" fmla="*/ 969 w 2637"/>
                              <a:gd name="T21" fmla="*/ 169 h 416"/>
                              <a:gd name="T22" fmla="*/ 945 w 2637"/>
                              <a:gd name="T23" fmla="*/ 161 h 416"/>
                              <a:gd name="T24" fmla="*/ 929 w 2637"/>
                              <a:gd name="T25" fmla="*/ 137 h 416"/>
                              <a:gd name="T26" fmla="*/ 933 w 2637"/>
                              <a:gd name="T27" fmla="*/ 107 h 416"/>
                              <a:gd name="T28" fmla="*/ 953 w 2637"/>
                              <a:gd name="T29" fmla="*/ 89 h 416"/>
                              <a:gd name="T30" fmla="*/ 984 w 2637"/>
                              <a:gd name="T31" fmla="*/ 88 h 416"/>
                              <a:gd name="T32" fmla="*/ 864 w 2637"/>
                              <a:gd name="T33" fmla="*/ 50 h 416"/>
                              <a:gd name="T34" fmla="*/ 802 w 2637"/>
                              <a:gd name="T35" fmla="*/ 50 h 416"/>
                              <a:gd name="T36" fmla="*/ 680 w 2637"/>
                              <a:gd name="T37" fmla="*/ 59 h 416"/>
                              <a:gd name="T38" fmla="*/ 638 w 2637"/>
                              <a:gd name="T39" fmla="*/ 46 h 416"/>
                              <a:gd name="T40" fmla="*/ 602 w 2637"/>
                              <a:gd name="T41" fmla="*/ 54 h 416"/>
                              <a:gd name="T42" fmla="*/ 581 w 2637"/>
                              <a:gd name="T43" fmla="*/ 82 h 416"/>
                              <a:gd name="T44" fmla="*/ 583 w 2637"/>
                              <a:gd name="T45" fmla="*/ 116 h 416"/>
                              <a:gd name="T46" fmla="*/ 610 w 2637"/>
                              <a:gd name="T47" fmla="*/ 138 h 416"/>
                              <a:gd name="T48" fmla="*/ 644 w 2637"/>
                              <a:gd name="T49" fmla="*/ 153 h 416"/>
                              <a:gd name="T50" fmla="*/ 637 w 2637"/>
                              <a:gd name="T51" fmla="*/ 171 h 416"/>
                              <a:gd name="T52" fmla="*/ 608 w 2637"/>
                              <a:gd name="T53" fmla="*/ 170 h 416"/>
                              <a:gd name="T54" fmla="*/ 586 w 2637"/>
                              <a:gd name="T55" fmla="*/ 198 h 416"/>
                              <a:gd name="T56" fmla="*/ 633 w 2637"/>
                              <a:gd name="T57" fmla="*/ 208 h 416"/>
                              <a:gd name="T58" fmla="*/ 671 w 2637"/>
                              <a:gd name="T59" fmla="*/ 193 h 416"/>
                              <a:gd name="T60" fmla="*/ 687 w 2637"/>
                              <a:gd name="T61" fmla="*/ 160 h 416"/>
                              <a:gd name="T62" fmla="*/ 678 w 2637"/>
                              <a:gd name="T63" fmla="*/ 126 h 416"/>
                              <a:gd name="T64" fmla="*/ 638 w 2637"/>
                              <a:gd name="T65" fmla="*/ 107 h 416"/>
                              <a:gd name="T66" fmla="*/ 621 w 2637"/>
                              <a:gd name="T67" fmla="*/ 93 h 416"/>
                              <a:gd name="T68" fmla="*/ 635 w 2637"/>
                              <a:gd name="T69" fmla="*/ 80 h 416"/>
                              <a:gd name="T70" fmla="*/ 665 w 2637"/>
                              <a:gd name="T71" fmla="*/ 90 h 416"/>
                              <a:gd name="T72" fmla="*/ 452 w 2637"/>
                              <a:gd name="T73" fmla="*/ 84 h 416"/>
                              <a:gd name="T74" fmla="*/ 452 w 2637"/>
                              <a:gd name="T75" fmla="*/ 204 h 416"/>
                              <a:gd name="T76" fmla="*/ 343 w 2637"/>
                              <a:gd name="T77" fmla="*/ 204 h 416"/>
                              <a:gd name="T78" fmla="*/ 333 w 2637"/>
                              <a:gd name="T79" fmla="*/ 177 h 416"/>
                              <a:gd name="T80" fmla="*/ 158 w 2637"/>
                              <a:gd name="T81" fmla="*/ 204 h 416"/>
                              <a:gd name="T82" fmla="*/ 84 w 2637"/>
                              <a:gd name="T83" fmla="*/ 49 h 416"/>
                              <a:gd name="T84" fmla="*/ 42 w 2637"/>
                              <a:gd name="T85" fmla="*/ 48 h 416"/>
                              <a:gd name="T86" fmla="*/ 14 w 2637"/>
                              <a:gd name="T87" fmla="*/ 68 h 416"/>
                              <a:gd name="T88" fmla="*/ 6 w 2637"/>
                              <a:gd name="T89" fmla="*/ 103 h 416"/>
                              <a:gd name="T90" fmla="*/ 19 w 2637"/>
                              <a:gd name="T91" fmla="*/ 128 h 416"/>
                              <a:gd name="T92" fmla="*/ 64 w 2637"/>
                              <a:gd name="T93" fmla="*/ 147 h 416"/>
                              <a:gd name="T94" fmla="*/ 71 w 2637"/>
                              <a:gd name="T95" fmla="*/ 165 h 416"/>
                              <a:gd name="T96" fmla="*/ 48 w 2637"/>
                              <a:gd name="T97" fmla="*/ 174 h 416"/>
                              <a:gd name="T98" fmla="*/ 17 w 2637"/>
                              <a:gd name="T99" fmla="*/ 158 h 416"/>
                              <a:gd name="T100" fmla="*/ 40 w 2637"/>
                              <a:gd name="T101" fmla="*/ 207 h 416"/>
                              <a:gd name="T102" fmla="*/ 84 w 2637"/>
                              <a:gd name="T103" fmla="*/ 202 h 416"/>
                              <a:gd name="T104" fmla="*/ 110 w 2637"/>
                              <a:gd name="T105" fmla="*/ 176 h 416"/>
                              <a:gd name="T106" fmla="*/ 110 w 2637"/>
                              <a:gd name="T107" fmla="*/ 135 h 416"/>
                              <a:gd name="T108" fmla="*/ 93 w 2637"/>
                              <a:gd name="T109" fmla="*/ 117 h 416"/>
                              <a:gd name="T110" fmla="*/ 50 w 2637"/>
                              <a:gd name="T111" fmla="*/ 99 h 416"/>
                              <a:gd name="T112" fmla="*/ 53 w 2637"/>
                              <a:gd name="T113" fmla="*/ 84 h 416"/>
                              <a:gd name="T114" fmla="*/ 76 w 2637"/>
                              <a:gd name="T115" fmla="*/ 81 h 41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w="2637" h="416">
                                <a:moveTo>
                                  <a:pt x="2561" y="35"/>
                                </a:moveTo>
                                <a:lnTo>
                                  <a:pt x="2524" y="0"/>
                                </a:lnTo>
                                <a:lnTo>
                                  <a:pt x="2458" y="56"/>
                                </a:lnTo>
                                <a:lnTo>
                                  <a:pt x="2485" y="84"/>
                                </a:lnTo>
                                <a:lnTo>
                                  <a:pt x="2561" y="35"/>
                                </a:lnTo>
                                <a:close/>
                                <a:moveTo>
                                  <a:pt x="2442" y="260"/>
                                </a:moveTo>
                                <a:lnTo>
                                  <a:pt x="2442" y="407"/>
                                </a:lnTo>
                                <a:lnTo>
                                  <a:pt x="2521" y="407"/>
                                </a:lnTo>
                                <a:lnTo>
                                  <a:pt x="2521" y="260"/>
                                </a:lnTo>
                                <a:lnTo>
                                  <a:pt x="2637" y="99"/>
                                </a:lnTo>
                                <a:lnTo>
                                  <a:pt x="2540" y="99"/>
                                </a:lnTo>
                                <a:lnTo>
                                  <a:pt x="2484" y="183"/>
                                </a:lnTo>
                                <a:lnTo>
                                  <a:pt x="2427" y="99"/>
                                </a:lnTo>
                                <a:lnTo>
                                  <a:pt x="2331" y="99"/>
                                </a:lnTo>
                                <a:lnTo>
                                  <a:pt x="2442" y="260"/>
                                </a:lnTo>
                                <a:close/>
                                <a:moveTo>
                                  <a:pt x="2143" y="226"/>
                                </a:moveTo>
                                <a:lnTo>
                                  <a:pt x="2143" y="99"/>
                                </a:lnTo>
                                <a:lnTo>
                                  <a:pt x="2063" y="99"/>
                                </a:lnTo>
                                <a:lnTo>
                                  <a:pt x="2063" y="407"/>
                                </a:lnTo>
                                <a:lnTo>
                                  <a:pt x="2143" y="407"/>
                                </a:lnTo>
                                <a:lnTo>
                                  <a:pt x="2143" y="274"/>
                                </a:lnTo>
                                <a:lnTo>
                                  <a:pt x="2247" y="407"/>
                                </a:lnTo>
                                <a:lnTo>
                                  <a:pt x="2351" y="407"/>
                                </a:lnTo>
                                <a:lnTo>
                                  <a:pt x="2217" y="245"/>
                                </a:lnTo>
                                <a:lnTo>
                                  <a:pt x="2340" y="99"/>
                                </a:lnTo>
                                <a:lnTo>
                                  <a:pt x="2240" y="99"/>
                                </a:lnTo>
                                <a:lnTo>
                                  <a:pt x="2143" y="226"/>
                                </a:lnTo>
                                <a:close/>
                                <a:moveTo>
                                  <a:pt x="2008" y="108"/>
                                </a:moveTo>
                                <a:lnTo>
                                  <a:pt x="1987" y="102"/>
                                </a:lnTo>
                                <a:lnTo>
                                  <a:pt x="1969" y="97"/>
                                </a:lnTo>
                                <a:lnTo>
                                  <a:pt x="1952" y="93"/>
                                </a:lnTo>
                                <a:lnTo>
                                  <a:pt x="1936" y="93"/>
                                </a:lnTo>
                                <a:lnTo>
                                  <a:pt x="1918" y="93"/>
                                </a:lnTo>
                                <a:lnTo>
                                  <a:pt x="1902" y="96"/>
                                </a:lnTo>
                                <a:lnTo>
                                  <a:pt x="1886" y="101"/>
                                </a:lnTo>
                                <a:lnTo>
                                  <a:pt x="1871" y="106"/>
                                </a:lnTo>
                                <a:lnTo>
                                  <a:pt x="1857" y="112"/>
                                </a:lnTo>
                                <a:lnTo>
                                  <a:pt x="1844" y="121"/>
                                </a:lnTo>
                                <a:lnTo>
                                  <a:pt x="1831" y="129"/>
                                </a:lnTo>
                                <a:lnTo>
                                  <a:pt x="1820" y="140"/>
                                </a:lnTo>
                                <a:lnTo>
                                  <a:pt x="1809" y="152"/>
                                </a:lnTo>
                                <a:lnTo>
                                  <a:pt x="1800" y="164"/>
                                </a:lnTo>
                                <a:lnTo>
                                  <a:pt x="1791" y="178"/>
                                </a:lnTo>
                                <a:lnTo>
                                  <a:pt x="1785" y="192"/>
                                </a:lnTo>
                                <a:lnTo>
                                  <a:pt x="1780" y="207"/>
                                </a:lnTo>
                                <a:lnTo>
                                  <a:pt x="1775" y="223"/>
                                </a:lnTo>
                                <a:lnTo>
                                  <a:pt x="1773" y="239"/>
                                </a:lnTo>
                                <a:lnTo>
                                  <a:pt x="1773" y="256"/>
                                </a:lnTo>
                                <a:lnTo>
                                  <a:pt x="1773" y="271"/>
                                </a:lnTo>
                                <a:lnTo>
                                  <a:pt x="1775" y="286"/>
                                </a:lnTo>
                                <a:lnTo>
                                  <a:pt x="1778" y="300"/>
                                </a:lnTo>
                                <a:lnTo>
                                  <a:pt x="1783" y="314"/>
                                </a:lnTo>
                                <a:lnTo>
                                  <a:pt x="1789" y="327"/>
                                </a:lnTo>
                                <a:lnTo>
                                  <a:pt x="1795" y="340"/>
                                </a:lnTo>
                                <a:lnTo>
                                  <a:pt x="1804" y="351"/>
                                </a:lnTo>
                                <a:lnTo>
                                  <a:pt x="1813" y="362"/>
                                </a:lnTo>
                                <a:lnTo>
                                  <a:pt x="1825" y="373"/>
                                </a:lnTo>
                                <a:lnTo>
                                  <a:pt x="1839" y="385"/>
                                </a:lnTo>
                                <a:lnTo>
                                  <a:pt x="1854" y="393"/>
                                </a:lnTo>
                                <a:lnTo>
                                  <a:pt x="1869" y="401"/>
                                </a:lnTo>
                                <a:lnTo>
                                  <a:pt x="1885" y="407"/>
                                </a:lnTo>
                                <a:lnTo>
                                  <a:pt x="1902" y="412"/>
                                </a:lnTo>
                                <a:lnTo>
                                  <a:pt x="1918" y="415"/>
                                </a:lnTo>
                                <a:lnTo>
                                  <a:pt x="1936" y="416"/>
                                </a:lnTo>
                                <a:lnTo>
                                  <a:pt x="1951" y="415"/>
                                </a:lnTo>
                                <a:lnTo>
                                  <a:pt x="1966" y="413"/>
                                </a:lnTo>
                                <a:lnTo>
                                  <a:pt x="1983" y="408"/>
                                </a:lnTo>
                                <a:lnTo>
                                  <a:pt x="2008" y="401"/>
                                </a:lnTo>
                                <a:lnTo>
                                  <a:pt x="2008" y="306"/>
                                </a:lnTo>
                                <a:lnTo>
                                  <a:pt x="1999" y="314"/>
                                </a:lnTo>
                                <a:lnTo>
                                  <a:pt x="1992" y="320"/>
                                </a:lnTo>
                                <a:lnTo>
                                  <a:pt x="1983" y="326"/>
                                </a:lnTo>
                                <a:lnTo>
                                  <a:pt x="1976" y="330"/>
                                </a:lnTo>
                                <a:lnTo>
                                  <a:pt x="1967" y="334"/>
                                </a:lnTo>
                                <a:lnTo>
                                  <a:pt x="1957" y="336"/>
                                </a:lnTo>
                                <a:lnTo>
                                  <a:pt x="1948" y="337"/>
                                </a:lnTo>
                                <a:lnTo>
                                  <a:pt x="1938" y="337"/>
                                </a:lnTo>
                                <a:lnTo>
                                  <a:pt x="1931" y="337"/>
                                </a:lnTo>
                                <a:lnTo>
                                  <a:pt x="1923" y="336"/>
                                </a:lnTo>
                                <a:lnTo>
                                  <a:pt x="1916" y="335"/>
                                </a:lnTo>
                                <a:lnTo>
                                  <a:pt x="1908" y="332"/>
                                </a:lnTo>
                                <a:lnTo>
                                  <a:pt x="1902" y="330"/>
                                </a:lnTo>
                                <a:lnTo>
                                  <a:pt x="1896" y="326"/>
                                </a:lnTo>
                                <a:lnTo>
                                  <a:pt x="1889" y="322"/>
                                </a:lnTo>
                                <a:lnTo>
                                  <a:pt x="1884" y="317"/>
                                </a:lnTo>
                                <a:lnTo>
                                  <a:pt x="1876" y="311"/>
                                </a:lnTo>
                                <a:lnTo>
                                  <a:pt x="1871" y="305"/>
                                </a:lnTo>
                                <a:lnTo>
                                  <a:pt x="1866" y="299"/>
                                </a:lnTo>
                                <a:lnTo>
                                  <a:pt x="1862" y="291"/>
                                </a:lnTo>
                                <a:lnTo>
                                  <a:pt x="1860" y="283"/>
                                </a:lnTo>
                                <a:lnTo>
                                  <a:pt x="1857" y="274"/>
                                </a:lnTo>
                                <a:lnTo>
                                  <a:pt x="1856" y="265"/>
                                </a:lnTo>
                                <a:lnTo>
                                  <a:pt x="1856" y="255"/>
                                </a:lnTo>
                                <a:lnTo>
                                  <a:pt x="1856" y="246"/>
                                </a:lnTo>
                                <a:lnTo>
                                  <a:pt x="1857" y="238"/>
                                </a:lnTo>
                                <a:lnTo>
                                  <a:pt x="1860" y="229"/>
                                </a:lnTo>
                                <a:lnTo>
                                  <a:pt x="1862" y="221"/>
                                </a:lnTo>
                                <a:lnTo>
                                  <a:pt x="1865" y="214"/>
                                </a:lnTo>
                                <a:lnTo>
                                  <a:pt x="1870" y="207"/>
                                </a:lnTo>
                                <a:lnTo>
                                  <a:pt x="1874" y="200"/>
                                </a:lnTo>
                                <a:lnTo>
                                  <a:pt x="1879" y="194"/>
                                </a:lnTo>
                                <a:lnTo>
                                  <a:pt x="1885" y="189"/>
                                </a:lnTo>
                                <a:lnTo>
                                  <a:pt x="1891" y="184"/>
                                </a:lnTo>
                                <a:lnTo>
                                  <a:pt x="1898" y="180"/>
                                </a:lnTo>
                                <a:lnTo>
                                  <a:pt x="1905" y="177"/>
                                </a:lnTo>
                                <a:lnTo>
                                  <a:pt x="1913" y="174"/>
                                </a:lnTo>
                                <a:lnTo>
                                  <a:pt x="1921" y="172"/>
                                </a:lnTo>
                                <a:lnTo>
                                  <a:pt x="1930" y="170"/>
                                </a:lnTo>
                                <a:lnTo>
                                  <a:pt x="1938" y="170"/>
                                </a:lnTo>
                                <a:lnTo>
                                  <a:pt x="1948" y="170"/>
                                </a:lnTo>
                                <a:lnTo>
                                  <a:pt x="1958" y="173"/>
                                </a:lnTo>
                                <a:lnTo>
                                  <a:pt x="1967" y="175"/>
                                </a:lnTo>
                                <a:lnTo>
                                  <a:pt x="1977" y="179"/>
                                </a:lnTo>
                                <a:lnTo>
                                  <a:pt x="1984" y="184"/>
                                </a:lnTo>
                                <a:lnTo>
                                  <a:pt x="1993" y="189"/>
                                </a:lnTo>
                                <a:lnTo>
                                  <a:pt x="2001" y="197"/>
                                </a:lnTo>
                                <a:lnTo>
                                  <a:pt x="2008" y="204"/>
                                </a:lnTo>
                                <a:lnTo>
                                  <a:pt x="2008" y="108"/>
                                </a:lnTo>
                                <a:close/>
                                <a:moveTo>
                                  <a:pt x="1727" y="99"/>
                                </a:moveTo>
                                <a:lnTo>
                                  <a:pt x="1647" y="99"/>
                                </a:lnTo>
                                <a:lnTo>
                                  <a:pt x="1647" y="407"/>
                                </a:lnTo>
                                <a:lnTo>
                                  <a:pt x="1727" y="407"/>
                                </a:lnTo>
                                <a:lnTo>
                                  <a:pt x="1727" y="99"/>
                                </a:lnTo>
                                <a:close/>
                                <a:moveTo>
                                  <a:pt x="1538" y="167"/>
                                </a:moveTo>
                                <a:lnTo>
                                  <a:pt x="1604" y="167"/>
                                </a:lnTo>
                                <a:lnTo>
                                  <a:pt x="1604" y="99"/>
                                </a:lnTo>
                                <a:lnTo>
                                  <a:pt x="1394" y="99"/>
                                </a:lnTo>
                                <a:lnTo>
                                  <a:pt x="1394" y="167"/>
                                </a:lnTo>
                                <a:lnTo>
                                  <a:pt x="1459" y="167"/>
                                </a:lnTo>
                                <a:lnTo>
                                  <a:pt x="1459" y="407"/>
                                </a:lnTo>
                                <a:lnTo>
                                  <a:pt x="1538" y="407"/>
                                </a:lnTo>
                                <a:lnTo>
                                  <a:pt x="1538" y="167"/>
                                </a:lnTo>
                                <a:close/>
                                <a:moveTo>
                                  <a:pt x="1360" y="117"/>
                                </a:moveTo>
                                <a:lnTo>
                                  <a:pt x="1349" y="111"/>
                                </a:lnTo>
                                <a:lnTo>
                                  <a:pt x="1337" y="106"/>
                                </a:lnTo>
                                <a:lnTo>
                                  <a:pt x="1324" y="102"/>
                                </a:lnTo>
                                <a:lnTo>
                                  <a:pt x="1313" y="98"/>
                                </a:lnTo>
                                <a:lnTo>
                                  <a:pt x="1300" y="96"/>
                                </a:lnTo>
                                <a:lnTo>
                                  <a:pt x="1288" y="93"/>
                                </a:lnTo>
                                <a:lnTo>
                                  <a:pt x="1276" y="92"/>
                                </a:lnTo>
                                <a:lnTo>
                                  <a:pt x="1263" y="92"/>
                                </a:lnTo>
                                <a:lnTo>
                                  <a:pt x="1252" y="92"/>
                                </a:lnTo>
                                <a:lnTo>
                                  <a:pt x="1241" y="94"/>
                                </a:lnTo>
                                <a:lnTo>
                                  <a:pt x="1231" y="96"/>
                                </a:lnTo>
                                <a:lnTo>
                                  <a:pt x="1221" y="99"/>
                                </a:lnTo>
                                <a:lnTo>
                                  <a:pt x="1211" y="103"/>
                                </a:lnTo>
                                <a:lnTo>
                                  <a:pt x="1203" y="108"/>
                                </a:lnTo>
                                <a:lnTo>
                                  <a:pt x="1195" y="114"/>
                                </a:lnTo>
                                <a:lnTo>
                                  <a:pt x="1187" y="121"/>
                                </a:lnTo>
                                <a:lnTo>
                                  <a:pt x="1181" y="128"/>
                                </a:lnTo>
                                <a:lnTo>
                                  <a:pt x="1175" y="136"/>
                                </a:lnTo>
                                <a:lnTo>
                                  <a:pt x="1170" y="144"/>
                                </a:lnTo>
                                <a:lnTo>
                                  <a:pt x="1166" y="153"/>
                                </a:lnTo>
                                <a:lnTo>
                                  <a:pt x="1162" y="163"/>
                                </a:lnTo>
                                <a:lnTo>
                                  <a:pt x="1161" y="174"/>
                                </a:lnTo>
                                <a:lnTo>
                                  <a:pt x="1158" y="184"/>
                                </a:lnTo>
                                <a:lnTo>
                                  <a:pt x="1158" y="195"/>
                                </a:lnTo>
                                <a:lnTo>
                                  <a:pt x="1158" y="205"/>
                                </a:lnTo>
                                <a:lnTo>
                                  <a:pt x="1160" y="215"/>
                                </a:lnTo>
                                <a:lnTo>
                                  <a:pt x="1162" y="224"/>
                                </a:lnTo>
                                <a:lnTo>
                                  <a:pt x="1165" y="231"/>
                                </a:lnTo>
                                <a:lnTo>
                                  <a:pt x="1168" y="239"/>
                                </a:lnTo>
                                <a:lnTo>
                                  <a:pt x="1172" y="245"/>
                                </a:lnTo>
                                <a:lnTo>
                                  <a:pt x="1177" y="251"/>
                                </a:lnTo>
                                <a:lnTo>
                                  <a:pt x="1183" y="256"/>
                                </a:lnTo>
                                <a:lnTo>
                                  <a:pt x="1192" y="263"/>
                                </a:lnTo>
                                <a:lnTo>
                                  <a:pt x="1203" y="269"/>
                                </a:lnTo>
                                <a:lnTo>
                                  <a:pt x="1219" y="275"/>
                                </a:lnTo>
                                <a:lnTo>
                                  <a:pt x="1242" y="281"/>
                                </a:lnTo>
                                <a:lnTo>
                                  <a:pt x="1254" y="286"/>
                                </a:lnTo>
                                <a:lnTo>
                                  <a:pt x="1264" y="290"/>
                                </a:lnTo>
                                <a:lnTo>
                                  <a:pt x="1273" y="294"/>
                                </a:lnTo>
                                <a:lnTo>
                                  <a:pt x="1279" y="297"/>
                                </a:lnTo>
                                <a:lnTo>
                                  <a:pt x="1284" y="301"/>
                                </a:lnTo>
                                <a:lnTo>
                                  <a:pt x="1287" y="306"/>
                                </a:lnTo>
                                <a:lnTo>
                                  <a:pt x="1289" y="311"/>
                                </a:lnTo>
                                <a:lnTo>
                                  <a:pt x="1289" y="317"/>
                                </a:lnTo>
                                <a:lnTo>
                                  <a:pt x="1289" y="324"/>
                                </a:lnTo>
                                <a:lnTo>
                                  <a:pt x="1287" y="330"/>
                                </a:lnTo>
                                <a:lnTo>
                                  <a:pt x="1283" y="335"/>
                                </a:lnTo>
                                <a:lnTo>
                                  <a:pt x="1279" y="339"/>
                                </a:lnTo>
                                <a:lnTo>
                                  <a:pt x="1273" y="342"/>
                                </a:lnTo>
                                <a:lnTo>
                                  <a:pt x="1267" y="345"/>
                                </a:lnTo>
                                <a:lnTo>
                                  <a:pt x="1259" y="346"/>
                                </a:lnTo>
                                <a:lnTo>
                                  <a:pt x="1251" y="347"/>
                                </a:lnTo>
                                <a:lnTo>
                                  <a:pt x="1242" y="347"/>
                                </a:lnTo>
                                <a:lnTo>
                                  <a:pt x="1233" y="345"/>
                                </a:lnTo>
                                <a:lnTo>
                                  <a:pt x="1224" y="344"/>
                                </a:lnTo>
                                <a:lnTo>
                                  <a:pt x="1216" y="340"/>
                                </a:lnTo>
                                <a:lnTo>
                                  <a:pt x="1207" y="335"/>
                                </a:lnTo>
                                <a:lnTo>
                                  <a:pt x="1198" y="330"/>
                                </a:lnTo>
                                <a:lnTo>
                                  <a:pt x="1190" y="324"/>
                                </a:lnTo>
                                <a:lnTo>
                                  <a:pt x="1180" y="316"/>
                                </a:lnTo>
                                <a:lnTo>
                                  <a:pt x="1146" y="381"/>
                                </a:lnTo>
                                <a:lnTo>
                                  <a:pt x="1158" y="388"/>
                                </a:lnTo>
                                <a:lnTo>
                                  <a:pt x="1171" y="396"/>
                                </a:lnTo>
                                <a:lnTo>
                                  <a:pt x="1185" y="401"/>
                                </a:lnTo>
                                <a:lnTo>
                                  <a:pt x="1198" y="406"/>
                                </a:lnTo>
                                <a:lnTo>
                                  <a:pt x="1212" y="410"/>
                                </a:lnTo>
                                <a:lnTo>
                                  <a:pt x="1226" y="413"/>
                                </a:lnTo>
                                <a:lnTo>
                                  <a:pt x="1239" y="415"/>
                                </a:lnTo>
                                <a:lnTo>
                                  <a:pt x="1253" y="415"/>
                                </a:lnTo>
                                <a:lnTo>
                                  <a:pt x="1266" y="415"/>
                                </a:lnTo>
                                <a:lnTo>
                                  <a:pt x="1278" y="413"/>
                                </a:lnTo>
                                <a:lnTo>
                                  <a:pt x="1290" y="411"/>
                                </a:lnTo>
                                <a:lnTo>
                                  <a:pt x="1302" y="407"/>
                                </a:lnTo>
                                <a:lnTo>
                                  <a:pt x="1313" y="403"/>
                                </a:lnTo>
                                <a:lnTo>
                                  <a:pt x="1323" y="398"/>
                                </a:lnTo>
                                <a:lnTo>
                                  <a:pt x="1333" y="392"/>
                                </a:lnTo>
                                <a:lnTo>
                                  <a:pt x="1342" y="386"/>
                                </a:lnTo>
                                <a:lnTo>
                                  <a:pt x="1349" y="378"/>
                                </a:lnTo>
                                <a:lnTo>
                                  <a:pt x="1355" y="371"/>
                                </a:lnTo>
                                <a:lnTo>
                                  <a:pt x="1360" y="362"/>
                                </a:lnTo>
                                <a:lnTo>
                                  <a:pt x="1365" y="352"/>
                                </a:lnTo>
                                <a:lnTo>
                                  <a:pt x="1369" y="342"/>
                                </a:lnTo>
                                <a:lnTo>
                                  <a:pt x="1371" y="331"/>
                                </a:lnTo>
                                <a:lnTo>
                                  <a:pt x="1373" y="319"/>
                                </a:lnTo>
                                <a:lnTo>
                                  <a:pt x="1373" y="306"/>
                                </a:lnTo>
                                <a:lnTo>
                                  <a:pt x="1371" y="290"/>
                                </a:lnTo>
                                <a:lnTo>
                                  <a:pt x="1369" y="275"/>
                                </a:lnTo>
                                <a:lnTo>
                                  <a:pt x="1366" y="269"/>
                                </a:lnTo>
                                <a:lnTo>
                                  <a:pt x="1363" y="263"/>
                                </a:lnTo>
                                <a:lnTo>
                                  <a:pt x="1359" y="258"/>
                                </a:lnTo>
                                <a:lnTo>
                                  <a:pt x="1355" y="251"/>
                                </a:lnTo>
                                <a:lnTo>
                                  <a:pt x="1350" y="246"/>
                                </a:lnTo>
                                <a:lnTo>
                                  <a:pt x="1345" y="241"/>
                                </a:lnTo>
                                <a:lnTo>
                                  <a:pt x="1339" y="238"/>
                                </a:lnTo>
                                <a:lnTo>
                                  <a:pt x="1332" y="234"/>
                                </a:lnTo>
                                <a:lnTo>
                                  <a:pt x="1315" y="226"/>
                                </a:lnTo>
                                <a:lnTo>
                                  <a:pt x="1298" y="220"/>
                                </a:lnTo>
                                <a:lnTo>
                                  <a:pt x="1276" y="213"/>
                                </a:lnTo>
                                <a:lnTo>
                                  <a:pt x="1263" y="209"/>
                                </a:lnTo>
                                <a:lnTo>
                                  <a:pt x="1256" y="205"/>
                                </a:lnTo>
                                <a:lnTo>
                                  <a:pt x="1249" y="200"/>
                                </a:lnTo>
                                <a:lnTo>
                                  <a:pt x="1247" y="198"/>
                                </a:lnTo>
                                <a:lnTo>
                                  <a:pt x="1244" y="194"/>
                                </a:lnTo>
                                <a:lnTo>
                                  <a:pt x="1242" y="189"/>
                                </a:lnTo>
                                <a:lnTo>
                                  <a:pt x="1242" y="185"/>
                                </a:lnTo>
                                <a:lnTo>
                                  <a:pt x="1243" y="179"/>
                                </a:lnTo>
                                <a:lnTo>
                                  <a:pt x="1244" y="174"/>
                                </a:lnTo>
                                <a:lnTo>
                                  <a:pt x="1248" y="170"/>
                                </a:lnTo>
                                <a:lnTo>
                                  <a:pt x="1252" y="167"/>
                                </a:lnTo>
                                <a:lnTo>
                                  <a:pt x="1257" y="163"/>
                                </a:lnTo>
                                <a:lnTo>
                                  <a:pt x="1263" y="160"/>
                                </a:lnTo>
                                <a:lnTo>
                                  <a:pt x="1269" y="159"/>
                                </a:lnTo>
                                <a:lnTo>
                                  <a:pt x="1277" y="158"/>
                                </a:lnTo>
                                <a:lnTo>
                                  <a:pt x="1283" y="159"/>
                                </a:lnTo>
                                <a:lnTo>
                                  <a:pt x="1289" y="159"/>
                                </a:lnTo>
                                <a:lnTo>
                                  <a:pt x="1297" y="162"/>
                                </a:lnTo>
                                <a:lnTo>
                                  <a:pt x="1303" y="163"/>
                                </a:lnTo>
                                <a:lnTo>
                                  <a:pt x="1315" y="170"/>
                                </a:lnTo>
                                <a:lnTo>
                                  <a:pt x="1329" y="179"/>
                                </a:lnTo>
                                <a:lnTo>
                                  <a:pt x="1360" y="117"/>
                                </a:lnTo>
                                <a:close/>
                                <a:moveTo>
                                  <a:pt x="1091" y="99"/>
                                </a:moveTo>
                                <a:lnTo>
                                  <a:pt x="1011" y="99"/>
                                </a:lnTo>
                                <a:lnTo>
                                  <a:pt x="1011" y="407"/>
                                </a:lnTo>
                                <a:lnTo>
                                  <a:pt x="1091" y="407"/>
                                </a:lnTo>
                                <a:lnTo>
                                  <a:pt x="1091" y="99"/>
                                </a:lnTo>
                                <a:close/>
                                <a:moveTo>
                                  <a:pt x="904" y="167"/>
                                </a:moveTo>
                                <a:lnTo>
                                  <a:pt x="970" y="167"/>
                                </a:lnTo>
                                <a:lnTo>
                                  <a:pt x="970" y="99"/>
                                </a:lnTo>
                                <a:lnTo>
                                  <a:pt x="758" y="99"/>
                                </a:lnTo>
                                <a:lnTo>
                                  <a:pt x="758" y="167"/>
                                </a:lnTo>
                                <a:lnTo>
                                  <a:pt x="825" y="167"/>
                                </a:lnTo>
                                <a:lnTo>
                                  <a:pt x="825" y="407"/>
                                </a:lnTo>
                                <a:lnTo>
                                  <a:pt x="904" y="407"/>
                                </a:lnTo>
                                <a:lnTo>
                                  <a:pt x="904" y="167"/>
                                </a:lnTo>
                                <a:close/>
                                <a:moveTo>
                                  <a:pt x="644" y="292"/>
                                </a:moveTo>
                                <a:lnTo>
                                  <a:pt x="578" y="292"/>
                                </a:lnTo>
                                <a:lnTo>
                                  <a:pt x="611" y="194"/>
                                </a:lnTo>
                                <a:lnTo>
                                  <a:pt x="644" y="292"/>
                                </a:lnTo>
                                <a:close/>
                                <a:moveTo>
                                  <a:pt x="666" y="354"/>
                                </a:moveTo>
                                <a:lnTo>
                                  <a:pt x="686" y="407"/>
                                </a:lnTo>
                                <a:lnTo>
                                  <a:pt x="771" y="407"/>
                                </a:lnTo>
                                <a:lnTo>
                                  <a:pt x="655" y="99"/>
                                </a:lnTo>
                                <a:lnTo>
                                  <a:pt x="568" y="99"/>
                                </a:lnTo>
                                <a:lnTo>
                                  <a:pt x="450" y="407"/>
                                </a:lnTo>
                                <a:lnTo>
                                  <a:pt x="534" y="407"/>
                                </a:lnTo>
                                <a:lnTo>
                                  <a:pt x="555" y="354"/>
                                </a:lnTo>
                                <a:lnTo>
                                  <a:pt x="666" y="354"/>
                                </a:lnTo>
                                <a:close/>
                                <a:moveTo>
                                  <a:pt x="395" y="167"/>
                                </a:moveTo>
                                <a:lnTo>
                                  <a:pt x="461" y="167"/>
                                </a:lnTo>
                                <a:lnTo>
                                  <a:pt x="461" y="99"/>
                                </a:lnTo>
                                <a:lnTo>
                                  <a:pt x="249" y="99"/>
                                </a:lnTo>
                                <a:lnTo>
                                  <a:pt x="249" y="167"/>
                                </a:lnTo>
                                <a:lnTo>
                                  <a:pt x="315" y="167"/>
                                </a:lnTo>
                                <a:lnTo>
                                  <a:pt x="315" y="407"/>
                                </a:lnTo>
                                <a:lnTo>
                                  <a:pt x="395" y="407"/>
                                </a:lnTo>
                                <a:lnTo>
                                  <a:pt x="395" y="167"/>
                                </a:lnTo>
                                <a:close/>
                                <a:moveTo>
                                  <a:pt x="214" y="117"/>
                                </a:moveTo>
                                <a:lnTo>
                                  <a:pt x="203" y="111"/>
                                </a:lnTo>
                                <a:lnTo>
                                  <a:pt x="190" y="106"/>
                                </a:lnTo>
                                <a:lnTo>
                                  <a:pt x="178" y="102"/>
                                </a:lnTo>
                                <a:lnTo>
                                  <a:pt x="167" y="98"/>
                                </a:lnTo>
                                <a:lnTo>
                                  <a:pt x="154" y="96"/>
                                </a:lnTo>
                                <a:lnTo>
                                  <a:pt x="142" y="93"/>
                                </a:lnTo>
                                <a:lnTo>
                                  <a:pt x="129" y="92"/>
                                </a:lnTo>
                                <a:lnTo>
                                  <a:pt x="117" y="92"/>
                                </a:lnTo>
                                <a:lnTo>
                                  <a:pt x="106" y="92"/>
                                </a:lnTo>
                                <a:lnTo>
                                  <a:pt x="94" y="94"/>
                                </a:lnTo>
                                <a:lnTo>
                                  <a:pt x="84" y="96"/>
                                </a:lnTo>
                                <a:lnTo>
                                  <a:pt x="75" y="99"/>
                                </a:lnTo>
                                <a:lnTo>
                                  <a:pt x="65" y="103"/>
                                </a:lnTo>
                                <a:lnTo>
                                  <a:pt x="56" y="108"/>
                                </a:lnTo>
                                <a:lnTo>
                                  <a:pt x="48" y="114"/>
                                </a:lnTo>
                                <a:lnTo>
                                  <a:pt x="41" y="121"/>
                                </a:lnTo>
                                <a:lnTo>
                                  <a:pt x="35" y="128"/>
                                </a:lnTo>
                                <a:lnTo>
                                  <a:pt x="28" y="136"/>
                                </a:lnTo>
                                <a:lnTo>
                                  <a:pt x="23" y="144"/>
                                </a:lnTo>
                                <a:lnTo>
                                  <a:pt x="20" y="153"/>
                                </a:lnTo>
                                <a:lnTo>
                                  <a:pt x="16" y="163"/>
                                </a:lnTo>
                                <a:lnTo>
                                  <a:pt x="15" y="174"/>
                                </a:lnTo>
                                <a:lnTo>
                                  <a:pt x="12" y="184"/>
                                </a:lnTo>
                                <a:lnTo>
                                  <a:pt x="12" y="195"/>
                                </a:lnTo>
                                <a:lnTo>
                                  <a:pt x="12" y="205"/>
                                </a:lnTo>
                                <a:lnTo>
                                  <a:pt x="13" y="215"/>
                                </a:lnTo>
                                <a:lnTo>
                                  <a:pt x="16" y="224"/>
                                </a:lnTo>
                                <a:lnTo>
                                  <a:pt x="18" y="231"/>
                                </a:lnTo>
                                <a:lnTo>
                                  <a:pt x="22" y="239"/>
                                </a:lnTo>
                                <a:lnTo>
                                  <a:pt x="26" y="245"/>
                                </a:lnTo>
                                <a:lnTo>
                                  <a:pt x="31" y="251"/>
                                </a:lnTo>
                                <a:lnTo>
                                  <a:pt x="37" y="256"/>
                                </a:lnTo>
                                <a:lnTo>
                                  <a:pt x="46" y="263"/>
                                </a:lnTo>
                                <a:lnTo>
                                  <a:pt x="57" y="269"/>
                                </a:lnTo>
                                <a:lnTo>
                                  <a:pt x="73" y="275"/>
                                </a:lnTo>
                                <a:lnTo>
                                  <a:pt x="96" y="281"/>
                                </a:lnTo>
                                <a:lnTo>
                                  <a:pt x="108" y="286"/>
                                </a:lnTo>
                                <a:lnTo>
                                  <a:pt x="118" y="290"/>
                                </a:lnTo>
                                <a:lnTo>
                                  <a:pt x="127" y="294"/>
                                </a:lnTo>
                                <a:lnTo>
                                  <a:pt x="133" y="297"/>
                                </a:lnTo>
                                <a:lnTo>
                                  <a:pt x="138" y="301"/>
                                </a:lnTo>
                                <a:lnTo>
                                  <a:pt x="141" y="306"/>
                                </a:lnTo>
                                <a:lnTo>
                                  <a:pt x="143" y="311"/>
                                </a:lnTo>
                                <a:lnTo>
                                  <a:pt x="143" y="317"/>
                                </a:lnTo>
                                <a:lnTo>
                                  <a:pt x="143" y="324"/>
                                </a:lnTo>
                                <a:lnTo>
                                  <a:pt x="141" y="330"/>
                                </a:lnTo>
                                <a:lnTo>
                                  <a:pt x="137" y="335"/>
                                </a:lnTo>
                                <a:lnTo>
                                  <a:pt x="133" y="339"/>
                                </a:lnTo>
                                <a:lnTo>
                                  <a:pt x="127" y="342"/>
                                </a:lnTo>
                                <a:lnTo>
                                  <a:pt x="121" y="345"/>
                                </a:lnTo>
                                <a:lnTo>
                                  <a:pt x="113" y="346"/>
                                </a:lnTo>
                                <a:lnTo>
                                  <a:pt x="104" y="347"/>
                                </a:lnTo>
                                <a:lnTo>
                                  <a:pt x="96" y="347"/>
                                </a:lnTo>
                                <a:lnTo>
                                  <a:pt x="87" y="345"/>
                                </a:lnTo>
                                <a:lnTo>
                                  <a:pt x="78" y="344"/>
                                </a:lnTo>
                                <a:lnTo>
                                  <a:pt x="70" y="340"/>
                                </a:lnTo>
                                <a:lnTo>
                                  <a:pt x="61" y="335"/>
                                </a:lnTo>
                                <a:lnTo>
                                  <a:pt x="52" y="330"/>
                                </a:lnTo>
                                <a:lnTo>
                                  <a:pt x="43" y="324"/>
                                </a:lnTo>
                                <a:lnTo>
                                  <a:pt x="33" y="316"/>
                                </a:lnTo>
                                <a:lnTo>
                                  <a:pt x="0" y="381"/>
                                </a:lnTo>
                                <a:lnTo>
                                  <a:pt x="12" y="388"/>
                                </a:lnTo>
                                <a:lnTo>
                                  <a:pt x="25" y="396"/>
                                </a:lnTo>
                                <a:lnTo>
                                  <a:pt x="38" y="401"/>
                                </a:lnTo>
                                <a:lnTo>
                                  <a:pt x="52" y="406"/>
                                </a:lnTo>
                                <a:lnTo>
                                  <a:pt x="66" y="410"/>
                                </a:lnTo>
                                <a:lnTo>
                                  <a:pt x="79" y="413"/>
                                </a:lnTo>
                                <a:lnTo>
                                  <a:pt x="93" y="415"/>
                                </a:lnTo>
                                <a:lnTo>
                                  <a:pt x="107" y="415"/>
                                </a:lnTo>
                                <a:lnTo>
                                  <a:pt x="119" y="415"/>
                                </a:lnTo>
                                <a:lnTo>
                                  <a:pt x="132" y="413"/>
                                </a:lnTo>
                                <a:lnTo>
                                  <a:pt x="144" y="411"/>
                                </a:lnTo>
                                <a:lnTo>
                                  <a:pt x="155" y="407"/>
                                </a:lnTo>
                                <a:lnTo>
                                  <a:pt x="167" y="403"/>
                                </a:lnTo>
                                <a:lnTo>
                                  <a:pt x="177" y="398"/>
                                </a:lnTo>
                                <a:lnTo>
                                  <a:pt x="187" y="392"/>
                                </a:lnTo>
                                <a:lnTo>
                                  <a:pt x="195" y="386"/>
                                </a:lnTo>
                                <a:lnTo>
                                  <a:pt x="203" y="378"/>
                                </a:lnTo>
                                <a:lnTo>
                                  <a:pt x="209" y="371"/>
                                </a:lnTo>
                                <a:lnTo>
                                  <a:pt x="214" y="362"/>
                                </a:lnTo>
                                <a:lnTo>
                                  <a:pt x="219" y="352"/>
                                </a:lnTo>
                                <a:lnTo>
                                  <a:pt x="223" y="342"/>
                                </a:lnTo>
                                <a:lnTo>
                                  <a:pt x="225" y="331"/>
                                </a:lnTo>
                                <a:lnTo>
                                  <a:pt x="227" y="319"/>
                                </a:lnTo>
                                <a:lnTo>
                                  <a:pt x="227" y="306"/>
                                </a:lnTo>
                                <a:lnTo>
                                  <a:pt x="225" y="290"/>
                                </a:lnTo>
                                <a:lnTo>
                                  <a:pt x="223" y="275"/>
                                </a:lnTo>
                                <a:lnTo>
                                  <a:pt x="220" y="269"/>
                                </a:lnTo>
                                <a:lnTo>
                                  <a:pt x="217" y="263"/>
                                </a:lnTo>
                                <a:lnTo>
                                  <a:pt x="213" y="258"/>
                                </a:lnTo>
                                <a:lnTo>
                                  <a:pt x="209" y="251"/>
                                </a:lnTo>
                                <a:lnTo>
                                  <a:pt x="204" y="246"/>
                                </a:lnTo>
                                <a:lnTo>
                                  <a:pt x="199" y="241"/>
                                </a:lnTo>
                                <a:lnTo>
                                  <a:pt x="193" y="238"/>
                                </a:lnTo>
                                <a:lnTo>
                                  <a:pt x="185" y="234"/>
                                </a:lnTo>
                                <a:lnTo>
                                  <a:pt x="169" y="226"/>
                                </a:lnTo>
                                <a:lnTo>
                                  <a:pt x="151" y="220"/>
                                </a:lnTo>
                                <a:lnTo>
                                  <a:pt x="129" y="213"/>
                                </a:lnTo>
                                <a:lnTo>
                                  <a:pt x="117" y="209"/>
                                </a:lnTo>
                                <a:lnTo>
                                  <a:pt x="109" y="205"/>
                                </a:lnTo>
                                <a:lnTo>
                                  <a:pt x="103" y="200"/>
                                </a:lnTo>
                                <a:lnTo>
                                  <a:pt x="99" y="198"/>
                                </a:lnTo>
                                <a:lnTo>
                                  <a:pt x="98" y="194"/>
                                </a:lnTo>
                                <a:lnTo>
                                  <a:pt x="96" y="189"/>
                                </a:lnTo>
                                <a:lnTo>
                                  <a:pt x="96" y="185"/>
                                </a:lnTo>
                                <a:lnTo>
                                  <a:pt x="97" y="179"/>
                                </a:lnTo>
                                <a:lnTo>
                                  <a:pt x="98" y="174"/>
                                </a:lnTo>
                                <a:lnTo>
                                  <a:pt x="102" y="170"/>
                                </a:lnTo>
                                <a:lnTo>
                                  <a:pt x="106" y="167"/>
                                </a:lnTo>
                                <a:lnTo>
                                  <a:pt x="111" y="163"/>
                                </a:lnTo>
                                <a:lnTo>
                                  <a:pt x="117" y="160"/>
                                </a:lnTo>
                                <a:lnTo>
                                  <a:pt x="123" y="159"/>
                                </a:lnTo>
                                <a:lnTo>
                                  <a:pt x="129" y="158"/>
                                </a:lnTo>
                                <a:lnTo>
                                  <a:pt x="137" y="159"/>
                                </a:lnTo>
                                <a:lnTo>
                                  <a:pt x="143" y="159"/>
                                </a:lnTo>
                                <a:lnTo>
                                  <a:pt x="151" y="162"/>
                                </a:lnTo>
                                <a:lnTo>
                                  <a:pt x="157" y="163"/>
                                </a:lnTo>
                                <a:lnTo>
                                  <a:pt x="169" y="170"/>
                                </a:lnTo>
                                <a:lnTo>
                                  <a:pt x="183" y="179"/>
                                </a:lnTo>
                                <a:lnTo>
                                  <a:pt x="214" y="117"/>
                                </a:lnTo>
                                <a:close/>
                              </a:path>
                            </a:pathLst>
                          </a:custGeom>
                          <a:solidFill>
                            <a:srgbClr val="BD1B21"/>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ChangeAspect="1" noEditPoints="1"/>
                        </wps:cNvSpPr>
                        <wps:spPr bwMode="auto">
                          <a:xfrm>
                            <a:off x="1962" y="851"/>
                            <a:ext cx="679" cy="208"/>
                          </a:xfrm>
                          <a:custGeom>
                            <a:avLst/>
                            <a:gdLst>
                              <a:gd name="T0" fmla="*/ 641 w 1358"/>
                              <a:gd name="T1" fmla="*/ 18 h 416"/>
                              <a:gd name="T2" fmla="*/ 679 w 1358"/>
                              <a:gd name="T3" fmla="*/ 50 h 416"/>
                              <a:gd name="T4" fmla="*/ 581 w 1358"/>
                              <a:gd name="T5" fmla="*/ 130 h 416"/>
                              <a:gd name="T6" fmla="*/ 432 w 1358"/>
                              <a:gd name="T7" fmla="*/ 204 h 416"/>
                              <a:gd name="T8" fmla="*/ 530 w 1358"/>
                              <a:gd name="T9" fmla="*/ 50 h 416"/>
                              <a:gd name="T10" fmla="*/ 349 w 1358"/>
                              <a:gd name="T11" fmla="*/ 54 h 416"/>
                              <a:gd name="T12" fmla="*/ 318 w 1358"/>
                              <a:gd name="T13" fmla="*/ 46 h 416"/>
                              <a:gd name="T14" fmla="*/ 290 w 1358"/>
                              <a:gd name="T15" fmla="*/ 50 h 416"/>
                              <a:gd name="T16" fmla="*/ 271 w 1358"/>
                              <a:gd name="T17" fmla="*/ 64 h 416"/>
                              <a:gd name="T18" fmla="*/ 261 w 1358"/>
                              <a:gd name="T19" fmla="*/ 87 h 416"/>
                              <a:gd name="T20" fmla="*/ 261 w 1358"/>
                              <a:gd name="T21" fmla="*/ 112 h 416"/>
                              <a:gd name="T22" fmla="*/ 272 w 1358"/>
                              <a:gd name="T23" fmla="*/ 129 h 416"/>
                              <a:gd name="T24" fmla="*/ 307 w 1358"/>
                              <a:gd name="T25" fmla="*/ 144 h 416"/>
                              <a:gd name="T26" fmla="*/ 324 w 1358"/>
                              <a:gd name="T27" fmla="*/ 153 h 416"/>
                              <a:gd name="T28" fmla="*/ 322 w 1358"/>
                              <a:gd name="T29" fmla="*/ 168 h 416"/>
                              <a:gd name="T30" fmla="*/ 306 w 1358"/>
                              <a:gd name="T31" fmla="*/ 174 h 416"/>
                              <a:gd name="T32" fmla="*/ 284 w 1358"/>
                              <a:gd name="T33" fmla="*/ 168 h 416"/>
                              <a:gd name="T34" fmla="*/ 260 w 1358"/>
                              <a:gd name="T35" fmla="*/ 195 h 416"/>
                              <a:gd name="T36" fmla="*/ 293 w 1358"/>
                              <a:gd name="T37" fmla="*/ 207 h 416"/>
                              <a:gd name="T38" fmla="*/ 326 w 1358"/>
                              <a:gd name="T39" fmla="*/ 206 h 416"/>
                              <a:gd name="T40" fmla="*/ 351 w 1358"/>
                              <a:gd name="T41" fmla="*/ 193 h 416"/>
                              <a:gd name="T42" fmla="*/ 365 w 1358"/>
                              <a:gd name="T43" fmla="*/ 172 h 416"/>
                              <a:gd name="T44" fmla="*/ 365 w 1358"/>
                              <a:gd name="T45" fmla="*/ 138 h 416"/>
                              <a:gd name="T46" fmla="*/ 356 w 1358"/>
                              <a:gd name="T47" fmla="*/ 124 h 416"/>
                              <a:gd name="T48" fmla="*/ 329 w 1358"/>
                              <a:gd name="T49" fmla="*/ 111 h 416"/>
                              <a:gd name="T50" fmla="*/ 304 w 1358"/>
                              <a:gd name="T51" fmla="*/ 99 h 416"/>
                              <a:gd name="T52" fmla="*/ 303 w 1358"/>
                              <a:gd name="T53" fmla="*/ 87 h 416"/>
                              <a:gd name="T54" fmla="*/ 315 w 1358"/>
                              <a:gd name="T55" fmla="*/ 80 h 416"/>
                              <a:gd name="T56" fmla="*/ 332 w 1358"/>
                              <a:gd name="T57" fmla="*/ 82 h 416"/>
                              <a:gd name="T58" fmla="*/ 232 w 1358"/>
                              <a:gd name="T59" fmla="*/ 50 h 416"/>
                              <a:gd name="T60" fmla="*/ 185 w 1358"/>
                              <a:gd name="T61" fmla="*/ 170 h 416"/>
                              <a:gd name="T62" fmla="*/ 185 w 1358"/>
                              <a:gd name="T63" fmla="*/ 84 h 416"/>
                              <a:gd name="T64" fmla="*/ 105 w 1358"/>
                              <a:gd name="T65" fmla="*/ 1 h 416"/>
                              <a:gd name="T66" fmla="*/ 108 w 1358"/>
                              <a:gd name="T67" fmla="*/ 51 h 416"/>
                              <a:gd name="T68" fmla="*/ 65 w 1358"/>
                              <a:gd name="T69" fmla="*/ 48 h 416"/>
                              <a:gd name="T70" fmla="*/ 29 w 1358"/>
                              <a:gd name="T71" fmla="*/ 65 h 416"/>
                              <a:gd name="T72" fmla="*/ 6 w 1358"/>
                              <a:gd name="T73" fmla="*/ 96 h 416"/>
                              <a:gd name="T74" fmla="*/ 0 w 1358"/>
                              <a:gd name="T75" fmla="*/ 136 h 416"/>
                              <a:gd name="T76" fmla="*/ 11 w 1358"/>
                              <a:gd name="T77" fmla="*/ 170 h 416"/>
                              <a:gd name="T78" fmla="*/ 41 w 1358"/>
                              <a:gd name="T79" fmla="*/ 197 h 416"/>
                              <a:gd name="T80" fmla="*/ 82 w 1358"/>
                              <a:gd name="T81" fmla="*/ 208 h 416"/>
                              <a:gd name="T82" fmla="*/ 118 w 1358"/>
                              <a:gd name="T83" fmla="*/ 153 h 416"/>
                              <a:gd name="T84" fmla="*/ 97 w 1358"/>
                              <a:gd name="T85" fmla="*/ 167 h 416"/>
                              <a:gd name="T86" fmla="*/ 76 w 1358"/>
                              <a:gd name="T87" fmla="*/ 168 h 416"/>
                              <a:gd name="T88" fmla="*/ 59 w 1358"/>
                              <a:gd name="T89" fmla="*/ 162 h 416"/>
                              <a:gd name="T90" fmla="*/ 45 w 1358"/>
                              <a:gd name="T91" fmla="*/ 146 h 416"/>
                              <a:gd name="T92" fmla="*/ 42 w 1358"/>
                              <a:gd name="T93" fmla="*/ 124 h 416"/>
                              <a:gd name="T94" fmla="*/ 49 w 1358"/>
                              <a:gd name="T95" fmla="*/ 104 h 416"/>
                              <a:gd name="T96" fmla="*/ 63 w 1358"/>
                              <a:gd name="T97" fmla="*/ 91 h 416"/>
                              <a:gd name="T98" fmla="*/ 83 w 1358"/>
                              <a:gd name="T99" fmla="*/ 86 h 416"/>
                              <a:gd name="T100" fmla="*/ 107 w 1358"/>
                              <a:gd name="T101" fmla="*/ 92 h 41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1358" h="416">
                                <a:moveTo>
                                  <a:pt x="1282" y="36"/>
                                </a:moveTo>
                                <a:lnTo>
                                  <a:pt x="1243" y="0"/>
                                </a:lnTo>
                                <a:lnTo>
                                  <a:pt x="1178" y="56"/>
                                </a:lnTo>
                                <a:lnTo>
                                  <a:pt x="1205" y="85"/>
                                </a:lnTo>
                                <a:lnTo>
                                  <a:pt x="1282" y="36"/>
                                </a:lnTo>
                                <a:close/>
                                <a:moveTo>
                                  <a:pt x="1162" y="260"/>
                                </a:moveTo>
                                <a:lnTo>
                                  <a:pt x="1162" y="407"/>
                                </a:lnTo>
                                <a:lnTo>
                                  <a:pt x="1242" y="407"/>
                                </a:lnTo>
                                <a:lnTo>
                                  <a:pt x="1242" y="260"/>
                                </a:lnTo>
                                <a:lnTo>
                                  <a:pt x="1358" y="100"/>
                                </a:lnTo>
                                <a:lnTo>
                                  <a:pt x="1261" y="100"/>
                                </a:lnTo>
                                <a:lnTo>
                                  <a:pt x="1205" y="183"/>
                                </a:lnTo>
                                <a:lnTo>
                                  <a:pt x="1146" y="100"/>
                                </a:lnTo>
                                <a:lnTo>
                                  <a:pt x="1051" y="100"/>
                                </a:lnTo>
                                <a:lnTo>
                                  <a:pt x="1162" y="260"/>
                                </a:lnTo>
                                <a:close/>
                                <a:moveTo>
                                  <a:pt x="863" y="227"/>
                                </a:moveTo>
                                <a:lnTo>
                                  <a:pt x="863" y="100"/>
                                </a:lnTo>
                                <a:lnTo>
                                  <a:pt x="783" y="100"/>
                                </a:lnTo>
                                <a:lnTo>
                                  <a:pt x="783" y="407"/>
                                </a:lnTo>
                                <a:lnTo>
                                  <a:pt x="863" y="407"/>
                                </a:lnTo>
                                <a:lnTo>
                                  <a:pt x="863" y="274"/>
                                </a:lnTo>
                                <a:lnTo>
                                  <a:pt x="967" y="407"/>
                                </a:lnTo>
                                <a:lnTo>
                                  <a:pt x="1071" y="407"/>
                                </a:lnTo>
                                <a:lnTo>
                                  <a:pt x="938" y="245"/>
                                </a:lnTo>
                                <a:lnTo>
                                  <a:pt x="1059" y="100"/>
                                </a:lnTo>
                                <a:lnTo>
                                  <a:pt x="960" y="100"/>
                                </a:lnTo>
                                <a:lnTo>
                                  <a:pt x="863" y="227"/>
                                </a:lnTo>
                                <a:close/>
                                <a:moveTo>
                                  <a:pt x="721" y="117"/>
                                </a:moveTo>
                                <a:lnTo>
                                  <a:pt x="709" y="112"/>
                                </a:lnTo>
                                <a:lnTo>
                                  <a:pt x="697" y="107"/>
                                </a:lnTo>
                                <a:lnTo>
                                  <a:pt x="685" y="102"/>
                                </a:lnTo>
                                <a:lnTo>
                                  <a:pt x="673" y="98"/>
                                </a:lnTo>
                                <a:lnTo>
                                  <a:pt x="660" y="96"/>
                                </a:lnTo>
                                <a:lnTo>
                                  <a:pt x="648" y="93"/>
                                </a:lnTo>
                                <a:lnTo>
                                  <a:pt x="635" y="92"/>
                                </a:lnTo>
                                <a:lnTo>
                                  <a:pt x="624" y="92"/>
                                </a:lnTo>
                                <a:lnTo>
                                  <a:pt x="611" y="92"/>
                                </a:lnTo>
                                <a:lnTo>
                                  <a:pt x="602" y="95"/>
                                </a:lnTo>
                                <a:lnTo>
                                  <a:pt x="590" y="97"/>
                                </a:lnTo>
                                <a:lnTo>
                                  <a:pt x="580" y="100"/>
                                </a:lnTo>
                                <a:lnTo>
                                  <a:pt x="572" y="103"/>
                                </a:lnTo>
                                <a:lnTo>
                                  <a:pt x="563" y="108"/>
                                </a:lnTo>
                                <a:lnTo>
                                  <a:pt x="555" y="115"/>
                                </a:lnTo>
                                <a:lnTo>
                                  <a:pt x="548" y="121"/>
                                </a:lnTo>
                                <a:lnTo>
                                  <a:pt x="542" y="128"/>
                                </a:lnTo>
                                <a:lnTo>
                                  <a:pt x="535" y="136"/>
                                </a:lnTo>
                                <a:lnTo>
                                  <a:pt x="531" y="145"/>
                                </a:lnTo>
                                <a:lnTo>
                                  <a:pt x="527" y="153"/>
                                </a:lnTo>
                                <a:lnTo>
                                  <a:pt x="523" y="163"/>
                                </a:lnTo>
                                <a:lnTo>
                                  <a:pt x="521" y="174"/>
                                </a:lnTo>
                                <a:lnTo>
                                  <a:pt x="519" y="184"/>
                                </a:lnTo>
                                <a:lnTo>
                                  <a:pt x="519" y="196"/>
                                </a:lnTo>
                                <a:lnTo>
                                  <a:pt x="519" y="206"/>
                                </a:lnTo>
                                <a:lnTo>
                                  <a:pt x="521" y="216"/>
                                </a:lnTo>
                                <a:lnTo>
                                  <a:pt x="522" y="224"/>
                                </a:lnTo>
                                <a:lnTo>
                                  <a:pt x="524" y="232"/>
                                </a:lnTo>
                                <a:lnTo>
                                  <a:pt x="528" y="239"/>
                                </a:lnTo>
                                <a:lnTo>
                                  <a:pt x="533" y="245"/>
                                </a:lnTo>
                                <a:lnTo>
                                  <a:pt x="538" y="252"/>
                                </a:lnTo>
                                <a:lnTo>
                                  <a:pt x="543" y="257"/>
                                </a:lnTo>
                                <a:lnTo>
                                  <a:pt x="552" y="263"/>
                                </a:lnTo>
                                <a:lnTo>
                                  <a:pt x="564" y="269"/>
                                </a:lnTo>
                                <a:lnTo>
                                  <a:pt x="580" y="275"/>
                                </a:lnTo>
                                <a:lnTo>
                                  <a:pt x="602" y="282"/>
                                </a:lnTo>
                                <a:lnTo>
                                  <a:pt x="614" y="287"/>
                                </a:lnTo>
                                <a:lnTo>
                                  <a:pt x="625" y="290"/>
                                </a:lnTo>
                                <a:lnTo>
                                  <a:pt x="634" y="294"/>
                                </a:lnTo>
                                <a:lnTo>
                                  <a:pt x="640" y="298"/>
                                </a:lnTo>
                                <a:lnTo>
                                  <a:pt x="644" y="301"/>
                                </a:lnTo>
                                <a:lnTo>
                                  <a:pt x="648" y="306"/>
                                </a:lnTo>
                                <a:lnTo>
                                  <a:pt x="649" y="311"/>
                                </a:lnTo>
                                <a:lnTo>
                                  <a:pt x="650" y="318"/>
                                </a:lnTo>
                                <a:lnTo>
                                  <a:pt x="649" y="324"/>
                                </a:lnTo>
                                <a:lnTo>
                                  <a:pt x="648" y="330"/>
                                </a:lnTo>
                                <a:lnTo>
                                  <a:pt x="644" y="335"/>
                                </a:lnTo>
                                <a:lnTo>
                                  <a:pt x="639" y="339"/>
                                </a:lnTo>
                                <a:lnTo>
                                  <a:pt x="634" y="343"/>
                                </a:lnTo>
                                <a:lnTo>
                                  <a:pt x="626" y="345"/>
                                </a:lnTo>
                                <a:lnTo>
                                  <a:pt x="619" y="348"/>
                                </a:lnTo>
                                <a:lnTo>
                                  <a:pt x="611" y="348"/>
                                </a:lnTo>
                                <a:lnTo>
                                  <a:pt x="603" y="348"/>
                                </a:lnTo>
                                <a:lnTo>
                                  <a:pt x="594" y="345"/>
                                </a:lnTo>
                                <a:lnTo>
                                  <a:pt x="585" y="344"/>
                                </a:lnTo>
                                <a:lnTo>
                                  <a:pt x="577" y="340"/>
                                </a:lnTo>
                                <a:lnTo>
                                  <a:pt x="568" y="335"/>
                                </a:lnTo>
                                <a:lnTo>
                                  <a:pt x="559" y="330"/>
                                </a:lnTo>
                                <a:lnTo>
                                  <a:pt x="549" y="324"/>
                                </a:lnTo>
                                <a:lnTo>
                                  <a:pt x="540" y="316"/>
                                </a:lnTo>
                                <a:lnTo>
                                  <a:pt x="507" y="381"/>
                                </a:lnTo>
                                <a:lnTo>
                                  <a:pt x="519" y="389"/>
                                </a:lnTo>
                                <a:lnTo>
                                  <a:pt x="532" y="396"/>
                                </a:lnTo>
                                <a:lnTo>
                                  <a:pt x="544" y="401"/>
                                </a:lnTo>
                                <a:lnTo>
                                  <a:pt x="558" y="406"/>
                                </a:lnTo>
                                <a:lnTo>
                                  <a:pt x="572" y="410"/>
                                </a:lnTo>
                                <a:lnTo>
                                  <a:pt x="585" y="414"/>
                                </a:lnTo>
                                <a:lnTo>
                                  <a:pt x="599" y="415"/>
                                </a:lnTo>
                                <a:lnTo>
                                  <a:pt x="613" y="415"/>
                                </a:lnTo>
                                <a:lnTo>
                                  <a:pt x="626" y="415"/>
                                </a:lnTo>
                                <a:lnTo>
                                  <a:pt x="639" y="414"/>
                                </a:lnTo>
                                <a:lnTo>
                                  <a:pt x="651" y="411"/>
                                </a:lnTo>
                                <a:lnTo>
                                  <a:pt x="663" y="407"/>
                                </a:lnTo>
                                <a:lnTo>
                                  <a:pt x="674" y="404"/>
                                </a:lnTo>
                                <a:lnTo>
                                  <a:pt x="684" y="399"/>
                                </a:lnTo>
                                <a:lnTo>
                                  <a:pt x="694" y="392"/>
                                </a:lnTo>
                                <a:lnTo>
                                  <a:pt x="702" y="386"/>
                                </a:lnTo>
                                <a:lnTo>
                                  <a:pt x="709" y="379"/>
                                </a:lnTo>
                                <a:lnTo>
                                  <a:pt x="716" y="371"/>
                                </a:lnTo>
                                <a:lnTo>
                                  <a:pt x="721" y="363"/>
                                </a:lnTo>
                                <a:lnTo>
                                  <a:pt x="725" y="353"/>
                                </a:lnTo>
                                <a:lnTo>
                                  <a:pt x="729" y="343"/>
                                </a:lnTo>
                                <a:lnTo>
                                  <a:pt x="731" y="331"/>
                                </a:lnTo>
                                <a:lnTo>
                                  <a:pt x="732" y="319"/>
                                </a:lnTo>
                                <a:lnTo>
                                  <a:pt x="734" y="306"/>
                                </a:lnTo>
                                <a:lnTo>
                                  <a:pt x="732" y="290"/>
                                </a:lnTo>
                                <a:lnTo>
                                  <a:pt x="729" y="275"/>
                                </a:lnTo>
                                <a:lnTo>
                                  <a:pt x="726" y="269"/>
                                </a:lnTo>
                                <a:lnTo>
                                  <a:pt x="724" y="263"/>
                                </a:lnTo>
                                <a:lnTo>
                                  <a:pt x="720" y="258"/>
                                </a:lnTo>
                                <a:lnTo>
                                  <a:pt x="716" y="252"/>
                                </a:lnTo>
                                <a:lnTo>
                                  <a:pt x="711" y="247"/>
                                </a:lnTo>
                                <a:lnTo>
                                  <a:pt x="705" y="243"/>
                                </a:lnTo>
                                <a:lnTo>
                                  <a:pt x="699" y="238"/>
                                </a:lnTo>
                                <a:lnTo>
                                  <a:pt x="692" y="234"/>
                                </a:lnTo>
                                <a:lnTo>
                                  <a:pt x="676" y="227"/>
                                </a:lnTo>
                                <a:lnTo>
                                  <a:pt x="658" y="221"/>
                                </a:lnTo>
                                <a:lnTo>
                                  <a:pt x="636" y="214"/>
                                </a:lnTo>
                                <a:lnTo>
                                  <a:pt x="624" y="209"/>
                                </a:lnTo>
                                <a:lnTo>
                                  <a:pt x="615" y="206"/>
                                </a:lnTo>
                                <a:lnTo>
                                  <a:pt x="610" y="201"/>
                                </a:lnTo>
                                <a:lnTo>
                                  <a:pt x="607" y="198"/>
                                </a:lnTo>
                                <a:lnTo>
                                  <a:pt x="604" y="194"/>
                                </a:lnTo>
                                <a:lnTo>
                                  <a:pt x="603" y="189"/>
                                </a:lnTo>
                                <a:lnTo>
                                  <a:pt x="603" y="186"/>
                                </a:lnTo>
                                <a:lnTo>
                                  <a:pt x="603" y="181"/>
                                </a:lnTo>
                                <a:lnTo>
                                  <a:pt x="605" y="174"/>
                                </a:lnTo>
                                <a:lnTo>
                                  <a:pt x="608" y="171"/>
                                </a:lnTo>
                                <a:lnTo>
                                  <a:pt x="611" y="167"/>
                                </a:lnTo>
                                <a:lnTo>
                                  <a:pt x="618" y="163"/>
                                </a:lnTo>
                                <a:lnTo>
                                  <a:pt x="623" y="161"/>
                                </a:lnTo>
                                <a:lnTo>
                                  <a:pt x="629" y="159"/>
                                </a:lnTo>
                                <a:lnTo>
                                  <a:pt x="636" y="158"/>
                                </a:lnTo>
                                <a:lnTo>
                                  <a:pt x="643" y="159"/>
                                </a:lnTo>
                                <a:lnTo>
                                  <a:pt x="650" y="159"/>
                                </a:lnTo>
                                <a:lnTo>
                                  <a:pt x="656" y="162"/>
                                </a:lnTo>
                                <a:lnTo>
                                  <a:pt x="663" y="163"/>
                                </a:lnTo>
                                <a:lnTo>
                                  <a:pt x="676" y="171"/>
                                </a:lnTo>
                                <a:lnTo>
                                  <a:pt x="689" y="179"/>
                                </a:lnTo>
                                <a:lnTo>
                                  <a:pt x="721" y="117"/>
                                </a:lnTo>
                                <a:close/>
                                <a:moveTo>
                                  <a:pt x="463" y="167"/>
                                </a:moveTo>
                                <a:lnTo>
                                  <a:pt x="463" y="100"/>
                                </a:lnTo>
                                <a:lnTo>
                                  <a:pt x="289" y="100"/>
                                </a:lnTo>
                                <a:lnTo>
                                  <a:pt x="289" y="407"/>
                                </a:lnTo>
                                <a:lnTo>
                                  <a:pt x="463" y="407"/>
                                </a:lnTo>
                                <a:lnTo>
                                  <a:pt x="463" y="340"/>
                                </a:lnTo>
                                <a:lnTo>
                                  <a:pt x="369" y="340"/>
                                </a:lnTo>
                                <a:lnTo>
                                  <a:pt x="369" y="287"/>
                                </a:lnTo>
                                <a:lnTo>
                                  <a:pt x="458" y="287"/>
                                </a:lnTo>
                                <a:lnTo>
                                  <a:pt x="458" y="219"/>
                                </a:lnTo>
                                <a:lnTo>
                                  <a:pt x="369" y="219"/>
                                </a:lnTo>
                                <a:lnTo>
                                  <a:pt x="369" y="167"/>
                                </a:lnTo>
                                <a:lnTo>
                                  <a:pt x="463" y="167"/>
                                </a:lnTo>
                                <a:close/>
                                <a:moveTo>
                                  <a:pt x="66" y="36"/>
                                </a:moveTo>
                                <a:lnTo>
                                  <a:pt x="148" y="82"/>
                                </a:lnTo>
                                <a:lnTo>
                                  <a:pt x="231" y="36"/>
                                </a:lnTo>
                                <a:lnTo>
                                  <a:pt x="210" y="2"/>
                                </a:lnTo>
                                <a:lnTo>
                                  <a:pt x="148" y="34"/>
                                </a:lnTo>
                                <a:lnTo>
                                  <a:pt x="87" y="2"/>
                                </a:lnTo>
                                <a:lnTo>
                                  <a:pt x="66" y="36"/>
                                </a:lnTo>
                                <a:close/>
                                <a:moveTo>
                                  <a:pt x="235" y="108"/>
                                </a:moveTo>
                                <a:lnTo>
                                  <a:pt x="215" y="102"/>
                                </a:lnTo>
                                <a:lnTo>
                                  <a:pt x="197" y="97"/>
                                </a:lnTo>
                                <a:lnTo>
                                  <a:pt x="180" y="95"/>
                                </a:lnTo>
                                <a:lnTo>
                                  <a:pt x="163" y="93"/>
                                </a:lnTo>
                                <a:lnTo>
                                  <a:pt x="146" y="95"/>
                                </a:lnTo>
                                <a:lnTo>
                                  <a:pt x="129" y="96"/>
                                </a:lnTo>
                                <a:lnTo>
                                  <a:pt x="114" y="101"/>
                                </a:lnTo>
                                <a:lnTo>
                                  <a:pt x="99" y="106"/>
                                </a:lnTo>
                                <a:lnTo>
                                  <a:pt x="84" y="112"/>
                                </a:lnTo>
                                <a:lnTo>
                                  <a:pt x="71" y="121"/>
                                </a:lnTo>
                                <a:lnTo>
                                  <a:pt x="58" y="130"/>
                                </a:lnTo>
                                <a:lnTo>
                                  <a:pt x="47" y="141"/>
                                </a:lnTo>
                                <a:lnTo>
                                  <a:pt x="37" y="152"/>
                                </a:lnTo>
                                <a:lnTo>
                                  <a:pt x="27" y="164"/>
                                </a:lnTo>
                                <a:lnTo>
                                  <a:pt x="20" y="178"/>
                                </a:lnTo>
                                <a:lnTo>
                                  <a:pt x="12" y="192"/>
                                </a:lnTo>
                                <a:lnTo>
                                  <a:pt x="7" y="207"/>
                                </a:lnTo>
                                <a:lnTo>
                                  <a:pt x="3" y="223"/>
                                </a:lnTo>
                                <a:lnTo>
                                  <a:pt x="1" y="239"/>
                                </a:lnTo>
                                <a:lnTo>
                                  <a:pt x="0" y="257"/>
                                </a:lnTo>
                                <a:lnTo>
                                  <a:pt x="0" y="272"/>
                                </a:lnTo>
                                <a:lnTo>
                                  <a:pt x="2" y="287"/>
                                </a:lnTo>
                                <a:lnTo>
                                  <a:pt x="6" y="300"/>
                                </a:lnTo>
                                <a:lnTo>
                                  <a:pt x="10" y="314"/>
                                </a:lnTo>
                                <a:lnTo>
                                  <a:pt x="16" y="328"/>
                                </a:lnTo>
                                <a:lnTo>
                                  <a:pt x="22" y="340"/>
                                </a:lnTo>
                                <a:lnTo>
                                  <a:pt x="31" y="351"/>
                                </a:lnTo>
                                <a:lnTo>
                                  <a:pt x="41" y="363"/>
                                </a:lnTo>
                                <a:lnTo>
                                  <a:pt x="53" y="374"/>
                                </a:lnTo>
                                <a:lnTo>
                                  <a:pt x="66" y="385"/>
                                </a:lnTo>
                                <a:lnTo>
                                  <a:pt x="81" y="394"/>
                                </a:lnTo>
                                <a:lnTo>
                                  <a:pt x="97" y="401"/>
                                </a:lnTo>
                                <a:lnTo>
                                  <a:pt x="113" y="407"/>
                                </a:lnTo>
                                <a:lnTo>
                                  <a:pt x="129" y="412"/>
                                </a:lnTo>
                                <a:lnTo>
                                  <a:pt x="147" y="415"/>
                                </a:lnTo>
                                <a:lnTo>
                                  <a:pt x="163" y="416"/>
                                </a:lnTo>
                                <a:lnTo>
                                  <a:pt x="179" y="415"/>
                                </a:lnTo>
                                <a:lnTo>
                                  <a:pt x="193" y="414"/>
                                </a:lnTo>
                                <a:lnTo>
                                  <a:pt x="212" y="409"/>
                                </a:lnTo>
                                <a:lnTo>
                                  <a:pt x="235" y="401"/>
                                </a:lnTo>
                                <a:lnTo>
                                  <a:pt x="235" y="306"/>
                                </a:lnTo>
                                <a:lnTo>
                                  <a:pt x="228" y="314"/>
                                </a:lnTo>
                                <a:lnTo>
                                  <a:pt x="219" y="320"/>
                                </a:lnTo>
                                <a:lnTo>
                                  <a:pt x="212" y="326"/>
                                </a:lnTo>
                                <a:lnTo>
                                  <a:pt x="203" y="330"/>
                                </a:lnTo>
                                <a:lnTo>
                                  <a:pt x="194" y="334"/>
                                </a:lnTo>
                                <a:lnTo>
                                  <a:pt x="185" y="336"/>
                                </a:lnTo>
                                <a:lnTo>
                                  <a:pt x="175" y="338"/>
                                </a:lnTo>
                                <a:lnTo>
                                  <a:pt x="165" y="339"/>
                                </a:lnTo>
                                <a:lnTo>
                                  <a:pt x="158" y="338"/>
                                </a:lnTo>
                                <a:lnTo>
                                  <a:pt x="151" y="336"/>
                                </a:lnTo>
                                <a:lnTo>
                                  <a:pt x="143" y="335"/>
                                </a:lnTo>
                                <a:lnTo>
                                  <a:pt x="137" y="333"/>
                                </a:lnTo>
                                <a:lnTo>
                                  <a:pt x="129" y="330"/>
                                </a:lnTo>
                                <a:lnTo>
                                  <a:pt x="123" y="326"/>
                                </a:lnTo>
                                <a:lnTo>
                                  <a:pt x="117" y="323"/>
                                </a:lnTo>
                                <a:lnTo>
                                  <a:pt x="111" y="318"/>
                                </a:lnTo>
                                <a:lnTo>
                                  <a:pt x="104" y="311"/>
                                </a:lnTo>
                                <a:lnTo>
                                  <a:pt x="98" y="305"/>
                                </a:lnTo>
                                <a:lnTo>
                                  <a:pt x="93" y="299"/>
                                </a:lnTo>
                                <a:lnTo>
                                  <a:pt x="89" y="292"/>
                                </a:lnTo>
                                <a:lnTo>
                                  <a:pt x="87" y="283"/>
                                </a:lnTo>
                                <a:lnTo>
                                  <a:pt x="84" y="274"/>
                                </a:lnTo>
                                <a:lnTo>
                                  <a:pt x="83" y="265"/>
                                </a:lnTo>
                                <a:lnTo>
                                  <a:pt x="83" y="255"/>
                                </a:lnTo>
                                <a:lnTo>
                                  <a:pt x="83" y="247"/>
                                </a:lnTo>
                                <a:lnTo>
                                  <a:pt x="84" y="238"/>
                                </a:lnTo>
                                <a:lnTo>
                                  <a:pt x="87" y="229"/>
                                </a:lnTo>
                                <a:lnTo>
                                  <a:pt x="89" y="222"/>
                                </a:lnTo>
                                <a:lnTo>
                                  <a:pt x="93" y="214"/>
                                </a:lnTo>
                                <a:lnTo>
                                  <a:pt x="97" y="207"/>
                                </a:lnTo>
                                <a:lnTo>
                                  <a:pt x="102" y="201"/>
                                </a:lnTo>
                                <a:lnTo>
                                  <a:pt x="107" y="194"/>
                                </a:lnTo>
                                <a:lnTo>
                                  <a:pt x="112" y="189"/>
                                </a:lnTo>
                                <a:lnTo>
                                  <a:pt x="118" y="184"/>
                                </a:lnTo>
                                <a:lnTo>
                                  <a:pt x="126" y="181"/>
                                </a:lnTo>
                                <a:lnTo>
                                  <a:pt x="133" y="177"/>
                                </a:lnTo>
                                <a:lnTo>
                                  <a:pt x="141" y="174"/>
                                </a:lnTo>
                                <a:lnTo>
                                  <a:pt x="148" y="172"/>
                                </a:lnTo>
                                <a:lnTo>
                                  <a:pt x="157" y="171"/>
                                </a:lnTo>
                                <a:lnTo>
                                  <a:pt x="165" y="171"/>
                                </a:lnTo>
                                <a:lnTo>
                                  <a:pt x="175" y="171"/>
                                </a:lnTo>
                                <a:lnTo>
                                  <a:pt x="185" y="173"/>
                                </a:lnTo>
                                <a:lnTo>
                                  <a:pt x="195" y="176"/>
                                </a:lnTo>
                                <a:lnTo>
                                  <a:pt x="204" y="179"/>
                                </a:lnTo>
                                <a:lnTo>
                                  <a:pt x="213" y="184"/>
                                </a:lnTo>
                                <a:lnTo>
                                  <a:pt x="220" y="189"/>
                                </a:lnTo>
                                <a:lnTo>
                                  <a:pt x="228" y="197"/>
                                </a:lnTo>
                                <a:lnTo>
                                  <a:pt x="235" y="204"/>
                                </a:lnTo>
                                <a:lnTo>
                                  <a:pt x="235" y="108"/>
                                </a:lnTo>
                                <a:close/>
                              </a:path>
                            </a:pathLst>
                          </a:custGeom>
                          <a:solidFill>
                            <a:srgbClr val="BD1B21"/>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12233F" id="Group 24" o:spid="_x0000_s1026" style="position:absolute;margin-left:45pt;margin-top:36.75pt;width:177.15pt;height:43.65pt;z-index:251657728;mso-position-horizontal-relative:page;mso-position-vertical-relative:page" coordorigin="567,851" coordsize="2714,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">
                <o:lock v:ext="edit" aspectratio="t"/>
                <v:rect id="Rectangle 9" o:spid="_x0000_s1027" style="position:absolute;left:1215;top:901;width:676;height: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" fillcolor="#0071bc" stroked="f">
                  <o:lock v:ext="edit" aspectratio="t"/>
                </v:rect>
                <v:rect id="Rectangle 10" o:spid="_x0000_s1028" style="position:absolute;left:567;top:1131;width:1324;height: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" fillcolor="#0071bc" stroked="f">
                  <o:lock v:ext="edit" aspectratio="t"/>
                </v:rect>
                <v:rect id="Rectangle 11" o:spid="_x0000_s1029" style="position:absolute;left:1288;top:1361;width:603;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" fillcolor="#0071bc" stroked="f">
                  <o:lock v:ext="edit" aspectratio="t"/>
                </v:rect>
                <v:shape id="Freeform 12" o:spid="_x0000_s1030" style="position:absolute;left:1969;top:1311;width:600;height:207;visibility:visible;mso-wrap-style:square;v-text-anchor:top" coordsize="1200,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" path="m1011,341r,-174l1030,167r10,2l1049,170r10,1l1067,174r7,3l1082,182r6,5l1094,194r5,6l1104,206r4,7l1112,221r2,7l1116,237r1,8l1117,253r,9l1116,271r-2,7l1112,287r-4,7l1104,301r-5,7l1094,314r-6,7l1082,326r-8,5l1067,334r-8,3l1049,338r-9,1l1030,341r-19,xm931,408r118,l1064,407r15,-3l1093,400r14,-5l1121,389r12,-9l1144,372r11,-10l1165,351r9,-12l1182,326r6,-13l1194,298r4,-14l1200,270r,-17l1200,238r-2,-15l1194,208r-6,-13l1182,181r-8,-12l1165,157r-10,-11l1144,136r-11,-10l1121,119r-14,-6l1093,108r-14,-5l1064,101r-15,-1l931,100r,308xm775,293r-67,l742,195r33,98xm797,354r20,54l901,408,785,100r-87,l581,408r84,l686,354r111,xm347,37r83,46l513,37,491,3,430,34,369,3,347,37xm407,238r,-77l422,161r10,1l442,164r7,2l455,170r6,6l466,182r3,9l470,200r-1,8l466,216r-5,7l455,230r-6,3l442,236r-10,1l422,238r-15,xm485,282r13,-4l508,275r8,-5l525,263r6,-6l536,250r5,-8l545,233r4,-8l551,215r1,-10l552,195r,-9l551,176r-2,-9l546,159r-4,-9l537,141r-5,-7l526,128r-7,-8l511,115r-7,-5l495,106r-10,-2l475,101r-12,-1l450,100r-123,l327,408r80,l407,289r76,119l582,408,485,282xm210,35l171,,105,56r28,29l210,35xm80,100l,100,,278r,15l2,308r1,13l5,333r4,10l13,353r4,9l23,369r9,10l43,389r11,8l68,403r15,6l99,413r16,2l133,415r16,l165,413r14,-4l192,404r14,-5l217,392r11,-9l238,372r8,-9l253,353r5,-10l262,333r3,-12l267,308r1,-15l268,278r,-178l189,100r,167l189,287r-2,14l185,311r-4,10l177,326r-5,5l167,334r-6,4l155,341r-6,2l141,344r-7,2l126,344r-6,-1l114,342r-6,-3l103,336r-5,-4l93,327r-4,-5l84,312,81,302,80,288r,-21l80,100xe" fillcolor="#bd1b21" stroked="f">
                  <v:path arrowok="t" o:connecttype="custom" o:connectlocs="260,42;269,44;275,50;279,57;280,65;277,73;272,80;265,84;253,85;270,101;284,95;294,84;300,71;300,55;294,42;284,31;270,25;233,102;194,73;197,25;172,88;129,9;87,9;108,40;116,44;118,52;113,58;102,59;129,67;136,60;138,51;138,41;133,33;126,27;116,25;102,102;122,70;34,21;0,69;2,83;6,92;17,100;34,103;48,101;60,93;66,83;67,69;48,71;45,81;39,85;32,86;26,84;21,78;20,25" o:connectangles="0,0,0,0,0,0,0,0,0,0,0,0,0,0,0,0,0,0,0,0,0,0,0,0,0,0,0,0,0,0,0,0,0,0,0,0,0,0,0,0,0,0,0,0,0,0,0,0,0,0,0,0,0,0"/>
                  <o:lock v:ext="edit" aspectratio="t" verticies="t"/>
                </v:shape>
                <v:shape id="Freeform 13" o:spid="_x0000_s1031" style="position:absolute;left:1962;top:1081;width:1319;height:208;visibility:visible;mso-wrap-style:square;v-text-anchor:top" coordsize="2637,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" path="m2561,35l2524,r-66,56l2485,84r76,-49xm2442,260r,147l2521,407r,-147l2637,99r-97,l2484,183,2427,99r-96,l2442,260xm2143,226r,-127l2063,99r,308l2143,407r,-133l2247,407r104,l2217,245,2340,99r-100,l2143,226xm2008,108r-21,-6l1969,97r-17,-4l1936,93r-18,l1902,96r-16,5l1871,106r-14,6l1844,121r-13,8l1820,140r-11,12l1800,164r-9,14l1785,192r-5,15l1775,223r-2,16l1773,256r,15l1775,286r3,14l1783,314r6,13l1795,340r9,11l1813,362r12,11l1839,385r15,8l1869,401r16,6l1902,412r16,3l1936,416r15,-1l1966,413r17,-5l2008,401r,-95l1999,314r-7,6l1983,326r-7,4l1967,334r-10,2l1948,337r-10,l1931,337r-8,-1l1916,335r-8,-3l1902,330r-6,-4l1889,322r-5,-5l1876,311r-5,-6l1866,299r-4,-8l1860,283r-3,-9l1856,265r,-10l1856,246r1,-8l1860,229r2,-8l1865,214r5,-7l1874,200r5,-6l1885,189r6,-5l1898,180r7,-3l1913,174r8,-2l1930,170r8,l1948,170r10,3l1967,175r10,4l1984,184r9,5l2001,197r7,7l2008,108xm1727,99r-80,l1647,407r80,l1727,99xm1538,167r66,l1604,99r-210,l1394,167r65,l1459,407r79,l1538,167xm1360,117r-11,-6l1337,106r-13,-4l1313,98r-13,-2l1288,93r-12,-1l1263,92r-11,l1241,94r-10,2l1221,99r-10,4l1203,108r-8,6l1187,121r-6,7l1175,136r-5,8l1166,153r-4,10l1161,174r-3,10l1158,195r,10l1160,215r2,9l1165,231r3,8l1172,245r5,6l1183,256r9,7l1203,269r16,6l1242,281r12,5l1264,290r9,4l1279,297r5,4l1287,306r2,5l1289,317r,7l1287,330r-4,5l1279,339r-6,3l1267,345r-8,1l1251,347r-9,l1233,345r-9,-1l1216,340r-9,-5l1198,330r-8,-6l1180,316r-34,65l1158,388r13,8l1185,401r13,5l1212,410r14,3l1239,415r14,l1266,415r12,-2l1290,411r12,-4l1313,403r10,-5l1333,392r9,-6l1349,378r6,-7l1360,362r5,-10l1369,342r2,-11l1373,319r,-13l1371,290r-2,-15l1366,269r-3,-6l1359,258r-4,-7l1350,246r-5,-5l1339,238r-7,-4l1315,226r-17,-6l1276,213r-13,-4l1256,205r-7,-5l1247,198r-3,-4l1242,189r,-4l1243,179r1,-5l1248,170r4,-3l1257,163r6,-3l1269,159r8,-1l1283,159r6,l1297,162r6,1l1315,170r14,9l1360,117xm1091,99r-80,l1011,407r80,l1091,99xm904,167r66,l970,99r-212,l758,167r67,l825,407r79,l904,167xm644,292r-66,l611,194r33,98xm666,354r20,53l771,407,655,99r-87,l450,407r84,l555,354r111,xm395,167r66,l461,99r-212,l249,167r66,l315,407r80,l395,167xm214,117r-11,-6l190,106r-12,-4l167,98,154,96,142,93,129,92r-12,l106,92,94,94,84,96r-9,3l65,103r-9,5l48,114r-7,7l35,128r-7,8l23,144r-3,9l16,163r-1,11l12,184r,11l12,205r1,10l16,224r2,7l22,239r4,6l31,251r6,5l46,263r11,6l73,275r23,6l108,286r10,4l127,294r6,3l138,301r3,5l143,311r,6l143,324r-2,6l137,335r-4,4l127,342r-6,3l113,346r-9,1l96,347r-9,-2l78,344r-8,-4l61,335r-9,-5l43,324,33,316,,381r12,7l25,396r13,5l52,406r14,4l79,413r14,2l107,415r12,l132,413r12,-2l155,407r12,-4l177,398r10,-6l195,386r8,-8l209,371r5,-9l219,352r4,-10l225,331r2,-12l227,306r-2,-16l223,275r-3,-6l217,263r-4,-5l209,251r-5,-5l199,241r-6,-3l185,234r-16,-8l151,220r-22,-7l117,209r-8,-4l103,200r-4,-2l98,194r-2,-5l96,185r1,-6l98,174r4,-4l106,167r5,-4l117,160r6,-1l129,158r8,1l143,159r8,3l157,163r12,7l183,179r31,-62xe" fillcolor="#bd1b21" stroked="f">
                  <v:path arrowok="t" o:connecttype="custom" o:connectlocs="611,102;583,25;536,69;502,27;472,26;450,41;444,68;454,91;480,104;500,79;485,85;473,81;465,69;467,54;477,45;492,44;432,25;401,25;340,30;319,23;301,27;291,41;292,58;305,69;322,77;319,86;304,85;293,99;317,104;336,97;344,80;339,63;319,54;311,47;318,40;333,45;226,42;226,102;172,102;167,89;79,102;42,25;21,24;7,34;3,52;10,64;32,74;36,83;24,87;9,79;20,104;42,101;55,88;55,68;47,59;25,50;27,42;38,41" o:connectangles="0,0,0,0,0,0,0,0,0,0,0,0,0,0,0,0,0,0,0,0,0,0,0,0,0,0,0,0,0,0,0,0,0,0,0,0,0,0,0,0,0,0,0,0,0,0,0,0,0,0,0,0,0,0,0,0,0,0"/>
                  <o:lock v:ext="edit" aspectratio="t" verticies="t"/>
                </v:shape>
                <v:shape id="Freeform 14" o:spid="_x0000_s1032" style="position:absolute;left:1962;top:851;width:679;height:208;visibility:visible;mso-wrap-style:square;v-text-anchor:top" coordsize="1358,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" path="m1282,36l1243,r-65,56l1205,85r77,-49xm1162,260r,147l1242,407r,-147l1358,100r-97,l1205,183r-59,-83l1051,100r111,160xm863,227r,-127l783,100r,307l863,407r,-133l967,407r104,l938,245,1059,100r-99,l863,227xm721,117r-12,-5l697,107r-12,-5l673,98,660,96,648,93,635,92r-11,l611,92r-9,3l590,97r-10,3l572,103r-9,5l555,115r-7,6l542,128r-7,8l531,145r-4,8l523,163r-2,11l519,184r,12l519,206r2,10l522,224r2,8l528,239r5,6l538,252r5,5l552,263r12,6l580,275r22,7l614,287r11,3l634,294r6,4l644,301r4,5l649,311r1,7l649,324r-1,6l644,335r-5,4l634,343r-8,2l619,348r-8,l603,348r-9,-3l585,344r-8,-4l568,335r-9,-5l549,324r-9,-8l507,381r12,8l532,396r12,5l558,406r14,4l585,414r14,1l613,415r13,l639,414r12,-3l663,407r11,-3l684,399r10,-7l702,386r7,-7l716,371r5,-8l725,353r4,-10l731,331r1,-12l734,306r-2,-16l729,275r-3,-6l724,263r-4,-5l716,252r-5,-5l705,243r-6,-5l692,234r-16,-7l658,221r-22,-7l624,209r-9,-3l610,201r-3,-3l604,194r-1,-5l603,186r,-5l605,174r3,-3l611,167r7,-4l623,161r6,-2l636,158r7,1l650,159r6,3l663,163r13,8l689,179r32,-62xm463,167r,-67l289,100r,307l463,407r,-67l369,340r,-53l458,287r,-68l369,219r,-52l463,167xm66,36r82,46l231,36,210,2,148,34,87,2,66,36xm235,108r-20,-6l197,97,180,95,163,93r-17,2l129,96r-15,5l99,106r-15,6l71,121r-13,9l47,141,37,152,27,164r-7,14l12,192,7,207,3,223,1,239,,257r,15l2,287r4,13l10,314r6,14l22,340r9,11l41,363r12,11l66,385r15,9l97,401r16,6l129,412r18,3l163,416r16,-1l193,414r19,-5l235,401r,-95l228,314r-9,6l212,326r-9,4l194,334r-9,2l175,338r-10,1l158,338r-7,-2l143,335r-6,-2l129,330r-6,-4l117,323r-6,-5l104,311r-6,-6l93,299r-4,-7l87,283r-3,-9l83,265r,-10l83,247r1,-9l87,229r2,-7l93,214r4,-7l102,201r5,-7l112,189r6,-5l126,181r7,-4l141,174r7,-2l157,171r8,l175,171r10,2l195,176r9,3l213,184r7,5l228,197r7,7l235,108xe" fillcolor="#bd1b21" stroked="f">
                  <v:path arrowok="t" o:connecttype="custom" o:connectlocs="321,9;340,25;291,65;216,102;265,25;175,27;159,23;145,25;136,32;131,44;131,56;136,65;154,72;162,77;161,84;153,87;142,84;130,98;147,104;163,103;176,97;183,86;183,69;178,62;165,56;152,50;152,44;158,40;166,41;116,25;93,85;93,42;53,1;54,26;33,24;15,33;3,48;0,68;6,85;21,99;41,104;59,77;49,84;38,84;30,81;23,73;21,62;25,52;32,46;42,43;54,46" o:connectangles="0,0,0,0,0,0,0,0,0,0,0,0,0,0,0,0,0,0,0,0,0,0,0,0,0,0,0,0,0,0,0,0,0,0,0,0,0,0,0,0,0,0,0,0,0,0,0,0,0,0,0"/>
                  <o:lock v:ext="edit" aspectratio="t" verticies="t"/>
                </v:shape>
                <w10:wrap type="square" anchorx="page" anchory="page"/>
                <w10:anchorlock/>
              </v:group>
            </w:pict>
          </mc:Fallback>
        </mc:AlternateContent>
      </w:r>
      <w:r>
        <w:rPr>
          <w:noProof/>
        </w:rPr>
        <mc:AlternateContent>
          <mc:Choice Requires="wps">
            <w:drawing>
              <wp:anchor distT="0" distB="0" distL="114300" distR="114300" simplePos="0" relativeHeight="251656704" behindDoc="0" locked="1" layoutInCell="1" allowOverlap="1" wp14:anchorId="21432972" wp14:editId="21432973">
                <wp:simplePos x="0" y="0"/>
                <wp:positionH relativeFrom="page">
                  <wp:posOffset>1705610</wp:posOffset>
                </wp:positionH>
                <wp:positionV relativeFrom="page">
                  <wp:posOffset>8173085</wp:posOffset>
                </wp:positionV>
                <wp:extent cx="5130165" cy="925195"/>
                <wp:effectExtent l="3810" t="0" r="0" b="0"/>
                <wp:wrapNone/>
                <wp:docPr id="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165" cy="92519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w="9525">
                              <a:solidFill>
                                <a:srgbClr val="000000"/>
                              </a:solidFill>
                              <a:miter lim="800000"/>
                              <a:headEnd/>
                              <a:tailEnd/>
                            </a14:hiddenLine>
                          </a:ext>
                        </a:extLst>
                      </wps:spPr>
                      <wps:txbx>
                        <w:txbxContent>
                          <w:p w14:paraId="2143298E" w14:textId="62A2CBF3" w:rsidR="004C456F" w:rsidRPr="006C5577" w:rsidRDefault="004C456F" w:rsidP="004924DC">
                            <w:r>
                              <w:t>Z</w:t>
                            </w:r>
                            <w:r w:rsidRPr="006C5577">
                              <w:t xml:space="preserve">pracoval: </w:t>
                            </w:r>
                            <w:r>
                              <w:t>o</w:t>
                            </w:r>
                            <w:r w:rsidRPr="006C5577">
                              <w:t>dbor</w:t>
                            </w:r>
                            <w:r>
                              <w:t xml:space="preserve"> Kancelář předsedy</w:t>
                            </w:r>
                            <w:r w:rsidRPr="006C5577">
                              <w:t xml:space="preserve"> </w:t>
                            </w:r>
                          </w:p>
                          <w:p w14:paraId="2143298F" w14:textId="3A6544AB" w:rsidR="004C456F" w:rsidRPr="006C5577" w:rsidRDefault="004C456F" w:rsidP="004924DC">
                            <w:r w:rsidRPr="006C5577">
                              <w:t xml:space="preserve">Ředitel odboru: </w:t>
                            </w:r>
                            <w:r>
                              <w:t>Egor Sidorov, Ph.D.</w:t>
                            </w:r>
                          </w:p>
                          <w:p w14:paraId="21432990" w14:textId="384FDA5E" w:rsidR="004C456F" w:rsidRPr="006C5577" w:rsidRDefault="004C456F" w:rsidP="004924DC">
                            <w:r w:rsidRPr="006C5577">
                              <w:t xml:space="preserve">Kontaktní osoba: </w:t>
                            </w:r>
                            <w:r>
                              <w:t>Karolína Zábojníková</w:t>
                            </w:r>
                            <w:r w:rsidRPr="006C5577">
                              <w:t>,</w:t>
                            </w:r>
                            <w:r>
                              <w:t xml:space="preserve"> e-mail: karolina.zabojnikova@csu.gov.cz</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432972" id="_x0000_t202" coordsize="21600,21600" o:spt="202" path="m,l,21600r21600,l21600,xe">
                <v:stroke joinstyle="miter"/>
                <v:path gradientshapeok="t" o:connecttype="rect"/>
              </v:shapetype>
              <v:shape id="Textové pole 2" o:spid="_x0000_s1026" type="#_x0000_t202" style="position:absolute;margin-left:134.3pt;margin-top:643.55pt;width:403.95pt;height:72.8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" filled="f" stroked="f">
                <v:textbox inset="0,0,0,0">
                  <w:txbxContent>
                    <w:p w14:paraId="2143298E" w14:textId="62A2CBF3" w:rsidR="004C456F" w:rsidRPr="006C5577" w:rsidRDefault="004C456F" w:rsidP="004924DC">
                      <w:r>
                        <w:t>Z</w:t>
                      </w:r>
                      <w:r w:rsidRPr="006C5577">
                        <w:t xml:space="preserve">pracoval: </w:t>
                      </w:r>
                      <w:r>
                        <w:t>o</w:t>
                      </w:r>
                      <w:r w:rsidRPr="006C5577">
                        <w:t>dbor</w:t>
                      </w:r>
                      <w:r>
                        <w:t xml:space="preserve"> Kancelář předsedy</w:t>
                      </w:r>
                      <w:r w:rsidRPr="006C5577">
                        <w:t xml:space="preserve"> </w:t>
                      </w:r>
                    </w:p>
                    <w:p w14:paraId="2143298F" w14:textId="3A6544AB" w:rsidR="004C456F" w:rsidRPr="006C5577" w:rsidRDefault="004C456F" w:rsidP="004924DC">
                      <w:r w:rsidRPr="006C5577">
                        <w:t xml:space="preserve">Ředitel odboru: </w:t>
                      </w:r>
                      <w:r>
                        <w:t>Egor Sidorov, Ph.D.</w:t>
                      </w:r>
                    </w:p>
                    <w:p w14:paraId="21432990" w14:textId="384FDA5E" w:rsidR="004C456F" w:rsidRPr="006C5577" w:rsidRDefault="004C456F" w:rsidP="004924DC">
                      <w:r w:rsidRPr="006C5577">
                        <w:t xml:space="preserve">Kontaktní osoba: </w:t>
                      </w:r>
                      <w:r>
                        <w:t>Karolína Zábojníková</w:t>
                      </w:r>
                      <w:r w:rsidRPr="006C5577">
                        <w:t>,</w:t>
                      </w:r>
                      <w:r>
                        <w:t xml:space="preserve"> e-mail: karolina.zabojnikova@csu.gov.cz</w:t>
                      </w:r>
                    </w:p>
                  </w:txbxContent>
                </v:textbox>
                <w10:wrap anchorx="page" anchory="page"/>
                <w10:anchorlock/>
              </v:shape>
            </w:pict>
          </mc:Fallback>
        </mc:AlternateContent>
      </w:r>
      <w:r>
        <w:rPr>
          <w:noProof/>
        </w:rPr>
        <mc:AlternateContent>
          <mc:Choice Requires="wps">
            <w:drawing>
              <wp:anchor distT="0" distB="0" distL="114300" distR="114300" simplePos="0" relativeHeight="251655680" behindDoc="0" locked="1" layoutInCell="1" allowOverlap="1" wp14:anchorId="21432974" wp14:editId="21432975">
                <wp:simplePos x="0" y="0"/>
                <wp:positionH relativeFrom="page">
                  <wp:posOffset>1710055</wp:posOffset>
                </wp:positionH>
                <wp:positionV relativeFrom="page">
                  <wp:posOffset>4680585</wp:posOffset>
                </wp:positionV>
                <wp:extent cx="5129530" cy="1686560"/>
                <wp:effectExtent l="0" t="0" r="1270" b="15240"/>
                <wp:wrapNone/>
                <wp:docPr id="3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9530" cy="168656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w="9525">
                              <a:solidFill>
                                <a:srgbClr val="000000"/>
                              </a:solidFill>
                              <a:miter lim="800000"/>
                              <a:headEnd/>
                              <a:tailEnd/>
                            </a14:hiddenLine>
                          </a:ext>
                        </a:extLst>
                      </wps:spPr>
                      <wps:txbx>
                        <w:txbxContent>
                          <w:p w14:paraId="79046422" w14:textId="77777777" w:rsidR="004C456F" w:rsidRDefault="004C456F" w:rsidP="004924DC">
                            <w:pPr>
                              <w:pStyle w:val="TLIdentifikace-sted"/>
                            </w:pPr>
                            <w:r w:rsidRPr="00C72884">
                              <w:t>Souhrnná data o České republice</w:t>
                            </w:r>
                          </w:p>
                          <w:p w14:paraId="21432992" w14:textId="3E3433C0" w:rsidR="004C456F" w:rsidRPr="004924DC" w:rsidRDefault="004C456F" w:rsidP="004924DC">
                            <w:pPr>
                              <w:pStyle w:val="TLIdentifikace-sted"/>
                            </w:pPr>
                            <w:r>
                              <w:t xml:space="preserve">Praha, </w:t>
                            </w:r>
                            <w:r w:rsidR="00011F39">
                              <w:t>23</w:t>
                            </w:r>
                            <w:r>
                              <w:t xml:space="preserve">. </w:t>
                            </w:r>
                            <w:r w:rsidR="00011F39">
                              <w:t>3</w:t>
                            </w:r>
                            <w:r>
                              <w:t>. 202</w:t>
                            </w:r>
                            <w:r w:rsidR="00011F39">
                              <w:t>6</w:t>
                            </w:r>
                          </w:p>
                          <w:p w14:paraId="21432993" w14:textId="08E82A7D" w:rsidR="004C456F" w:rsidRPr="004924DC" w:rsidRDefault="004C456F" w:rsidP="004924DC">
                            <w:pPr>
                              <w:pStyle w:val="TLIdentifikace-sted"/>
                            </w:pPr>
                            <w:r w:rsidRPr="004924DC">
                              <w:t xml:space="preserve">Kód publikace: </w:t>
                            </w:r>
                            <w:r>
                              <w:t>320193-25</w:t>
                            </w:r>
                          </w:p>
                          <w:p w14:paraId="21432994" w14:textId="1293B6A5" w:rsidR="004C456F" w:rsidRPr="004924DC" w:rsidRDefault="004C456F" w:rsidP="004924DC">
                            <w:pPr>
                              <w:pStyle w:val="TLIdentifikace-sted"/>
                            </w:pPr>
                            <w:r>
                              <w:t xml:space="preserve">Pořadové číslo v roce: </w:t>
                            </w:r>
                            <w:r w:rsidR="00011F39">
                              <w:t>4</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1432974" id="_x0000_s1027" type="#_x0000_t202" style="position:absolute;margin-left:134.65pt;margin-top:368.55pt;width:403.9pt;height:132.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" filled="f" stroked="f">
                <v:textbox style="mso-fit-shape-to-text:t" inset="0,0,0,0">
                  <w:txbxContent>
                    <w:p w14:paraId="79046422" w14:textId="77777777" w:rsidR="004C456F" w:rsidRDefault="004C456F" w:rsidP="004924DC">
                      <w:pPr>
                        <w:pStyle w:val="TLIdentifikace-sted"/>
                      </w:pPr>
                      <w:r w:rsidRPr="00C72884">
                        <w:t>Souhrnná data o České republice</w:t>
                      </w:r>
                    </w:p>
                    <w:p w14:paraId="21432992" w14:textId="3E3433C0" w:rsidR="004C456F" w:rsidRPr="004924DC" w:rsidRDefault="004C456F" w:rsidP="004924DC">
                      <w:pPr>
                        <w:pStyle w:val="TLIdentifikace-sted"/>
                      </w:pPr>
                      <w:r>
                        <w:t xml:space="preserve">Praha, </w:t>
                      </w:r>
                      <w:r w:rsidR="00011F39">
                        <w:t>23</w:t>
                      </w:r>
                      <w:r>
                        <w:t xml:space="preserve">. </w:t>
                      </w:r>
                      <w:r w:rsidR="00011F39">
                        <w:t>3</w:t>
                      </w:r>
                      <w:r>
                        <w:t>. 202</w:t>
                      </w:r>
                      <w:r w:rsidR="00011F39">
                        <w:t>6</w:t>
                      </w:r>
                    </w:p>
                    <w:p w14:paraId="21432993" w14:textId="08E82A7D" w:rsidR="004C456F" w:rsidRPr="004924DC" w:rsidRDefault="004C456F" w:rsidP="004924DC">
                      <w:pPr>
                        <w:pStyle w:val="TLIdentifikace-sted"/>
                      </w:pPr>
                      <w:r w:rsidRPr="004924DC">
                        <w:t xml:space="preserve">Kód publikace: </w:t>
                      </w:r>
                      <w:r>
                        <w:t>320193-25</w:t>
                      </w:r>
                    </w:p>
                    <w:p w14:paraId="21432994" w14:textId="1293B6A5" w:rsidR="004C456F" w:rsidRPr="004924DC" w:rsidRDefault="004C456F" w:rsidP="004924DC">
                      <w:pPr>
                        <w:pStyle w:val="TLIdentifikace-sted"/>
                      </w:pPr>
                      <w:r>
                        <w:t xml:space="preserve">Pořadové číslo v roce: </w:t>
                      </w:r>
                      <w:r w:rsidR="00011F39">
                        <w:t>4</w:t>
                      </w:r>
                    </w:p>
                  </w:txbxContent>
                </v:textbox>
                <w10:wrap anchorx="page" anchory="page"/>
                <w10:anchorlock/>
              </v:shape>
            </w:pict>
          </mc:Fallback>
        </mc:AlternateContent>
      </w:r>
      <w:r>
        <w:rPr>
          <w:noProof/>
        </w:rPr>
        <mc:AlternateContent>
          <mc:Choice Requires="wps">
            <w:drawing>
              <wp:anchor distT="0" distB="0" distL="114300" distR="114300" simplePos="0" relativeHeight="251654656" behindDoc="0" locked="1" layoutInCell="1" allowOverlap="1" wp14:anchorId="21432976" wp14:editId="21432977">
                <wp:simplePos x="0" y="0"/>
                <wp:positionH relativeFrom="page">
                  <wp:posOffset>1710055</wp:posOffset>
                </wp:positionH>
                <wp:positionV relativeFrom="page">
                  <wp:posOffset>1476375</wp:posOffset>
                </wp:positionV>
                <wp:extent cx="5129530" cy="2207895"/>
                <wp:effectExtent l="0" t="0" r="1270" b="1905"/>
                <wp:wrapNone/>
                <wp:docPr id="2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9530" cy="220789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w="9525">
                              <a:solidFill>
                                <a:srgbClr val="000000"/>
                              </a:solidFill>
                              <a:miter lim="800000"/>
                              <a:headEnd/>
                              <a:tailEnd/>
                            </a14:hiddenLine>
                          </a:ext>
                        </a:extLst>
                      </wps:spPr>
                      <wps:txbx>
                        <w:txbxContent>
                          <w:p w14:paraId="1570B5D3" w14:textId="77777777" w:rsidR="004C456F" w:rsidRDefault="004C456F" w:rsidP="007342AC">
                            <w:pPr>
                              <w:pStyle w:val="Podnadpis"/>
                              <w:rPr>
                                <w:rFonts w:cs="Times New Roman"/>
                                <w:bCs/>
                                <w:caps/>
                                <w:kern w:val="28"/>
                                <w:sz w:val="56"/>
                                <w:szCs w:val="32"/>
                              </w:rPr>
                            </w:pPr>
                            <w:r w:rsidRPr="00C72884">
                              <w:rPr>
                                <w:rFonts w:cs="Times New Roman"/>
                                <w:bCs/>
                                <w:caps/>
                                <w:kern w:val="28"/>
                                <w:sz w:val="56"/>
                                <w:szCs w:val="32"/>
                              </w:rPr>
                              <w:t>VÝVOJ EKONOMIKY ČESKÉ REPUBLIKY</w:t>
                            </w:r>
                          </w:p>
                          <w:p w14:paraId="21432997" w14:textId="13BC21C1" w:rsidR="004C456F" w:rsidRPr="00DE02BD" w:rsidRDefault="00F25B4A" w:rsidP="007342AC">
                            <w:pPr>
                              <w:pStyle w:val="Podnadpis"/>
                            </w:pPr>
                            <w:r>
                              <w:t>rok</w:t>
                            </w:r>
                            <w:r w:rsidR="004C456F">
                              <w:t xml:space="preserve"> 2025</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1432976" id="_x0000_s1028" type="#_x0000_t202" style="position:absolute;margin-left:134.65pt;margin-top:116.25pt;width:403.9pt;height:173.8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" filled="f" stroked="f">
                <v:textbox style="mso-fit-shape-to-text:t" inset="0,0,0,0">
                  <w:txbxContent>
                    <w:p w14:paraId="1570B5D3" w14:textId="77777777" w:rsidR="004C456F" w:rsidRDefault="004C456F" w:rsidP="007342AC">
                      <w:pPr>
                        <w:pStyle w:val="Podnadpis"/>
                        <w:rPr>
                          <w:rFonts w:cs="Times New Roman"/>
                          <w:bCs/>
                          <w:caps/>
                          <w:kern w:val="28"/>
                          <w:sz w:val="56"/>
                          <w:szCs w:val="32"/>
                        </w:rPr>
                      </w:pPr>
                      <w:r w:rsidRPr="00C72884">
                        <w:rPr>
                          <w:rFonts w:cs="Times New Roman"/>
                          <w:bCs/>
                          <w:caps/>
                          <w:kern w:val="28"/>
                          <w:sz w:val="56"/>
                          <w:szCs w:val="32"/>
                        </w:rPr>
                        <w:t>VÝVOJ EKONOMIKY ČESKÉ REPUBLIKY</w:t>
                      </w:r>
                    </w:p>
                    <w:p w14:paraId="21432997" w14:textId="13BC21C1" w:rsidR="004C456F" w:rsidRPr="00DE02BD" w:rsidRDefault="00F25B4A" w:rsidP="007342AC">
                      <w:pPr>
                        <w:pStyle w:val="Podnadpis"/>
                      </w:pPr>
                      <w:r>
                        <w:t>rok</w:t>
                      </w:r>
                      <w:r w:rsidR="004C456F">
                        <w:t xml:space="preserve"> 2025</w:t>
                      </w:r>
                    </w:p>
                  </w:txbxContent>
                </v:textbox>
                <w10:wrap anchorx="page" anchory="page"/>
                <w10:anchorlock/>
              </v:shape>
            </w:pict>
          </mc:Fallback>
        </mc:AlternateContent>
      </w:r>
      <w:r>
        <w:rPr>
          <w:noProof/>
        </w:rPr>
        <mc:AlternateContent>
          <mc:Choice Requires="wps">
            <w:drawing>
              <wp:anchor distT="0" distB="0" distL="114300" distR="114300" simplePos="0" relativeHeight="251658752" behindDoc="0" locked="1" layoutInCell="1" allowOverlap="1" wp14:anchorId="21432978" wp14:editId="5BD8AB08">
                <wp:simplePos x="0" y="0"/>
                <wp:positionH relativeFrom="page">
                  <wp:posOffset>1700530</wp:posOffset>
                </wp:positionH>
                <wp:positionV relativeFrom="page">
                  <wp:posOffset>9649460</wp:posOffset>
                </wp:positionV>
                <wp:extent cx="5130165" cy="179705"/>
                <wp:effectExtent l="0" t="0" r="13335" b="10795"/>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165" cy="17970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w="9525">
                              <a:solidFill>
                                <a:srgbClr val="000000"/>
                              </a:solidFill>
                              <a:miter lim="800000"/>
                              <a:headEnd/>
                              <a:tailEnd/>
                            </a14:hiddenLine>
                          </a:ext>
                        </a:extLst>
                      </wps:spPr>
                      <wps:txbx>
                        <w:txbxContent>
                          <w:p w14:paraId="21432999" w14:textId="06403214" w:rsidR="004C456F" w:rsidRPr="004924DC" w:rsidRDefault="004C456F" w:rsidP="004924DC">
                            <w:r w:rsidRPr="004924DC">
                              <w:t xml:space="preserve">© Český statistický úřad, </w:t>
                            </w:r>
                            <w:r>
                              <w:t>Praha</w:t>
                            </w:r>
                            <w:r w:rsidRPr="004924DC">
                              <w:t xml:space="preserve">, </w:t>
                            </w:r>
                            <w:r>
                              <w:t>202</w:t>
                            </w:r>
                            <w:r w:rsidR="00011F39">
                              <w:t>6</w:t>
                            </w:r>
                          </w:p>
                          <w:p w14:paraId="2143299A" w14:textId="77777777" w:rsidR="004C456F" w:rsidRPr="005251DD" w:rsidRDefault="004C456F" w:rsidP="00665BA4"/>
                          <w:p w14:paraId="2143299B" w14:textId="77777777" w:rsidR="004C456F" w:rsidRPr="005251DD" w:rsidRDefault="004C456F" w:rsidP="00FC684B"/>
                          <w:p w14:paraId="2143299C" w14:textId="77777777" w:rsidR="004C456F" w:rsidRDefault="004C456F"/>
                          <w:p w14:paraId="2143299D" w14:textId="77777777" w:rsidR="004C456F" w:rsidRPr="00097407" w:rsidRDefault="004C456F" w:rsidP="00665BA4">
                            <w:r w:rsidRPr="00097407">
                              <w:t xml:space="preserve">© </w:t>
                            </w:r>
                            <w:r w:rsidRPr="005251DD">
                              <w:t>Český statistický úřad</w:t>
                            </w:r>
                            <w:r>
                              <w:t xml:space="preserve"> / </w:t>
                            </w:r>
                            <w:r w:rsidRPr="009A1902">
                              <w:rPr>
                                <w:i/>
                              </w:rPr>
                              <w:t xml:space="preserve">Czech </w:t>
                            </w:r>
                            <w:r w:rsidRPr="009A1902">
                              <w:rPr>
                                <w:rFonts w:cs="Arial"/>
                                <w:i/>
                                <w:szCs w:val="20"/>
                              </w:rPr>
                              <w:t>Statistical Office</w:t>
                            </w:r>
                            <w:r w:rsidRPr="00097407">
                              <w:t>, místo, rok vydání</w:t>
                            </w:r>
                          </w:p>
                          <w:p w14:paraId="2143299E" w14:textId="77777777" w:rsidR="004C456F" w:rsidRPr="005251DD" w:rsidRDefault="004C456F" w:rsidP="00665BA4"/>
                          <w:p w14:paraId="2143299F" w14:textId="77777777" w:rsidR="004C456F" w:rsidRPr="005251DD" w:rsidRDefault="004C456F" w:rsidP="00FC684B"/>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432978" id="_x0000_s1029" type="#_x0000_t202" style="position:absolute;margin-left:133.9pt;margin-top:759.8pt;width:403.95pt;height:14.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" filled="f" stroked="f">
                <v:textbox inset="0,0,0,0">
                  <w:txbxContent>
                    <w:p w14:paraId="21432999" w14:textId="06403214" w:rsidR="004C456F" w:rsidRPr="004924DC" w:rsidRDefault="004C456F" w:rsidP="004924DC">
                      <w:r w:rsidRPr="004924DC">
                        <w:t xml:space="preserve">© Český statistický úřad, </w:t>
                      </w:r>
                      <w:r>
                        <w:t>Praha</w:t>
                      </w:r>
                      <w:r w:rsidRPr="004924DC">
                        <w:t xml:space="preserve">, </w:t>
                      </w:r>
                      <w:r>
                        <w:t>202</w:t>
                      </w:r>
                      <w:r w:rsidR="00011F39">
                        <w:t>6</w:t>
                      </w:r>
                    </w:p>
                    <w:p w14:paraId="2143299A" w14:textId="77777777" w:rsidR="004C456F" w:rsidRPr="005251DD" w:rsidRDefault="004C456F" w:rsidP="00665BA4"/>
                    <w:p w14:paraId="2143299B" w14:textId="77777777" w:rsidR="004C456F" w:rsidRPr="005251DD" w:rsidRDefault="004C456F" w:rsidP="00FC684B"/>
                    <w:p w14:paraId="2143299C" w14:textId="77777777" w:rsidR="004C456F" w:rsidRDefault="004C456F"/>
                    <w:p w14:paraId="2143299D" w14:textId="77777777" w:rsidR="004C456F" w:rsidRPr="00097407" w:rsidRDefault="004C456F" w:rsidP="00665BA4">
                      <w:r w:rsidRPr="00097407">
                        <w:t xml:space="preserve">© </w:t>
                      </w:r>
                      <w:r w:rsidRPr="005251DD">
                        <w:t>Český statistický úřad</w:t>
                      </w:r>
                      <w:r>
                        <w:t xml:space="preserve"> / </w:t>
                      </w:r>
                      <w:r w:rsidRPr="009A1902">
                        <w:rPr>
                          <w:i/>
                        </w:rPr>
                        <w:t xml:space="preserve">Czech </w:t>
                      </w:r>
                      <w:r w:rsidRPr="009A1902">
                        <w:rPr>
                          <w:rFonts w:cs="Arial"/>
                          <w:i/>
                          <w:szCs w:val="20"/>
                        </w:rPr>
                        <w:t>Statistical Office</w:t>
                      </w:r>
                      <w:r w:rsidRPr="00097407">
                        <w:t>, místo, rok vydání</w:t>
                      </w:r>
                    </w:p>
                    <w:p w14:paraId="2143299E" w14:textId="77777777" w:rsidR="004C456F" w:rsidRPr="005251DD" w:rsidRDefault="004C456F" w:rsidP="00665BA4"/>
                    <w:p w14:paraId="2143299F" w14:textId="77777777" w:rsidR="004C456F" w:rsidRPr="005251DD" w:rsidRDefault="004C456F" w:rsidP="00FC684B"/>
                  </w:txbxContent>
                </v:textbox>
                <w10:wrap anchorx="page" anchory="page"/>
                <w10:anchorlock/>
              </v:shape>
            </w:pict>
          </mc:Fallback>
        </mc:AlternateContent>
      </w:r>
      <w:r>
        <w:rPr>
          <w:noProof/>
        </w:rPr>
        <mc:AlternateContent>
          <mc:Choice Requires="wps">
            <w:drawing>
              <wp:anchor distT="4294967294" distB="4294967294" distL="114300" distR="114300" simplePos="0" relativeHeight="251653632" behindDoc="0" locked="1" layoutInCell="0" allowOverlap="1" wp14:anchorId="2143297A" wp14:editId="2143297B">
                <wp:simplePos x="0" y="0"/>
                <wp:positionH relativeFrom="page">
                  <wp:posOffset>1710055</wp:posOffset>
                </wp:positionH>
                <wp:positionV relativeFrom="page">
                  <wp:posOffset>9361169</wp:posOffset>
                </wp:positionV>
                <wp:extent cx="5130165" cy="0"/>
                <wp:effectExtent l="0" t="0" r="26035" b="25400"/>
                <wp:wrapNone/>
                <wp:docPr id="33" name="Přímá spojnic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30165"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87FA678" id="Přímá spojnice 33" o:spid="_x0000_s1026" style="position:absolute;z-index:25165363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134.65pt,737.1pt" to="538.6pt,7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" o:allowincell="f" strokecolor="windowText" strokeweight="1pt">
                <o:lock v:ext="edit" shapetype="f"/>
                <w10:wrap anchorx="page" anchory="page"/>
                <w10:anchorlock/>
              </v:line>
            </w:pict>
          </mc:Fallback>
        </mc:AlternateContent>
      </w:r>
      <w:r w:rsidR="00F63FB7">
        <w:br w:type="page"/>
      </w:r>
      <w:r>
        <w:lastRenderedPageBreak/>
        <w:br w:type="page"/>
      </w:r>
      <w:r>
        <w:rPr>
          <w:noProof/>
        </w:rPr>
        <mc:AlternateContent>
          <mc:Choice Requires="wps">
            <w:drawing>
              <wp:anchor distT="0" distB="0" distL="114300" distR="114300" simplePos="0" relativeHeight="251659776" behindDoc="0" locked="1" layoutInCell="1" allowOverlap="1" wp14:anchorId="2143297C" wp14:editId="2143297D">
                <wp:simplePos x="0" y="0"/>
                <wp:positionH relativeFrom="page">
                  <wp:posOffset>723900</wp:posOffset>
                </wp:positionH>
                <wp:positionV relativeFrom="page">
                  <wp:posOffset>1440180</wp:posOffset>
                </wp:positionV>
                <wp:extent cx="6119495" cy="7673340"/>
                <wp:effectExtent l="0" t="5080" r="1905" b="635"/>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767334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w="9525">
                              <a:solidFill>
                                <a:srgbClr val="000000"/>
                              </a:solidFill>
                              <a:miter lim="800000"/>
                              <a:headEnd/>
                              <a:tailEnd/>
                            </a14:hiddenLine>
                          </a:ext>
                        </a:extLst>
                      </wps:spPr>
                      <wps:txbx>
                        <w:txbxContent>
                          <w:p w14:paraId="214329A0" w14:textId="77777777" w:rsidR="004C456F" w:rsidRPr="00DE02BD" w:rsidRDefault="004C456F" w:rsidP="00040D10">
                            <w:pPr>
                              <w:pStyle w:val="TLKontaktyerven"/>
                            </w:pPr>
                            <w:r w:rsidRPr="00DE02BD">
                              <w:t>KONTAKTY V ÚSTŘEDÍ</w:t>
                            </w:r>
                          </w:p>
                          <w:p w14:paraId="214329A1" w14:textId="77777777" w:rsidR="004C456F" w:rsidRPr="007D40DF" w:rsidRDefault="004C456F" w:rsidP="00040D10">
                            <w:pPr>
                              <w:pStyle w:val="TLKontakty"/>
                              <w:spacing w:after="80" w:line="240" w:lineRule="auto"/>
                              <w:contextualSpacing w:val="0"/>
                              <w:rPr>
                                <w:b w:val="0"/>
                                <w:color w:val="auto"/>
                              </w:rPr>
                            </w:pPr>
                            <w:r w:rsidRPr="00EA0987">
                              <w:t>Český statistický úřad</w:t>
                            </w:r>
                            <w:r w:rsidRPr="00EA0987">
                              <w:rPr>
                                <w:b w:val="0"/>
                              </w:rPr>
                              <w:t xml:space="preserve"> </w:t>
                            </w:r>
                            <w:r w:rsidRPr="007D40DF">
                              <w:rPr>
                                <w:b w:val="0"/>
                                <w:color w:val="auto"/>
                              </w:rPr>
                              <w:t>| Na</w:t>
                            </w:r>
                            <w:r>
                              <w:rPr>
                                <w:b w:val="0"/>
                                <w:color w:val="auto"/>
                              </w:rPr>
                              <w:t xml:space="preserve"> padesátém 81, 100 82 Praha</w:t>
                            </w:r>
                            <w:r w:rsidRPr="007D40DF">
                              <w:rPr>
                                <w:b w:val="0"/>
                                <w:color w:val="auto"/>
                              </w:rPr>
                              <w:t> </w:t>
                            </w:r>
                            <w:r>
                              <w:rPr>
                                <w:b w:val="0"/>
                                <w:color w:val="auto"/>
                              </w:rPr>
                              <w:t xml:space="preserve">10, </w:t>
                            </w:r>
                            <w:r w:rsidRPr="007D40DF">
                              <w:rPr>
                                <w:b w:val="0"/>
                                <w:color w:val="auto"/>
                              </w:rPr>
                              <w:t xml:space="preserve">tel.: 274 051 111 | </w:t>
                            </w:r>
                            <w:r>
                              <w:rPr>
                                <w:color w:val="auto"/>
                              </w:rPr>
                              <w:t>www.csu.gov</w:t>
                            </w:r>
                            <w:r w:rsidRPr="007D40DF">
                              <w:rPr>
                                <w:color w:val="auto"/>
                              </w:rPr>
                              <w:t>.cz</w:t>
                            </w:r>
                          </w:p>
                          <w:p w14:paraId="214329A2" w14:textId="77777777" w:rsidR="004C456F" w:rsidRPr="00D235B7" w:rsidRDefault="004C456F" w:rsidP="00040D10">
                            <w:pPr>
                              <w:pStyle w:val="TLKontakty"/>
                              <w:spacing w:after="80" w:line="240" w:lineRule="auto"/>
                              <w:contextualSpacing w:val="0"/>
                              <w:rPr>
                                <w:b w:val="0"/>
                                <w:color w:val="auto"/>
                              </w:rPr>
                            </w:pPr>
                            <w:r w:rsidRPr="00D235B7">
                              <w:rPr>
                                <w:color w:val="auto"/>
                              </w:rPr>
                              <w:t>Oddělení informačních služeb</w:t>
                            </w:r>
                            <w:r>
                              <w:rPr>
                                <w:b w:val="0"/>
                                <w:color w:val="auto"/>
                              </w:rPr>
                              <w:t xml:space="preserve"> | tel.: 274 056 789 | e-mail: infoservis@csu.gov</w:t>
                            </w:r>
                            <w:r w:rsidRPr="00D235B7">
                              <w:rPr>
                                <w:b w:val="0"/>
                                <w:color w:val="auto"/>
                              </w:rPr>
                              <w:t>.cz</w:t>
                            </w:r>
                          </w:p>
                          <w:p w14:paraId="214329A3" w14:textId="77777777" w:rsidR="004C456F" w:rsidRPr="00D235B7" w:rsidRDefault="004C456F" w:rsidP="00040D10">
                            <w:pPr>
                              <w:pStyle w:val="TLKontakty"/>
                              <w:spacing w:after="80" w:line="240" w:lineRule="auto"/>
                              <w:contextualSpacing w:val="0"/>
                              <w:rPr>
                                <w:b w:val="0"/>
                                <w:color w:val="auto"/>
                              </w:rPr>
                            </w:pPr>
                            <w:r w:rsidRPr="00D235B7">
                              <w:rPr>
                                <w:color w:val="auto"/>
                              </w:rPr>
                              <w:t>Prodejna publikací ČSÚ</w:t>
                            </w:r>
                            <w:r w:rsidRPr="00D235B7">
                              <w:rPr>
                                <w:b w:val="0"/>
                                <w:color w:val="auto"/>
                              </w:rPr>
                              <w:t xml:space="preserve"> | tel.: 274</w:t>
                            </w:r>
                            <w:r>
                              <w:rPr>
                                <w:b w:val="0"/>
                                <w:color w:val="auto"/>
                              </w:rPr>
                              <w:t xml:space="preserve"> 052 361 | e-mail: prodejna@csu.gov</w:t>
                            </w:r>
                            <w:r w:rsidRPr="00D235B7">
                              <w:rPr>
                                <w:b w:val="0"/>
                                <w:color w:val="auto"/>
                              </w:rPr>
                              <w:t>.cz</w:t>
                            </w:r>
                          </w:p>
                          <w:p w14:paraId="214329A4" w14:textId="77777777" w:rsidR="004C456F" w:rsidRPr="00D235B7" w:rsidRDefault="004C456F" w:rsidP="00040D10">
                            <w:pPr>
                              <w:pStyle w:val="TLKontakty"/>
                              <w:spacing w:after="80" w:line="240" w:lineRule="auto"/>
                              <w:contextualSpacing w:val="0"/>
                              <w:rPr>
                                <w:b w:val="0"/>
                                <w:color w:val="auto"/>
                              </w:rPr>
                            </w:pPr>
                            <w:r w:rsidRPr="00D235B7">
                              <w:rPr>
                                <w:color w:val="auto"/>
                              </w:rPr>
                              <w:t>Evropská data (ESDS), mezinárodní srovnání</w:t>
                            </w:r>
                            <w:r>
                              <w:rPr>
                                <w:b w:val="0"/>
                                <w:color w:val="auto"/>
                              </w:rPr>
                              <w:t xml:space="preserve"> | tel.: 274 052 732 | e-mail: esds@csu.gov</w:t>
                            </w:r>
                            <w:r w:rsidRPr="00D235B7">
                              <w:rPr>
                                <w:b w:val="0"/>
                                <w:color w:val="auto"/>
                              </w:rPr>
                              <w:t>.cz</w:t>
                            </w:r>
                          </w:p>
                          <w:p w14:paraId="214329A5" w14:textId="77777777" w:rsidR="004C456F" w:rsidRPr="00D235B7" w:rsidRDefault="004C456F" w:rsidP="00040D10">
                            <w:pPr>
                              <w:pStyle w:val="TLKontakty"/>
                              <w:spacing w:after="80" w:line="240" w:lineRule="auto"/>
                              <w:contextualSpacing w:val="0"/>
                              <w:rPr>
                                <w:b w:val="0"/>
                                <w:color w:val="auto"/>
                              </w:rPr>
                            </w:pPr>
                            <w:r w:rsidRPr="00D235B7">
                              <w:rPr>
                                <w:color w:val="auto"/>
                              </w:rPr>
                              <w:t>Ústřední statistická knihovna</w:t>
                            </w:r>
                            <w:r w:rsidRPr="00D235B7">
                              <w:rPr>
                                <w:b w:val="0"/>
                                <w:color w:val="auto"/>
                              </w:rPr>
                              <w:t xml:space="preserve"> | tel.: 274</w:t>
                            </w:r>
                            <w:r>
                              <w:rPr>
                                <w:b w:val="0"/>
                                <w:color w:val="auto"/>
                              </w:rPr>
                              <w:t xml:space="preserve"> 052 361 | e-mail: knihovna@csu.gov</w:t>
                            </w:r>
                            <w:r w:rsidRPr="00D235B7">
                              <w:rPr>
                                <w:b w:val="0"/>
                                <w:color w:val="auto"/>
                              </w:rPr>
                              <w:t>.cz</w:t>
                            </w:r>
                          </w:p>
                          <w:p w14:paraId="214329A6" w14:textId="77777777" w:rsidR="004C456F" w:rsidRPr="004A61C5" w:rsidRDefault="004C456F" w:rsidP="00040D10">
                            <w:pPr>
                              <w:pStyle w:val="TLKontakty"/>
                              <w:spacing w:after="80" w:line="240" w:lineRule="auto"/>
                              <w:contextualSpacing w:val="0"/>
                              <w:rPr>
                                <w:color w:val="auto"/>
                              </w:rPr>
                            </w:pPr>
                          </w:p>
                          <w:p w14:paraId="40288679" w14:textId="77777777" w:rsidR="004C456F" w:rsidRPr="00DE02BD" w:rsidRDefault="004C456F" w:rsidP="00AB535B">
                            <w:pPr>
                              <w:pStyle w:val="TLKontaktyerven"/>
                            </w:pPr>
                            <w:r w:rsidRPr="00DE02BD">
                              <w:t>INFORMAČNÍ SLUŽBY V REGIONECH</w:t>
                            </w:r>
                          </w:p>
                          <w:p w14:paraId="6DBBA526" w14:textId="77777777" w:rsidR="004C456F" w:rsidRPr="00992CF3" w:rsidRDefault="004C456F" w:rsidP="00AB535B">
                            <w:pPr>
                              <w:pStyle w:val="TLKontakty"/>
                              <w:spacing w:after="80" w:line="240" w:lineRule="auto"/>
                              <w:rPr>
                                <w:b w:val="0"/>
                                <w:color w:val="auto"/>
                              </w:rPr>
                            </w:pPr>
                            <w:r w:rsidRPr="00EA0987">
                              <w:t>Hl. m. Praha</w:t>
                            </w:r>
                            <w:r w:rsidRPr="00EA0987">
                              <w:rPr>
                                <w:b w:val="0"/>
                              </w:rPr>
                              <w:t xml:space="preserve"> </w:t>
                            </w:r>
                            <w:r w:rsidRPr="00992CF3">
                              <w:rPr>
                                <w:b w:val="0"/>
                                <w:color w:val="auto"/>
                              </w:rPr>
                              <w:t>| Na</w:t>
                            </w:r>
                            <w:r>
                              <w:rPr>
                                <w:b w:val="0"/>
                                <w:color w:val="auto"/>
                              </w:rPr>
                              <w:t xml:space="preserve"> padesátém 81, 100 82 Praha 10, </w:t>
                            </w:r>
                            <w:r w:rsidRPr="00992CF3">
                              <w:rPr>
                                <w:b w:val="0"/>
                                <w:color w:val="auto"/>
                              </w:rPr>
                              <w:t>tel.</w:t>
                            </w:r>
                            <w:r w:rsidRPr="007D40DF">
                              <w:rPr>
                                <w:b w:val="0"/>
                                <w:color w:val="auto"/>
                              </w:rPr>
                              <w:t>:</w:t>
                            </w:r>
                            <w:r>
                              <w:rPr>
                                <w:b w:val="0"/>
                                <w:color w:val="auto"/>
                              </w:rPr>
                              <w:t xml:space="preserve"> 274 052 673</w:t>
                            </w:r>
                          </w:p>
                          <w:p w14:paraId="52BB90CC" w14:textId="77777777" w:rsidR="004C456F" w:rsidRPr="00992CF3" w:rsidRDefault="004C456F" w:rsidP="00AB535B">
                            <w:pPr>
                              <w:pStyle w:val="TLKontakty"/>
                              <w:spacing w:after="80" w:line="240" w:lineRule="auto"/>
                              <w:rPr>
                                <w:b w:val="0"/>
                                <w:color w:val="auto"/>
                              </w:rPr>
                            </w:pPr>
                            <w:r w:rsidRPr="00992CF3">
                              <w:rPr>
                                <w:b w:val="0"/>
                                <w:color w:val="auto"/>
                              </w:rPr>
                              <w:t>e-mail: infoservispraha@</w:t>
                            </w:r>
                            <w:r>
                              <w:rPr>
                                <w:b w:val="0"/>
                                <w:color w:val="auto"/>
                              </w:rPr>
                              <w:t>csu.gov</w:t>
                            </w:r>
                            <w:r w:rsidRPr="00D235B7">
                              <w:rPr>
                                <w:b w:val="0"/>
                                <w:color w:val="auto"/>
                              </w:rPr>
                              <w:t>.cz</w:t>
                            </w:r>
                            <w:r w:rsidRPr="00992CF3">
                              <w:rPr>
                                <w:b w:val="0"/>
                                <w:color w:val="auto"/>
                              </w:rPr>
                              <w:t xml:space="preserve"> | </w:t>
                            </w:r>
                            <w:r>
                              <w:rPr>
                                <w:color w:val="auto"/>
                              </w:rPr>
                              <w:t>www.csu.gov.cz/praha</w:t>
                            </w:r>
                          </w:p>
                          <w:p w14:paraId="00AED4D4" w14:textId="77777777" w:rsidR="004C456F" w:rsidRPr="004A61C5" w:rsidRDefault="004C456F" w:rsidP="00AB535B">
                            <w:pPr>
                              <w:pStyle w:val="TLKontakty"/>
                              <w:spacing w:after="80" w:line="240" w:lineRule="auto"/>
                              <w:rPr>
                                <w:color w:val="auto"/>
                              </w:rPr>
                            </w:pPr>
                          </w:p>
                          <w:p w14:paraId="4E278003" w14:textId="77777777" w:rsidR="004C456F" w:rsidRPr="00992CF3" w:rsidRDefault="004C456F" w:rsidP="00AB535B">
                            <w:pPr>
                              <w:pStyle w:val="TLKontakty"/>
                              <w:spacing w:after="80" w:line="240" w:lineRule="auto"/>
                              <w:rPr>
                                <w:b w:val="0"/>
                                <w:color w:val="auto"/>
                              </w:rPr>
                            </w:pPr>
                            <w:r w:rsidRPr="00EA0987">
                              <w:t>Středočeský kraj</w:t>
                            </w:r>
                            <w:r w:rsidRPr="00EA0987">
                              <w:rPr>
                                <w:b w:val="0"/>
                              </w:rPr>
                              <w:t xml:space="preserve"> </w:t>
                            </w:r>
                            <w:r w:rsidRPr="00992CF3">
                              <w:rPr>
                                <w:b w:val="0"/>
                                <w:color w:val="auto"/>
                              </w:rPr>
                              <w:t>| Na padesátém 81, 100 82 Praha 10, tel.</w:t>
                            </w:r>
                            <w:r>
                              <w:rPr>
                                <w:b w:val="0"/>
                                <w:color w:val="auto"/>
                              </w:rPr>
                              <w:t xml:space="preserve">: </w:t>
                            </w:r>
                            <w:r w:rsidRPr="00992CF3">
                              <w:rPr>
                                <w:b w:val="0"/>
                                <w:color w:val="auto"/>
                              </w:rPr>
                              <w:t>274 054 175</w:t>
                            </w:r>
                          </w:p>
                          <w:p w14:paraId="5C66D95E" w14:textId="77777777" w:rsidR="004C456F" w:rsidRPr="00992CF3" w:rsidRDefault="004C456F" w:rsidP="00AB535B">
                            <w:pPr>
                              <w:pStyle w:val="TLKontakty"/>
                              <w:spacing w:after="80" w:line="240" w:lineRule="auto"/>
                              <w:rPr>
                                <w:color w:val="auto"/>
                              </w:rPr>
                            </w:pPr>
                            <w:r w:rsidRPr="00992CF3">
                              <w:rPr>
                                <w:b w:val="0"/>
                                <w:color w:val="auto"/>
                              </w:rPr>
                              <w:t>e-mail: infoservisstc@</w:t>
                            </w:r>
                            <w:r>
                              <w:rPr>
                                <w:b w:val="0"/>
                                <w:color w:val="auto"/>
                              </w:rPr>
                              <w:t>csu.gov</w:t>
                            </w:r>
                            <w:r w:rsidRPr="00D235B7">
                              <w:rPr>
                                <w:b w:val="0"/>
                                <w:color w:val="auto"/>
                              </w:rPr>
                              <w:t>.cz</w:t>
                            </w:r>
                            <w:r w:rsidRPr="00992CF3">
                              <w:rPr>
                                <w:b w:val="0"/>
                                <w:color w:val="auto"/>
                              </w:rPr>
                              <w:t xml:space="preserve"> | </w:t>
                            </w:r>
                            <w:r w:rsidRPr="00992CF3">
                              <w:rPr>
                                <w:color w:val="auto"/>
                              </w:rPr>
                              <w:t>www.</w:t>
                            </w:r>
                            <w:r>
                              <w:rPr>
                                <w:color w:val="auto"/>
                              </w:rPr>
                              <w:t>csu.gov.cz/stredocesky</w:t>
                            </w:r>
                          </w:p>
                          <w:p w14:paraId="70ADCE20" w14:textId="77777777" w:rsidR="004C456F" w:rsidRPr="004A61C5" w:rsidRDefault="004C456F" w:rsidP="00AB535B">
                            <w:pPr>
                              <w:pStyle w:val="TLKontakty"/>
                              <w:spacing w:after="80" w:line="240" w:lineRule="auto"/>
                              <w:rPr>
                                <w:color w:val="auto"/>
                              </w:rPr>
                            </w:pPr>
                          </w:p>
                          <w:p w14:paraId="56C99FCE" w14:textId="77777777" w:rsidR="004C456F" w:rsidRPr="00992CF3" w:rsidRDefault="004C456F" w:rsidP="00AB535B">
                            <w:pPr>
                              <w:pStyle w:val="TLKontakty"/>
                              <w:spacing w:after="80" w:line="240" w:lineRule="auto"/>
                              <w:rPr>
                                <w:b w:val="0"/>
                                <w:color w:val="auto"/>
                              </w:rPr>
                            </w:pPr>
                            <w:r w:rsidRPr="00EA0987">
                              <w:t>České Budějovice</w:t>
                            </w:r>
                            <w:r w:rsidRPr="00EA0987">
                              <w:rPr>
                                <w:b w:val="0"/>
                              </w:rPr>
                              <w:t xml:space="preserve"> </w:t>
                            </w:r>
                            <w:r w:rsidRPr="00992CF3">
                              <w:rPr>
                                <w:b w:val="0"/>
                                <w:color w:val="auto"/>
                              </w:rPr>
                              <w:t>| Žižkova 1</w:t>
                            </w:r>
                            <w:r>
                              <w:rPr>
                                <w:b w:val="0"/>
                                <w:color w:val="auto"/>
                              </w:rPr>
                              <w:t>a</w:t>
                            </w:r>
                            <w:r w:rsidRPr="00992CF3">
                              <w:rPr>
                                <w:b w:val="0"/>
                                <w:color w:val="auto"/>
                              </w:rPr>
                              <w:t>, 370 77 České Budějovice</w:t>
                            </w:r>
                            <w:r>
                              <w:rPr>
                                <w:b w:val="0"/>
                                <w:color w:val="auto"/>
                              </w:rPr>
                              <w:t xml:space="preserve">, </w:t>
                            </w:r>
                            <w:r w:rsidRPr="00992CF3">
                              <w:rPr>
                                <w:b w:val="0"/>
                                <w:color w:val="auto"/>
                              </w:rPr>
                              <w:t>tel.</w:t>
                            </w:r>
                            <w:r>
                              <w:rPr>
                                <w:b w:val="0"/>
                                <w:color w:val="auto"/>
                              </w:rPr>
                              <w:t xml:space="preserve">: </w:t>
                            </w:r>
                            <w:r w:rsidRPr="00992CF3">
                              <w:rPr>
                                <w:b w:val="0"/>
                                <w:color w:val="auto"/>
                              </w:rPr>
                              <w:t>386 718 440</w:t>
                            </w:r>
                          </w:p>
                          <w:p w14:paraId="1004772F" w14:textId="77777777" w:rsidR="004C456F" w:rsidRPr="00992CF3" w:rsidRDefault="004C456F" w:rsidP="00AB535B">
                            <w:pPr>
                              <w:pStyle w:val="TLKontakty"/>
                              <w:spacing w:after="80" w:line="240" w:lineRule="auto"/>
                              <w:rPr>
                                <w:b w:val="0"/>
                                <w:color w:val="auto"/>
                              </w:rPr>
                            </w:pPr>
                            <w:r w:rsidRPr="00992CF3">
                              <w:rPr>
                                <w:b w:val="0"/>
                                <w:color w:val="auto"/>
                              </w:rPr>
                              <w:t>e-mail: infoserviscb@</w:t>
                            </w:r>
                            <w:r>
                              <w:rPr>
                                <w:b w:val="0"/>
                                <w:color w:val="auto"/>
                              </w:rPr>
                              <w:t>csu.gov</w:t>
                            </w:r>
                            <w:r w:rsidRPr="00D235B7">
                              <w:rPr>
                                <w:b w:val="0"/>
                                <w:color w:val="auto"/>
                              </w:rPr>
                              <w:t>.cz</w:t>
                            </w:r>
                            <w:r w:rsidRPr="00992CF3">
                              <w:rPr>
                                <w:b w:val="0"/>
                                <w:color w:val="auto"/>
                              </w:rPr>
                              <w:t xml:space="preserve"> | </w:t>
                            </w:r>
                            <w:r w:rsidRPr="00992CF3">
                              <w:rPr>
                                <w:color w:val="auto"/>
                              </w:rPr>
                              <w:t>www.</w:t>
                            </w:r>
                            <w:r>
                              <w:rPr>
                                <w:color w:val="auto"/>
                              </w:rPr>
                              <w:t>csu.gov.cz/jihocesky</w:t>
                            </w:r>
                          </w:p>
                          <w:p w14:paraId="165CF548" w14:textId="77777777" w:rsidR="004C456F" w:rsidRPr="004A61C5" w:rsidRDefault="004C456F" w:rsidP="00AB535B">
                            <w:pPr>
                              <w:pStyle w:val="TLKontakty"/>
                              <w:spacing w:after="80" w:line="240" w:lineRule="auto"/>
                              <w:rPr>
                                <w:color w:val="auto"/>
                              </w:rPr>
                            </w:pPr>
                          </w:p>
                          <w:p w14:paraId="073A8F45" w14:textId="77777777" w:rsidR="004C456F" w:rsidRPr="00BC731E" w:rsidRDefault="004C456F" w:rsidP="00AB535B">
                            <w:pPr>
                              <w:pStyle w:val="TLKontakty"/>
                              <w:spacing w:after="80" w:line="240" w:lineRule="auto"/>
                              <w:rPr>
                                <w:b w:val="0"/>
                                <w:color w:val="auto"/>
                              </w:rPr>
                            </w:pPr>
                            <w:r w:rsidRPr="00EA0987">
                              <w:t>Plzeň</w:t>
                            </w:r>
                            <w:r w:rsidRPr="00DE02BD">
                              <w:rPr>
                                <w:b w:val="0"/>
                                <w:color w:val="685B7A"/>
                              </w:rPr>
                              <w:t xml:space="preserve"> </w:t>
                            </w:r>
                            <w:r w:rsidRPr="004A61C5">
                              <w:rPr>
                                <w:b w:val="0"/>
                                <w:color w:val="auto"/>
                              </w:rPr>
                              <w:t>| Slovanská alej 36, 326 64 Plzeň</w:t>
                            </w:r>
                            <w:r>
                              <w:rPr>
                                <w:b w:val="0"/>
                                <w:color w:val="auto"/>
                              </w:rPr>
                              <w:t xml:space="preserve">, </w:t>
                            </w:r>
                            <w:r w:rsidRPr="004A61C5">
                              <w:rPr>
                                <w:b w:val="0"/>
                                <w:color w:val="auto"/>
                              </w:rPr>
                              <w:t>tel.</w:t>
                            </w:r>
                            <w:r>
                              <w:rPr>
                                <w:b w:val="0"/>
                                <w:color w:val="auto"/>
                              </w:rPr>
                              <w:t xml:space="preserve">: </w:t>
                            </w:r>
                            <w:r w:rsidRPr="004A61C5">
                              <w:rPr>
                                <w:b w:val="0"/>
                                <w:color w:val="auto"/>
                              </w:rPr>
                              <w:t>377 612 108</w:t>
                            </w:r>
                          </w:p>
                          <w:p w14:paraId="6C9701D0" w14:textId="77777777" w:rsidR="004C456F" w:rsidRPr="004A61C5" w:rsidRDefault="004C456F" w:rsidP="00AB535B">
                            <w:pPr>
                              <w:pStyle w:val="TLKontakty"/>
                              <w:spacing w:after="80" w:line="240" w:lineRule="auto"/>
                              <w:rPr>
                                <w:b w:val="0"/>
                                <w:color w:val="auto"/>
                              </w:rPr>
                            </w:pPr>
                            <w:r w:rsidRPr="004A61C5">
                              <w:rPr>
                                <w:b w:val="0"/>
                                <w:color w:val="auto"/>
                              </w:rPr>
                              <w:t>e-mail: infoservisplzen@</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csu.gov.cz/plzensky</w:t>
                            </w:r>
                          </w:p>
                          <w:p w14:paraId="782D67CB" w14:textId="77777777" w:rsidR="004C456F" w:rsidRPr="004A61C5" w:rsidRDefault="004C456F" w:rsidP="00AB535B">
                            <w:pPr>
                              <w:pStyle w:val="TLKontakty"/>
                              <w:spacing w:after="80" w:line="240" w:lineRule="auto"/>
                              <w:rPr>
                                <w:color w:val="auto"/>
                              </w:rPr>
                            </w:pPr>
                          </w:p>
                          <w:p w14:paraId="00F3D1DC" w14:textId="77777777" w:rsidR="004C456F" w:rsidRPr="004A61C5" w:rsidRDefault="004C456F" w:rsidP="00AB535B">
                            <w:pPr>
                              <w:pStyle w:val="TLKontakty"/>
                              <w:spacing w:after="80" w:line="240" w:lineRule="auto"/>
                              <w:rPr>
                                <w:b w:val="0"/>
                                <w:color w:val="auto"/>
                              </w:rPr>
                            </w:pPr>
                            <w:r w:rsidRPr="00EA0987">
                              <w:t>Karlovy Vary</w:t>
                            </w:r>
                            <w:r w:rsidRPr="00EA0987">
                              <w:rPr>
                                <w:b w:val="0"/>
                              </w:rPr>
                              <w:t xml:space="preserve"> </w:t>
                            </w:r>
                            <w:r w:rsidRPr="004A61C5">
                              <w:rPr>
                                <w:b w:val="0"/>
                                <w:color w:val="auto"/>
                              </w:rPr>
                              <w:t xml:space="preserve">| </w:t>
                            </w:r>
                            <w:r w:rsidRPr="00095135">
                              <w:rPr>
                                <w:b w:val="0"/>
                                <w:color w:val="auto"/>
                              </w:rPr>
                              <w:t>Závodní 360/94, 360 06 Karlovy Vary</w:t>
                            </w:r>
                            <w:r w:rsidRPr="004A61C5">
                              <w:rPr>
                                <w:b w:val="0"/>
                                <w:color w:val="auto"/>
                              </w:rPr>
                              <w:t>, tel.</w:t>
                            </w:r>
                            <w:r>
                              <w:rPr>
                                <w:b w:val="0"/>
                                <w:color w:val="auto"/>
                              </w:rPr>
                              <w:t>: 353 114 529</w:t>
                            </w:r>
                          </w:p>
                          <w:p w14:paraId="24C682D2" w14:textId="77777777" w:rsidR="004C456F" w:rsidRPr="004A61C5" w:rsidRDefault="004C456F" w:rsidP="00AB535B">
                            <w:pPr>
                              <w:pStyle w:val="TLKontakty"/>
                              <w:spacing w:after="80" w:line="240" w:lineRule="auto"/>
                              <w:rPr>
                                <w:b w:val="0"/>
                                <w:color w:val="auto"/>
                              </w:rPr>
                            </w:pPr>
                            <w:r w:rsidRPr="004A61C5">
                              <w:rPr>
                                <w:b w:val="0"/>
                                <w:color w:val="auto"/>
                              </w:rPr>
                              <w:t>e-mail: infoserviskv@</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csu.gov.cz/karlovarsky</w:t>
                            </w:r>
                          </w:p>
                          <w:p w14:paraId="6E9577F9" w14:textId="77777777" w:rsidR="004C456F" w:rsidRPr="004A61C5" w:rsidRDefault="004C456F" w:rsidP="00AB535B">
                            <w:pPr>
                              <w:pStyle w:val="TLKontakty"/>
                              <w:spacing w:after="80" w:line="240" w:lineRule="auto"/>
                              <w:rPr>
                                <w:color w:val="auto"/>
                              </w:rPr>
                            </w:pPr>
                          </w:p>
                          <w:p w14:paraId="77286DF2" w14:textId="77777777" w:rsidR="004C456F" w:rsidRPr="004A61C5" w:rsidRDefault="004C456F" w:rsidP="00AB535B">
                            <w:pPr>
                              <w:pStyle w:val="TLKontakty"/>
                              <w:spacing w:after="80" w:line="240" w:lineRule="auto"/>
                              <w:rPr>
                                <w:b w:val="0"/>
                                <w:color w:val="auto"/>
                              </w:rPr>
                            </w:pPr>
                            <w:r w:rsidRPr="00EA0987">
                              <w:t>Ústí nad Labem</w:t>
                            </w:r>
                            <w:r w:rsidRPr="00EA0987">
                              <w:rPr>
                                <w:b w:val="0"/>
                              </w:rPr>
                              <w:t xml:space="preserve"> </w:t>
                            </w:r>
                            <w:r w:rsidRPr="004A61C5">
                              <w:rPr>
                                <w:b w:val="0"/>
                                <w:color w:val="auto"/>
                              </w:rPr>
                              <w:t>| Špálova 2684, 400 11 Ústí nad Labem</w:t>
                            </w:r>
                            <w:r>
                              <w:rPr>
                                <w:b w:val="0"/>
                                <w:color w:val="auto"/>
                              </w:rPr>
                              <w:t xml:space="preserve">, </w:t>
                            </w:r>
                            <w:r w:rsidRPr="004A61C5">
                              <w:rPr>
                                <w:b w:val="0"/>
                                <w:color w:val="auto"/>
                              </w:rPr>
                              <w:t>tel.</w:t>
                            </w:r>
                            <w:r>
                              <w:rPr>
                                <w:b w:val="0"/>
                                <w:color w:val="auto"/>
                              </w:rPr>
                              <w:t>: 472 706 176</w:t>
                            </w:r>
                          </w:p>
                          <w:p w14:paraId="650EE774" w14:textId="77777777" w:rsidR="004C456F" w:rsidRPr="004A61C5" w:rsidRDefault="004C456F" w:rsidP="00AB535B">
                            <w:pPr>
                              <w:pStyle w:val="TLKontakty"/>
                              <w:spacing w:after="80" w:line="240" w:lineRule="auto"/>
                              <w:rPr>
                                <w:b w:val="0"/>
                                <w:color w:val="auto"/>
                              </w:rPr>
                            </w:pPr>
                            <w:r w:rsidRPr="004A61C5">
                              <w:rPr>
                                <w:b w:val="0"/>
                                <w:color w:val="auto"/>
                              </w:rPr>
                              <w:t>e-mail: infoservisul@</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csu.gov.cz/ustecky</w:t>
                            </w:r>
                          </w:p>
                          <w:p w14:paraId="07D247CD" w14:textId="77777777" w:rsidR="004C456F" w:rsidRPr="004A61C5" w:rsidRDefault="004C456F" w:rsidP="00AB535B">
                            <w:pPr>
                              <w:pStyle w:val="TLKontakty"/>
                              <w:spacing w:after="80" w:line="240" w:lineRule="auto"/>
                              <w:rPr>
                                <w:color w:val="auto"/>
                              </w:rPr>
                            </w:pPr>
                          </w:p>
                          <w:p w14:paraId="29194436" w14:textId="77777777" w:rsidR="004C456F" w:rsidRPr="004A61C5" w:rsidRDefault="004C456F" w:rsidP="00AB535B">
                            <w:pPr>
                              <w:pStyle w:val="TLKontakty"/>
                              <w:spacing w:after="80" w:line="240" w:lineRule="auto"/>
                              <w:rPr>
                                <w:b w:val="0"/>
                                <w:color w:val="auto"/>
                              </w:rPr>
                            </w:pPr>
                            <w:r w:rsidRPr="00EA0987">
                              <w:t>Liberec</w:t>
                            </w:r>
                            <w:r>
                              <w:rPr>
                                <w:b w:val="0"/>
                                <w:color w:val="auto"/>
                              </w:rPr>
                              <w:t xml:space="preserve"> | n</w:t>
                            </w:r>
                            <w:r w:rsidRPr="004A61C5">
                              <w:rPr>
                                <w:b w:val="0"/>
                                <w:color w:val="auto"/>
                              </w:rPr>
                              <w:t>ám. Dr. Edvarda</w:t>
                            </w:r>
                            <w:r>
                              <w:rPr>
                                <w:b w:val="0"/>
                                <w:color w:val="auto"/>
                              </w:rPr>
                              <w:t xml:space="preserve"> Beneše 585/26, 460 01 Liberec</w:t>
                            </w:r>
                            <w:r w:rsidRPr="004A61C5">
                              <w:rPr>
                                <w:b w:val="0"/>
                                <w:color w:val="auto"/>
                              </w:rPr>
                              <w:t>, tel.</w:t>
                            </w:r>
                            <w:r>
                              <w:rPr>
                                <w:b w:val="0"/>
                                <w:color w:val="auto"/>
                              </w:rPr>
                              <w:t>: 704 675 184</w:t>
                            </w:r>
                          </w:p>
                          <w:p w14:paraId="495AA30F" w14:textId="77777777" w:rsidR="004C456F" w:rsidRPr="004A61C5" w:rsidRDefault="004C456F" w:rsidP="00AB535B">
                            <w:pPr>
                              <w:pStyle w:val="TLKontakty"/>
                              <w:spacing w:after="80" w:line="240" w:lineRule="auto"/>
                              <w:rPr>
                                <w:b w:val="0"/>
                                <w:color w:val="auto"/>
                              </w:rPr>
                            </w:pPr>
                            <w:r w:rsidRPr="004A61C5">
                              <w:rPr>
                                <w:b w:val="0"/>
                                <w:color w:val="auto"/>
                              </w:rPr>
                              <w:t>e-mail: infoservislbc@</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csu.gov.cz/liberecky</w:t>
                            </w:r>
                          </w:p>
                          <w:p w14:paraId="352E4F51" w14:textId="77777777" w:rsidR="004C456F" w:rsidRPr="004A61C5" w:rsidRDefault="004C456F" w:rsidP="00AB535B">
                            <w:pPr>
                              <w:pStyle w:val="TLKontakty"/>
                              <w:spacing w:after="80" w:line="240" w:lineRule="auto"/>
                              <w:rPr>
                                <w:b w:val="0"/>
                                <w:color w:val="auto"/>
                              </w:rPr>
                            </w:pPr>
                          </w:p>
                          <w:p w14:paraId="4CA59A3C" w14:textId="77777777" w:rsidR="004C456F" w:rsidRPr="004A61C5" w:rsidRDefault="004C456F" w:rsidP="00AB535B">
                            <w:pPr>
                              <w:pStyle w:val="TLKontakty"/>
                              <w:spacing w:after="80" w:line="240" w:lineRule="auto"/>
                              <w:rPr>
                                <w:b w:val="0"/>
                                <w:color w:val="auto"/>
                              </w:rPr>
                            </w:pPr>
                            <w:r w:rsidRPr="00EA0987">
                              <w:t>Hradec Králové</w:t>
                            </w:r>
                            <w:r w:rsidRPr="00EA0987">
                              <w:rPr>
                                <w:b w:val="0"/>
                              </w:rPr>
                              <w:t xml:space="preserve"> </w:t>
                            </w:r>
                            <w:r w:rsidRPr="004A61C5">
                              <w:rPr>
                                <w:b w:val="0"/>
                                <w:color w:val="auto"/>
                              </w:rPr>
                              <w:t>| Myslivečk</w:t>
                            </w:r>
                            <w:r>
                              <w:rPr>
                                <w:b w:val="0"/>
                                <w:color w:val="auto"/>
                              </w:rPr>
                              <w:t>ova 914, 500 03 Hradec Králové</w:t>
                            </w:r>
                            <w:r w:rsidRPr="004A61C5">
                              <w:rPr>
                                <w:b w:val="0"/>
                                <w:color w:val="auto"/>
                              </w:rPr>
                              <w:t xml:space="preserve">, </w:t>
                            </w:r>
                            <w:r>
                              <w:rPr>
                                <w:b w:val="0"/>
                                <w:color w:val="auto"/>
                              </w:rPr>
                              <w:t>tel.</w:t>
                            </w:r>
                            <w:r w:rsidRPr="007D40DF">
                              <w:rPr>
                                <w:b w:val="0"/>
                                <w:color w:val="auto"/>
                              </w:rPr>
                              <w:t>:</w:t>
                            </w:r>
                            <w:r>
                              <w:rPr>
                                <w:b w:val="0"/>
                                <w:color w:val="auto"/>
                              </w:rPr>
                              <w:t xml:space="preserve"> 495 762 322</w:t>
                            </w:r>
                          </w:p>
                          <w:p w14:paraId="081AD867" w14:textId="77777777" w:rsidR="004C456F" w:rsidRPr="004A61C5" w:rsidRDefault="004C456F" w:rsidP="00AB535B">
                            <w:pPr>
                              <w:pStyle w:val="TLKontakty"/>
                              <w:spacing w:after="80" w:line="240" w:lineRule="auto"/>
                              <w:rPr>
                                <w:b w:val="0"/>
                                <w:color w:val="auto"/>
                              </w:rPr>
                            </w:pPr>
                            <w:r w:rsidRPr="004A61C5">
                              <w:rPr>
                                <w:b w:val="0"/>
                                <w:color w:val="auto"/>
                              </w:rPr>
                              <w:t>e-mail: infoservishk@</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csu.gov.cz/kralovehradecky</w:t>
                            </w:r>
                          </w:p>
                          <w:p w14:paraId="08EC8A6A" w14:textId="77777777" w:rsidR="004C456F" w:rsidRPr="004A61C5" w:rsidRDefault="004C456F" w:rsidP="00AB535B">
                            <w:pPr>
                              <w:pStyle w:val="TLKontakty"/>
                              <w:spacing w:after="80" w:line="240" w:lineRule="auto"/>
                              <w:rPr>
                                <w:color w:val="auto"/>
                              </w:rPr>
                            </w:pPr>
                          </w:p>
                          <w:p w14:paraId="7586B150" w14:textId="77777777" w:rsidR="004C456F" w:rsidRPr="004A61C5" w:rsidRDefault="004C456F" w:rsidP="00AB535B">
                            <w:pPr>
                              <w:pStyle w:val="TLKontakty"/>
                              <w:spacing w:after="80" w:line="240" w:lineRule="auto"/>
                              <w:rPr>
                                <w:b w:val="0"/>
                                <w:color w:val="auto"/>
                              </w:rPr>
                            </w:pPr>
                            <w:r w:rsidRPr="00EA0987">
                              <w:t>Pardubice</w:t>
                            </w:r>
                            <w:r w:rsidRPr="00EA0987">
                              <w:rPr>
                                <w:b w:val="0"/>
                              </w:rPr>
                              <w:t xml:space="preserve"> </w:t>
                            </w:r>
                            <w:r w:rsidRPr="004A61C5">
                              <w:rPr>
                                <w:b w:val="0"/>
                                <w:color w:val="auto"/>
                              </w:rPr>
                              <w:t>| V Ráji 872, 531 53 Pardubice</w:t>
                            </w:r>
                            <w:r>
                              <w:rPr>
                                <w:b w:val="0"/>
                                <w:color w:val="auto"/>
                              </w:rPr>
                              <w:t xml:space="preserve">, </w:t>
                            </w:r>
                            <w:r w:rsidRPr="004A61C5">
                              <w:rPr>
                                <w:b w:val="0"/>
                                <w:color w:val="auto"/>
                              </w:rPr>
                              <w:t>tel.</w:t>
                            </w:r>
                            <w:r>
                              <w:rPr>
                                <w:b w:val="0"/>
                                <w:color w:val="auto"/>
                              </w:rPr>
                              <w:t>: 466 743 480</w:t>
                            </w:r>
                          </w:p>
                          <w:p w14:paraId="4B4D3BBA" w14:textId="77777777" w:rsidR="004C456F" w:rsidRPr="004A61C5" w:rsidRDefault="004C456F" w:rsidP="00AB535B">
                            <w:pPr>
                              <w:pStyle w:val="TLKontakty"/>
                              <w:spacing w:after="80" w:line="240" w:lineRule="auto"/>
                              <w:rPr>
                                <w:b w:val="0"/>
                                <w:color w:val="auto"/>
                              </w:rPr>
                            </w:pPr>
                            <w:r w:rsidRPr="004A61C5">
                              <w:rPr>
                                <w:b w:val="0"/>
                                <w:color w:val="auto"/>
                              </w:rPr>
                              <w:t>e-mail: infoservispa@</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csu.gov.cz/pardubicky</w:t>
                            </w:r>
                          </w:p>
                          <w:p w14:paraId="6CF93D89" w14:textId="77777777" w:rsidR="004C456F" w:rsidRPr="004A61C5" w:rsidRDefault="004C456F" w:rsidP="00AB535B">
                            <w:pPr>
                              <w:pStyle w:val="TLKontakty"/>
                              <w:spacing w:after="80" w:line="240" w:lineRule="auto"/>
                              <w:rPr>
                                <w:b w:val="0"/>
                                <w:color w:val="auto"/>
                              </w:rPr>
                            </w:pPr>
                          </w:p>
                          <w:p w14:paraId="30BAB159" w14:textId="77777777" w:rsidR="004C456F" w:rsidRPr="004A61C5" w:rsidRDefault="004C456F" w:rsidP="00AB535B">
                            <w:pPr>
                              <w:pStyle w:val="TLKontakty"/>
                              <w:spacing w:after="80" w:line="240" w:lineRule="auto"/>
                              <w:rPr>
                                <w:b w:val="0"/>
                                <w:color w:val="auto"/>
                              </w:rPr>
                            </w:pPr>
                            <w:r w:rsidRPr="00EA0987">
                              <w:t>Jihlava</w:t>
                            </w:r>
                            <w:r w:rsidRPr="004A61C5">
                              <w:rPr>
                                <w:b w:val="0"/>
                                <w:color w:val="auto"/>
                              </w:rPr>
                              <w:t xml:space="preserve"> | Ke Skalce 30,</w:t>
                            </w:r>
                            <w:r>
                              <w:rPr>
                                <w:b w:val="0"/>
                                <w:color w:val="auto"/>
                              </w:rPr>
                              <w:t xml:space="preserve"> 586 01 Jihlava, tel.: </w:t>
                            </w:r>
                            <w:r w:rsidRPr="004A61C5">
                              <w:rPr>
                                <w:b w:val="0"/>
                                <w:color w:val="auto"/>
                              </w:rPr>
                              <w:t xml:space="preserve">567 109 </w:t>
                            </w:r>
                            <w:r>
                              <w:rPr>
                                <w:b w:val="0"/>
                                <w:color w:val="auto"/>
                              </w:rPr>
                              <w:t>080</w:t>
                            </w:r>
                          </w:p>
                          <w:p w14:paraId="0532717C" w14:textId="77777777" w:rsidR="004C456F" w:rsidRPr="004A61C5" w:rsidRDefault="004C456F" w:rsidP="00AB535B">
                            <w:pPr>
                              <w:pStyle w:val="TLKontakty"/>
                              <w:spacing w:after="80" w:line="240" w:lineRule="auto"/>
                              <w:rPr>
                                <w:b w:val="0"/>
                                <w:color w:val="auto"/>
                              </w:rPr>
                            </w:pPr>
                            <w:r w:rsidRPr="004A61C5">
                              <w:rPr>
                                <w:b w:val="0"/>
                                <w:color w:val="auto"/>
                              </w:rPr>
                              <w:t>e-mail: infoservisvys@</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csu.gov.cz/vysocina</w:t>
                            </w:r>
                          </w:p>
                          <w:p w14:paraId="7B3866D4" w14:textId="77777777" w:rsidR="004C456F" w:rsidRDefault="004C456F" w:rsidP="00AB535B">
                            <w:pPr>
                              <w:pStyle w:val="TLKontakty"/>
                              <w:spacing w:after="80" w:line="240" w:lineRule="auto"/>
                            </w:pPr>
                          </w:p>
                          <w:p w14:paraId="3DCDC97A" w14:textId="77777777" w:rsidR="004C456F" w:rsidRPr="00BC731E" w:rsidRDefault="004C456F" w:rsidP="00AB535B">
                            <w:pPr>
                              <w:pStyle w:val="TLKontakty"/>
                              <w:spacing w:after="80" w:line="240" w:lineRule="auto"/>
                              <w:rPr>
                                <w:b w:val="0"/>
                                <w:color w:val="auto"/>
                              </w:rPr>
                            </w:pPr>
                            <w:r w:rsidRPr="00EA0987">
                              <w:t>Brno</w:t>
                            </w:r>
                            <w:r w:rsidRPr="00DE02BD">
                              <w:rPr>
                                <w:b w:val="0"/>
                                <w:color w:val="685B7A"/>
                              </w:rPr>
                              <w:t xml:space="preserve"> </w:t>
                            </w:r>
                            <w:r w:rsidRPr="004A61C5">
                              <w:rPr>
                                <w:b w:val="0"/>
                                <w:color w:val="auto"/>
                              </w:rPr>
                              <w:t xml:space="preserve">| Jezuitská 2, 601 59 Brno, </w:t>
                            </w:r>
                            <w:r>
                              <w:rPr>
                                <w:b w:val="0"/>
                                <w:color w:val="auto"/>
                              </w:rPr>
                              <w:t xml:space="preserve">tel: </w:t>
                            </w:r>
                            <w:r w:rsidRPr="00BC731E">
                              <w:rPr>
                                <w:b w:val="0"/>
                                <w:color w:val="auto"/>
                              </w:rPr>
                              <w:t>542 528 200</w:t>
                            </w:r>
                          </w:p>
                          <w:p w14:paraId="1AB72DE8" w14:textId="77777777" w:rsidR="004C456F" w:rsidRPr="004A61C5" w:rsidRDefault="004C456F" w:rsidP="00AB535B">
                            <w:pPr>
                              <w:pStyle w:val="TLKontakty"/>
                              <w:spacing w:after="80" w:line="240" w:lineRule="auto"/>
                              <w:rPr>
                                <w:color w:val="auto"/>
                              </w:rPr>
                            </w:pPr>
                            <w:r w:rsidRPr="004A61C5">
                              <w:rPr>
                                <w:b w:val="0"/>
                                <w:color w:val="auto"/>
                              </w:rPr>
                              <w:t>e-mail: infoservisbrno@</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csu.gov.cz/jihomoravsky</w:t>
                            </w:r>
                          </w:p>
                          <w:p w14:paraId="0068D5EE" w14:textId="77777777" w:rsidR="004C456F" w:rsidRPr="004A61C5" w:rsidRDefault="004C456F" w:rsidP="00AB535B">
                            <w:pPr>
                              <w:pStyle w:val="TLKontakty"/>
                              <w:spacing w:after="80" w:line="240" w:lineRule="auto"/>
                              <w:rPr>
                                <w:b w:val="0"/>
                                <w:color w:val="auto"/>
                              </w:rPr>
                            </w:pPr>
                          </w:p>
                          <w:p w14:paraId="50E3CB39" w14:textId="77777777" w:rsidR="004C456F" w:rsidRPr="005E7C78" w:rsidRDefault="004C456F" w:rsidP="00AB535B">
                            <w:pPr>
                              <w:pStyle w:val="TLKontakty"/>
                              <w:spacing w:after="80" w:line="240" w:lineRule="auto"/>
                              <w:rPr>
                                <w:b w:val="0"/>
                                <w:color w:val="auto"/>
                              </w:rPr>
                            </w:pPr>
                            <w:r w:rsidRPr="00EA0987">
                              <w:t>Olomouc</w:t>
                            </w:r>
                            <w:r w:rsidRPr="005E7C78">
                              <w:rPr>
                                <w:b w:val="0"/>
                                <w:color w:val="auto"/>
                              </w:rPr>
                              <w:t xml:space="preserve"> | Jeremenkova 1142/42, 772 11 Olomouc, </w:t>
                            </w:r>
                            <w:r>
                              <w:rPr>
                                <w:b w:val="0"/>
                                <w:color w:val="auto"/>
                              </w:rPr>
                              <w:t xml:space="preserve">tel.: </w:t>
                            </w:r>
                            <w:r w:rsidRPr="00BC731E">
                              <w:rPr>
                                <w:b w:val="0"/>
                                <w:color w:val="auto"/>
                              </w:rPr>
                              <w:t>585 731 511</w:t>
                            </w:r>
                          </w:p>
                          <w:p w14:paraId="4DF839A7" w14:textId="77777777" w:rsidR="004C456F" w:rsidRPr="005E7C78" w:rsidRDefault="004C456F" w:rsidP="00AB535B">
                            <w:pPr>
                              <w:pStyle w:val="TLKontakty"/>
                              <w:spacing w:after="80" w:line="240" w:lineRule="auto"/>
                              <w:rPr>
                                <w:b w:val="0"/>
                                <w:color w:val="auto"/>
                              </w:rPr>
                            </w:pPr>
                            <w:r w:rsidRPr="005E7C78">
                              <w:rPr>
                                <w:b w:val="0"/>
                                <w:color w:val="auto"/>
                              </w:rPr>
                              <w:t>e-mail: infoservisolom@</w:t>
                            </w:r>
                            <w:r>
                              <w:rPr>
                                <w:b w:val="0"/>
                                <w:color w:val="auto"/>
                              </w:rPr>
                              <w:t>csu.gov</w:t>
                            </w:r>
                            <w:r w:rsidRPr="00D235B7">
                              <w:rPr>
                                <w:b w:val="0"/>
                                <w:color w:val="auto"/>
                              </w:rPr>
                              <w:t>.cz</w:t>
                            </w:r>
                            <w:r w:rsidRPr="005E7C78">
                              <w:rPr>
                                <w:b w:val="0"/>
                                <w:color w:val="auto"/>
                              </w:rPr>
                              <w:t xml:space="preserve"> | </w:t>
                            </w:r>
                            <w:r w:rsidRPr="00992CF3">
                              <w:rPr>
                                <w:color w:val="auto"/>
                              </w:rPr>
                              <w:t>www.</w:t>
                            </w:r>
                            <w:r>
                              <w:rPr>
                                <w:color w:val="auto"/>
                              </w:rPr>
                              <w:t>csu.gov.cz/olomoucky</w:t>
                            </w:r>
                          </w:p>
                          <w:p w14:paraId="46C88BC4" w14:textId="77777777" w:rsidR="004C456F" w:rsidRPr="005E7C78" w:rsidRDefault="004C456F" w:rsidP="00AB535B">
                            <w:pPr>
                              <w:pStyle w:val="TLKontakty"/>
                              <w:spacing w:after="80" w:line="240" w:lineRule="auto"/>
                              <w:rPr>
                                <w:b w:val="0"/>
                                <w:color w:val="auto"/>
                              </w:rPr>
                            </w:pPr>
                          </w:p>
                          <w:p w14:paraId="16A6BEB7" w14:textId="77777777" w:rsidR="004C456F" w:rsidRPr="005E7C78" w:rsidRDefault="004C456F" w:rsidP="00AB535B">
                            <w:pPr>
                              <w:pStyle w:val="TLKontakty"/>
                              <w:spacing w:after="80" w:line="240" w:lineRule="auto"/>
                              <w:rPr>
                                <w:b w:val="0"/>
                                <w:color w:val="auto"/>
                              </w:rPr>
                            </w:pPr>
                            <w:r w:rsidRPr="00EA0987">
                              <w:t>Zlín</w:t>
                            </w:r>
                            <w:r w:rsidRPr="00EA0987">
                              <w:rPr>
                                <w:b w:val="0"/>
                              </w:rPr>
                              <w:t xml:space="preserve"> </w:t>
                            </w:r>
                            <w:r w:rsidRPr="005E7C78">
                              <w:rPr>
                                <w:b w:val="0"/>
                                <w:color w:val="auto"/>
                              </w:rPr>
                              <w:t>| tř</w:t>
                            </w:r>
                            <w:r>
                              <w:rPr>
                                <w:b w:val="0"/>
                                <w:color w:val="auto"/>
                              </w:rPr>
                              <w:t>ída</w:t>
                            </w:r>
                            <w:r w:rsidRPr="005E7C78">
                              <w:rPr>
                                <w:b w:val="0"/>
                                <w:color w:val="auto"/>
                              </w:rPr>
                              <w:t xml:space="preserve"> Tomáše Bati 1565, 761 76 Zlín, </w:t>
                            </w:r>
                            <w:r>
                              <w:rPr>
                                <w:b w:val="0"/>
                                <w:color w:val="auto"/>
                              </w:rPr>
                              <w:t>tel.: 577 004 936</w:t>
                            </w:r>
                          </w:p>
                          <w:p w14:paraId="15EF2429" w14:textId="77777777" w:rsidR="004C456F" w:rsidRDefault="004C456F" w:rsidP="00AB535B">
                            <w:pPr>
                              <w:pStyle w:val="TLKontakty"/>
                              <w:spacing w:after="80" w:line="240" w:lineRule="auto"/>
                              <w:rPr>
                                <w:color w:val="auto"/>
                              </w:rPr>
                            </w:pPr>
                            <w:r>
                              <w:rPr>
                                <w:b w:val="0"/>
                                <w:color w:val="auto"/>
                              </w:rPr>
                              <w:t>e-mail: infoservis</w:t>
                            </w:r>
                            <w:r w:rsidRPr="005E7C78">
                              <w:rPr>
                                <w:b w:val="0"/>
                                <w:color w:val="auto"/>
                              </w:rPr>
                              <w:t>zl@</w:t>
                            </w:r>
                            <w:r>
                              <w:rPr>
                                <w:b w:val="0"/>
                                <w:color w:val="auto"/>
                              </w:rPr>
                              <w:t>csu.gov</w:t>
                            </w:r>
                            <w:r w:rsidRPr="00D235B7">
                              <w:rPr>
                                <w:b w:val="0"/>
                                <w:color w:val="auto"/>
                              </w:rPr>
                              <w:t>.cz</w:t>
                            </w:r>
                            <w:r w:rsidRPr="005E7C78">
                              <w:rPr>
                                <w:b w:val="0"/>
                                <w:color w:val="auto"/>
                              </w:rPr>
                              <w:t xml:space="preserve"> | </w:t>
                            </w:r>
                            <w:r w:rsidRPr="00992CF3">
                              <w:rPr>
                                <w:color w:val="auto"/>
                              </w:rPr>
                              <w:t>www.</w:t>
                            </w:r>
                            <w:r>
                              <w:rPr>
                                <w:color w:val="auto"/>
                              </w:rPr>
                              <w:t>csu.gov.cz/zlinsky</w:t>
                            </w:r>
                          </w:p>
                          <w:p w14:paraId="124AFCC8" w14:textId="77777777" w:rsidR="004C456F" w:rsidRPr="005E7C78" w:rsidRDefault="004C456F" w:rsidP="00AB535B">
                            <w:pPr>
                              <w:pStyle w:val="TLKontakty"/>
                              <w:spacing w:after="80" w:line="240" w:lineRule="auto"/>
                              <w:rPr>
                                <w:b w:val="0"/>
                                <w:color w:val="auto"/>
                              </w:rPr>
                            </w:pPr>
                          </w:p>
                          <w:p w14:paraId="61D04DDC" w14:textId="77777777" w:rsidR="004C456F" w:rsidRPr="005E7C78" w:rsidRDefault="004C456F" w:rsidP="00AB535B">
                            <w:pPr>
                              <w:pStyle w:val="TLKontakty"/>
                              <w:spacing w:after="80" w:line="240" w:lineRule="auto"/>
                              <w:rPr>
                                <w:b w:val="0"/>
                                <w:color w:val="auto"/>
                              </w:rPr>
                            </w:pPr>
                            <w:r w:rsidRPr="00EA0987">
                              <w:t>Ostrava</w:t>
                            </w:r>
                            <w:r w:rsidRPr="00EA0987">
                              <w:rPr>
                                <w:b w:val="0"/>
                              </w:rPr>
                              <w:t xml:space="preserve"> </w:t>
                            </w:r>
                            <w:r w:rsidRPr="005E7C78">
                              <w:rPr>
                                <w:b w:val="0"/>
                                <w:color w:val="auto"/>
                              </w:rPr>
                              <w:t>| Repinova 17, 702 03 Ostrava,</w:t>
                            </w:r>
                            <w:r>
                              <w:rPr>
                                <w:b w:val="0"/>
                                <w:color w:val="auto"/>
                              </w:rPr>
                              <w:t xml:space="preserve"> tel: 595 131 230</w:t>
                            </w:r>
                          </w:p>
                          <w:p w14:paraId="0F47DC86" w14:textId="77777777" w:rsidR="004C456F" w:rsidRPr="00095135" w:rsidRDefault="004C456F" w:rsidP="00AB535B">
                            <w:pPr>
                              <w:pStyle w:val="TLKontakty"/>
                              <w:spacing w:after="80" w:line="240" w:lineRule="auto"/>
                              <w:rPr>
                                <w:b w:val="0"/>
                                <w:color w:val="auto"/>
                              </w:rPr>
                            </w:pPr>
                            <w:r>
                              <w:rPr>
                                <w:b w:val="0"/>
                                <w:color w:val="auto"/>
                              </w:rPr>
                              <w:t>e-mail: infoservis</w:t>
                            </w:r>
                            <w:r w:rsidRPr="005E7C78">
                              <w:rPr>
                                <w:b w:val="0"/>
                                <w:color w:val="auto"/>
                              </w:rPr>
                              <w:t>ov@</w:t>
                            </w:r>
                            <w:r>
                              <w:rPr>
                                <w:b w:val="0"/>
                                <w:color w:val="auto"/>
                              </w:rPr>
                              <w:t>csu.gov</w:t>
                            </w:r>
                            <w:r w:rsidRPr="00D235B7">
                              <w:rPr>
                                <w:b w:val="0"/>
                                <w:color w:val="auto"/>
                              </w:rPr>
                              <w:t>.cz</w:t>
                            </w:r>
                            <w:r w:rsidRPr="005E7C78">
                              <w:rPr>
                                <w:b w:val="0"/>
                                <w:color w:val="auto"/>
                              </w:rPr>
                              <w:t xml:space="preserve"> | </w:t>
                            </w:r>
                            <w:r w:rsidRPr="00992CF3">
                              <w:rPr>
                                <w:color w:val="auto"/>
                              </w:rPr>
                              <w:t>www.</w:t>
                            </w:r>
                            <w:r>
                              <w:rPr>
                                <w:color w:val="auto"/>
                              </w:rPr>
                              <w:t>csu.gov.cz/moravskoslezsky</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143297C" id="_x0000_s1030" type="#_x0000_t202" style="position:absolute;margin-left:57pt;margin-top:113.4pt;width:481.85pt;height:604.2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" filled="f" stroked="f">
                <v:textbox style="mso-fit-shape-to-text:t" inset="0,0,0,0">
                  <w:txbxContent>
                    <w:p w14:paraId="214329A0" w14:textId="77777777" w:rsidR="004C456F" w:rsidRPr="00DE02BD" w:rsidRDefault="004C456F" w:rsidP="00040D10">
                      <w:pPr>
                        <w:pStyle w:val="TLKontaktyerven"/>
                      </w:pPr>
                      <w:r w:rsidRPr="00DE02BD">
                        <w:t>KONTAKTY V ÚSTŘEDÍ</w:t>
                      </w:r>
                    </w:p>
                    <w:p w14:paraId="214329A1" w14:textId="77777777" w:rsidR="004C456F" w:rsidRPr="007D40DF" w:rsidRDefault="004C456F" w:rsidP="00040D10">
                      <w:pPr>
                        <w:pStyle w:val="TLKontakty"/>
                        <w:spacing w:after="80" w:line="240" w:lineRule="auto"/>
                        <w:contextualSpacing w:val="0"/>
                        <w:rPr>
                          <w:b w:val="0"/>
                          <w:color w:val="auto"/>
                        </w:rPr>
                      </w:pPr>
                      <w:r w:rsidRPr="00EA0987">
                        <w:t>Český statistický úřad</w:t>
                      </w:r>
                      <w:r w:rsidRPr="00EA0987">
                        <w:rPr>
                          <w:b w:val="0"/>
                        </w:rPr>
                        <w:t xml:space="preserve"> </w:t>
                      </w:r>
                      <w:r w:rsidRPr="007D40DF">
                        <w:rPr>
                          <w:b w:val="0"/>
                          <w:color w:val="auto"/>
                        </w:rPr>
                        <w:t>| Na</w:t>
                      </w:r>
                      <w:r>
                        <w:rPr>
                          <w:b w:val="0"/>
                          <w:color w:val="auto"/>
                        </w:rPr>
                        <w:t xml:space="preserve"> padesátém 81, 100 82 Praha</w:t>
                      </w:r>
                      <w:r w:rsidRPr="007D40DF">
                        <w:rPr>
                          <w:b w:val="0"/>
                          <w:color w:val="auto"/>
                        </w:rPr>
                        <w:t> </w:t>
                      </w:r>
                      <w:r>
                        <w:rPr>
                          <w:b w:val="0"/>
                          <w:color w:val="auto"/>
                        </w:rPr>
                        <w:t xml:space="preserve">10, </w:t>
                      </w:r>
                      <w:r w:rsidRPr="007D40DF">
                        <w:rPr>
                          <w:b w:val="0"/>
                          <w:color w:val="auto"/>
                        </w:rPr>
                        <w:t xml:space="preserve">tel.: 274 051 111 | </w:t>
                      </w:r>
                      <w:r>
                        <w:rPr>
                          <w:color w:val="auto"/>
                        </w:rPr>
                        <w:t>www.csu.gov</w:t>
                      </w:r>
                      <w:r w:rsidRPr="007D40DF">
                        <w:rPr>
                          <w:color w:val="auto"/>
                        </w:rPr>
                        <w:t>.cz</w:t>
                      </w:r>
                    </w:p>
                    <w:p w14:paraId="214329A2" w14:textId="77777777" w:rsidR="004C456F" w:rsidRPr="00D235B7" w:rsidRDefault="004C456F" w:rsidP="00040D10">
                      <w:pPr>
                        <w:pStyle w:val="TLKontakty"/>
                        <w:spacing w:after="80" w:line="240" w:lineRule="auto"/>
                        <w:contextualSpacing w:val="0"/>
                        <w:rPr>
                          <w:b w:val="0"/>
                          <w:color w:val="auto"/>
                        </w:rPr>
                      </w:pPr>
                      <w:r w:rsidRPr="00D235B7">
                        <w:rPr>
                          <w:color w:val="auto"/>
                        </w:rPr>
                        <w:t>Oddělení informačních služeb</w:t>
                      </w:r>
                      <w:r>
                        <w:rPr>
                          <w:b w:val="0"/>
                          <w:color w:val="auto"/>
                        </w:rPr>
                        <w:t xml:space="preserve"> | tel.: 274 056 789 | e-mail: infoservis@csu.gov</w:t>
                      </w:r>
                      <w:r w:rsidRPr="00D235B7">
                        <w:rPr>
                          <w:b w:val="0"/>
                          <w:color w:val="auto"/>
                        </w:rPr>
                        <w:t>.cz</w:t>
                      </w:r>
                    </w:p>
                    <w:p w14:paraId="214329A3" w14:textId="77777777" w:rsidR="004C456F" w:rsidRPr="00D235B7" w:rsidRDefault="004C456F" w:rsidP="00040D10">
                      <w:pPr>
                        <w:pStyle w:val="TLKontakty"/>
                        <w:spacing w:after="80" w:line="240" w:lineRule="auto"/>
                        <w:contextualSpacing w:val="0"/>
                        <w:rPr>
                          <w:b w:val="0"/>
                          <w:color w:val="auto"/>
                        </w:rPr>
                      </w:pPr>
                      <w:r w:rsidRPr="00D235B7">
                        <w:rPr>
                          <w:color w:val="auto"/>
                        </w:rPr>
                        <w:t>Prodejna publikací ČSÚ</w:t>
                      </w:r>
                      <w:r w:rsidRPr="00D235B7">
                        <w:rPr>
                          <w:b w:val="0"/>
                          <w:color w:val="auto"/>
                        </w:rPr>
                        <w:t xml:space="preserve"> | tel.: 274</w:t>
                      </w:r>
                      <w:r>
                        <w:rPr>
                          <w:b w:val="0"/>
                          <w:color w:val="auto"/>
                        </w:rPr>
                        <w:t xml:space="preserve"> 052 361 | e-mail: prodejna@csu.gov</w:t>
                      </w:r>
                      <w:r w:rsidRPr="00D235B7">
                        <w:rPr>
                          <w:b w:val="0"/>
                          <w:color w:val="auto"/>
                        </w:rPr>
                        <w:t>.cz</w:t>
                      </w:r>
                    </w:p>
                    <w:p w14:paraId="214329A4" w14:textId="77777777" w:rsidR="004C456F" w:rsidRPr="00D235B7" w:rsidRDefault="004C456F" w:rsidP="00040D10">
                      <w:pPr>
                        <w:pStyle w:val="TLKontakty"/>
                        <w:spacing w:after="80" w:line="240" w:lineRule="auto"/>
                        <w:contextualSpacing w:val="0"/>
                        <w:rPr>
                          <w:b w:val="0"/>
                          <w:color w:val="auto"/>
                        </w:rPr>
                      </w:pPr>
                      <w:r w:rsidRPr="00D235B7">
                        <w:rPr>
                          <w:color w:val="auto"/>
                        </w:rPr>
                        <w:t>Evropská data (ESDS), mezinárodní srovnání</w:t>
                      </w:r>
                      <w:r>
                        <w:rPr>
                          <w:b w:val="0"/>
                          <w:color w:val="auto"/>
                        </w:rPr>
                        <w:t xml:space="preserve"> | tel.: 274 052 732 | e-mail: esds@csu.gov</w:t>
                      </w:r>
                      <w:r w:rsidRPr="00D235B7">
                        <w:rPr>
                          <w:b w:val="0"/>
                          <w:color w:val="auto"/>
                        </w:rPr>
                        <w:t>.cz</w:t>
                      </w:r>
                    </w:p>
                    <w:p w14:paraId="214329A5" w14:textId="77777777" w:rsidR="004C456F" w:rsidRPr="00D235B7" w:rsidRDefault="004C456F" w:rsidP="00040D10">
                      <w:pPr>
                        <w:pStyle w:val="TLKontakty"/>
                        <w:spacing w:after="80" w:line="240" w:lineRule="auto"/>
                        <w:contextualSpacing w:val="0"/>
                        <w:rPr>
                          <w:b w:val="0"/>
                          <w:color w:val="auto"/>
                        </w:rPr>
                      </w:pPr>
                      <w:r w:rsidRPr="00D235B7">
                        <w:rPr>
                          <w:color w:val="auto"/>
                        </w:rPr>
                        <w:t>Ústřední statistická knihovna</w:t>
                      </w:r>
                      <w:r w:rsidRPr="00D235B7">
                        <w:rPr>
                          <w:b w:val="0"/>
                          <w:color w:val="auto"/>
                        </w:rPr>
                        <w:t xml:space="preserve"> | tel.: 274</w:t>
                      </w:r>
                      <w:r>
                        <w:rPr>
                          <w:b w:val="0"/>
                          <w:color w:val="auto"/>
                        </w:rPr>
                        <w:t xml:space="preserve"> 052 361 | e-mail: knihovna@csu.gov</w:t>
                      </w:r>
                      <w:r w:rsidRPr="00D235B7">
                        <w:rPr>
                          <w:b w:val="0"/>
                          <w:color w:val="auto"/>
                        </w:rPr>
                        <w:t>.cz</w:t>
                      </w:r>
                    </w:p>
                    <w:p w14:paraId="214329A6" w14:textId="77777777" w:rsidR="004C456F" w:rsidRPr="004A61C5" w:rsidRDefault="004C456F" w:rsidP="00040D10">
                      <w:pPr>
                        <w:pStyle w:val="TLKontakty"/>
                        <w:spacing w:after="80" w:line="240" w:lineRule="auto"/>
                        <w:contextualSpacing w:val="0"/>
                        <w:rPr>
                          <w:color w:val="auto"/>
                        </w:rPr>
                      </w:pPr>
                    </w:p>
                    <w:p w14:paraId="40288679" w14:textId="77777777" w:rsidR="004C456F" w:rsidRPr="00DE02BD" w:rsidRDefault="004C456F" w:rsidP="00AB535B">
                      <w:pPr>
                        <w:pStyle w:val="TLKontaktyerven"/>
                      </w:pPr>
                      <w:r w:rsidRPr="00DE02BD">
                        <w:t>INFORMAČNÍ SLUŽBY V REGIONECH</w:t>
                      </w:r>
                    </w:p>
                    <w:p w14:paraId="6DBBA526" w14:textId="77777777" w:rsidR="004C456F" w:rsidRPr="00992CF3" w:rsidRDefault="004C456F" w:rsidP="00AB535B">
                      <w:pPr>
                        <w:pStyle w:val="TLKontakty"/>
                        <w:spacing w:after="80" w:line="240" w:lineRule="auto"/>
                        <w:rPr>
                          <w:b w:val="0"/>
                          <w:color w:val="auto"/>
                        </w:rPr>
                      </w:pPr>
                      <w:r w:rsidRPr="00EA0987">
                        <w:t>Hl. m. Praha</w:t>
                      </w:r>
                      <w:r w:rsidRPr="00EA0987">
                        <w:rPr>
                          <w:b w:val="0"/>
                        </w:rPr>
                        <w:t xml:space="preserve"> </w:t>
                      </w:r>
                      <w:r w:rsidRPr="00992CF3">
                        <w:rPr>
                          <w:b w:val="0"/>
                          <w:color w:val="auto"/>
                        </w:rPr>
                        <w:t>| Na</w:t>
                      </w:r>
                      <w:r>
                        <w:rPr>
                          <w:b w:val="0"/>
                          <w:color w:val="auto"/>
                        </w:rPr>
                        <w:t xml:space="preserve"> padesátém 81, 100 82 Praha 10, </w:t>
                      </w:r>
                      <w:r w:rsidRPr="00992CF3">
                        <w:rPr>
                          <w:b w:val="0"/>
                          <w:color w:val="auto"/>
                        </w:rPr>
                        <w:t>tel.</w:t>
                      </w:r>
                      <w:r w:rsidRPr="007D40DF">
                        <w:rPr>
                          <w:b w:val="0"/>
                          <w:color w:val="auto"/>
                        </w:rPr>
                        <w:t>:</w:t>
                      </w:r>
                      <w:r>
                        <w:rPr>
                          <w:b w:val="0"/>
                          <w:color w:val="auto"/>
                        </w:rPr>
                        <w:t xml:space="preserve"> 274 052 673</w:t>
                      </w:r>
                    </w:p>
                    <w:p w14:paraId="52BB90CC" w14:textId="77777777" w:rsidR="004C456F" w:rsidRPr="00992CF3" w:rsidRDefault="004C456F" w:rsidP="00AB535B">
                      <w:pPr>
                        <w:pStyle w:val="TLKontakty"/>
                        <w:spacing w:after="80" w:line="240" w:lineRule="auto"/>
                        <w:rPr>
                          <w:b w:val="0"/>
                          <w:color w:val="auto"/>
                        </w:rPr>
                      </w:pPr>
                      <w:r w:rsidRPr="00992CF3">
                        <w:rPr>
                          <w:b w:val="0"/>
                          <w:color w:val="auto"/>
                        </w:rPr>
                        <w:t>e-mail: infoservispraha@</w:t>
                      </w:r>
                      <w:r>
                        <w:rPr>
                          <w:b w:val="0"/>
                          <w:color w:val="auto"/>
                        </w:rPr>
                        <w:t>csu.gov</w:t>
                      </w:r>
                      <w:r w:rsidRPr="00D235B7">
                        <w:rPr>
                          <w:b w:val="0"/>
                          <w:color w:val="auto"/>
                        </w:rPr>
                        <w:t>.cz</w:t>
                      </w:r>
                      <w:r w:rsidRPr="00992CF3">
                        <w:rPr>
                          <w:b w:val="0"/>
                          <w:color w:val="auto"/>
                        </w:rPr>
                        <w:t xml:space="preserve"> | </w:t>
                      </w:r>
                      <w:r>
                        <w:rPr>
                          <w:color w:val="auto"/>
                        </w:rPr>
                        <w:t>www.csu.gov.cz/praha</w:t>
                      </w:r>
                    </w:p>
                    <w:p w14:paraId="00AED4D4" w14:textId="77777777" w:rsidR="004C456F" w:rsidRPr="004A61C5" w:rsidRDefault="004C456F" w:rsidP="00AB535B">
                      <w:pPr>
                        <w:pStyle w:val="TLKontakty"/>
                        <w:spacing w:after="80" w:line="240" w:lineRule="auto"/>
                        <w:rPr>
                          <w:color w:val="auto"/>
                        </w:rPr>
                      </w:pPr>
                    </w:p>
                    <w:p w14:paraId="4E278003" w14:textId="77777777" w:rsidR="004C456F" w:rsidRPr="00992CF3" w:rsidRDefault="004C456F" w:rsidP="00AB535B">
                      <w:pPr>
                        <w:pStyle w:val="TLKontakty"/>
                        <w:spacing w:after="80" w:line="240" w:lineRule="auto"/>
                        <w:rPr>
                          <w:b w:val="0"/>
                          <w:color w:val="auto"/>
                        </w:rPr>
                      </w:pPr>
                      <w:r w:rsidRPr="00EA0987">
                        <w:t>Středočeský kraj</w:t>
                      </w:r>
                      <w:r w:rsidRPr="00EA0987">
                        <w:rPr>
                          <w:b w:val="0"/>
                        </w:rPr>
                        <w:t xml:space="preserve"> </w:t>
                      </w:r>
                      <w:r w:rsidRPr="00992CF3">
                        <w:rPr>
                          <w:b w:val="0"/>
                          <w:color w:val="auto"/>
                        </w:rPr>
                        <w:t>| Na padesátém 81, 100 82 Praha 10, tel.</w:t>
                      </w:r>
                      <w:r>
                        <w:rPr>
                          <w:b w:val="0"/>
                          <w:color w:val="auto"/>
                        </w:rPr>
                        <w:t xml:space="preserve">: </w:t>
                      </w:r>
                      <w:r w:rsidRPr="00992CF3">
                        <w:rPr>
                          <w:b w:val="0"/>
                          <w:color w:val="auto"/>
                        </w:rPr>
                        <w:t>274 054 175</w:t>
                      </w:r>
                    </w:p>
                    <w:p w14:paraId="5C66D95E" w14:textId="77777777" w:rsidR="004C456F" w:rsidRPr="00992CF3" w:rsidRDefault="004C456F" w:rsidP="00AB535B">
                      <w:pPr>
                        <w:pStyle w:val="TLKontakty"/>
                        <w:spacing w:after="80" w:line="240" w:lineRule="auto"/>
                        <w:rPr>
                          <w:color w:val="auto"/>
                        </w:rPr>
                      </w:pPr>
                      <w:r w:rsidRPr="00992CF3">
                        <w:rPr>
                          <w:b w:val="0"/>
                          <w:color w:val="auto"/>
                        </w:rPr>
                        <w:t>e-mail: infoservisstc@</w:t>
                      </w:r>
                      <w:r>
                        <w:rPr>
                          <w:b w:val="0"/>
                          <w:color w:val="auto"/>
                        </w:rPr>
                        <w:t>csu.gov</w:t>
                      </w:r>
                      <w:r w:rsidRPr="00D235B7">
                        <w:rPr>
                          <w:b w:val="0"/>
                          <w:color w:val="auto"/>
                        </w:rPr>
                        <w:t>.cz</w:t>
                      </w:r>
                      <w:r w:rsidRPr="00992CF3">
                        <w:rPr>
                          <w:b w:val="0"/>
                          <w:color w:val="auto"/>
                        </w:rPr>
                        <w:t xml:space="preserve"> | </w:t>
                      </w:r>
                      <w:r w:rsidRPr="00992CF3">
                        <w:rPr>
                          <w:color w:val="auto"/>
                        </w:rPr>
                        <w:t>www.</w:t>
                      </w:r>
                      <w:r>
                        <w:rPr>
                          <w:color w:val="auto"/>
                        </w:rPr>
                        <w:t>csu.gov.cz/stredocesky</w:t>
                      </w:r>
                    </w:p>
                    <w:p w14:paraId="70ADCE20" w14:textId="77777777" w:rsidR="004C456F" w:rsidRPr="004A61C5" w:rsidRDefault="004C456F" w:rsidP="00AB535B">
                      <w:pPr>
                        <w:pStyle w:val="TLKontakty"/>
                        <w:spacing w:after="80" w:line="240" w:lineRule="auto"/>
                        <w:rPr>
                          <w:color w:val="auto"/>
                        </w:rPr>
                      </w:pPr>
                    </w:p>
                    <w:p w14:paraId="56C99FCE" w14:textId="77777777" w:rsidR="004C456F" w:rsidRPr="00992CF3" w:rsidRDefault="004C456F" w:rsidP="00AB535B">
                      <w:pPr>
                        <w:pStyle w:val="TLKontakty"/>
                        <w:spacing w:after="80" w:line="240" w:lineRule="auto"/>
                        <w:rPr>
                          <w:b w:val="0"/>
                          <w:color w:val="auto"/>
                        </w:rPr>
                      </w:pPr>
                      <w:r w:rsidRPr="00EA0987">
                        <w:t>České Budějovice</w:t>
                      </w:r>
                      <w:r w:rsidRPr="00EA0987">
                        <w:rPr>
                          <w:b w:val="0"/>
                        </w:rPr>
                        <w:t xml:space="preserve"> </w:t>
                      </w:r>
                      <w:r w:rsidRPr="00992CF3">
                        <w:rPr>
                          <w:b w:val="0"/>
                          <w:color w:val="auto"/>
                        </w:rPr>
                        <w:t>| Žižkova 1</w:t>
                      </w:r>
                      <w:r>
                        <w:rPr>
                          <w:b w:val="0"/>
                          <w:color w:val="auto"/>
                        </w:rPr>
                        <w:t>a</w:t>
                      </w:r>
                      <w:r w:rsidRPr="00992CF3">
                        <w:rPr>
                          <w:b w:val="0"/>
                          <w:color w:val="auto"/>
                        </w:rPr>
                        <w:t>, 370 77 České Budějovice</w:t>
                      </w:r>
                      <w:r>
                        <w:rPr>
                          <w:b w:val="0"/>
                          <w:color w:val="auto"/>
                        </w:rPr>
                        <w:t xml:space="preserve">, </w:t>
                      </w:r>
                      <w:r w:rsidRPr="00992CF3">
                        <w:rPr>
                          <w:b w:val="0"/>
                          <w:color w:val="auto"/>
                        </w:rPr>
                        <w:t>tel.</w:t>
                      </w:r>
                      <w:r>
                        <w:rPr>
                          <w:b w:val="0"/>
                          <w:color w:val="auto"/>
                        </w:rPr>
                        <w:t xml:space="preserve">: </w:t>
                      </w:r>
                      <w:r w:rsidRPr="00992CF3">
                        <w:rPr>
                          <w:b w:val="0"/>
                          <w:color w:val="auto"/>
                        </w:rPr>
                        <w:t>386 718 440</w:t>
                      </w:r>
                    </w:p>
                    <w:p w14:paraId="1004772F" w14:textId="77777777" w:rsidR="004C456F" w:rsidRPr="00992CF3" w:rsidRDefault="004C456F" w:rsidP="00AB535B">
                      <w:pPr>
                        <w:pStyle w:val="TLKontakty"/>
                        <w:spacing w:after="80" w:line="240" w:lineRule="auto"/>
                        <w:rPr>
                          <w:b w:val="0"/>
                          <w:color w:val="auto"/>
                        </w:rPr>
                      </w:pPr>
                      <w:r w:rsidRPr="00992CF3">
                        <w:rPr>
                          <w:b w:val="0"/>
                          <w:color w:val="auto"/>
                        </w:rPr>
                        <w:t>e-mail: infoserviscb@</w:t>
                      </w:r>
                      <w:r>
                        <w:rPr>
                          <w:b w:val="0"/>
                          <w:color w:val="auto"/>
                        </w:rPr>
                        <w:t>csu.gov</w:t>
                      </w:r>
                      <w:r w:rsidRPr="00D235B7">
                        <w:rPr>
                          <w:b w:val="0"/>
                          <w:color w:val="auto"/>
                        </w:rPr>
                        <w:t>.cz</w:t>
                      </w:r>
                      <w:r w:rsidRPr="00992CF3">
                        <w:rPr>
                          <w:b w:val="0"/>
                          <w:color w:val="auto"/>
                        </w:rPr>
                        <w:t xml:space="preserve"> | </w:t>
                      </w:r>
                      <w:r w:rsidRPr="00992CF3">
                        <w:rPr>
                          <w:color w:val="auto"/>
                        </w:rPr>
                        <w:t>www.</w:t>
                      </w:r>
                      <w:r>
                        <w:rPr>
                          <w:color w:val="auto"/>
                        </w:rPr>
                        <w:t>csu.gov.cz/jihocesky</w:t>
                      </w:r>
                    </w:p>
                    <w:p w14:paraId="165CF548" w14:textId="77777777" w:rsidR="004C456F" w:rsidRPr="004A61C5" w:rsidRDefault="004C456F" w:rsidP="00AB535B">
                      <w:pPr>
                        <w:pStyle w:val="TLKontakty"/>
                        <w:spacing w:after="80" w:line="240" w:lineRule="auto"/>
                        <w:rPr>
                          <w:color w:val="auto"/>
                        </w:rPr>
                      </w:pPr>
                    </w:p>
                    <w:p w14:paraId="073A8F45" w14:textId="77777777" w:rsidR="004C456F" w:rsidRPr="00BC731E" w:rsidRDefault="004C456F" w:rsidP="00AB535B">
                      <w:pPr>
                        <w:pStyle w:val="TLKontakty"/>
                        <w:spacing w:after="80" w:line="240" w:lineRule="auto"/>
                        <w:rPr>
                          <w:b w:val="0"/>
                          <w:color w:val="auto"/>
                        </w:rPr>
                      </w:pPr>
                      <w:r w:rsidRPr="00EA0987">
                        <w:t>Plzeň</w:t>
                      </w:r>
                      <w:r w:rsidRPr="00DE02BD">
                        <w:rPr>
                          <w:b w:val="0"/>
                          <w:color w:val="685B7A"/>
                        </w:rPr>
                        <w:t xml:space="preserve"> </w:t>
                      </w:r>
                      <w:r w:rsidRPr="004A61C5">
                        <w:rPr>
                          <w:b w:val="0"/>
                          <w:color w:val="auto"/>
                        </w:rPr>
                        <w:t>| Slovanská alej 36, 326 64 Plzeň</w:t>
                      </w:r>
                      <w:r>
                        <w:rPr>
                          <w:b w:val="0"/>
                          <w:color w:val="auto"/>
                        </w:rPr>
                        <w:t xml:space="preserve">, </w:t>
                      </w:r>
                      <w:r w:rsidRPr="004A61C5">
                        <w:rPr>
                          <w:b w:val="0"/>
                          <w:color w:val="auto"/>
                        </w:rPr>
                        <w:t>tel.</w:t>
                      </w:r>
                      <w:r>
                        <w:rPr>
                          <w:b w:val="0"/>
                          <w:color w:val="auto"/>
                        </w:rPr>
                        <w:t xml:space="preserve">: </w:t>
                      </w:r>
                      <w:r w:rsidRPr="004A61C5">
                        <w:rPr>
                          <w:b w:val="0"/>
                          <w:color w:val="auto"/>
                        </w:rPr>
                        <w:t>377 612 108</w:t>
                      </w:r>
                    </w:p>
                    <w:p w14:paraId="6C9701D0" w14:textId="77777777" w:rsidR="004C456F" w:rsidRPr="004A61C5" w:rsidRDefault="004C456F" w:rsidP="00AB535B">
                      <w:pPr>
                        <w:pStyle w:val="TLKontakty"/>
                        <w:spacing w:after="80" w:line="240" w:lineRule="auto"/>
                        <w:rPr>
                          <w:b w:val="0"/>
                          <w:color w:val="auto"/>
                        </w:rPr>
                      </w:pPr>
                      <w:r w:rsidRPr="004A61C5">
                        <w:rPr>
                          <w:b w:val="0"/>
                          <w:color w:val="auto"/>
                        </w:rPr>
                        <w:t>e-mail: infoservisplzen@</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csu.gov.cz/plzensky</w:t>
                      </w:r>
                    </w:p>
                    <w:p w14:paraId="782D67CB" w14:textId="77777777" w:rsidR="004C456F" w:rsidRPr="004A61C5" w:rsidRDefault="004C456F" w:rsidP="00AB535B">
                      <w:pPr>
                        <w:pStyle w:val="TLKontakty"/>
                        <w:spacing w:after="80" w:line="240" w:lineRule="auto"/>
                        <w:rPr>
                          <w:color w:val="auto"/>
                        </w:rPr>
                      </w:pPr>
                    </w:p>
                    <w:p w14:paraId="00F3D1DC" w14:textId="77777777" w:rsidR="004C456F" w:rsidRPr="004A61C5" w:rsidRDefault="004C456F" w:rsidP="00AB535B">
                      <w:pPr>
                        <w:pStyle w:val="TLKontakty"/>
                        <w:spacing w:after="80" w:line="240" w:lineRule="auto"/>
                        <w:rPr>
                          <w:b w:val="0"/>
                          <w:color w:val="auto"/>
                        </w:rPr>
                      </w:pPr>
                      <w:r w:rsidRPr="00EA0987">
                        <w:t>Karlovy Vary</w:t>
                      </w:r>
                      <w:r w:rsidRPr="00EA0987">
                        <w:rPr>
                          <w:b w:val="0"/>
                        </w:rPr>
                        <w:t xml:space="preserve"> </w:t>
                      </w:r>
                      <w:r w:rsidRPr="004A61C5">
                        <w:rPr>
                          <w:b w:val="0"/>
                          <w:color w:val="auto"/>
                        </w:rPr>
                        <w:t xml:space="preserve">| </w:t>
                      </w:r>
                      <w:r w:rsidRPr="00095135">
                        <w:rPr>
                          <w:b w:val="0"/>
                          <w:color w:val="auto"/>
                        </w:rPr>
                        <w:t>Závodní 360/94, 360 06 Karlovy Vary</w:t>
                      </w:r>
                      <w:r w:rsidRPr="004A61C5">
                        <w:rPr>
                          <w:b w:val="0"/>
                          <w:color w:val="auto"/>
                        </w:rPr>
                        <w:t>, tel.</w:t>
                      </w:r>
                      <w:r>
                        <w:rPr>
                          <w:b w:val="0"/>
                          <w:color w:val="auto"/>
                        </w:rPr>
                        <w:t>: 353 114 529</w:t>
                      </w:r>
                    </w:p>
                    <w:p w14:paraId="24C682D2" w14:textId="77777777" w:rsidR="004C456F" w:rsidRPr="004A61C5" w:rsidRDefault="004C456F" w:rsidP="00AB535B">
                      <w:pPr>
                        <w:pStyle w:val="TLKontakty"/>
                        <w:spacing w:after="80" w:line="240" w:lineRule="auto"/>
                        <w:rPr>
                          <w:b w:val="0"/>
                          <w:color w:val="auto"/>
                        </w:rPr>
                      </w:pPr>
                      <w:r w:rsidRPr="004A61C5">
                        <w:rPr>
                          <w:b w:val="0"/>
                          <w:color w:val="auto"/>
                        </w:rPr>
                        <w:t>e-mail: infoserviskv@</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csu.gov.cz/karlovarsky</w:t>
                      </w:r>
                    </w:p>
                    <w:p w14:paraId="6E9577F9" w14:textId="77777777" w:rsidR="004C456F" w:rsidRPr="004A61C5" w:rsidRDefault="004C456F" w:rsidP="00AB535B">
                      <w:pPr>
                        <w:pStyle w:val="TLKontakty"/>
                        <w:spacing w:after="80" w:line="240" w:lineRule="auto"/>
                        <w:rPr>
                          <w:color w:val="auto"/>
                        </w:rPr>
                      </w:pPr>
                    </w:p>
                    <w:p w14:paraId="77286DF2" w14:textId="77777777" w:rsidR="004C456F" w:rsidRPr="004A61C5" w:rsidRDefault="004C456F" w:rsidP="00AB535B">
                      <w:pPr>
                        <w:pStyle w:val="TLKontakty"/>
                        <w:spacing w:after="80" w:line="240" w:lineRule="auto"/>
                        <w:rPr>
                          <w:b w:val="0"/>
                          <w:color w:val="auto"/>
                        </w:rPr>
                      </w:pPr>
                      <w:r w:rsidRPr="00EA0987">
                        <w:t>Ústí nad Labem</w:t>
                      </w:r>
                      <w:r w:rsidRPr="00EA0987">
                        <w:rPr>
                          <w:b w:val="0"/>
                        </w:rPr>
                        <w:t xml:space="preserve"> </w:t>
                      </w:r>
                      <w:r w:rsidRPr="004A61C5">
                        <w:rPr>
                          <w:b w:val="0"/>
                          <w:color w:val="auto"/>
                        </w:rPr>
                        <w:t>| Špálova 2684, 400 11 Ústí nad Labem</w:t>
                      </w:r>
                      <w:r>
                        <w:rPr>
                          <w:b w:val="0"/>
                          <w:color w:val="auto"/>
                        </w:rPr>
                        <w:t xml:space="preserve">, </w:t>
                      </w:r>
                      <w:r w:rsidRPr="004A61C5">
                        <w:rPr>
                          <w:b w:val="0"/>
                          <w:color w:val="auto"/>
                        </w:rPr>
                        <w:t>tel.</w:t>
                      </w:r>
                      <w:r>
                        <w:rPr>
                          <w:b w:val="0"/>
                          <w:color w:val="auto"/>
                        </w:rPr>
                        <w:t>: 472 706 176</w:t>
                      </w:r>
                    </w:p>
                    <w:p w14:paraId="650EE774" w14:textId="77777777" w:rsidR="004C456F" w:rsidRPr="004A61C5" w:rsidRDefault="004C456F" w:rsidP="00AB535B">
                      <w:pPr>
                        <w:pStyle w:val="TLKontakty"/>
                        <w:spacing w:after="80" w:line="240" w:lineRule="auto"/>
                        <w:rPr>
                          <w:b w:val="0"/>
                          <w:color w:val="auto"/>
                        </w:rPr>
                      </w:pPr>
                      <w:r w:rsidRPr="004A61C5">
                        <w:rPr>
                          <w:b w:val="0"/>
                          <w:color w:val="auto"/>
                        </w:rPr>
                        <w:t>e-mail: infoservisul@</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csu.gov.cz/ustecky</w:t>
                      </w:r>
                    </w:p>
                    <w:p w14:paraId="07D247CD" w14:textId="77777777" w:rsidR="004C456F" w:rsidRPr="004A61C5" w:rsidRDefault="004C456F" w:rsidP="00AB535B">
                      <w:pPr>
                        <w:pStyle w:val="TLKontakty"/>
                        <w:spacing w:after="80" w:line="240" w:lineRule="auto"/>
                        <w:rPr>
                          <w:color w:val="auto"/>
                        </w:rPr>
                      </w:pPr>
                    </w:p>
                    <w:p w14:paraId="29194436" w14:textId="77777777" w:rsidR="004C456F" w:rsidRPr="004A61C5" w:rsidRDefault="004C456F" w:rsidP="00AB535B">
                      <w:pPr>
                        <w:pStyle w:val="TLKontakty"/>
                        <w:spacing w:after="80" w:line="240" w:lineRule="auto"/>
                        <w:rPr>
                          <w:b w:val="0"/>
                          <w:color w:val="auto"/>
                        </w:rPr>
                      </w:pPr>
                      <w:r w:rsidRPr="00EA0987">
                        <w:t>Liberec</w:t>
                      </w:r>
                      <w:r>
                        <w:rPr>
                          <w:b w:val="0"/>
                          <w:color w:val="auto"/>
                        </w:rPr>
                        <w:t xml:space="preserve"> | n</w:t>
                      </w:r>
                      <w:r w:rsidRPr="004A61C5">
                        <w:rPr>
                          <w:b w:val="0"/>
                          <w:color w:val="auto"/>
                        </w:rPr>
                        <w:t>ám. Dr. Edvarda</w:t>
                      </w:r>
                      <w:r>
                        <w:rPr>
                          <w:b w:val="0"/>
                          <w:color w:val="auto"/>
                        </w:rPr>
                        <w:t xml:space="preserve"> Beneše 585/26, 460 01 Liberec</w:t>
                      </w:r>
                      <w:r w:rsidRPr="004A61C5">
                        <w:rPr>
                          <w:b w:val="0"/>
                          <w:color w:val="auto"/>
                        </w:rPr>
                        <w:t>, tel.</w:t>
                      </w:r>
                      <w:r>
                        <w:rPr>
                          <w:b w:val="0"/>
                          <w:color w:val="auto"/>
                        </w:rPr>
                        <w:t>: 704 675 184</w:t>
                      </w:r>
                    </w:p>
                    <w:p w14:paraId="495AA30F" w14:textId="77777777" w:rsidR="004C456F" w:rsidRPr="004A61C5" w:rsidRDefault="004C456F" w:rsidP="00AB535B">
                      <w:pPr>
                        <w:pStyle w:val="TLKontakty"/>
                        <w:spacing w:after="80" w:line="240" w:lineRule="auto"/>
                        <w:rPr>
                          <w:b w:val="0"/>
                          <w:color w:val="auto"/>
                        </w:rPr>
                      </w:pPr>
                      <w:r w:rsidRPr="004A61C5">
                        <w:rPr>
                          <w:b w:val="0"/>
                          <w:color w:val="auto"/>
                        </w:rPr>
                        <w:t>e-mail: infoservislbc@</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csu.gov.cz/liberecky</w:t>
                      </w:r>
                    </w:p>
                    <w:p w14:paraId="352E4F51" w14:textId="77777777" w:rsidR="004C456F" w:rsidRPr="004A61C5" w:rsidRDefault="004C456F" w:rsidP="00AB535B">
                      <w:pPr>
                        <w:pStyle w:val="TLKontakty"/>
                        <w:spacing w:after="80" w:line="240" w:lineRule="auto"/>
                        <w:rPr>
                          <w:b w:val="0"/>
                          <w:color w:val="auto"/>
                        </w:rPr>
                      </w:pPr>
                    </w:p>
                    <w:p w14:paraId="4CA59A3C" w14:textId="77777777" w:rsidR="004C456F" w:rsidRPr="004A61C5" w:rsidRDefault="004C456F" w:rsidP="00AB535B">
                      <w:pPr>
                        <w:pStyle w:val="TLKontakty"/>
                        <w:spacing w:after="80" w:line="240" w:lineRule="auto"/>
                        <w:rPr>
                          <w:b w:val="0"/>
                          <w:color w:val="auto"/>
                        </w:rPr>
                      </w:pPr>
                      <w:r w:rsidRPr="00EA0987">
                        <w:t>Hradec Králové</w:t>
                      </w:r>
                      <w:r w:rsidRPr="00EA0987">
                        <w:rPr>
                          <w:b w:val="0"/>
                        </w:rPr>
                        <w:t xml:space="preserve"> </w:t>
                      </w:r>
                      <w:r w:rsidRPr="004A61C5">
                        <w:rPr>
                          <w:b w:val="0"/>
                          <w:color w:val="auto"/>
                        </w:rPr>
                        <w:t>| Myslivečk</w:t>
                      </w:r>
                      <w:r>
                        <w:rPr>
                          <w:b w:val="0"/>
                          <w:color w:val="auto"/>
                        </w:rPr>
                        <w:t>ova 914, 500 03 Hradec Králové</w:t>
                      </w:r>
                      <w:r w:rsidRPr="004A61C5">
                        <w:rPr>
                          <w:b w:val="0"/>
                          <w:color w:val="auto"/>
                        </w:rPr>
                        <w:t xml:space="preserve">, </w:t>
                      </w:r>
                      <w:r>
                        <w:rPr>
                          <w:b w:val="0"/>
                          <w:color w:val="auto"/>
                        </w:rPr>
                        <w:t>tel.</w:t>
                      </w:r>
                      <w:r w:rsidRPr="007D40DF">
                        <w:rPr>
                          <w:b w:val="0"/>
                          <w:color w:val="auto"/>
                        </w:rPr>
                        <w:t>:</w:t>
                      </w:r>
                      <w:r>
                        <w:rPr>
                          <w:b w:val="0"/>
                          <w:color w:val="auto"/>
                        </w:rPr>
                        <w:t xml:space="preserve"> 495 762 322</w:t>
                      </w:r>
                    </w:p>
                    <w:p w14:paraId="081AD867" w14:textId="77777777" w:rsidR="004C456F" w:rsidRPr="004A61C5" w:rsidRDefault="004C456F" w:rsidP="00AB535B">
                      <w:pPr>
                        <w:pStyle w:val="TLKontakty"/>
                        <w:spacing w:after="80" w:line="240" w:lineRule="auto"/>
                        <w:rPr>
                          <w:b w:val="0"/>
                          <w:color w:val="auto"/>
                        </w:rPr>
                      </w:pPr>
                      <w:r w:rsidRPr="004A61C5">
                        <w:rPr>
                          <w:b w:val="0"/>
                          <w:color w:val="auto"/>
                        </w:rPr>
                        <w:t>e-mail: infoservishk@</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csu.gov.cz/kralovehradecky</w:t>
                      </w:r>
                    </w:p>
                    <w:p w14:paraId="08EC8A6A" w14:textId="77777777" w:rsidR="004C456F" w:rsidRPr="004A61C5" w:rsidRDefault="004C456F" w:rsidP="00AB535B">
                      <w:pPr>
                        <w:pStyle w:val="TLKontakty"/>
                        <w:spacing w:after="80" w:line="240" w:lineRule="auto"/>
                        <w:rPr>
                          <w:color w:val="auto"/>
                        </w:rPr>
                      </w:pPr>
                    </w:p>
                    <w:p w14:paraId="7586B150" w14:textId="77777777" w:rsidR="004C456F" w:rsidRPr="004A61C5" w:rsidRDefault="004C456F" w:rsidP="00AB535B">
                      <w:pPr>
                        <w:pStyle w:val="TLKontakty"/>
                        <w:spacing w:after="80" w:line="240" w:lineRule="auto"/>
                        <w:rPr>
                          <w:b w:val="0"/>
                          <w:color w:val="auto"/>
                        </w:rPr>
                      </w:pPr>
                      <w:r w:rsidRPr="00EA0987">
                        <w:t>Pardubice</w:t>
                      </w:r>
                      <w:r w:rsidRPr="00EA0987">
                        <w:rPr>
                          <w:b w:val="0"/>
                        </w:rPr>
                        <w:t xml:space="preserve"> </w:t>
                      </w:r>
                      <w:r w:rsidRPr="004A61C5">
                        <w:rPr>
                          <w:b w:val="0"/>
                          <w:color w:val="auto"/>
                        </w:rPr>
                        <w:t>| V Ráji 872, 531 53 Pardubice</w:t>
                      </w:r>
                      <w:r>
                        <w:rPr>
                          <w:b w:val="0"/>
                          <w:color w:val="auto"/>
                        </w:rPr>
                        <w:t xml:space="preserve">, </w:t>
                      </w:r>
                      <w:r w:rsidRPr="004A61C5">
                        <w:rPr>
                          <w:b w:val="0"/>
                          <w:color w:val="auto"/>
                        </w:rPr>
                        <w:t>tel.</w:t>
                      </w:r>
                      <w:r>
                        <w:rPr>
                          <w:b w:val="0"/>
                          <w:color w:val="auto"/>
                        </w:rPr>
                        <w:t>: 466 743 480</w:t>
                      </w:r>
                    </w:p>
                    <w:p w14:paraId="4B4D3BBA" w14:textId="77777777" w:rsidR="004C456F" w:rsidRPr="004A61C5" w:rsidRDefault="004C456F" w:rsidP="00AB535B">
                      <w:pPr>
                        <w:pStyle w:val="TLKontakty"/>
                        <w:spacing w:after="80" w:line="240" w:lineRule="auto"/>
                        <w:rPr>
                          <w:b w:val="0"/>
                          <w:color w:val="auto"/>
                        </w:rPr>
                      </w:pPr>
                      <w:r w:rsidRPr="004A61C5">
                        <w:rPr>
                          <w:b w:val="0"/>
                          <w:color w:val="auto"/>
                        </w:rPr>
                        <w:t>e-mail: infoservispa@</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csu.gov.cz/pardubicky</w:t>
                      </w:r>
                    </w:p>
                    <w:p w14:paraId="6CF93D89" w14:textId="77777777" w:rsidR="004C456F" w:rsidRPr="004A61C5" w:rsidRDefault="004C456F" w:rsidP="00AB535B">
                      <w:pPr>
                        <w:pStyle w:val="TLKontakty"/>
                        <w:spacing w:after="80" w:line="240" w:lineRule="auto"/>
                        <w:rPr>
                          <w:b w:val="0"/>
                          <w:color w:val="auto"/>
                        </w:rPr>
                      </w:pPr>
                    </w:p>
                    <w:p w14:paraId="30BAB159" w14:textId="77777777" w:rsidR="004C456F" w:rsidRPr="004A61C5" w:rsidRDefault="004C456F" w:rsidP="00AB535B">
                      <w:pPr>
                        <w:pStyle w:val="TLKontakty"/>
                        <w:spacing w:after="80" w:line="240" w:lineRule="auto"/>
                        <w:rPr>
                          <w:b w:val="0"/>
                          <w:color w:val="auto"/>
                        </w:rPr>
                      </w:pPr>
                      <w:r w:rsidRPr="00EA0987">
                        <w:t>Jihlava</w:t>
                      </w:r>
                      <w:r w:rsidRPr="004A61C5">
                        <w:rPr>
                          <w:b w:val="0"/>
                          <w:color w:val="auto"/>
                        </w:rPr>
                        <w:t xml:space="preserve"> | Ke Skalce 30,</w:t>
                      </w:r>
                      <w:r>
                        <w:rPr>
                          <w:b w:val="0"/>
                          <w:color w:val="auto"/>
                        </w:rPr>
                        <w:t xml:space="preserve"> 586 01 Jihlava, tel.: </w:t>
                      </w:r>
                      <w:r w:rsidRPr="004A61C5">
                        <w:rPr>
                          <w:b w:val="0"/>
                          <w:color w:val="auto"/>
                        </w:rPr>
                        <w:t xml:space="preserve">567 109 </w:t>
                      </w:r>
                      <w:r>
                        <w:rPr>
                          <w:b w:val="0"/>
                          <w:color w:val="auto"/>
                        </w:rPr>
                        <w:t>080</w:t>
                      </w:r>
                    </w:p>
                    <w:p w14:paraId="0532717C" w14:textId="77777777" w:rsidR="004C456F" w:rsidRPr="004A61C5" w:rsidRDefault="004C456F" w:rsidP="00AB535B">
                      <w:pPr>
                        <w:pStyle w:val="TLKontakty"/>
                        <w:spacing w:after="80" w:line="240" w:lineRule="auto"/>
                        <w:rPr>
                          <w:b w:val="0"/>
                          <w:color w:val="auto"/>
                        </w:rPr>
                      </w:pPr>
                      <w:r w:rsidRPr="004A61C5">
                        <w:rPr>
                          <w:b w:val="0"/>
                          <w:color w:val="auto"/>
                        </w:rPr>
                        <w:t>e-mail: infoservisvys@</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csu.gov.cz/vysocina</w:t>
                      </w:r>
                    </w:p>
                    <w:p w14:paraId="7B3866D4" w14:textId="77777777" w:rsidR="004C456F" w:rsidRDefault="004C456F" w:rsidP="00AB535B">
                      <w:pPr>
                        <w:pStyle w:val="TLKontakty"/>
                        <w:spacing w:after="80" w:line="240" w:lineRule="auto"/>
                      </w:pPr>
                    </w:p>
                    <w:p w14:paraId="3DCDC97A" w14:textId="77777777" w:rsidR="004C456F" w:rsidRPr="00BC731E" w:rsidRDefault="004C456F" w:rsidP="00AB535B">
                      <w:pPr>
                        <w:pStyle w:val="TLKontakty"/>
                        <w:spacing w:after="80" w:line="240" w:lineRule="auto"/>
                        <w:rPr>
                          <w:b w:val="0"/>
                          <w:color w:val="auto"/>
                        </w:rPr>
                      </w:pPr>
                      <w:r w:rsidRPr="00EA0987">
                        <w:t>Brno</w:t>
                      </w:r>
                      <w:r w:rsidRPr="00DE02BD">
                        <w:rPr>
                          <w:b w:val="0"/>
                          <w:color w:val="685B7A"/>
                        </w:rPr>
                        <w:t xml:space="preserve"> </w:t>
                      </w:r>
                      <w:r w:rsidRPr="004A61C5">
                        <w:rPr>
                          <w:b w:val="0"/>
                          <w:color w:val="auto"/>
                        </w:rPr>
                        <w:t xml:space="preserve">| Jezuitská 2, 601 59 Brno, </w:t>
                      </w:r>
                      <w:r>
                        <w:rPr>
                          <w:b w:val="0"/>
                          <w:color w:val="auto"/>
                        </w:rPr>
                        <w:t xml:space="preserve">tel: </w:t>
                      </w:r>
                      <w:r w:rsidRPr="00BC731E">
                        <w:rPr>
                          <w:b w:val="0"/>
                          <w:color w:val="auto"/>
                        </w:rPr>
                        <w:t>542 528 200</w:t>
                      </w:r>
                    </w:p>
                    <w:p w14:paraId="1AB72DE8" w14:textId="77777777" w:rsidR="004C456F" w:rsidRPr="004A61C5" w:rsidRDefault="004C456F" w:rsidP="00AB535B">
                      <w:pPr>
                        <w:pStyle w:val="TLKontakty"/>
                        <w:spacing w:after="80" w:line="240" w:lineRule="auto"/>
                        <w:rPr>
                          <w:color w:val="auto"/>
                        </w:rPr>
                      </w:pPr>
                      <w:r w:rsidRPr="004A61C5">
                        <w:rPr>
                          <w:b w:val="0"/>
                          <w:color w:val="auto"/>
                        </w:rPr>
                        <w:t>e-mail: infoservisbrno@</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csu.gov.cz/jihomoravsky</w:t>
                      </w:r>
                    </w:p>
                    <w:p w14:paraId="0068D5EE" w14:textId="77777777" w:rsidR="004C456F" w:rsidRPr="004A61C5" w:rsidRDefault="004C456F" w:rsidP="00AB535B">
                      <w:pPr>
                        <w:pStyle w:val="TLKontakty"/>
                        <w:spacing w:after="80" w:line="240" w:lineRule="auto"/>
                        <w:rPr>
                          <w:b w:val="0"/>
                          <w:color w:val="auto"/>
                        </w:rPr>
                      </w:pPr>
                    </w:p>
                    <w:p w14:paraId="50E3CB39" w14:textId="77777777" w:rsidR="004C456F" w:rsidRPr="005E7C78" w:rsidRDefault="004C456F" w:rsidP="00AB535B">
                      <w:pPr>
                        <w:pStyle w:val="TLKontakty"/>
                        <w:spacing w:after="80" w:line="240" w:lineRule="auto"/>
                        <w:rPr>
                          <w:b w:val="0"/>
                          <w:color w:val="auto"/>
                        </w:rPr>
                      </w:pPr>
                      <w:r w:rsidRPr="00EA0987">
                        <w:t>Olomouc</w:t>
                      </w:r>
                      <w:r w:rsidRPr="005E7C78">
                        <w:rPr>
                          <w:b w:val="0"/>
                          <w:color w:val="auto"/>
                        </w:rPr>
                        <w:t xml:space="preserve"> | Jeremenkova 1142/42, 772 11 Olomouc, </w:t>
                      </w:r>
                      <w:r>
                        <w:rPr>
                          <w:b w:val="0"/>
                          <w:color w:val="auto"/>
                        </w:rPr>
                        <w:t xml:space="preserve">tel.: </w:t>
                      </w:r>
                      <w:r w:rsidRPr="00BC731E">
                        <w:rPr>
                          <w:b w:val="0"/>
                          <w:color w:val="auto"/>
                        </w:rPr>
                        <w:t>585 731 511</w:t>
                      </w:r>
                    </w:p>
                    <w:p w14:paraId="4DF839A7" w14:textId="77777777" w:rsidR="004C456F" w:rsidRPr="005E7C78" w:rsidRDefault="004C456F" w:rsidP="00AB535B">
                      <w:pPr>
                        <w:pStyle w:val="TLKontakty"/>
                        <w:spacing w:after="80" w:line="240" w:lineRule="auto"/>
                        <w:rPr>
                          <w:b w:val="0"/>
                          <w:color w:val="auto"/>
                        </w:rPr>
                      </w:pPr>
                      <w:r w:rsidRPr="005E7C78">
                        <w:rPr>
                          <w:b w:val="0"/>
                          <w:color w:val="auto"/>
                        </w:rPr>
                        <w:t>e-mail: infoservisolom@</w:t>
                      </w:r>
                      <w:r>
                        <w:rPr>
                          <w:b w:val="0"/>
                          <w:color w:val="auto"/>
                        </w:rPr>
                        <w:t>csu.gov</w:t>
                      </w:r>
                      <w:r w:rsidRPr="00D235B7">
                        <w:rPr>
                          <w:b w:val="0"/>
                          <w:color w:val="auto"/>
                        </w:rPr>
                        <w:t>.cz</w:t>
                      </w:r>
                      <w:r w:rsidRPr="005E7C78">
                        <w:rPr>
                          <w:b w:val="0"/>
                          <w:color w:val="auto"/>
                        </w:rPr>
                        <w:t xml:space="preserve"> | </w:t>
                      </w:r>
                      <w:r w:rsidRPr="00992CF3">
                        <w:rPr>
                          <w:color w:val="auto"/>
                        </w:rPr>
                        <w:t>www.</w:t>
                      </w:r>
                      <w:r>
                        <w:rPr>
                          <w:color w:val="auto"/>
                        </w:rPr>
                        <w:t>csu.gov.cz/olomoucky</w:t>
                      </w:r>
                    </w:p>
                    <w:p w14:paraId="46C88BC4" w14:textId="77777777" w:rsidR="004C456F" w:rsidRPr="005E7C78" w:rsidRDefault="004C456F" w:rsidP="00AB535B">
                      <w:pPr>
                        <w:pStyle w:val="TLKontakty"/>
                        <w:spacing w:after="80" w:line="240" w:lineRule="auto"/>
                        <w:rPr>
                          <w:b w:val="0"/>
                          <w:color w:val="auto"/>
                        </w:rPr>
                      </w:pPr>
                    </w:p>
                    <w:p w14:paraId="16A6BEB7" w14:textId="77777777" w:rsidR="004C456F" w:rsidRPr="005E7C78" w:rsidRDefault="004C456F" w:rsidP="00AB535B">
                      <w:pPr>
                        <w:pStyle w:val="TLKontakty"/>
                        <w:spacing w:after="80" w:line="240" w:lineRule="auto"/>
                        <w:rPr>
                          <w:b w:val="0"/>
                          <w:color w:val="auto"/>
                        </w:rPr>
                      </w:pPr>
                      <w:r w:rsidRPr="00EA0987">
                        <w:t>Zlín</w:t>
                      </w:r>
                      <w:r w:rsidRPr="00EA0987">
                        <w:rPr>
                          <w:b w:val="0"/>
                        </w:rPr>
                        <w:t xml:space="preserve"> </w:t>
                      </w:r>
                      <w:r w:rsidRPr="005E7C78">
                        <w:rPr>
                          <w:b w:val="0"/>
                          <w:color w:val="auto"/>
                        </w:rPr>
                        <w:t>| tř</w:t>
                      </w:r>
                      <w:r>
                        <w:rPr>
                          <w:b w:val="0"/>
                          <w:color w:val="auto"/>
                        </w:rPr>
                        <w:t>ída</w:t>
                      </w:r>
                      <w:r w:rsidRPr="005E7C78">
                        <w:rPr>
                          <w:b w:val="0"/>
                          <w:color w:val="auto"/>
                        </w:rPr>
                        <w:t xml:space="preserve"> Tomáše Bati 1565, 761 76 Zlín, </w:t>
                      </w:r>
                      <w:r>
                        <w:rPr>
                          <w:b w:val="0"/>
                          <w:color w:val="auto"/>
                        </w:rPr>
                        <w:t>tel.: 577 004 936</w:t>
                      </w:r>
                    </w:p>
                    <w:p w14:paraId="15EF2429" w14:textId="77777777" w:rsidR="004C456F" w:rsidRDefault="004C456F" w:rsidP="00AB535B">
                      <w:pPr>
                        <w:pStyle w:val="TLKontakty"/>
                        <w:spacing w:after="80" w:line="240" w:lineRule="auto"/>
                        <w:rPr>
                          <w:color w:val="auto"/>
                        </w:rPr>
                      </w:pPr>
                      <w:r>
                        <w:rPr>
                          <w:b w:val="0"/>
                          <w:color w:val="auto"/>
                        </w:rPr>
                        <w:t>e-mail: infoservis</w:t>
                      </w:r>
                      <w:r w:rsidRPr="005E7C78">
                        <w:rPr>
                          <w:b w:val="0"/>
                          <w:color w:val="auto"/>
                        </w:rPr>
                        <w:t>zl@</w:t>
                      </w:r>
                      <w:r>
                        <w:rPr>
                          <w:b w:val="0"/>
                          <w:color w:val="auto"/>
                        </w:rPr>
                        <w:t>csu.gov</w:t>
                      </w:r>
                      <w:r w:rsidRPr="00D235B7">
                        <w:rPr>
                          <w:b w:val="0"/>
                          <w:color w:val="auto"/>
                        </w:rPr>
                        <w:t>.cz</w:t>
                      </w:r>
                      <w:r w:rsidRPr="005E7C78">
                        <w:rPr>
                          <w:b w:val="0"/>
                          <w:color w:val="auto"/>
                        </w:rPr>
                        <w:t xml:space="preserve"> | </w:t>
                      </w:r>
                      <w:r w:rsidRPr="00992CF3">
                        <w:rPr>
                          <w:color w:val="auto"/>
                        </w:rPr>
                        <w:t>www.</w:t>
                      </w:r>
                      <w:r>
                        <w:rPr>
                          <w:color w:val="auto"/>
                        </w:rPr>
                        <w:t>csu.gov.cz/zlinsky</w:t>
                      </w:r>
                    </w:p>
                    <w:p w14:paraId="124AFCC8" w14:textId="77777777" w:rsidR="004C456F" w:rsidRPr="005E7C78" w:rsidRDefault="004C456F" w:rsidP="00AB535B">
                      <w:pPr>
                        <w:pStyle w:val="TLKontakty"/>
                        <w:spacing w:after="80" w:line="240" w:lineRule="auto"/>
                        <w:rPr>
                          <w:b w:val="0"/>
                          <w:color w:val="auto"/>
                        </w:rPr>
                      </w:pPr>
                    </w:p>
                    <w:p w14:paraId="61D04DDC" w14:textId="77777777" w:rsidR="004C456F" w:rsidRPr="005E7C78" w:rsidRDefault="004C456F" w:rsidP="00AB535B">
                      <w:pPr>
                        <w:pStyle w:val="TLKontakty"/>
                        <w:spacing w:after="80" w:line="240" w:lineRule="auto"/>
                        <w:rPr>
                          <w:b w:val="0"/>
                          <w:color w:val="auto"/>
                        </w:rPr>
                      </w:pPr>
                      <w:r w:rsidRPr="00EA0987">
                        <w:t>Ostrava</w:t>
                      </w:r>
                      <w:r w:rsidRPr="00EA0987">
                        <w:rPr>
                          <w:b w:val="0"/>
                        </w:rPr>
                        <w:t xml:space="preserve"> </w:t>
                      </w:r>
                      <w:r w:rsidRPr="005E7C78">
                        <w:rPr>
                          <w:b w:val="0"/>
                          <w:color w:val="auto"/>
                        </w:rPr>
                        <w:t>| Repinova 17, 702 03 Ostrava,</w:t>
                      </w:r>
                      <w:r>
                        <w:rPr>
                          <w:b w:val="0"/>
                          <w:color w:val="auto"/>
                        </w:rPr>
                        <w:t xml:space="preserve"> tel: 595 131 230</w:t>
                      </w:r>
                    </w:p>
                    <w:p w14:paraId="0F47DC86" w14:textId="77777777" w:rsidR="004C456F" w:rsidRPr="00095135" w:rsidRDefault="004C456F" w:rsidP="00AB535B">
                      <w:pPr>
                        <w:pStyle w:val="TLKontakty"/>
                        <w:spacing w:after="80" w:line="240" w:lineRule="auto"/>
                        <w:rPr>
                          <w:b w:val="0"/>
                          <w:color w:val="auto"/>
                        </w:rPr>
                      </w:pPr>
                      <w:r>
                        <w:rPr>
                          <w:b w:val="0"/>
                          <w:color w:val="auto"/>
                        </w:rPr>
                        <w:t>e-mail: infoservis</w:t>
                      </w:r>
                      <w:r w:rsidRPr="005E7C78">
                        <w:rPr>
                          <w:b w:val="0"/>
                          <w:color w:val="auto"/>
                        </w:rPr>
                        <w:t>ov@</w:t>
                      </w:r>
                      <w:r>
                        <w:rPr>
                          <w:b w:val="0"/>
                          <w:color w:val="auto"/>
                        </w:rPr>
                        <w:t>csu.gov</w:t>
                      </w:r>
                      <w:r w:rsidRPr="00D235B7">
                        <w:rPr>
                          <w:b w:val="0"/>
                          <w:color w:val="auto"/>
                        </w:rPr>
                        <w:t>.cz</w:t>
                      </w:r>
                      <w:r w:rsidRPr="005E7C78">
                        <w:rPr>
                          <w:b w:val="0"/>
                          <w:color w:val="auto"/>
                        </w:rPr>
                        <w:t xml:space="preserve"> | </w:t>
                      </w:r>
                      <w:r w:rsidRPr="00992CF3">
                        <w:rPr>
                          <w:color w:val="auto"/>
                        </w:rPr>
                        <w:t>www.</w:t>
                      </w:r>
                      <w:r>
                        <w:rPr>
                          <w:color w:val="auto"/>
                        </w:rPr>
                        <w:t>csu.gov.cz/moravskoslezsky</w:t>
                      </w:r>
                    </w:p>
                  </w:txbxContent>
                </v:textbox>
                <w10:wrap anchorx="page" anchory="page"/>
                <w10:anchorlock/>
              </v:shape>
            </w:pict>
          </mc:Fallback>
        </mc:AlternateContent>
      </w:r>
      <w:r>
        <w:rPr>
          <w:noProof/>
        </w:rPr>
        <mc:AlternateContent>
          <mc:Choice Requires="wps">
            <w:drawing>
              <wp:anchor distT="0" distB="0" distL="114300" distR="114300" simplePos="0" relativeHeight="251661824" behindDoc="0" locked="1" layoutInCell="1" allowOverlap="1" wp14:anchorId="2143297E" wp14:editId="2143297F">
                <wp:simplePos x="0" y="0"/>
                <wp:positionH relativeFrom="page">
                  <wp:posOffset>720090</wp:posOffset>
                </wp:positionH>
                <wp:positionV relativeFrom="page">
                  <wp:posOffset>9324975</wp:posOffset>
                </wp:positionV>
                <wp:extent cx="6120000" cy="540000"/>
                <wp:effectExtent l="0" t="0" r="14605" b="12700"/>
                <wp:wrapNone/>
                <wp:docPr id="2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5400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w="9525">
                              <a:solidFill>
                                <a:srgbClr val="000000"/>
                              </a:solidFill>
                              <a:miter lim="800000"/>
                              <a:headEnd/>
                              <a:tailEnd/>
                            </a14:hiddenLine>
                          </a:ext>
                        </a:extLst>
                      </wps:spPr>
                      <wps:txbx>
                        <w:txbxContent>
                          <w:p w14:paraId="0C2ABDC7" w14:textId="77777777" w:rsidR="004C456F" w:rsidRDefault="004C456F" w:rsidP="00884AD6"/>
                          <w:p w14:paraId="214329D3" w14:textId="5F2A1BBD" w:rsidR="004C456F" w:rsidRPr="00321924" w:rsidRDefault="004C456F" w:rsidP="00884AD6">
                            <w:r w:rsidRPr="00321924">
                              <w:t xml:space="preserve">© Český statistický úřad, </w:t>
                            </w:r>
                            <w:r>
                              <w:t>Praha</w:t>
                            </w:r>
                            <w:r w:rsidRPr="00321924">
                              <w:t xml:space="preserve">, </w:t>
                            </w:r>
                            <w:r>
                              <w:t>202</w:t>
                            </w:r>
                            <w:r w:rsidR="00011F39">
                              <w:t>6</w:t>
                            </w:r>
                          </w:p>
                          <w:p w14:paraId="214329D4" w14:textId="77777777" w:rsidR="004C456F" w:rsidRDefault="004C456F"/>
                          <w:p w14:paraId="214329D5" w14:textId="77777777" w:rsidR="004C456F" w:rsidRPr="00841D9F" w:rsidRDefault="004C456F" w:rsidP="000A3A2C">
                            <w:r w:rsidRPr="00841D9F">
                              <w:rPr>
                                <w:szCs w:val="26"/>
                              </w:rPr>
                              <w:t>ISBN XX-XXXX-XXX-</w:t>
                            </w:r>
                            <w:r w:rsidRPr="00841D9F">
                              <w:rPr>
                                <w:szCs w:val="26"/>
                              </w:rPr>
                              <w:t xml:space="preserve">X  </w:t>
                            </w:r>
                            <w:r w:rsidRPr="00841D9F">
                              <w:t>(pouze u nepravidelných a ročních publikací)</w:t>
                            </w:r>
                          </w:p>
                          <w:p w14:paraId="214329D6" w14:textId="77777777" w:rsidR="004C456F" w:rsidRPr="00AF2852" w:rsidRDefault="004C456F" w:rsidP="000A3A2C">
                            <w:r w:rsidRPr="00841D9F">
                              <w:t>© Český sta</w:t>
                            </w:r>
                            <w:r>
                              <w:t xml:space="preserve">tistický úřad / </w:t>
                            </w:r>
                            <w:r w:rsidRPr="009A1902">
                              <w:rPr>
                                <w:i/>
                              </w:rPr>
                              <w:t xml:space="preserve">Czech </w:t>
                            </w:r>
                            <w:r w:rsidRPr="009A1902">
                              <w:rPr>
                                <w:rFonts w:cs="Arial"/>
                                <w:i/>
                                <w:szCs w:val="20"/>
                              </w:rPr>
                              <w:t>Statistical Office</w:t>
                            </w:r>
                            <w:r>
                              <w:t>, místo, rok vydání</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43297E" id="_x0000_s1031" type="#_x0000_t202" style="position:absolute;margin-left:56.7pt;margin-top:734.25pt;width:481.9pt;height:42.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" filled="f" stroked="f">
                <v:textbox inset="0,0,0,0">
                  <w:txbxContent>
                    <w:p w14:paraId="0C2ABDC7" w14:textId="77777777" w:rsidR="004C456F" w:rsidRDefault="004C456F" w:rsidP="00884AD6"/>
                    <w:p w14:paraId="214329D3" w14:textId="5F2A1BBD" w:rsidR="004C456F" w:rsidRPr="00321924" w:rsidRDefault="004C456F" w:rsidP="00884AD6">
                      <w:r w:rsidRPr="00321924">
                        <w:t xml:space="preserve">© Český statistický úřad, </w:t>
                      </w:r>
                      <w:r>
                        <w:t>Praha</w:t>
                      </w:r>
                      <w:r w:rsidRPr="00321924">
                        <w:t xml:space="preserve">, </w:t>
                      </w:r>
                      <w:r>
                        <w:t>202</w:t>
                      </w:r>
                      <w:r w:rsidR="00011F39">
                        <w:t>6</w:t>
                      </w:r>
                    </w:p>
                    <w:p w14:paraId="214329D4" w14:textId="77777777" w:rsidR="004C456F" w:rsidRDefault="004C456F"/>
                    <w:p w14:paraId="214329D5" w14:textId="77777777" w:rsidR="004C456F" w:rsidRPr="00841D9F" w:rsidRDefault="004C456F" w:rsidP="000A3A2C">
                      <w:r w:rsidRPr="00841D9F">
                        <w:rPr>
                          <w:szCs w:val="26"/>
                        </w:rPr>
                        <w:t>ISBN XX-XXXX-XXX-</w:t>
                      </w:r>
                      <w:r w:rsidRPr="00841D9F">
                        <w:rPr>
                          <w:szCs w:val="26"/>
                        </w:rPr>
                        <w:t xml:space="preserve">X  </w:t>
                      </w:r>
                      <w:r w:rsidRPr="00841D9F">
                        <w:t>(pouze u nepravidelných a ročních publikací)</w:t>
                      </w:r>
                    </w:p>
                    <w:p w14:paraId="214329D6" w14:textId="77777777" w:rsidR="004C456F" w:rsidRPr="00AF2852" w:rsidRDefault="004C456F" w:rsidP="000A3A2C">
                      <w:r w:rsidRPr="00841D9F">
                        <w:t>© Český sta</w:t>
                      </w:r>
                      <w:r>
                        <w:t xml:space="preserve">tistický úřad / </w:t>
                      </w:r>
                      <w:r w:rsidRPr="009A1902">
                        <w:rPr>
                          <w:i/>
                        </w:rPr>
                        <w:t xml:space="preserve">Czech </w:t>
                      </w:r>
                      <w:r w:rsidRPr="009A1902">
                        <w:rPr>
                          <w:rFonts w:cs="Arial"/>
                          <w:i/>
                          <w:szCs w:val="20"/>
                        </w:rPr>
                        <w:t>Statistical Office</w:t>
                      </w:r>
                      <w:r>
                        <w:t>, místo, rok vydání</w:t>
                      </w:r>
                    </w:p>
                  </w:txbxContent>
                </v:textbox>
                <w10:wrap anchorx="page" anchory="page"/>
                <w10:anchorlock/>
              </v:shape>
            </w:pict>
          </mc:Fallback>
        </mc:AlternateContent>
      </w:r>
      <w:r>
        <w:rPr>
          <w:noProof/>
        </w:rPr>
        <mc:AlternateContent>
          <mc:Choice Requires="wps">
            <w:drawing>
              <wp:anchor distT="0" distB="0" distL="114300" distR="114300" simplePos="0" relativeHeight="251660800" behindDoc="0" locked="1" layoutInCell="1" allowOverlap="1" wp14:anchorId="21432980" wp14:editId="21432981">
                <wp:simplePos x="0" y="0"/>
                <wp:positionH relativeFrom="page">
                  <wp:posOffset>723265</wp:posOffset>
                </wp:positionH>
                <wp:positionV relativeFrom="page">
                  <wp:posOffset>723265</wp:posOffset>
                </wp:positionV>
                <wp:extent cx="6119495" cy="555625"/>
                <wp:effectExtent l="0" t="0" r="2540" b="0"/>
                <wp:wrapNone/>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5556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w="9525">
                              <a:solidFill>
                                <a:srgbClr val="000000"/>
                              </a:solidFill>
                              <a:miter lim="800000"/>
                              <a:headEnd/>
                              <a:tailEnd/>
                            </a14:hiddenLine>
                          </a:ext>
                        </a:extLst>
                      </wps:spPr>
                      <wps:txbx>
                        <w:txbxContent>
                          <w:p w14:paraId="214329D7" w14:textId="77777777" w:rsidR="004C456F" w:rsidRPr="009A1902" w:rsidRDefault="004C456F" w:rsidP="00214CF7">
                            <w:pPr>
                              <w:jc w:val="left"/>
                              <w:rPr>
                                <w:b/>
                                <w:bCs/>
                                <w:i/>
                                <w:sz w:val="24"/>
                              </w:rPr>
                            </w:pPr>
                            <w:r w:rsidRPr="00EA0987">
                              <w:rPr>
                                <w:b/>
                                <w:color w:val="86BF5E"/>
                                <w:sz w:val="24"/>
                              </w:rPr>
                              <w:t xml:space="preserve">Zajímají Vás nejnovější údaje o inflaci, HDP, obyvatelstvu, průměrných mzdách </w:t>
                            </w:r>
                            <w:r w:rsidRPr="00EA0987">
                              <w:rPr>
                                <w:b/>
                                <w:color w:val="86BF5E"/>
                                <w:sz w:val="24"/>
                              </w:rPr>
                              <w:br/>
                              <w:t xml:space="preserve">a mnohé další? Najdete je na stránkách ČSÚ na internetu: </w:t>
                            </w:r>
                            <w:r>
                              <w:rPr>
                                <w:b/>
                                <w:bCs/>
                                <w:sz w:val="24"/>
                              </w:rPr>
                              <w:t>www.csu.gov.cz</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1432980" id="_x0000_s1032" type="#_x0000_t202" style="position:absolute;margin-left:56.95pt;margin-top:56.95pt;width:481.85pt;height:43.7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" filled="f" stroked="f">
                <v:textbox style="mso-fit-shape-to-text:t" inset="0,0,0,0">
                  <w:txbxContent>
                    <w:p w14:paraId="214329D7" w14:textId="77777777" w:rsidR="004C456F" w:rsidRPr="009A1902" w:rsidRDefault="004C456F" w:rsidP="00214CF7">
                      <w:pPr>
                        <w:jc w:val="left"/>
                        <w:rPr>
                          <w:b/>
                          <w:bCs/>
                          <w:i/>
                          <w:sz w:val="24"/>
                        </w:rPr>
                      </w:pPr>
                      <w:r w:rsidRPr="00EA0987">
                        <w:rPr>
                          <w:b/>
                          <w:color w:val="86BF5E"/>
                          <w:sz w:val="24"/>
                        </w:rPr>
                        <w:t xml:space="preserve">Zajímají Vás nejnovější údaje o inflaci, HDP, obyvatelstvu, průměrných mzdách </w:t>
                      </w:r>
                      <w:r w:rsidRPr="00EA0987">
                        <w:rPr>
                          <w:b/>
                          <w:color w:val="86BF5E"/>
                          <w:sz w:val="24"/>
                        </w:rPr>
                        <w:br/>
                        <w:t xml:space="preserve">a mnohé další? Najdete je na stránkách ČSÚ na internetu: </w:t>
                      </w:r>
                      <w:r>
                        <w:rPr>
                          <w:b/>
                          <w:bCs/>
                          <w:sz w:val="24"/>
                        </w:rPr>
                        <w:t>www.csu.gov.cz</w:t>
                      </w:r>
                    </w:p>
                  </w:txbxContent>
                </v:textbox>
                <w10:wrap anchorx="page" anchory="page"/>
                <w10:anchorlock/>
              </v:shape>
            </w:pict>
          </mc:Fallback>
        </mc:AlternateContent>
      </w:r>
    </w:p>
    <w:sdt>
      <w:sdtPr>
        <w:rPr>
          <w:b w:val="0"/>
          <w:color w:val="auto"/>
          <w:sz w:val="20"/>
          <w:szCs w:val="20"/>
        </w:rPr>
        <w:id w:val="129444162"/>
        <w:docPartObj>
          <w:docPartGallery w:val="Table of Contents"/>
          <w:docPartUnique/>
        </w:docPartObj>
      </w:sdtPr>
      <w:sdtEndPr/>
      <w:sdtContent>
        <w:p w14:paraId="7D810B7A" w14:textId="77777777" w:rsidR="00C72884" w:rsidRPr="009110F7" w:rsidRDefault="00C72884" w:rsidP="00C72884">
          <w:pPr>
            <w:pStyle w:val="Obsah"/>
          </w:pPr>
          <w:r>
            <w:t>Obsah</w:t>
          </w:r>
        </w:p>
        <w:p w14:paraId="2D16C079" w14:textId="08769E68" w:rsidR="00340188" w:rsidRDefault="00C72884">
          <w:pPr>
            <w:pStyle w:val="Obsah1"/>
            <w:rPr>
              <w:rFonts w:asciiTheme="minorHAnsi" w:eastAsiaTheme="minorEastAsia" w:hAnsiTheme="minorHAnsi" w:cstheme="minorBidi"/>
              <w:noProof/>
              <w:kern w:val="2"/>
              <w:sz w:val="24"/>
              <w14:ligatures w14:val="standardContextual"/>
            </w:rPr>
          </w:pPr>
          <w:r>
            <w:fldChar w:fldCharType="begin"/>
          </w:r>
          <w:r>
            <w:instrText>TOC \o "1-3" \h \z \u</w:instrText>
          </w:r>
          <w:r>
            <w:fldChar w:fldCharType="separate"/>
          </w:r>
          <w:hyperlink w:anchor="_Toc224903145" w:history="1">
            <w:r w:rsidR="00340188" w:rsidRPr="00844585">
              <w:rPr>
                <w:rStyle w:val="Hypertextovodkaz"/>
                <w:noProof/>
              </w:rPr>
              <w:t>1. Shrnutí</w:t>
            </w:r>
            <w:r w:rsidR="00340188">
              <w:rPr>
                <w:noProof/>
                <w:webHidden/>
              </w:rPr>
              <w:tab/>
            </w:r>
            <w:r w:rsidR="00340188">
              <w:rPr>
                <w:noProof/>
                <w:webHidden/>
              </w:rPr>
              <w:fldChar w:fldCharType="begin"/>
            </w:r>
            <w:r w:rsidR="00340188">
              <w:rPr>
                <w:noProof/>
                <w:webHidden/>
              </w:rPr>
              <w:instrText xml:space="preserve"> PAGEREF _Toc224903145 \h </w:instrText>
            </w:r>
            <w:r w:rsidR="00340188">
              <w:rPr>
                <w:noProof/>
                <w:webHidden/>
              </w:rPr>
            </w:r>
            <w:r w:rsidR="00340188">
              <w:rPr>
                <w:noProof/>
                <w:webHidden/>
              </w:rPr>
              <w:fldChar w:fldCharType="separate"/>
            </w:r>
            <w:r w:rsidR="00340188">
              <w:rPr>
                <w:noProof/>
                <w:webHidden/>
              </w:rPr>
              <w:t>4</w:t>
            </w:r>
            <w:r w:rsidR="00340188">
              <w:rPr>
                <w:noProof/>
                <w:webHidden/>
              </w:rPr>
              <w:fldChar w:fldCharType="end"/>
            </w:r>
          </w:hyperlink>
        </w:p>
        <w:p w14:paraId="5CE2A910" w14:textId="41DB7E90" w:rsidR="00340188" w:rsidRDefault="00340188">
          <w:pPr>
            <w:pStyle w:val="Obsah1"/>
            <w:rPr>
              <w:rFonts w:asciiTheme="minorHAnsi" w:eastAsiaTheme="minorEastAsia" w:hAnsiTheme="minorHAnsi" w:cstheme="minorBidi"/>
              <w:noProof/>
              <w:kern w:val="2"/>
              <w:sz w:val="24"/>
              <w14:ligatures w14:val="standardContextual"/>
            </w:rPr>
          </w:pPr>
          <w:hyperlink w:anchor="_Toc224903146" w:history="1">
            <w:r w:rsidRPr="00844585">
              <w:rPr>
                <w:rStyle w:val="Hypertextovodkaz"/>
                <w:noProof/>
              </w:rPr>
              <w:t>2. Souhrnná výkonnost</w:t>
            </w:r>
            <w:r>
              <w:rPr>
                <w:noProof/>
                <w:webHidden/>
              </w:rPr>
              <w:tab/>
            </w:r>
            <w:r>
              <w:rPr>
                <w:noProof/>
                <w:webHidden/>
              </w:rPr>
              <w:fldChar w:fldCharType="begin"/>
            </w:r>
            <w:r>
              <w:rPr>
                <w:noProof/>
                <w:webHidden/>
              </w:rPr>
              <w:instrText xml:space="preserve"> PAGEREF _Toc224903146 \h </w:instrText>
            </w:r>
            <w:r>
              <w:rPr>
                <w:noProof/>
                <w:webHidden/>
              </w:rPr>
            </w:r>
            <w:r>
              <w:rPr>
                <w:noProof/>
                <w:webHidden/>
              </w:rPr>
              <w:fldChar w:fldCharType="separate"/>
            </w:r>
            <w:r>
              <w:rPr>
                <w:noProof/>
                <w:webHidden/>
              </w:rPr>
              <w:t>6</w:t>
            </w:r>
            <w:r>
              <w:rPr>
                <w:noProof/>
                <w:webHidden/>
              </w:rPr>
              <w:fldChar w:fldCharType="end"/>
            </w:r>
          </w:hyperlink>
        </w:p>
        <w:p w14:paraId="7E7CB31C" w14:textId="5405A7B4" w:rsidR="00340188" w:rsidRDefault="00340188">
          <w:pPr>
            <w:pStyle w:val="Obsah1"/>
            <w:rPr>
              <w:rFonts w:asciiTheme="minorHAnsi" w:eastAsiaTheme="minorEastAsia" w:hAnsiTheme="minorHAnsi" w:cstheme="minorBidi"/>
              <w:noProof/>
              <w:kern w:val="2"/>
              <w:sz w:val="24"/>
              <w14:ligatures w14:val="standardContextual"/>
            </w:rPr>
          </w:pPr>
          <w:hyperlink w:anchor="_Toc224903147" w:history="1">
            <w:r w:rsidRPr="00844585">
              <w:rPr>
                <w:rStyle w:val="Hypertextovodkaz"/>
                <w:noProof/>
              </w:rPr>
              <w:t>3. Výkonnost odvětví</w:t>
            </w:r>
            <w:r>
              <w:rPr>
                <w:noProof/>
                <w:webHidden/>
              </w:rPr>
              <w:tab/>
            </w:r>
            <w:r>
              <w:rPr>
                <w:noProof/>
                <w:webHidden/>
              </w:rPr>
              <w:fldChar w:fldCharType="begin"/>
            </w:r>
            <w:r>
              <w:rPr>
                <w:noProof/>
                <w:webHidden/>
              </w:rPr>
              <w:instrText xml:space="preserve"> PAGEREF _Toc224903147 \h </w:instrText>
            </w:r>
            <w:r>
              <w:rPr>
                <w:noProof/>
                <w:webHidden/>
              </w:rPr>
            </w:r>
            <w:r>
              <w:rPr>
                <w:noProof/>
                <w:webHidden/>
              </w:rPr>
              <w:fldChar w:fldCharType="separate"/>
            </w:r>
            <w:r>
              <w:rPr>
                <w:noProof/>
                <w:webHidden/>
              </w:rPr>
              <w:t>11</w:t>
            </w:r>
            <w:r>
              <w:rPr>
                <w:noProof/>
                <w:webHidden/>
              </w:rPr>
              <w:fldChar w:fldCharType="end"/>
            </w:r>
          </w:hyperlink>
        </w:p>
        <w:p w14:paraId="10F03362" w14:textId="22520FD0" w:rsidR="00340188" w:rsidRDefault="00340188">
          <w:pPr>
            <w:pStyle w:val="Obsah1"/>
            <w:rPr>
              <w:rFonts w:asciiTheme="minorHAnsi" w:eastAsiaTheme="minorEastAsia" w:hAnsiTheme="minorHAnsi" w:cstheme="minorBidi"/>
              <w:noProof/>
              <w:kern w:val="2"/>
              <w:sz w:val="24"/>
              <w14:ligatures w14:val="standardContextual"/>
            </w:rPr>
          </w:pPr>
          <w:hyperlink w:anchor="_Toc224903148" w:history="1">
            <w:r w:rsidRPr="00844585">
              <w:rPr>
                <w:rStyle w:val="Hypertextovodkaz"/>
                <w:noProof/>
              </w:rPr>
              <w:t>4. Vnější vztahy</w:t>
            </w:r>
            <w:r>
              <w:rPr>
                <w:noProof/>
                <w:webHidden/>
              </w:rPr>
              <w:tab/>
            </w:r>
            <w:r>
              <w:rPr>
                <w:noProof/>
                <w:webHidden/>
              </w:rPr>
              <w:fldChar w:fldCharType="begin"/>
            </w:r>
            <w:r>
              <w:rPr>
                <w:noProof/>
                <w:webHidden/>
              </w:rPr>
              <w:instrText xml:space="preserve"> PAGEREF _Toc224903148 \h </w:instrText>
            </w:r>
            <w:r>
              <w:rPr>
                <w:noProof/>
                <w:webHidden/>
              </w:rPr>
            </w:r>
            <w:r>
              <w:rPr>
                <w:noProof/>
                <w:webHidden/>
              </w:rPr>
              <w:fldChar w:fldCharType="separate"/>
            </w:r>
            <w:r>
              <w:rPr>
                <w:noProof/>
                <w:webHidden/>
              </w:rPr>
              <w:t>24</w:t>
            </w:r>
            <w:r>
              <w:rPr>
                <w:noProof/>
                <w:webHidden/>
              </w:rPr>
              <w:fldChar w:fldCharType="end"/>
            </w:r>
          </w:hyperlink>
        </w:p>
        <w:p w14:paraId="69EFF3F7" w14:textId="358D9BD3" w:rsidR="00340188" w:rsidRDefault="00340188">
          <w:pPr>
            <w:pStyle w:val="Obsah1"/>
            <w:rPr>
              <w:rFonts w:asciiTheme="minorHAnsi" w:eastAsiaTheme="minorEastAsia" w:hAnsiTheme="minorHAnsi" w:cstheme="minorBidi"/>
              <w:noProof/>
              <w:kern w:val="2"/>
              <w:sz w:val="24"/>
              <w14:ligatures w14:val="standardContextual"/>
            </w:rPr>
          </w:pPr>
          <w:hyperlink w:anchor="_Toc224903149" w:history="1">
            <w:r w:rsidRPr="00844585">
              <w:rPr>
                <w:rStyle w:val="Hypertextovodkaz"/>
                <w:noProof/>
              </w:rPr>
              <w:t>5. Ceny</w:t>
            </w:r>
            <w:r>
              <w:rPr>
                <w:noProof/>
                <w:webHidden/>
              </w:rPr>
              <w:tab/>
            </w:r>
            <w:r>
              <w:rPr>
                <w:noProof/>
                <w:webHidden/>
              </w:rPr>
              <w:fldChar w:fldCharType="begin"/>
            </w:r>
            <w:r>
              <w:rPr>
                <w:noProof/>
                <w:webHidden/>
              </w:rPr>
              <w:instrText xml:space="preserve"> PAGEREF _Toc224903149 \h </w:instrText>
            </w:r>
            <w:r>
              <w:rPr>
                <w:noProof/>
                <w:webHidden/>
              </w:rPr>
            </w:r>
            <w:r>
              <w:rPr>
                <w:noProof/>
                <w:webHidden/>
              </w:rPr>
              <w:fldChar w:fldCharType="separate"/>
            </w:r>
            <w:r>
              <w:rPr>
                <w:noProof/>
                <w:webHidden/>
              </w:rPr>
              <w:t>29</w:t>
            </w:r>
            <w:r>
              <w:rPr>
                <w:noProof/>
                <w:webHidden/>
              </w:rPr>
              <w:fldChar w:fldCharType="end"/>
            </w:r>
          </w:hyperlink>
        </w:p>
        <w:p w14:paraId="356F41DE" w14:textId="4D5C64FC" w:rsidR="00340188" w:rsidRDefault="00340188">
          <w:pPr>
            <w:pStyle w:val="Obsah1"/>
            <w:rPr>
              <w:rFonts w:asciiTheme="minorHAnsi" w:eastAsiaTheme="minorEastAsia" w:hAnsiTheme="minorHAnsi" w:cstheme="minorBidi"/>
              <w:noProof/>
              <w:kern w:val="2"/>
              <w:sz w:val="24"/>
              <w14:ligatures w14:val="standardContextual"/>
            </w:rPr>
          </w:pPr>
          <w:hyperlink w:anchor="_Toc224903150" w:history="1">
            <w:r w:rsidRPr="00844585">
              <w:rPr>
                <w:rStyle w:val="Hypertextovodkaz"/>
                <w:noProof/>
              </w:rPr>
              <w:t>6. Trh práce</w:t>
            </w:r>
            <w:r>
              <w:rPr>
                <w:noProof/>
                <w:webHidden/>
              </w:rPr>
              <w:tab/>
            </w:r>
            <w:r>
              <w:rPr>
                <w:noProof/>
                <w:webHidden/>
              </w:rPr>
              <w:fldChar w:fldCharType="begin"/>
            </w:r>
            <w:r>
              <w:rPr>
                <w:noProof/>
                <w:webHidden/>
              </w:rPr>
              <w:instrText xml:space="preserve"> PAGEREF _Toc224903150 \h </w:instrText>
            </w:r>
            <w:r>
              <w:rPr>
                <w:noProof/>
                <w:webHidden/>
              </w:rPr>
            </w:r>
            <w:r>
              <w:rPr>
                <w:noProof/>
                <w:webHidden/>
              </w:rPr>
              <w:fldChar w:fldCharType="separate"/>
            </w:r>
            <w:r>
              <w:rPr>
                <w:noProof/>
                <w:webHidden/>
              </w:rPr>
              <w:t>37</w:t>
            </w:r>
            <w:r>
              <w:rPr>
                <w:noProof/>
                <w:webHidden/>
              </w:rPr>
              <w:fldChar w:fldCharType="end"/>
            </w:r>
          </w:hyperlink>
        </w:p>
        <w:p w14:paraId="083EB426" w14:textId="0F2B34A4" w:rsidR="00340188" w:rsidRDefault="00340188">
          <w:pPr>
            <w:pStyle w:val="Obsah1"/>
            <w:rPr>
              <w:rFonts w:asciiTheme="minorHAnsi" w:eastAsiaTheme="minorEastAsia" w:hAnsiTheme="minorHAnsi" w:cstheme="minorBidi"/>
              <w:noProof/>
              <w:kern w:val="2"/>
              <w:sz w:val="24"/>
              <w14:ligatures w14:val="standardContextual"/>
            </w:rPr>
          </w:pPr>
          <w:hyperlink w:anchor="_Toc224903151" w:history="1">
            <w:r w:rsidRPr="00844585">
              <w:rPr>
                <w:rStyle w:val="Hypertextovodkaz"/>
                <w:noProof/>
              </w:rPr>
              <w:t>7. Měnové podmínky</w:t>
            </w:r>
            <w:r>
              <w:rPr>
                <w:noProof/>
                <w:webHidden/>
              </w:rPr>
              <w:tab/>
            </w:r>
            <w:r>
              <w:rPr>
                <w:noProof/>
                <w:webHidden/>
              </w:rPr>
              <w:fldChar w:fldCharType="begin"/>
            </w:r>
            <w:r>
              <w:rPr>
                <w:noProof/>
                <w:webHidden/>
              </w:rPr>
              <w:instrText xml:space="preserve"> PAGEREF _Toc224903151 \h </w:instrText>
            </w:r>
            <w:r>
              <w:rPr>
                <w:noProof/>
                <w:webHidden/>
              </w:rPr>
            </w:r>
            <w:r>
              <w:rPr>
                <w:noProof/>
                <w:webHidden/>
              </w:rPr>
              <w:fldChar w:fldCharType="separate"/>
            </w:r>
            <w:r>
              <w:rPr>
                <w:noProof/>
                <w:webHidden/>
              </w:rPr>
              <w:t>46</w:t>
            </w:r>
            <w:r>
              <w:rPr>
                <w:noProof/>
                <w:webHidden/>
              </w:rPr>
              <w:fldChar w:fldCharType="end"/>
            </w:r>
          </w:hyperlink>
        </w:p>
        <w:p w14:paraId="6891C8C1" w14:textId="1A680A47" w:rsidR="00340188" w:rsidRDefault="00340188">
          <w:pPr>
            <w:pStyle w:val="Obsah1"/>
            <w:rPr>
              <w:rFonts w:asciiTheme="minorHAnsi" w:eastAsiaTheme="minorEastAsia" w:hAnsiTheme="minorHAnsi" w:cstheme="minorBidi"/>
              <w:noProof/>
              <w:kern w:val="2"/>
              <w:sz w:val="24"/>
              <w14:ligatures w14:val="standardContextual"/>
            </w:rPr>
          </w:pPr>
          <w:hyperlink w:anchor="_Toc224903152" w:history="1">
            <w:r w:rsidRPr="00844585">
              <w:rPr>
                <w:rStyle w:val="Hypertextovodkaz"/>
                <w:noProof/>
              </w:rPr>
              <w:t>8. Státní rozpočet</w:t>
            </w:r>
            <w:r>
              <w:rPr>
                <w:noProof/>
                <w:webHidden/>
              </w:rPr>
              <w:tab/>
            </w:r>
            <w:r>
              <w:rPr>
                <w:noProof/>
                <w:webHidden/>
              </w:rPr>
              <w:fldChar w:fldCharType="begin"/>
            </w:r>
            <w:r>
              <w:rPr>
                <w:noProof/>
                <w:webHidden/>
              </w:rPr>
              <w:instrText xml:space="preserve"> PAGEREF _Toc224903152 \h </w:instrText>
            </w:r>
            <w:r>
              <w:rPr>
                <w:noProof/>
                <w:webHidden/>
              </w:rPr>
            </w:r>
            <w:r>
              <w:rPr>
                <w:noProof/>
                <w:webHidden/>
              </w:rPr>
              <w:fldChar w:fldCharType="separate"/>
            </w:r>
            <w:r>
              <w:rPr>
                <w:noProof/>
                <w:webHidden/>
              </w:rPr>
              <w:t>48</w:t>
            </w:r>
            <w:r>
              <w:rPr>
                <w:noProof/>
                <w:webHidden/>
              </w:rPr>
              <w:fldChar w:fldCharType="end"/>
            </w:r>
          </w:hyperlink>
        </w:p>
        <w:p w14:paraId="6BBE4EAD" w14:textId="3BCF81BC" w:rsidR="00C72884" w:rsidRDefault="00C72884" w:rsidP="00C72884">
          <w:pPr>
            <w:pStyle w:val="Obsah1"/>
            <w:tabs>
              <w:tab w:val="clear" w:pos="9639"/>
              <w:tab w:val="right" w:leader="dot" w:pos="9630"/>
            </w:tabs>
            <w:rPr>
              <w:szCs w:val="20"/>
            </w:rPr>
          </w:pPr>
          <w:r>
            <w:fldChar w:fldCharType="end"/>
          </w:r>
        </w:p>
      </w:sdtContent>
    </w:sdt>
    <w:p w14:paraId="5A20DB3F" w14:textId="73D676D0" w:rsidR="00C72884" w:rsidRDefault="00C72884" w:rsidP="00C72884">
      <w:pPr>
        <w:pStyle w:val="Obsahpoloky"/>
      </w:pPr>
    </w:p>
    <w:p w14:paraId="0598EDD2" w14:textId="4CB38494" w:rsidR="00C72884" w:rsidRDefault="00C72884" w:rsidP="00C72884">
      <w:pPr>
        <w:pStyle w:val="Obsahpoloky"/>
      </w:pPr>
    </w:p>
    <w:p w14:paraId="1DF1F77C" w14:textId="67D40279" w:rsidR="00C72884" w:rsidRDefault="00C72884" w:rsidP="00C72884">
      <w:pPr>
        <w:pStyle w:val="Obsahpoloky"/>
      </w:pPr>
    </w:p>
    <w:p w14:paraId="480CABA8" w14:textId="77777777" w:rsidR="00C72884" w:rsidRPr="009110F7" w:rsidRDefault="00C72884" w:rsidP="00C72884">
      <w:pPr>
        <w:pStyle w:val="Textpoznpodarou"/>
        <w:jc w:val="both"/>
        <w:rPr>
          <w:rFonts w:cs="Arial"/>
          <w:color w:val="000000"/>
        </w:rPr>
      </w:pPr>
    </w:p>
    <w:p w14:paraId="7A1FB62F" w14:textId="77777777" w:rsidR="00C72884" w:rsidRDefault="00C72884" w:rsidP="00C72884">
      <w:pPr>
        <w:pStyle w:val="Textpoznpodarou"/>
        <w:jc w:val="both"/>
        <w:rPr>
          <w:rFonts w:cs="Arial"/>
          <w:color w:val="000000"/>
        </w:rPr>
      </w:pPr>
    </w:p>
    <w:p w14:paraId="21461640" w14:textId="77777777" w:rsidR="00C72884" w:rsidRDefault="00C72884" w:rsidP="00C72884">
      <w:pPr>
        <w:pStyle w:val="Textpoznpodarou"/>
        <w:jc w:val="both"/>
        <w:rPr>
          <w:rFonts w:cs="Arial"/>
          <w:color w:val="000000"/>
        </w:rPr>
      </w:pPr>
    </w:p>
    <w:p w14:paraId="3AF697A4" w14:textId="77777777" w:rsidR="00C72884" w:rsidRDefault="00C72884" w:rsidP="00C72884">
      <w:pPr>
        <w:pStyle w:val="Textpoznpodarou"/>
        <w:jc w:val="both"/>
        <w:rPr>
          <w:rFonts w:cs="Arial"/>
          <w:color w:val="000000"/>
        </w:rPr>
      </w:pPr>
    </w:p>
    <w:p w14:paraId="6696E482" w14:textId="77777777" w:rsidR="00C72884" w:rsidRDefault="00C72884" w:rsidP="00C72884">
      <w:pPr>
        <w:pStyle w:val="Textpoznpodarou"/>
        <w:jc w:val="both"/>
        <w:rPr>
          <w:rFonts w:cs="Arial"/>
          <w:color w:val="000000"/>
        </w:rPr>
      </w:pPr>
    </w:p>
    <w:p w14:paraId="29222EF0" w14:textId="4A0CC2B8" w:rsidR="00C72884" w:rsidRPr="009110F7" w:rsidRDefault="00C72884" w:rsidP="00C72884">
      <w:pPr>
        <w:pStyle w:val="Textpoznpodarou"/>
        <w:jc w:val="both"/>
        <w:rPr>
          <w:rFonts w:cs="Arial"/>
          <w:color w:val="000000"/>
        </w:rPr>
      </w:pPr>
      <w:r>
        <w:rPr>
          <w:rFonts w:cs="Arial"/>
          <w:color w:val="000000"/>
        </w:rPr>
        <w:t>Hlavní z</w:t>
      </w:r>
      <w:r w:rsidRPr="009110F7">
        <w:rPr>
          <w:rFonts w:cs="Arial"/>
          <w:color w:val="000000"/>
        </w:rPr>
        <w:t xml:space="preserve">droje dat v celé analýze: ČSÚ, MF ČR, ČNB, MPSV, ČSSZ, </w:t>
      </w:r>
      <w:proofErr w:type="spellStart"/>
      <w:r w:rsidRPr="009110F7">
        <w:rPr>
          <w:rFonts w:cs="Arial"/>
          <w:color w:val="000000"/>
        </w:rPr>
        <w:t>Eurostat</w:t>
      </w:r>
      <w:proofErr w:type="spellEnd"/>
      <w:r w:rsidRPr="009110F7">
        <w:rPr>
          <w:rFonts w:cs="Arial"/>
          <w:color w:val="000000"/>
        </w:rPr>
        <w:t>, propočty ČSÚ.</w:t>
      </w:r>
    </w:p>
    <w:p w14:paraId="1F6F7E0A" w14:textId="3BA2ED8E" w:rsidR="00C72884" w:rsidRDefault="00C72884" w:rsidP="00C72884">
      <w:pPr>
        <w:pStyle w:val="Textpoznpodarou"/>
        <w:jc w:val="both"/>
        <w:rPr>
          <w:rFonts w:cs="Arial"/>
          <w:color w:val="000000"/>
        </w:rPr>
      </w:pPr>
      <w:r w:rsidRPr="009110F7">
        <w:rPr>
          <w:rFonts w:cs="Arial"/>
          <w:color w:val="000000"/>
        </w:rPr>
        <w:t>Poslední informace uváděné v této publikaci pocházejí z</w:t>
      </w:r>
      <w:r>
        <w:rPr>
          <w:rFonts w:cs="Arial"/>
          <w:color w:val="000000"/>
        </w:rPr>
        <w:t xml:space="preserve"> </w:t>
      </w:r>
      <w:r w:rsidR="00F25B4A">
        <w:rPr>
          <w:rFonts w:cs="Arial"/>
          <w:color w:val="000000"/>
        </w:rPr>
        <w:t>12</w:t>
      </w:r>
      <w:r>
        <w:rPr>
          <w:rFonts w:cs="Arial"/>
          <w:color w:val="000000"/>
        </w:rPr>
        <w:t xml:space="preserve">. </w:t>
      </w:r>
      <w:r w:rsidR="00F25B4A">
        <w:rPr>
          <w:rFonts w:cs="Arial"/>
          <w:color w:val="000000"/>
        </w:rPr>
        <w:t>března</w:t>
      </w:r>
      <w:r>
        <w:rPr>
          <w:rFonts w:cs="Arial"/>
          <w:color w:val="000000"/>
        </w:rPr>
        <w:t xml:space="preserve"> 202</w:t>
      </w:r>
      <w:r w:rsidR="00F25B4A">
        <w:rPr>
          <w:rFonts w:cs="Arial"/>
          <w:color w:val="000000"/>
        </w:rPr>
        <w:t>6</w:t>
      </w:r>
      <w:r w:rsidRPr="009110F7">
        <w:rPr>
          <w:rFonts w:cs="Arial"/>
          <w:color w:val="000000"/>
        </w:rPr>
        <w:t>.</w:t>
      </w:r>
    </w:p>
    <w:p w14:paraId="4B6FCFF2" w14:textId="77777777" w:rsidR="00C72884" w:rsidRPr="00C72884" w:rsidRDefault="00C72884" w:rsidP="00C72884"/>
    <w:p w14:paraId="4E6B86F6" w14:textId="39481BF3" w:rsidR="0068697A" w:rsidRPr="00702448" w:rsidRDefault="00852217" w:rsidP="0068697A">
      <w:pPr>
        <w:pStyle w:val="Nadpis1"/>
      </w:pPr>
      <w:r>
        <w:br w:type="page"/>
      </w:r>
      <w:bookmarkStart w:id="0" w:name="_Toc224903145"/>
      <w:bookmarkStart w:id="1" w:name="_Toc145318531"/>
      <w:bookmarkStart w:id="2" w:name="_Toc153531174"/>
      <w:bookmarkStart w:id="3" w:name="_Toc169258114"/>
      <w:bookmarkStart w:id="4" w:name="_Toc137233026"/>
      <w:bookmarkStart w:id="5" w:name="_Toc130286019"/>
      <w:bookmarkStart w:id="6" w:name="_Toc114134050"/>
      <w:bookmarkStart w:id="7" w:name="_Toc145318534"/>
      <w:bookmarkStart w:id="8" w:name="_Toc153531177"/>
      <w:bookmarkStart w:id="9" w:name="_Toc121993822"/>
      <w:bookmarkStart w:id="10" w:name="_Toc137233031"/>
      <w:r w:rsidR="0068697A" w:rsidRPr="00702448">
        <w:lastRenderedPageBreak/>
        <w:t>1. Shrnutí</w:t>
      </w:r>
      <w:bookmarkEnd w:id="0"/>
    </w:p>
    <w:p w14:paraId="1DACE656" w14:textId="77777777" w:rsidR="00420136" w:rsidRPr="00702448" w:rsidRDefault="00420136" w:rsidP="00420136">
      <w:pPr>
        <w:pStyle w:val="Normalodrka"/>
        <w:shd w:val="clear" w:color="auto" w:fill="FFFFFF" w:themeFill="background1"/>
      </w:pPr>
      <w:r w:rsidRPr="00702448">
        <w:t>Hrubý domácí produkt (HDP) se v roce 2025 reálně zvýšil o 2,6 %</w:t>
      </w:r>
      <w:r w:rsidRPr="00702448">
        <w:rPr>
          <w:rStyle w:val="Znakapoznpodarou"/>
        </w:rPr>
        <w:footnoteReference w:id="1"/>
      </w:r>
      <w:r w:rsidRPr="00702448">
        <w:t xml:space="preserve">. Tahounem české ekonomiky byla především spotřeba a pozitivní roli hrály i kapitálové výdaje – změna zásob </w:t>
      </w:r>
      <w:r>
        <w:t>i</w:t>
      </w:r>
      <w:r w:rsidRPr="00702448">
        <w:t xml:space="preserve"> investi</w:t>
      </w:r>
      <w:r>
        <w:t>ce.</w:t>
      </w:r>
      <w:r w:rsidRPr="00702448">
        <w:t xml:space="preserve"> V</w:t>
      </w:r>
      <w:r>
        <w:t>e</w:t>
      </w:r>
      <w:r w:rsidRPr="00702448">
        <w:t xml:space="preserve"> 4. čtvrtletí 2025 česká ekonomika mezičtvrtletně vzrostla o 0,6 % a meziročně o 2,6 %. Mezičtvrtletně i meziročně se zvyšovala spotřeba domácností i vládních institucí a rostly také investice. K navýšení HDP přispíval</w:t>
      </w:r>
      <w:r>
        <w:t>a</w:t>
      </w:r>
      <w:r w:rsidRPr="00702448">
        <w:t xml:space="preserve"> také bilance zahraničního obchodu. Naopak meziroční i mezičtvrtletní růst HDP</w:t>
      </w:r>
      <w:r>
        <w:t xml:space="preserve"> byl</w:t>
      </w:r>
      <w:r w:rsidRPr="00702448">
        <w:t xml:space="preserve"> negativně ovliv</w:t>
      </w:r>
      <w:r>
        <w:t xml:space="preserve">něn </w:t>
      </w:r>
      <w:r w:rsidRPr="00702448">
        <w:t>vývoj</w:t>
      </w:r>
      <w:r>
        <w:t>em</w:t>
      </w:r>
      <w:r w:rsidRPr="00702448">
        <w:t xml:space="preserve"> zásob. </w:t>
      </w:r>
      <w:r>
        <w:t>Český hospodářský růst byl v rámci EU nadprůměrný. V roce 2025 v EU h</w:t>
      </w:r>
      <w:r w:rsidRPr="00702448">
        <w:t xml:space="preserve">rubý domácí produkt vzrostl o 1,5 % a </w:t>
      </w:r>
      <w:r>
        <w:t>v</w:t>
      </w:r>
      <w:r w:rsidRPr="00702448">
        <w:t xml:space="preserve"> samotném 4. čtvrtletí </w:t>
      </w:r>
      <w:r>
        <w:t xml:space="preserve">se </w:t>
      </w:r>
      <w:r w:rsidRPr="00702448">
        <w:t>HDP</w:t>
      </w:r>
      <w:r>
        <w:t xml:space="preserve"> zvýšil</w:t>
      </w:r>
      <w:r w:rsidRPr="00702448">
        <w:t xml:space="preserve"> mezičtvrtletně o 0,2 % a meziročně o 1,4 %</w:t>
      </w:r>
      <w:r>
        <w:t xml:space="preserve">. </w:t>
      </w:r>
    </w:p>
    <w:p w14:paraId="0D0D361B" w14:textId="77777777" w:rsidR="00420136" w:rsidRPr="00934464" w:rsidRDefault="00420136" w:rsidP="00420136">
      <w:pPr>
        <w:pStyle w:val="Normalodrka"/>
        <w:shd w:val="clear" w:color="auto" w:fill="FFFFFF" w:themeFill="background1"/>
      </w:pPr>
      <w:r w:rsidRPr="005A14E8">
        <w:t>Hrubá přidaná hodnota (HPH) v loňském roce vzrostla reálně o 2,8 %. K</w:t>
      </w:r>
      <w:r>
        <w:t> </w:t>
      </w:r>
      <w:r w:rsidRPr="005A14E8">
        <w:t>růstu</w:t>
      </w:r>
      <w:r>
        <w:t xml:space="preserve"> </w:t>
      </w:r>
      <w:r w:rsidRPr="005A14E8">
        <w:t>klíčově přispívala odvětví služeb, zejména váhově významné uskupení obchod, doprava, ubytování a pohostinství</w:t>
      </w:r>
      <w:r>
        <w:t xml:space="preserve"> a </w:t>
      </w:r>
      <w:r w:rsidRPr="005A14E8">
        <w:t>informační a</w:t>
      </w:r>
      <w:r>
        <w:t> </w:t>
      </w:r>
      <w:r w:rsidRPr="005A14E8">
        <w:t>komunikační činnosti</w:t>
      </w:r>
      <w:r>
        <w:t xml:space="preserve">. Došlo také </w:t>
      </w:r>
      <w:r w:rsidRPr="005A14E8">
        <w:t>k výraznému oživení stavebnictví</w:t>
      </w:r>
      <w:r>
        <w:t xml:space="preserve">. </w:t>
      </w:r>
      <w:r w:rsidRPr="005A14E8">
        <w:t xml:space="preserve">Naopak </w:t>
      </w:r>
      <w:r>
        <w:t>HPH v </w:t>
      </w:r>
      <w:r w:rsidRPr="005A14E8">
        <w:t>průmysl</w:t>
      </w:r>
      <w:r>
        <w:t>u vzrostla jen mírně.</w:t>
      </w:r>
      <w:r w:rsidRPr="00E374F4">
        <w:t xml:space="preserve"> </w:t>
      </w:r>
      <w:r>
        <w:t xml:space="preserve">Ve </w:t>
      </w:r>
      <w:r w:rsidRPr="00E374F4">
        <w:t>4. čtvrtletí 2025 vzrostla</w:t>
      </w:r>
      <w:r>
        <w:t xml:space="preserve"> HPH</w:t>
      </w:r>
      <w:r w:rsidRPr="00E374F4">
        <w:t xml:space="preserve"> meziročně o 2,8 % a mezičtvrtletně o</w:t>
      </w:r>
      <w:r>
        <w:t> </w:t>
      </w:r>
      <w:r w:rsidRPr="00E374F4">
        <w:t>0,5</w:t>
      </w:r>
      <w:r>
        <w:t> </w:t>
      </w:r>
      <w:r w:rsidRPr="00E374F4">
        <w:t>%. Silný meziroční růst si udržovaly informační a komunikační činnosti i uskupení obchod, doprava, ubytování a pohostinství</w:t>
      </w:r>
      <w:r>
        <w:t xml:space="preserve">. </w:t>
      </w:r>
      <w:r w:rsidRPr="00E374F4">
        <w:t xml:space="preserve">Ke znatelnému oživení meziročního růstu HPH došlo v závěru roku </w:t>
      </w:r>
      <w:r>
        <w:t xml:space="preserve">také </w:t>
      </w:r>
      <w:r w:rsidRPr="00E374F4">
        <w:t>ve zpracovatelském průmyslu</w:t>
      </w:r>
      <w:r>
        <w:t>, který zároveň klíčově podpořil celkový mezi</w:t>
      </w:r>
      <w:r w:rsidRPr="00E374F4">
        <w:t>čtvrtletní růst HPH</w:t>
      </w:r>
      <w:r>
        <w:t>.</w:t>
      </w:r>
      <w:r w:rsidRPr="00E374F4">
        <w:t xml:space="preserve"> </w:t>
      </w:r>
      <w:r>
        <w:t xml:space="preserve">Ve </w:t>
      </w:r>
      <w:r w:rsidRPr="00E374F4">
        <w:t xml:space="preserve">stavebnictví </w:t>
      </w:r>
      <w:r>
        <w:t xml:space="preserve">došlo </w:t>
      </w:r>
      <w:r w:rsidRPr="00E374F4">
        <w:t xml:space="preserve">po úspěšném vývoji pozorovatelném od 3. čtvrtletí 2024 </w:t>
      </w:r>
      <w:r>
        <w:t xml:space="preserve">k výraznému </w:t>
      </w:r>
      <w:r w:rsidRPr="00E374F4">
        <w:t>mezičtvrtletn</w:t>
      </w:r>
      <w:r>
        <w:t>ímu</w:t>
      </w:r>
      <w:r w:rsidRPr="00E374F4">
        <w:t xml:space="preserve"> </w:t>
      </w:r>
      <w:r>
        <w:t>pok</w:t>
      </w:r>
      <w:r w:rsidRPr="00E374F4">
        <w:t>les</w:t>
      </w:r>
      <w:r>
        <w:t>u HPH.</w:t>
      </w:r>
      <w:r w:rsidRPr="00E374F4">
        <w:t xml:space="preserve"> </w:t>
      </w:r>
      <w:r w:rsidRPr="00934464">
        <w:t xml:space="preserve">  </w:t>
      </w:r>
    </w:p>
    <w:p w14:paraId="4EE15A83" w14:textId="77777777" w:rsidR="00420136" w:rsidRPr="00CB2F3F" w:rsidRDefault="00420136" w:rsidP="00420136">
      <w:pPr>
        <w:pStyle w:val="Normalodrka"/>
      </w:pPr>
      <w:r>
        <w:t>Vývoz zboží a služeb se loni reálně zvýšil o 4,1 % a dovoz o 5,2 %. Ve 4. čtvrtletí export vzrostl meziročně o 5,1 % a mezičtvrtletně o 0,8 %. Dovoz ve 4. čtvrtletí meziročně vzrostl o 5,3 % a mezičtvrtletně o 0,6 %. Bilance zahraničního obchodu se zbožím a službami loni dosáhla přebytku 504,2 mld. korun a ve 4. čtvrtletí kladné saldo meziročně vzrostlo o 9,5 mld. korun na 133,9 mld. korun.</w:t>
      </w:r>
      <w:r w:rsidRPr="00CB2F3F">
        <w:t xml:space="preserve"> </w:t>
      </w:r>
      <w:r>
        <w:t xml:space="preserve">Loni se zhoršovala bilance obchodu s kovodělnými výrobky a elektrickými zařízeními. Naproti tomu posílil přebytek obchodu s motorovými vozidly. </w:t>
      </w:r>
    </w:p>
    <w:p w14:paraId="365A2FFA" w14:textId="77777777" w:rsidR="00420136" w:rsidRPr="003C1099" w:rsidRDefault="00420136" w:rsidP="00420136">
      <w:pPr>
        <w:pStyle w:val="Normalodrka"/>
        <w:shd w:val="clear" w:color="auto" w:fill="FFFFFF" w:themeFill="background1"/>
      </w:pPr>
      <w:r w:rsidRPr="003C1099">
        <w:t>Celková cenová hladina (podle deflátoru HDP) v</w:t>
      </w:r>
      <w:r>
        <w:t xml:space="preserve"> roce 2025 </w:t>
      </w:r>
      <w:r w:rsidRPr="003C1099">
        <w:t>vzrostla o 3,</w:t>
      </w:r>
      <w:r>
        <w:t>4</w:t>
      </w:r>
      <w:r w:rsidRPr="003C1099">
        <w:t xml:space="preserve"> % </w:t>
      </w:r>
      <w:r>
        <w:t xml:space="preserve">a v samotném 4. kvartálu byla meziročně vyšší o 3,9 % a mezičtvrtletně o 1,0 %. </w:t>
      </w:r>
      <w:r w:rsidRPr="003C1099">
        <w:t xml:space="preserve">Spotřebitelské ceny </w:t>
      </w:r>
      <w:r>
        <w:t>loni vzrostly o 2,5 %. K</w:t>
      </w:r>
      <w:r w:rsidRPr="009F7558">
        <w:t xml:space="preserve"> nárůstu spotřebitelských cen </w:t>
      </w:r>
      <w:r>
        <w:t xml:space="preserve">loni </w:t>
      </w:r>
      <w:r w:rsidRPr="009F7558">
        <w:t>nejvíce přispěly potravin</w:t>
      </w:r>
      <w:r>
        <w:t>y</w:t>
      </w:r>
      <w:r w:rsidRPr="009F7558">
        <w:t xml:space="preserve"> a nealkoholick</w:t>
      </w:r>
      <w:r>
        <w:t xml:space="preserve">é </w:t>
      </w:r>
      <w:r w:rsidRPr="009F7558">
        <w:t>nápoj</w:t>
      </w:r>
      <w:r>
        <w:t>e</w:t>
      </w:r>
      <w:r w:rsidRPr="009F7558">
        <w:t xml:space="preserve"> a dále oddíl bydlení, voda energie a paliva. Nadprůměrnou dynamiku si loni nadále držely dva oddíly zahrnující služby – stravování a ubytování a rekreace a kultura. Ve směru poklesu spotřebitelských cen loni působil jen vývoj u odívání a obuvi a dopravy.</w:t>
      </w:r>
    </w:p>
    <w:p w14:paraId="3CEF623C" w14:textId="77777777" w:rsidR="00420136" w:rsidRPr="004C180F" w:rsidRDefault="00420136" w:rsidP="00420136">
      <w:pPr>
        <w:pStyle w:val="Normalodrka"/>
      </w:pPr>
      <w:r w:rsidRPr="004C180F">
        <w:t>Celková zaměstnanost</w:t>
      </w:r>
      <w:r w:rsidRPr="004C180F">
        <w:rPr>
          <w:rStyle w:val="Znakapoznpodarou"/>
        </w:rPr>
        <w:footnoteReference w:id="2"/>
      </w:r>
      <w:r w:rsidRPr="004C180F">
        <w:t xml:space="preserve"> v</w:t>
      </w:r>
      <w:r>
        <w:t> roce 2025 vzrostla o 1,1 %. V samotném</w:t>
      </w:r>
      <w:r w:rsidRPr="004C180F">
        <w:t> </w:t>
      </w:r>
      <w:r>
        <w:t>4</w:t>
      </w:r>
      <w:r w:rsidRPr="004C180F">
        <w:t>. čtvrtletí byla meziročně vyšší o</w:t>
      </w:r>
      <w:r>
        <w:t> </w:t>
      </w:r>
      <w:r w:rsidRPr="004C180F">
        <w:t>1,0</w:t>
      </w:r>
      <w:r>
        <w:t> </w:t>
      </w:r>
      <w:r w:rsidRPr="004C180F">
        <w:t>% a mezičtvrtletně</w:t>
      </w:r>
      <w:r>
        <w:t xml:space="preserve"> se nezměnila</w:t>
      </w:r>
      <w:r w:rsidRPr="004C180F">
        <w:t xml:space="preserve">. Celková míra nezaměstnanosti se od počátku roku plíživě zvyšovala a ve </w:t>
      </w:r>
      <w:r>
        <w:t>4</w:t>
      </w:r>
      <w:r w:rsidRPr="004C180F">
        <w:t xml:space="preserve">. kvartálu </w:t>
      </w:r>
      <w:r>
        <w:t xml:space="preserve">se držela nad </w:t>
      </w:r>
      <w:r w:rsidRPr="004C180F">
        <w:t xml:space="preserve">3 %. </w:t>
      </w:r>
      <w:r>
        <w:t>P</w:t>
      </w:r>
      <w:r w:rsidRPr="004C180F">
        <w:t>růměrná hrubá měsíční mzda</w:t>
      </w:r>
      <w:r>
        <w:t xml:space="preserve"> v roce 2025 dosáhla 49 215 korun a byla vyšší o 7,2 %. Reálně </w:t>
      </w:r>
      <w:r w:rsidRPr="004C180F">
        <w:t xml:space="preserve">vzrostla o </w:t>
      </w:r>
      <w:r>
        <w:t xml:space="preserve">4,6 %. Ve 4. čtvrtletí průměrná mzda dosáhla 52 283 korun, meziročně byla vyšší o 7,4 % a mezičtvrtletně o 1,8 %. </w:t>
      </w:r>
      <w:r w:rsidRPr="004C180F">
        <w:t xml:space="preserve">Reálně průměrná mzda </w:t>
      </w:r>
      <w:r>
        <w:t xml:space="preserve">meziročně </w:t>
      </w:r>
      <w:r w:rsidRPr="004C180F">
        <w:t xml:space="preserve">posílila o </w:t>
      </w:r>
      <w:r>
        <w:t>5,1</w:t>
      </w:r>
      <w:r w:rsidRPr="004C180F">
        <w:t xml:space="preserve"> %.</w:t>
      </w:r>
    </w:p>
    <w:p w14:paraId="46987E86" w14:textId="77777777" w:rsidR="00420136" w:rsidRPr="00C16FB0" w:rsidRDefault="00420136" w:rsidP="00420136">
      <w:pPr>
        <w:pStyle w:val="Normalodrka"/>
      </w:pPr>
      <w:r w:rsidRPr="00C16FB0">
        <w:t xml:space="preserve">Základní </w:t>
      </w:r>
      <w:proofErr w:type="spellStart"/>
      <w:r w:rsidRPr="00C16FB0">
        <w:t>měnověpolitické</w:t>
      </w:r>
      <w:proofErr w:type="spellEnd"/>
      <w:r w:rsidRPr="00C16FB0">
        <w:t xml:space="preserve"> úrokové sazby se </w:t>
      </w:r>
      <w:r>
        <w:t xml:space="preserve">od května 2025 do konce roku </w:t>
      </w:r>
      <w:r w:rsidRPr="00C16FB0">
        <w:t xml:space="preserve">neměnily. </w:t>
      </w:r>
      <w:r>
        <w:t xml:space="preserve">V roce 2025 bylo patrné oživení </w:t>
      </w:r>
      <w:r w:rsidRPr="00C16FB0">
        <w:t>nemovitostního trhu</w:t>
      </w:r>
      <w:r>
        <w:t xml:space="preserve">. Mezi novými hypotečními smlouvami ale tvořily </w:t>
      </w:r>
      <w:r w:rsidRPr="00C16FB0">
        <w:t>čist</w:t>
      </w:r>
      <w:r>
        <w:t>é</w:t>
      </w:r>
      <w:r w:rsidRPr="00C16FB0">
        <w:t xml:space="preserve"> nov</w:t>
      </w:r>
      <w:r>
        <w:t>é</w:t>
      </w:r>
      <w:r w:rsidRPr="00C16FB0">
        <w:t xml:space="preserve"> úvěr</w:t>
      </w:r>
      <w:r>
        <w:t>y</w:t>
      </w:r>
      <w:r w:rsidRPr="00C16FB0">
        <w:t xml:space="preserve"> méně než polovin</w:t>
      </w:r>
      <w:r>
        <w:t>u.</w:t>
      </w:r>
    </w:p>
    <w:p w14:paraId="633AB5A4" w14:textId="77777777" w:rsidR="00420136" w:rsidRPr="0034226A" w:rsidRDefault="00420136" w:rsidP="00420136">
      <w:pPr>
        <w:pStyle w:val="Normalodrka"/>
      </w:pPr>
      <w:r>
        <w:t>Hospodaření státního rozpočtu skončilo v roce 2025 schodkem ve výši 290,7 mld. korun, meziročně hlubším o téměř 20 mld. korun. Na příjmovou i výdajovou stranu rozpočtu začínaly postupně více působit dopady konsolidačního ozdravného balíčku a zřetelný vliv má rovněž změna rozpočtového určení daní, jež od ledna 2025 opět zvýšila podíl na výnosu některých váhově významných daní ve prospěch státního rozpočtu.</w:t>
      </w:r>
      <w:r w:rsidRPr="005F3491">
        <w:rPr>
          <w:color w:val="0D0D0D" w:themeColor="text1" w:themeTint="F2"/>
          <w:spacing w:val="-2"/>
        </w:rPr>
        <w:t xml:space="preserve"> </w:t>
      </w:r>
      <w:r w:rsidRPr="00F316C9">
        <w:rPr>
          <w:color w:val="0D0D0D" w:themeColor="text1" w:themeTint="F2"/>
          <w:spacing w:val="-2"/>
        </w:rPr>
        <w:t>Posílily téměř všechny klíčové příjmové položky</w:t>
      </w:r>
      <w:r>
        <w:rPr>
          <w:color w:val="0D0D0D" w:themeColor="text1" w:themeTint="F2"/>
          <w:spacing w:val="-2"/>
        </w:rPr>
        <w:t xml:space="preserve">, ale také výdaje. </w:t>
      </w:r>
      <w:r>
        <w:rPr>
          <w:color w:val="0D0D0D" w:themeColor="text1" w:themeTint="F2"/>
          <w:szCs w:val="20"/>
        </w:rPr>
        <w:t>K meziročnímu růstu celkových výdajů přispěly loni</w:t>
      </w:r>
      <w:r w:rsidRPr="00FC6700">
        <w:rPr>
          <w:color w:val="0D0D0D" w:themeColor="text1" w:themeTint="F2"/>
          <w:szCs w:val="20"/>
        </w:rPr>
        <w:t xml:space="preserve"> jak běžné výdaje, tak investice</w:t>
      </w:r>
      <w:r>
        <w:rPr>
          <w:color w:val="0D0D0D" w:themeColor="text1" w:themeTint="F2"/>
          <w:szCs w:val="20"/>
        </w:rPr>
        <w:t>.</w:t>
      </w:r>
    </w:p>
    <w:p w14:paraId="7563C6FA" w14:textId="77777777" w:rsidR="0068697A" w:rsidRPr="00D40B2B" w:rsidRDefault="0068697A" w:rsidP="0068697A">
      <w:pPr>
        <w:pStyle w:val="Normalodrka"/>
        <w:numPr>
          <w:ilvl w:val="0"/>
          <w:numId w:val="0"/>
        </w:numPr>
        <w:spacing w:after="0"/>
        <w:jc w:val="center"/>
      </w:pPr>
    </w:p>
    <w:p w14:paraId="181E4D16" w14:textId="0DBB0B27" w:rsidR="00603FF5" w:rsidRPr="00D40B2B" w:rsidRDefault="000347D3" w:rsidP="0083516C">
      <w:pPr>
        <w:pStyle w:val="Normalodrka"/>
        <w:numPr>
          <w:ilvl w:val="0"/>
          <w:numId w:val="0"/>
        </w:numPr>
        <w:spacing w:after="0"/>
        <w:jc w:val="center"/>
      </w:pPr>
      <w:r w:rsidRPr="000347D3">
        <w:rPr>
          <w:noProof/>
        </w:rPr>
        <w:drawing>
          <wp:inline distT="0" distB="0" distL="0" distR="0" wp14:anchorId="700346B6" wp14:editId="072F07A3">
            <wp:extent cx="5857875" cy="8867775"/>
            <wp:effectExtent l="0" t="0" r="9525" b="0"/>
            <wp:docPr id="705258006"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57875" cy="8867775"/>
                    </a:xfrm>
                    <a:prstGeom prst="rect">
                      <a:avLst/>
                    </a:prstGeom>
                    <a:noFill/>
                    <a:ln>
                      <a:noFill/>
                    </a:ln>
                  </pic:spPr>
                </pic:pic>
              </a:graphicData>
            </a:graphic>
          </wp:inline>
        </w:drawing>
      </w:r>
    </w:p>
    <w:p w14:paraId="47502BC3" w14:textId="77777777" w:rsidR="0058050D" w:rsidRPr="009110F7" w:rsidRDefault="0058050D" w:rsidP="0058050D">
      <w:pPr>
        <w:pStyle w:val="Nadpis1"/>
      </w:pPr>
      <w:bookmarkStart w:id="11" w:name="_Toc224903146"/>
      <w:bookmarkStart w:id="12" w:name="_Toc169258116"/>
      <w:bookmarkStart w:id="13" w:name="_Toc153531176"/>
      <w:bookmarkStart w:id="14" w:name="_Toc176767107"/>
      <w:bookmarkStart w:id="15" w:name="_Toc161914427"/>
      <w:bookmarkStart w:id="16" w:name="_Toc193366678"/>
      <w:bookmarkStart w:id="17" w:name="_Toc176767109"/>
      <w:bookmarkEnd w:id="1"/>
      <w:bookmarkEnd w:id="2"/>
      <w:bookmarkEnd w:id="3"/>
      <w:bookmarkEnd w:id="4"/>
      <w:bookmarkEnd w:id="5"/>
      <w:bookmarkEnd w:id="6"/>
      <w:bookmarkEnd w:id="7"/>
      <w:bookmarkEnd w:id="8"/>
      <w:bookmarkEnd w:id="9"/>
      <w:bookmarkEnd w:id="10"/>
      <w:r>
        <w:lastRenderedPageBreak/>
        <w:t>2. Souhrnná výkonnost</w:t>
      </w:r>
      <w:bookmarkEnd w:id="11"/>
    </w:p>
    <w:tbl>
      <w:tblPr>
        <w:tblW w:w="9639" w:type="dxa"/>
        <w:tblInd w:w="-20" w:type="dxa"/>
        <w:tblCellMar>
          <w:left w:w="0" w:type="dxa"/>
          <w:right w:w="0" w:type="dxa"/>
        </w:tblCellMar>
        <w:tblLook w:val="00A0" w:firstRow="1" w:lastRow="0" w:firstColumn="1" w:lastColumn="0" w:noHBand="0" w:noVBand="0"/>
      </w:tblPr>
      <w:tblGrid>
        <w:gridCol w:w="1806"/>
        <w:gridCol w:w="210"/>
        <w:gridCol w:w="7623"/>
      </w:tblGrid>
      <w:tr w:rsidR="0058050D" w:rsidRPr="009110F7" w14:paraId="7A220153" w14:textId="77777777" w:rsidTr="00E87182">
        <w:trPr>
          <w:trHeight w:val="145"/>
        </w:trPr>
        <w:tc>
          <w:tcPr>
            <w:tcW w:w="1806" w:type="dxa"/>
            <w:tcMar>
              <w:left w:w="0" w:type="dxa"/>
            </w:tcMar>
          </w:tcPr>
          <w:p w14:paraId="69ABB68C" w14:textId="77777777" w:rsidR="0058050D" w:rsidRDefault="0058050D" w:rsidP="00E87182">
            <w:pPr>
              <w:pStyle w:val="Marginlie"/>
            </w:pPr>
            <w:r>
              <w:t>Růst české ekonomiky loni posílil.</w:t>
            </w:r>
          </w:p>
        </w:tc>
        <w:tc>
          <w:tcPr>
            <w:tcW w:w="210" w:type="dxa"/>
            <w:tcMar>
              <w:left w:w="0" w:type="dxa"/>
            </w:tcMar>
          </w:tcPr>
          <w:p w14:paraId="7B870979" w14:textId="77777777" w:rsidR="0058050D" w:rsidRDefault="0058050D" w:rsidP="00E87182">
            <w:pPr>
              <w:pStyle w:val="Textpoznpodarou"/>
              <w:jc w:val="both"/>
              <w:rPr>
                <w:spacing w:val="-4"/>
              </w:rPr>
            </w:pPr>
          </w:p>
        </w:tc>
        <w:tc>
          <w:tcPr>
            <w:tcW w:w="7623" w:type="dxa"/>
            <w:tcMar>
              <w:left w:w="0" w:type="dxa"/>
            </w:tcMar>
          </w:tcPr>
          <w:p w14:paraId="06836763" w14:textId="77777777" w:rsidR="0058050D" w:rsidRPr="00014ED0" w:rsidRDefault="0058050D" w:rsidP="00E87182">
            <w:pPr>
              <w:rPr>
                <w:spacing w:val="-2"/>
              </w:rPr>
            </w:pPr>
            <w:r>
              <w:rPr>
                <w:spacing w:val="-2"/>
              </w:rPr>
              <w:t>Česká ekonomika v roce 2025 si navzdory nejistotám v globálním obchodě i pokračující geopolitické nestabilitě udržela solidní růst započatý už na konci roku 2024 a hrubý domácí produkt (HDP)</w:t>
            </w:r>
            <w:r w:rsidRPr="00014ED0">
              <w:rPr>
                <w:rStyle w:val="Znakapoznpodarou"/>
                <w:rFonts w:cs="Arial"/>
                <w:spacing w:val="-2"/>
              </w:rPr>
              <w:footnoteReference w:id="3"/>
            </w:r>
            <w:r>
              <w:rPr>
                <w:spacing w:val="-2"/>
              </w:rPr>
              <w:t xml:space="preserve"> se reálně zvýšil o 2,6 %. Tahounem české ekonomiky byla především domácí strana poptávky, zejména spotřeba. Pozitivní roli ale hrály i kapitálové výdaje – příznivé působení změny zásob doplnilo i oživení investiční aktivity. Spíše neutrálně působila bilance zahraničního obchodu, protože výrazný reálný růst exportu byl doprovázen značným navýšením dovozu. Ve 4. čtvrtletí 2025 česká ekonomika mezičtvrtletně vzrostla o 0,6 % a dynamika HDP tak navázala na sérii solidních přírůstků trvající od 3. kvartálu 2024. Meziročně se HDP ve 4. čtvrtletí zvýšil o 2,6 %. V závěru roku 2025 se mezičtvrtletně i meziročně zvyšovala spotřeba domácností i vládních institucí a rostly také investice. K navýšení HDP přispíval také vývoj bilance zahraničního obchodu. Naopak meziroční i mezičtvrtletní růst HDP negativně ovlivňoval vývoj zásob.</w:t>
            </w:r>
          </w:p>
        </w:tc>
      </w:tr>
      <w:tr w:rsidR="0058050D" w:rsidRPr="009110F7" w14:paraId="2EA3DD5A" w14:textId="77777777" w:rsidTr="00E87182">
        <w:trPr>
          <w:trHeight w:val="170"/>
        </w:trPr>
        <w:tc>
          <w:tcPr>
            <w:tcW w:w="1806" w:type="dxa"/>
            <w:vMerge w:val="restart"/>
            <w:tcMar>
              <w:left w:w="0" w:type="dxa"/>
            </w:tcMar>
          </w:tcPr>
          <w:p w14:paraId="0599CE7C" w14:textId="77777777" w:rsidR="0058050D" w:rsidRDefault="0058050D" w:rsidP="00E87182">
            <w:pPr>
              <w:pStyle w:val="Marginlie"/>
            </w:pPr>
          </w:p>
        </w:tc>
        <w:tc>
          <w:tcPr>
            <w:tcW w:w="210" w:type="dxa"/>
            <w:vMerge w:val="restart"/>
            <w:tcMar>
              <w:left w:w="0" w:type="dxa"/>
            </w:tcMar>
          </w:tcPr>
          <w:p w14:paraId="78930BF0" w14:textId="77777777" w:rsidR="0058050D" w:rsidRDefault="0058050D" w:rsidP="00E87182">
            <w:pPr>
              <w:pStyle w:val="Textpoznpodarou"/>
              <w:jc w:val="both"/>
              <w:rPr>
                <w:spacing w:val="-4"/>
              </w:rPr>
            </w:pPr>
          </w:p>
        </w:tc>
        <w:tc>
          <w:tcPr>
            <w:tcW w:w="7623" w:type="dxa"/>
            <w:tcMar>
              <w:left w:w="0" w:type="dxa"/>
            </w:tcMar>
          </w:tcPr>
          <w:p w14:paraId="3C3DEC6D" w14:textId="77777777" w:rsidR="0058050D" w:rsidRPr="00D721B4" w:rsidRDefault="0058050D" w:rsidP="00E87182">
            <w:pPr>
              <w:spacing w:after="0"/>
              <w:rPr>
                <w:b/>
                <w:szCs w:val="20"/>
              </w:rPr>
            </w:pPr>
            <w:r w:rsidRPr="00D721B4">
              <w:rPr>
                <w:rFonts w:cs="Arial"/>
                <w:b/>
                <w:bCs/>
                <w:color w:val="000000"/>
                <w:szCs w:val="20"/>
              </w:rPr>
              <w:t>Graf č. 1</w:t>
            </w:r>
            <w:r>
              <w:rPr>
                <w:rFonts w:cs="Arial"/>
                <w:b/>
                <w:bCs/>
                <w:color w:val="000000"/>
                <w:szCs w:val="20"/>
              </w:rPr>
              <w:t xml:space="preserve"> </w:t>
            </w:r>
            <w:r w:rsidRPr="00D721B4">
              <w:rPr>
                <w:rFonts w:cs="Arial"/>
                <w:b/>
                <w:szCs w:val="20"/>
                <w:lang w:eastAsia="en-US"/>
              </w:rPr>
              <w:t xml:space="preserve">HDP </w:t>
            </w:r>
            <w:r w:rsidRPr="00D721B4">
              <w:rPr>
                <w:rFonts w:cs="Arial"/>
                <w:bCs/>
                <w:szCs w:val="20"/>
                <w:lang w:eastAsia="en-US"/>
              </w:rPr>
              <w:t>(objemové indexy, očištěno o sezónní a kalendářní vlivy, v</w:t>
            </w:r>
            <w:r>
              <w:rPr>
                <w:rFonts w:cs="Arial"/>
                <w:bCs/>
                <w:szCs w:val="20"/>
                <w:lang w:eastAsia="en-US"/>
              </w:rPr>
              <w:t> %</w:t>
            </w:r>
            <w:r w:rsidRPr="00D721B4">
              <w:rPr>
                <w:rFonts w:cs="Arial"/>
                <w:bCs/>
                <w:szCs w:val="20"/>
                <w:lang w:eastAsia="en-US"/>
              </w:rPr>
              <w:t>)</w:t>
            </w:r>
          </w:p>
        </w:tc>
      </w:tr>
      <w:tr w:rsidR="0058050D" w:rsidRPr="009110F7" w14:paraId="6FC36BC3" w14:textId="77777777" w:rsidTr="009C02C3">
        <w:tblPrEx>
          <w:tblCellMar>
            <w:left w:w="70" w:type="dxa"/>
            <w:right w:w="70" w:type="dxa"/>
          </w:tblCellMar>
        </w:tblPrEx>
        <w:trPr>
          <w:trHeight w:val="170"/>
        </w:trPr>
        <w:tc>
          <w:tcPr>
            <w:tcW w:w="1806" w:type="dxa"/>
            <w:vMerge/>
          </w:tcPr>
          <w:p w14:paraId="5F6F91AC" w14:textId="77777777" w:rsidR="0058050D" w:rsidRPr="009110F7" w:rsidRDefault="0058050D" w:rsidP="00E87182">
            <w:pPr>
              <w:pStyle w:val="Marginlie"/>
            </w:pPr>
          </w:p>
        </w:tc>
        <w:tc>
          <w:tcPr>
            <w:tcW w:w="210" w:type="dxa"/>
            <w:vMerge/>
          </w:tcPr>
          <w:p w14:paraId="5634545E" w14:textId="77777777" w:rsidR="0058050D" w:rsidRPr="009110F7" w:rsidRDefault="0058050D" w:rsidP="00E87182">
            <w:pPr>
              <w:pStyle w:val="Textpoznpodarou"/>
              <w:jc w:val="both"/>
              <w:rPr>
                <w:spacing w:val="-4"/>
              </w:rPr>
            </w:pPr>
          </w:p>
        </w:tc>
        <w:tc>
          <w:tcPr>
            <w:tcW w:w="7623" w:type="dxa"/>
          </w:tcPr>
          <w:p w14:paraId="30956EAB" w14:textId="6781829E" w:rsidR="0058050D" w:rsidRPr="009110F7" w:rsidRDefault="009C02C3" w:rsidP="00E87182">
            <w:pPr>
              <w:spacing w:after="0"/>
            </w:pPr>
            <w:r>
              <w:rPr>
                <w:noProof/>
              </w:rPr>
              <w:drawing>
                <wp:inline distT="0" distB="0" distL="0" distR="0" wp14:anchorId="6E7CC9ED" wp14:editId="445B83D5">
                  <wp:extent cx="4737600" cy="3553200"/>
                  <wp:effectExtent l="0" t="0" r="6350" b="0"/>
                  <wp:docPr id="328939198" name="Graf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r w:rsidR="0058050D" w:rsidRPr="009110F7" w14:paraId="740C67A6" w14:textId="77777777" w:rsidTr="00E87182">
        <w:trPr>
          <w:trHeight w:val="170"/>
        </w:trPr>
        <w:tc>
          <w:tcPr>
            <w:tcW w:w="1806" w:type="dxa"/>
            <w:vMerge/>
            <w:tcMar>
              <w:left w:w="0" w:type="dxa"/>
            </w:tcMar>
          </w:tcPr>
          <w:p w14:paraId="370A0948" w14:textId="77777777" w:rsidR="0058050D" w:rsidRPr="009110F7" w:rsidRDefault="0058050D" w:rsidP="00E87182">
            <w:pPr>
              <w:pStyle w:val="Marginlie"/>
            </w:pPr>
          </w:p>
        </w:tc>
        <w:tc>
          <w:tcPr>
            <w:tcW w:w="210" w:type="dxa"/>
            <w:vMerge/>
            <w:tcMar>
              <w:left w:w="0" w:type="dxa"/>
            </w:tcMar>
          </w:tcPr>
          <w:p w14:paraId="1712E94C" w14:textId="77777777" w:rsidR="0058050D" w:rsidRPr="009110F7" w:rsidRDefault="0058050D" w:rsidP="00E87182">
            <w:pPr>
              <w:pStyle w:val="Textpoznpodarou"/>
              <w:jc w:val="both"/>
              <w:rPr>
                <w:spacing w:val="-4"/>
              </w:rPr>
            </w:pPr>
          </w:p>
        </w:tc>
        <w:tc>
          <w:tcPr>
            <w:tcW w:w="7623" w:type="dxa"/>
            <w:tcMar>
              <w:left w:w="0" w:type="dxa"/>
            </w:tcMar>
          </w:tcPr>
          <w:p w14:paraId="4B8CCFCA" w14:textId="77777777" w:rsidR="0058050D" w:rsidRPr="009110F7" w:rsidRDefault="0058050D" w:rsidP="00E87182">
            <w:pPr>
              <w:spacing w:after="220"/>
              <w:rPr>
                <w:sz w:val="14"/>
                <w:szCs w:val="14"/>
              </w:rPr>
            </w:pPr>
            <w:r>
              <w:rPr>
                <w:sz w:val="14"/>
                <w:szCs w:val="14"/>
              </w:rPr>
              <w:t xml:space="preserve">Zdroj: ČSÚ, </w:t>
            </w:r>
            <w:proofErr w:type="spellStart"/>
            <w:r>
              <w:rPr>
                <w:sz w:val="14"/>
                <w:szCs w:val="14"/>
              </w:rPr>
              <w:t>Eurostat</w:t>
            </w:r>
            <w:proofErr w:type="spellEnd"/>
          </w:p>
        </w:tc>
      </w:tr>
      <w:tr w:rsidR="0058050D" w:rsidRPr="009110F7" w14:paraId="76C8F9C3" w14:textId="77777777" w:rsidTr="00E87182">
        <w:trPr>
          <w:trHeight w:val="145"/>
        </w:trPr>
        <w:tc>
          <w:tcPr>
            <w:tcW w:w="1806" w:type="dxa"/>
            <w:tcMar>
              <w:left w:w="0" w:type="dxa"/>
            </w:tcMar>
          </w:tcPr>
          <w:p w14:paraId="1AF14165" w14:textId="77777777" w:rsidR="0058050D" w:rsidRDefault="0058050D" w:rsidP="00E87182">
            <w:pPr>
              <w:pStyle w:val="Marginlie"/>
            </w:pPr>
            <w:r>
              <w:t>V Evropské unii byla dynamika HDP loni silnější než v předchozích letech.</w:t>
            </w:r>
          </w:p>
        </w:tc>
        <w:tc>
          <w:tcPr>
            <w:tcW w:w="210" w:type="dxa"/>
            <w:tcMar>
              <w:left w:w="0" w:type="dxa"/>
            </w:tcMar>
          </w:tcPr>
          <w:p w14:paraId="34667D5C" w14:textId="77777777" w:rsidR="0058050D" w:rsidRDefault="0058050D" w:rsidP="00E87182">
            <w:pPr>
              <w:pStyle w:val="Textpoznpodarou"/>
              <w:jc w:val="both"/>
              <w:rPr>
                <w:spacing w:val="-4"/>
              </w:rPr>
            </w:pPr>
          </w:p>
        </w:tc>
        <w:tc>
          <w:tcPr>
            <w:tcW w:w="7623" w:type="dxa"/>
            <w:tcMar>
              <w:left w:w="0" w:type="dxa"/>
            </w:tcMar>
          </w:tcPr>
          <w:p w14:paraId="5AE3F8B4" w14:textId="77777777" w:rsidR="0058050D" w:rsidRDefault="0058050D" w:rsidP="00E87182">
            <w:r>
              <w:t xml:space="preserve">Hrubý domácí produkt v EU za celý rok 2025 vzrostl o 1,5 % a přírůstek posílil oproti předchozímu roku. Vyšší byla spotřeba, ale z poklesu do růstu se dostaly zejména investiční výdaje. Naopak bilance zahraničního obchodu loni působila na růst HDP v EU negativně. Nejvíce se zvýšil HDP v Irsku (12,3 %), na Maltě (4,0 %) a Kypru (3,8 %). Velmi slabý růst měly loni ekonomiky Finska (0,2 %), Německa (0,2 %) a Maďarska (0,4 %). V samotném 4. čtvrtletí HDP v EU vzrostl mezičtvrtletně o 0,2 % a meziročně o 1,4 %. Mezičtvrtletní růst HDP v EU ve 4. čtvrtletí podpořily investice a spotřeba. Naopak změna zásob působila negativně stejně jako bilance zahraničního obchodu. Mezičtvrtletně ve 4. čtvrtletí 2025 rostla většina ekonomik EU v čele s Maltou (2,1 %), Litvou (1,7 %), Chorvatskem a Kyprem (shodně 1,4 %).  Značný mezičtvrtletní propad HDP vykázalo Irsko (−3,8 %) a Rumunsko (−1,9 %). Dále shodně o 0,1 % klesl HDP v Estonsku a Lucembursku. V německé ekonomice, která je stěžejní pro rozvoj </w:t>
            </w:r>
            <w:r>
              <w:lastRenderedPageBreak/>
              <w:t>celého středoevropského regionu i řady dalších obchodních partnerů v Unii, došlo v závěru roku k mezičtvrtletnímu oživení o 0,3 %. Nejsilněji mezi zeměmi střední Evropy ve 4. kvartálu rostlo Polsko (mezičtvrtletně 1,0 %), následované Českem (přírůstek 0,6 % nás řadil do nadprůměru EU). Meziročně ve 4. čtvrtletí klesl HDP pouze v Rumunsku (−1,5 %). Z poklesu se vymanilo nejslaběji rostoucí Finsko (0,3 %), čtvrtý meziroční růst v řadě si připsalo Německo (0,4 %) a o 0,6 % vyšší HDP mělo Maďarsko. Pod 1 % pak byl přírůstek i v Rakousku, Itálii, Estonsku a na Slovensku. Naopak nejvíce meziročně vzrostl HDP na Maltě (6,4 %), Kypru (4,5 %) a v Polsku (3,6 %).</w:t>
            </w:r>
          </w:p>
        </w:tc>
      </w:tr>
      <w:tr w:rsidR="0058050D" w:rsidRPr="009110F7" w14:paraId="03C44C74" w14:textId="77777777" w:rsidTr="00E87182">
        <w:trPr>
          <w:trHeight w:val="145"/>
        </w:trPr>
        <w:tc>
          <w:tcPr>
            <w:tcW w:w="1806" w:type="dxa"/>
            <w:tcMar>
              <w:left w:w="0" w:type="dxa"/>
            </w:tcMar>
          </w:tcPr>
          <w:p w14:paraId="1722AF05" w14:textId="77777777" w:rsidR="0058050D" w:rsidRDefault="0058050D" w:rsidP="00E87182">
            <w:pPr>
              <w:pStyle w:val="Marginlie"/>
            </w:pPr>
            <w:r>
              <w:lastRenderedPageBreak/>
              <w:t>Reálná mzdová dynamika loni posílila.</w:t>
            </w:r>
          </w:p>
        </w:tc>
        <w:tc>
          <w:tcPr>
            <w:tcW w:w="210" w:type="dxa"/>
            <w:tcMar>
              <w:left w:w="0" w:type="dxa"/>
            </w:tcMar>
          </w:tcPr>
          <w:p w14:paraId="28A10BFD" w14:textId="77777777" w:rsidR="0058050D" w:rsidRDefault="0058050D" w:rsidP="00E87182">
            <w:pPr>
              <w:pStyle w:val="Textpoznpodarou"/>
              <w:jc w:val="both"/>
              <w:rPr>
                <w:spacing w:val="-4"/>
              </w:rPr>
            </w:pPr>
          </w:p>
        </w:tc>
        <w:tc>
          <w:tcPr>
            <w:tcW w:w="7623" w:type="dxa"/>
            <w:tcMar>
              <w:left w:w="0" w:type="dxa"/>
            </w:tcMar>
          </w:tcPr>
          <w:p w14:paraId="4555B317" w14:textId="77777777" w:rsidR="0058050D" w:rsidRPr="00014ED0" w:rsidRDefault="0058050D" w:rsidP="00E87182">
            <w:r>
              <w:t>Objem vyplacených mezd a platů v roce 2025 vzrostl o 7,9 % při navýšení zaměstnanosti o 1,1 %</w:t>
            </w:r>
            <w:r w:rsidRPr="00014ED0">
              <w:rPr>
                <w:rStyle w:val="Znakapoznpodarou"/>
                <w:spacing w:val="-2"/>
              </w:rPr>
              <w:footnoteReference w:id="4"/>
            </w:r>
            <w:r>
              <w:t>. Přírůstek posílil oproti předchozímu roku. Reálné posílení mezd a platů v roce 2025 dosáhlo 4,8 %</w:t>
            </w:r>
            <w:r>
              <w:rPr>
                <w:rStyle w:val="Znakapoznpodarou"/>
                <w:spacing w:val="-2"/>
              </w:rPr>
              <w:footnoteReference w:id="5"/>
            </w:r>
            <w:r>
              <w:t xml:space="preserve"> a bylo nejvýraznější od roku 2018. Vyplacené mzdy a platy rostly v celé ekonomice, ale dynamika v jednotlivých sekcích se značně lišila stejně jako posuny v celkové zaměstnanosti. Nejvíce mzdy a platy loni vzrostly v činnostech v oblasti nemovitostí (16,5 % při navýšení zaměstnanosti o 2,6 %), v profesních, vědeckých, technických a administrativních činnostech (11,8 %, zaměstnanost 1,3 %) a ve stavebnictví (10,2 %, zaměstnanost 2,5 %). Také v dalších odvětvích služeb s výjimkou peněžnictví a pojišťovnictví (4,8 % při poklesu zaměstnanosti o 0,2 %) mzdy a platy výrazně rostly a zvyšovala se zde také zaměstnanost. V uskupení obchod, doprava, ubytování a pohostinství mzdy a platy vzrostly o 8,4 % (zaměstnanost o 1,0 %), ve veřejné správě a obraně, vzdělávání, zdravotní a sociální péči o 8,4 % (zaměstnanost o 1,8 %), v ostatních činnostech</w:t>
            </w:r>
            <w:r>
              <w:rPr>
                <w:rStyle w:val="Znakapoznpodarou"/>
                <w:spacing w:val="-2"/>
              </w:rPr>
              <w:footnoteReference w:id="6"/>
            </w:r>
            <w:r>
              <w:t xml:space="preserve"> o 7,9 % (zaměstnanost o 4,2 %) a v informačních a komunikačních činnostech o 7,8 % (zaměstnanost o 0,5 %). Oproti tomu byl útlum patrný v průmyslu, kde vyplacené mzdy a platy vzrostly o 5,1 % při poklesu zaměstnanosti o 0,3 %.</w:t>
            </w:r>
          </w:p>
        </w:tc>
      </w:tr>
      <w:tr w:rsidR="0058050D" w:rsidRPr="009110F7" w14:paraId="0BC9A150" w14:textId="77777777" w:rsidTr="00E87182">
        <w:trPr>
          <w:trHeight w:val="145"/>
        </w:trPr>
        <w:tc>
          <w:tcPr>
            <w:tcW w:w="1806" w:type="dxa"/>
            <w:tcMar>
              <w:left w:w="0" w:type="dxa"/>
            </w:tcMar>
          </w:tcPr>
          <w:p w14:paraId="1CB5C27A" w14:textId="77777777" w:rsidR="0058050D" w:rsidRDefault="0058050D" w:rsidP="00E87182">
            <w:pPr>
              <w:pStyle w:val="Marginlie"/>
            </w:pPr>
            <w:r>
              <w:t xml:space="preserve">Závěr roku přinesl zrychlení růstu mezd </w:t>
            </w:r>
            <w:r>
              <w:br/>
              <w:t>a platů.</w:t>
            </w:r>
          </w:p>
        </w:tc>
        <w:tc>
          <w:tcPr>
            <w:tcW w:w="210" w:type="dxa"/>
            <w:tcMar>
              <w:left w:w="0" w:type="dxa"/>
            </w:tcMar>
          </w:tcPr>
          <w:p w14:paraId="03F28EFA" w14:textId="77777777" w:rsidR="0058050D" w:rsidRDefault="0058050D" w:rsidP="00E87182">
            <w:pPr>
              <w:pStyle w:val="Textpoznpodarou"/>
              <w:jc w:val="both"/>
              <w:rPr>
                <w:spacing w:val="-4"/>
              </w:rPr>
            </w:pPr>
          </w:p>
        </w:tc>
        <w:tc>
          <w:tcPr>
            <w:tcW w:w="7623" w:type="dxa"/>
            <w:tcMar>
              <w:left w:w="0" w:type="dxa"/>
            </w:tcMar>
          </w:tcPr>
          <w:p w14:paraId="0B63B955" w14:textId="77777777" w:rsidR="0058050D" w:rsidRDefault="0058050D" w:rsidP="00E87182">
            <w:r>
              <w:t>V samotném 4. čtvrtletí meziroční růst vyplacených mezd a platů posílil na 8,8 % (při růstu zaměstnanosti o 1,0 %), nejvíce od 2. čtvrtletí 2023. Mezičtvrtletně se mzdy a platy zvýšily o výrazná 2,7 % a zaměstnanost zůstala stejná. Reálně se mzdy a platy ve 4. čtvrtletí zvýšily meziročně o 6,1 %</w:t>
            </w:r>
            <w:r>
              <w:rPr>
                <w:rStyle w:val="Znakapoznpodarou"/>
              </w:rPr>
              <w:footnoteReference w:id="7"/>
            </w:r>
            <w:r>
              <w:t xml:space="preserve"> a mezičtvrtletně o 2,2 %. Mezičtvrtletně se nejvíce zvyšovaly mzdy a platy v ostatních činnostech (6,9 %, zaměstnanost o 4,5 %), v činnostech v oblasti nemovitostí (4,2 %, zaměstnanost o 5,1 %) a ve veřejné správě a obraně, vzdělávání, zdravotní a sociální péči (3,8 %, zaměstnanost se nezměnila). Mírně pod celkovým průměrem byl mezičtvrtletní přírůstek vyplacených mezd a platů ve stavebnictví, uskupení obchod, doprava, ubytování a pohostinství a v informačních a komunikačních činnostech (shodně 2,3 %, v posledních dvou byl mírný růst způsoben i poklesem zaměstnanosti). V průmyslu se po slabém 3. kvartálu mzdová dynamika opět oživila (2,3 % při téměř neměnné zaměstnanosti). Mezičtvrtletní pokles mezd a platů byl zaznamenán jen v peněžnictví a pojišťovnictví (−0,8 %, zaměstnanost −1,2 %). Nejvíce meziročně vzrostly mzdy a platy v činnostech v oblasti nemovitostí (15,2 %), v profesních, vědeckých, technických a administrativních činnostech (12,6 %) a ve stavebnictví (11,2 %). Naopak slabý byl nárůst mezd a platů v peněžnictví a pojišťovnictví (3,9 %) a přes zrychlení zůstala mzdová dynamika podprůměrná také v průmyslu (6,0 %).</w:t>
            </w:r>
          </w:p>
        </w:tc>
      </w:tr>
      <w:tr w:rsidR="0058050D" w:rsidRPr="009110F7" w14:paraId="5C6E7D10" w14:textId="77777777" w:rsidTr="00E87182">
        <w:trPr>
          <w:trHeight w:val="145"/>
        </w:trPr>
        <w:tc>
          <w:tcPr>
            <w:tcW w:w="1806" w:type="dxa"/>
            <w:tcMar>
              <w:left w:w="0" w:type="dxa"/>
            </w:tcMar>
          </w:tcPr>
          <w:p w14:paraId="513E2CB7" w14:textId="77777777" w:rsidR="0058050D" w:rsidRDefault="0058050D" w:rsidP="00E87182">
            <w:pPr>
              <w:pStyle w:val="Marginlie"/>
            </w:pPr>
            <w:r>
              <w:t>Spotřeba domácností výrazně rostla.</w:t>
            </w:r>
          </w:p>
        </w:tc>
        <w:tc>
          <w:tcPr>
            <w:tcW w:w="210" w:type="dxa"/>
            <w:tcMar>
              <w:left w:w="0" w:type="dxa"/>
            </w:tcMar>
          </w:tcPr>
          <w:p w14:paraId="59463A3A" w14:textId="77777777" w:rsidR="0058050D" w:rsidRDefault="0058050D" w:rsidP="00E87182">
            <w:pPr>
              <w:pStyle w:val="Textpoznpodarou"/>
              <w:jc w:val="both"/>
              <w:rPr>
                <w:spacing w:val="-4"/>
              </w:rPr>
            </w:pPr>
          </w:p>
        </w:tc>
        <w:tc>
          <w:tcPr>
            <w:tcW w:w="7623" w:type="dxa"/>
            <w:tcMar>
              <w:left w:w="0" w:type="dxa"/>
            </w:tcMar>
          </w:tcPr>
          <w:p w14:paraId="7634A36D" w14:textId="77777777" w:rsidR="0058050D" w:rsidRPr="004B6F8C" w:rsidRDefault="0058050D" w:rsidP="00E87182">
            <w:pPr>
              <w:rPr>
                <w:spacing w:val="-2"/>
              </w:rPr>
            </w:pPr>
            <w:r>
              <w:rPr>
                <w:spacing w:val="-2"/>
              </w:rPr>
              <w:t>Výdaje na konečnou spotřebu za celý rok 2025 reálně vzrostly o 2,8 %. Loni výrazně posílila spotřeba domácností (3,0 %) a naopak oslabil růst výdajů vládních institucí (2,2 %) a výsledné celkové navýšení spotřeby tak bylo podobné jako v roce 2024. Pohled na vývoj spotřeby z hlediska trvanlivosti</w:t>
            </w:r>
            <w:r>
              <w:rPr>
                <w:rStyle w:val="Znakapoznpodarou"/>
              </w:rPr>
              <w:footnoteReference w:id="8"/>
            </w:r>
            <w:r>
              <w:rPr>
                <w:spacing w:val="-2"/>
              </w:rPr>
              <w:t xml:space="preserve"> ukazuje, že loni došlo k posílení růstu výdajů na </w:t>
            </w:r>
            <w:r>
              <w:rPr>
                <w:spacing w:val="-2"/>
              </w:rPr>
              <w:lastRenderedPageBreak/>
              <w:t xml:space="preserve">dlouhodobou (1,0 %), střednědobou (2,1 %) i krátkodobou spotřebu (3,8 %). Stabilní zůstala dynamika spotřeby služeb (2,8 %). Po slabším 3. kvartálu v závěrečné čtvrtině roku spotřeba mezičtvrtletně vzrostla o výrazná 1,2 %, zejména díky oživení u domácností (1,3 %). Meziročně byla spotřeba ve 4. čtvrtletí vyšší o 3,0 % (domácnosti 3,2 %, vládní instituce 2,5 %). Na konci roku 2025 posílil mezičtvrtletní (1,9 %) i meziroční (4,2 %) růst spotřeby služeb. K mezičtvrtletnímu navýšení spotřeby domácností přispívala i krátkodobá spotřeba (0,9 %, meziročně 3,1 %). Dlouhodobá spotřeba mezičtvrtletně narůstala jen mírně (0,2 %, 2,3 % meziročně) a střednědobá spotřeba klesala (−0,7 %, 2,1 % meziročně).    </w:t>
            </w:r>
          </w:p>
        </w:tc>
      </w:tr>
      <w:tr w:rsidR="0058050D" w:rsidRPr="009110F7" w14:paraId="5CB761C6" w14:textId="77777777" w:rsidTr="00E87182">
        <w:trPr>
          <w:trHeight w:val="154"/>
        </w:trPr>
        <w:tc>
          <w:tcPr>
            <w:tcW w:w="1806" w:type="dxa"/>
            <w:vMerge w:val="restart"/>
            <w:tcMar>
              <w:left w:w="0" w:type="dxa"/>
            </w:tcMar>
          </w:tcPr>
          <w:p w14:paraId="15C0C161" w14:textId="77777777" w:rsidR="0058050D" w:rsidRDefault="0058050D" w:rsidP="00E87182">
            <w:pPr>
              <w:pStyle w:val="Marginlie"/>
            </w:pPr>
          </w:p>
        </w:tc>
        <w:tc>
          <w:tcPr>
            <w:tcW w:w="210" w:type="dxa"/>
            <w:vMerge w:val="restart"/>
            <w:tcMar>
              <w:left w:w="0" w:type="dxa"/>
            </w:tcMar>
          </w:tcPr>
          <w:p w14:paraId="1EC775AA" w14:textId="77777777" w:rsidR="0058050D" w:rsidRDefault="0058050D" w:rsidP="00E87182">
            <w:pPr>
              <w:pStyle w:val="Textpoznpodarou"/>
              <w:jc w:val="both"/>
              <w:rPr>
                <w:spacing w:val="-4"/>
              </w:rPr>
            </w:pPr>
          </w:p>
        </w:tc>
        <w:tc>
          <w:tcPr>
            <w:tcW w:w="7623" w:type="dxa"/>
            <w:tcMar>
              <w:left w:w="0" w:type="dxa"/>
            </w:tcMar>
          </w:tcPr>
          <w:p w14:paraId="64F9C2E9" w14:textId="77777777" w:rsidR="0058050D" w:rsidRDefault="0058050D" w:rsidP="00E87182">
            <w:pPr>
              <w:spacing w:after="0"/>
            </w:pPr>
            <w:r w:rsidRPr="00D721B4">
              <w:rPr>
                <w:b/>
                <w:szCs w:val="20"/>
              </w:rPr>
              <w:t>Graf č. 2</w:t>
            </w:r>
            <w:r>
              <w:rPr>
                <w:b/>
                <w:szCs w:val="20"/>
              </w:rPr>
              <w:t xml:space="preserve"> </w:t>
            </w:r>
            <w:r w:rsidRPr="00D721B4">
              <w:rPr>
                <w:rFonts w:cs="Arial"/>
                <w:b/>
                <w:szCs w:val="20"/>
                <w:lang w:eastAsia="en-US"/>
              </w:rPr>
              <w:t xml:space="preserve">Příspěvky výdajových složek k reálné změně HDP* </w:t>
            </w:r>
            <w:r w:rsidRPr="00D721B4">
              <w:rPr>
                <w:rFonts w:cs="Arial"/>
                <w:bCs/>
                <w:szCs w:val="20"/>
                <w:lang w:eastAsia="en-US"/>
              </w:rPr>
              <w:t>(objemové indexy, meziroční růst, příspěvky v p. b., HDP v</w:t>
            </w:r>
            <w:r>
              <w:rPr>
                <w:rFonts w:cs="Arial"/>
                <w:bCs/>
                <w:szCs w:val="20"/>
                <w:lang w:eastAsia="en-US"/>
              </w:rPr>
              <w:t> %</w:t>
            </w:r>
            <w:r w:rsidRPr="00D721B4">
              <w:rPr>
                <w:rFonts w:cs="Arial"/>
                <w:bCs/>
                <w:szCs w:val="20"/>
                <w:lang w:eastAsia="en-US"/>
              </w:rPr>
              <w:t>)</w:t>
            </w:r>
          </w:p>
        </w:tc>
      </w:tr>
      <w:tr w:rsidR="0058050D" w:rsidRPr="009110F7" w14:paraId="6B7E8BBB" w14:textId="77777777" w:rsidTr="00E87182">
        <w:tblPrEx>
          <w:tblCellMar>
            <w:left w:w="70" w:type="dxa"/>
            <w:right w:w="70" w:type="dxa"/>
          </w:tblCellMar>
        </w:tblPrEx>
        <w:trPr>
          <w:trHeight w:val="154"/>
        </w:trPr>
        <w:tc>
          <w:tcPr>
            <w:tcW w:w="1806" w:type="dxa"/>
            <w:vMerge/>
          </w:tcPr>
          <w:p w14:paraId="022ECFCF" w14:textId="77777777" w:rsidR="0058050D" w:rsidRDefault="0058050D" w:rsidP="00E87182">
            <w:pPr>
              <w:pStyle w:val="Marginlie"/>
            </w:pPr>
          </w:p>
        </w:tc>
        <w:tc>
          <w:tcPr>
            <w:tcW w:w="210" w:type="dxa"/>
            <w:vMerge/>
          </w:tcPr>
          <w:p w14:paraId="58E6FABC" w14:textId="77777777" w:rsidR="0058050D" w:rsidRDefault="0058050D" w:rsidP="00E87182">
            <w:pPr>
              <w:pStyle w:val="Textpoznpodarou"/>
              <w:jc w:val="both"/>
              <w:rPr>
                <w:spacing w:val="-4"/>
              </w:rPr>
            </w:pPr>
          </w:p>
        </w:tc>
        <w:tc>
          <w:tcPr>
            <w:tcW w:w="7623" w:type="dxa"/>
          </w:tcPr>
          <w:p w14:paraId="302DE387" w14:textId="77777777" w:rsidR="0058050D" w:rsidRDefault="0058050D" w:rsidP="00E87182">
            <w:pPr>
              <w:spacing w:after="0"/>
            </w:pPr>
            <w:r>
              <w:rPr>
                <w:noProof/>
              </w:rPr>
              <w:drawing>
                <wp:inline distT="0" distB="0" distL="0" distR="0" wp14:anchorId="7922965E" wp14:editId="3EEF9C4B">
                  <wp:extent cx="4737600" cy="3553200"/>
                  <wp:effectExtent l="0" t="0" r="6350" b="0"/>
                  <wp:docPr id="459214027" name="Graf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58050D" w:rsidRPr="009110F7" w14:paraId="23535150" w14:textId="77777777" w:rsidTr="00E87182">
        <w:trPr>
          <w:trHeight w:val="154"/>
        </w:trPr>
        <w:tc>
          <w:tcPr>
            <w:tcW w:w="1806" w:type="dxa"/>
            <w:vMerge/>
            <w:tcMar>
              <w:left w:w="0" w:type="dxa"/>
            </w:tcMar>
          </w:tcPr>
          <w:p w14:paraId="70C36F08" w14:textId="77777777" w:rsidR="0058050D" w:rsidRDefault="0058050D" w:rsidP="00E87182">
            <w:pPr>
              <w:pStyle w:val="Marginlie"/>
            </w:pPr>
          </w:p>
        </w:tc>
        <w:tc>
          <w:tcPr>
            <w:tcW w:w="210" w:type="dxa"/>
            <w:vMerge/>
            <w:tcMar>
              <w:left w:w="0" w:type="dxa"/>
            </w:tcMar>
          </w:tcPr>
          <w:p w14:paraId="1487678A" w14:textId="77777777" w:rsidR="0058050D" w:rsidRDefault="0058050D" w:rsidP="00E87182">
            <w:pPr>
              <w:pStyle w:val="Textpoznpodarou"/>
              <w:jc w:val="both"/>
              <w:rPr>
                <w:spacing w:val="-4"/>
              </w:rPr>
            </w:pPr>
          </w:p>
        </w:tc>
        <w:tc>
          <w:tcPr>
            <w:tcW w:w="7623" w:type="dxa"/>
            <w:tcMar>
              <w:left w:w="0" w:type="dxa"/>
            </w:tcMar>
          </w:tcPr>
          <w:p w14:paraId="299BE6AF" w14:textId="77777777" w:rsidR="0058050D" w:rsidRDefault="0058050D" w:rsidP="00E87182">
            <w:pPr>
              <w:spacing w:after="0"/>
              <w:rPr>
                <w:sz w:val="14"/>
                <w:szCs w:val="14"/>
              </w:rPr>
            </w:pPr>
            <w:r>
              <w:rPr>
                <w:sz w:val="14"/>
                <w:szCs w:val="14"/>
              </w:rPr>
              <w:t>Zdroj: ČSÚ</w:t>
            </w:r>
          </w:p>
          <w:p w14:paraId="5CEDA156" w14:textId="77777777" w:rsidR="0058050D" w:rsidRDefault="0058050D" w:rsidP="00E87182">
            <w:r>
              <w:rPr>
                <w:sz w:val="14"/>
                <w:szCs w:val="14"/>
              </w:rPr>
              <w:t>* po vyloučení dovozu pro konečné užití</w:t>
            </w:r>
          </w:p>
        </w:tc>
      </w:tr>
      <w:tr w:rsidR="0058050D" w:rsidRPr="009110F7" w14:paraId="3F89F93B" w14:textId="77777777" w:rsidTr="00E87182">
        <w:trPr>
          <w:trHeight w:val="145"/>
        </w:trPr>
        <w:tc>
          <w:tcPr>
            <w:tcW w:w="1806" w:type="dxa"/>
            <w:tcMar>
              <w:left w:w="0" w:type="dxa"/>
            </w:tcMar>
          </w:tcPr>
          <w:p w14:paraId="4E632136" w14:textId="77777777" w:rsidR="0058050D" w:rsidRDefault="0058050D" w:rsidP="00E87182">
            <w:pPr>
              <w:pStyle w:val="Marginlie"/>
            </w:pPr>
            <w:r>
              <w:t>Růst investiční aktivity podpořily zejména výdaje na stavby.</w:t>
            </w:r>
          </w:p>
        </w:tc>
        <w:tc>
          <w:tcPr>
            <w:tcW w:w="210" w:type="dxa"/>
            <w:tcMar>
              <w:left w:w="0" w:type="dxa"/>
            </w:tcMar>
          </w:tcPr>
          <w:p w14:paraId="4BFDE278" w14:textId="77777777" w:rsidR="0058050D" w:rsidRDefault="0058050D" w:rsidP="00E87182">
            <w:pPr>
              <w:pStyle w:val="Textpoznpodarou"/>
              <w:jc w:val="both"/>
              <w:rPr>
                <w:spacing w:val="-4"/>
              </w:rPr>
            </w:pPr>
          </w:p>
        </w:tc>
        <w:tc>
          <w:tcPr>
            <w:tcW w:w="7623" w:type="dxa"/>
            <w:tcMar>
              <w:left w:w="0" w:type="dxa"/>
            </w:tcMar>
          </w:tcPr>
          <w:p w14:paraId="65E5E4DE" w14:textId="77777777" w:rsidR="0058050D" w:rsidRDefault="0058050D" w:rsidP="00E87182">
            <w:r>
              <w:rPr>
                <w:spacing w:val="-2"/>
              </w:rPr>
              <w:t>Výdaje na tvorbu hrubého kapitálu po dvou hlubokých propadech z let 2023 a 2024 v roce 2025 reálně vzrostly o 4,3 %. Od roku 2020 úroveň kapitálových výdajů klíčově ovlivňuje změna zásob a loňský rok nebyl výjimkou. Výdaje na tvorbu hrubého fixního kapitálu (investiční aktivita) loni mírně vzrostly o 2,0 % a k celkovému růstu HDP loni přispěly 0,3 p. b.</w:t>
            </w:r>
            <w:r w:rsidRPr="00014ED0">
              <w:rPr>
                <w:rStyle w:val="Znakapoznpodarou"/>
                <w:spacing w:val="-2"/>
              </w:rPr>
              <w:t xml:space="preserve"> </w:t>
            </w:r>
            <w:r w:rsidRPr="00014ED0">
              <w:rPr>
                <w:rStyle w:val="Znakapoznpodarou"/>
                <w:spacing w:val="-2"/>
              </w:rPr>
              <w:footnoteReference w:id="9"/>
            </w:r>
            <w:r>
              <w:rPr>
                <w:spacing w:val="-2"/>
              </w:rPr>
              <w:t xml:space="preserve"> Změna zásob se na celoroční</w:t>
            </w:r>
            <w:r>
              <w:t>m</w:t>
            </w:r>
            <w:r>
              <w:rPr>
                <w:spacing w:val="-2"/>
              </w:rPr>
              <w:t xml:space="preserve"> přírůstku HDP podílela 0,6 p. b.</w:t>
            </w:r>
            <w:r>
              <w:rPr>
                <w:rStyle w:val="Znakapoznpodarou"/>
              </w:rPr>
              <w:footnoteReference w:id="10"/>
            </w:r>
            <w:r>
              <w:rPr>
                <w:spacing w:val="-2"/>
              </w:rPr>
              <w:t xml:space="preserve"> Loni rostly nejvíce investice do ostatních budov a staveb (7,1 %) a obydlí (2,1 %), což korespondovalo s oživením, které bylo možné pozorovat ve stavebnictví. Spíše stagnující byly naopak výdaje na ICT a ostatní stroje a zařízení a produkty duševního vlastnictví (obě oblasti vzrostly o 0,6 %). Klesaly investice do dopravních prostředků a zařízení (−4,0 %). V samotném 4. čtvrtletí 2025 výdaje na tvorbu hrubého kapitálu mezičtvrtletně klesly o 1,3 %, na čemž měla hlavní podíl změna zásob, protože samotné investice byly vyšší o 1,7 %. To bylo nejvýraznější oživení od začátku roku 2023. Meziročně se výdaje na tvorbu hrubého kapitálu zvýšily o 1,5 % a z toho investiční aktivita byla reálně vyšší o 5,3 %. Posílení mezičtvrtletního růstu investic podpořily zejména výdaje na produkty </w:t>
            </w:r>
            <w:r>
              <w:rPr>
                <w:spacing w:val="-2"/>
              </w:rPr>
              <w:lastRenderedPageBreak/>
              <w:t>duševního vlastnictví (5,7 %, meziročně růst o 2,5 %), na ICT a ostatní stroje a zařízení (2,6 %, meziročně 2,2 %) a na dopravní prostředky a zařízení (1,6 %, meziročně pokles o 2,2 %). Naopak investice do obydlí (−0,3 %, meziročně byly vyšší o 9,3 %) i ostatních budov a staveb (−0,2 %, meziročně vyšší o 10,6 %) poprvé v roce mezičtvrtletně klesly.</w:t>
            </w:r>
          </w:p>
        </w:tc>
      </w:tr>
      <w:tr w:rsidR="0058050D" w:rsidRPr="009110F7" w14:paraId="1B2F48F6" w14:textId="77777777" w:rsidTr="00E87182">
        <w:trPr>
          <w:trHeight w:val="145"/>
        </w:trPr>
        <w:tc>
          <w:tcPr>
            <w:tcW w:w="1806" w:type="dxa"/>
            <w:tcMar>
              <w:left w:w="0" w:type="dxa"/>
            </w:tcMar>
          </w:tcPr>
          <w:p w14:paraId="2B2B2B72" w14:textId="77777777" w:rsidR="0058050D" w:rsidRDefault="0058050D" w:rsidP="00E87182">
            <w:pPr>
              <w:pStyle w:val="Marginlie"/>
            </w:pPr>
            <w:r>
              <w:lastRenderedPageBreak/>
              <w:t>Vývozcům se dařilo, ale sílil i dovoz, a tak bilance zahraničního obchodu výrazněji nepřispěla k růstu HDP.</w:t>
            </w:r>
          </w:p>
        </w:tc>
        <w:tc>
          <w:tcPr>
            <w:tcW w:w="210" w:type="dxa"/>
            <w:tcMar>
              <w:left w:w="0" w:type="dxa"/>
            </w:tcMar>
          </w:tcPr>
          <w:p w14:paraId="322E742E" w14:textId="77777777" w:rsidR="0058050D" w:rsidRDefault="0058050D" w:rsidP="00E87182">
            <w:pPr>
              <w:pStyle w:val="Textpoznpodarou"/>
              <w:jc w:val="both"/>
              <w:rPr>
                <w:spacing w:val="-4"/>
              </w:rPr>
            </w:pPr>
          </w:p>
        </w:tc>
        <w:tc>
          <w:tcPr>
            <w:tcW w:w="7623" w:type="dxa"/>
            <w:tcMar>
              <w:left w:w="0" w:type="dxa"/>
            </w:tcMar>
          </w:tcPr>
          <w:p w14:paraId="3B2BD24B" w14:textId="77777777" w:rsidR="0058050D" w:rsidRDefault="0058050D" w:rsidP="00E87182">
            <w:r>
              <w:t>V roce 2025 došlo k výraznému oživení zahraničního obchodu</w:t>
            </w:r>
            <w:r w:rsidRPr="009110F7">
              <w:rPr>
                <w:rStyle w:val="Znakapoznpodarou"/>
              </w:rPr>
              <w:footnoteReference w:id="11"/>
            </w:r>
            <w:r>
              <w:t xml:space="preserve">. Vývoz zboží a služeb se reálně zvýšil o 4,1 % (po růstu o 1,1 % v roce 2024). K posílení dynamiky přispěl zejména export zboží (4,1 %), zatímco u služeb došlo k oslabení přírůstku na 4,2 %. Import se loni reálně zvýšil o 5,2 % (zboží 5,6 %, služby 3,5 %). Ve 4. čtvrtletí meziroční růst exportu zboží a služeb zrychlil na 5,1 %. Opět posílil zejména růst vývozu zboží (5,5 %). Celkový mezičtvrtletní přírůstek vývozu zůstal stabilní (0,8 %), ale v případě samotného exportu zboží došlo k prudkému oživení (1,9 %), zatímco služby se propadly (−4,2 %). Dovoz ve 4. čtvrtletí meziročně vzrostl o 5,3 % a mezičtvrtletně o 0,6 %. Také na straně dovozu v závěru roku posiloval především obchod se zbožím </w:t>
            </w:r>
            <w:r>
              <w:br/>
              <w:t xml:space="preserve">(6,2 % meziročně, 1,5 % mezičtvrtletně). Bilance zahraničního obchodu se zbožím a službami v roce 2025 dosáhla přebytku 504,2 mld. korun, což byl téměř stejný výsledek jako v předchozím roce (503,3 mld.). Pokles přebytku obchodu se zbožím (−19,4 mld. korun na 397,7 mld.) byl totiž kompenzován zlepšením kladného salda obchodu se službami o 20,2 mld. na 106,4 mld. V samotném 4. čtvrtletí 2025 bilance zahraničního obchodu se zbožím a službami dosáhla přebytku 133,9 mld. korun (meziročně +9,5 mld.). Zlepšovala se bilance obchodu se zbožím (+3,8 mld. korun) </w:t>
            </w:r>
            <w:r>
              <w:br/>
              <w:t xml:space="preserve">i službami (+5,7 mld.).       </w:t>
            </w:r>
          </w:p>
        </w:tc>
      </w:tr>
      <w:tr w:rsidR="0058050D" w:rsidRPr="009110F7" w14:paraId="4983947B" w14:textId="77777777" w:rsidTr="00E87182">
        <w:trPr>
          <w:trHeight w:val="145"/>
        </w:trPr>
        <w:tc>
          <w:tcPr>
            <w:tcW w:w="1806" w:type="dxa"/>
            <w:tcMar>
              <w:left w:w="0" w:type="dxa"/>
            </w:tcMar>
          </w:tcPr>
          <w:p w14:paraId="000EC450" w14:textId="77777777" w:rsidR="0058050D" w:rsidRDefault="0058050D" w:rsidP="00E87182">
            <w:pPr>
              <w:pStyle w:val="Marginlie"/>
            </w:pPr>
            <w:r>
              <w:t>Loni se dařilo službám.</w:t>
            </w:r>
          </w:p>
        </w:tc>
        <w:tc>
          <w:tcPr>
            <w:tcW w:w="210" w:type="dxa"/>
            <w:tcMar>
              <w:left w:w="0" w:type="dxa"/>
            </w:tcMar>
          </w:tcPr>
          <w:p w14:paraId="518DD45A" w14:textId="77777777" w:rsidR="0058050D" w:rsidRDefault="0058050D" w:rsidP="00E87182">
            <w:pPr>
              <w:pStyle w:val="Textpoznpodarou"/>
              <w:jc w:val="both"/>
              <w:rPr>
                <w:spacing w:val="-4"/>
              </w:rPr>
            </w:pPr>
          </w:p>
        </w:tc>
        <w:tc>
          <w:tcPr>
            <w:tcW w:w="7623" w:type="dxa"/>
            <w:tcMar>
              <w:left w:w="0" w:type="dxa"/>
            </w:tcMar>
          </w:tcPr>
          <w:p w14:paraId="49186FBD" w14:textId="77777777" w:rsidR="0058050D" w:rsidRDefault="0058050D" w:rsidP="00E87182">
            <w:r>
              <w:t xml:space="preserve">Hrubá přidaná hodnota (HPH) v loňském roce vzrostla reálně o 2,8 %. K růstu HPH klíčově přispívala odvětví služeb, zejména váhově významné uskupení obchod, doprava, ubytování a pohostinství (růst HPH o 4,1 %) a dále dynamicky se rozvíjející informační a komunikační činnosti (7,8 %). Dařilo se také různorodému odvětví ostatních činností (5,4 %). V roce 2025 došlo také po dekádě stagnací a poklesů k výraznému oživení stavebnictví (6,8 %). Naopak průmysl na propad HPH z roku 2024 navázal loni jen mírným zvýšením o 1,5 %, z toho ve zpracovatelském průmyslu došlo k navýšení o 1,3 %. Mírný byl také růst HPH v profesních, vědeckých, technických a administrativních činnostech (1,7 %), ve veřejné správě a obraně, vzdělávání, zdravotní a sociální péči (1,5 %), činnostech v oblasti nemovitostí (1,2 %) a peněžnictví a pojišťovnictví (0,7 %).   </w:t>
            </w:r>
          </w:p>
        </w:tc>
      </w:tr>
      <w:tr w:rsidR="0058050D" w:rsidRPr="009110F7" w14:paraId="7CE77583" w14:textId="77777777" w:rsidTr="00E87182">
        <w:trPr>
          <w:trHeight w:val="145"/>
        </w:trPr>
        <w:tc>
          <w:tcPr>
            <w:tcW w:w="1806" w:type="dxa"/>
            <w:tcMar>
              <w:left w:w="0" w:type="dxa"/>
            </w:tcMar>
          </w:tcPr>
          <w:p w14:paraId="57E3FEF6" w14:textId="77777777" w:rsidR="0058050D" w:rsidRDefault="0058050D" w:rsidP="00E87182">
            <w:pPr>
              <w:pStyle w:val="Marginlie"/>
            </w:pPr>
            <w:r>
              <w:t>Konec roku přinesl oživení v průmyslu.</w:t>
            </w:r>
          </w:p>
        </w:tc>
        <w:tc>
          <w:tcPr>
            <w:tcW w:w="210" w:type="dxa"/>
            <w:tcMar>
              <w:left w:w="0" w:type="dxa"/>
            </w:tcMar>
          </w:tcPr>
          <w:p w14:paraId="60B8F9C2" w14:textId="77777777" w:rsidR="0058050D" w:rsidRDefault="0058050D" w:rsidP="00E87182">
            <w:pPr>
              <w:pStyle w:val="Textpoznpodarou"/>
              <w:jc w:val="both"/>
              <w:rPr>
                <w:spacing w:val="-4"/>
              </w:rPr>
            </w:pPr>
          </w:p>
        </w:tc>
        <w:tc>
          <w:tcPr>
            <w:tcW w:w="7623" w:type="dxa"/>
            <w:tcMar>
              <w:left w:w="0" w:type="dxa"/>
            </w:tcMar>
          </w:tcPr>
          <w:p w14:paraId="335271E0" w14:textId="77777777" w:rsidR="0058050D" w:rsidRDefault="0058050D" w:rsidP="00E87182">
            <w:r>
              <w:t xml:space="preserve">Hrubá přidaná hodnota v samotném 4. čtvrtletí 2025 vzrostla meziročně o 2,8 % a mezičtvrtletně o 0,5 %. Silný meziroční růst si udržovaly informační a komunikační činnosti (7,7 %) i uskupení obchod, doprava, ubytování a pohostinství (4,4 %) a ostatní činnosti (5,6 %). Ke znatelnému oživení meziročního růstu HPH (2,5 %) došlo v závěru roku ve zpracovatelském průmyslu. Naopak stavebnictví si sice udrželo nadprůměrný přírůstek HPH (5,6 %), ale tempo v porovnání s předchozími dvěma kvartály značně oslabilo. Zbytek odvětví služeb si ve 4. čtvrtletí držel mírný meziroční přírůstek s výjimkou peněžnictví a pojišťovnictví, kde byla HPH nižší o 1,2 %. Mezičtvrtletní růst HPH byl ve 4. čtvrtletí klíčově podpořen novým impulzem ve zpracovatelském průmyslu, kde HPH po čtyřech kvartálech stagnace mezičtvrtletně vzrostla o 2,2 %. Výrazný mezičtvrtletní nárůst HPH mělo i peněžnictví a pojišťovnictví (2,7 %). Naopak stavebnictví po úspěšném vývoji pozorovatelném od 3. čtvrtletí 2024 ve 4. kvartálu 2025 ztratilo dech a HPH zde mezičtvrtletně klesla o 3,3 %. Zbytek ekonomiky ve 4. čtvrtletí zažíval spíš mírnější rozvoj – HPH v profesních, vědeckých, technických a administrativních činnostech vzrostla o 0,7 %, v uskupení obchod, doprava, ubytování a pohostinství o 0,6 %, v ostatních činnostech o 0,5 % a v informačních </w:t>
            </w:r>
            <w:r>
              <w:lastRenderedPageBreak/>
              <w:t>a komunikačních činnostech o 0,4 %. Z pohledu HPH mezičtvrtletně stagnovala veřejná správa a obrana, vzdělávání, zdravotní a sociální péče a pokles byl zachycen v činnostech v oblasti nemovitostí (−0,3 %).</w:t>
            </w:r>
          </w:p>
        </w:tc>
      </w:tr>
      <w:tr w:rsidR="0058050D" w:rsidRPr="009110F7" w14:paraId="72FA1F18" w14:textId="77777777" w:rsidTr="00E87182">
        <w:trPr>
          <w:trHeight w:val="170"/>
        </w:trPr>
        <w:tc>
          <w:tcPr>
            <w:tcW w:w="1806" w:type="dxa"/>
            <w:vMerge w:val="restart"/>
            <w:tcMar>
              <w:left w:w="0" w:type="dxa"/>
            </w:tcMar>
          </w:tcPr>
          <w:p w14:paraId="56942C4F" w14:textId="77777777" w:rsidR="0058050D" w:rsidRDefault="0058050D" w:rsidP="00E87182">
            <w:pPr>
              <w:pStyle w:val="Marginlie"/>
            </w:pPr>
          </w:p>
        </w:tc>
        <w:tc>
          <w:tcPr>
            <w:tcW w:w="210" w:type="dxa"/>
            <w:vMerge w:val="restart"/>
            <w:tcMar>
              <w:left w:w="0" w:type="dxa"/>
            </w:tcMar>
          </w:tcPr>
          <w:p w14:paraId="0D74A726" w14:textId="77777777" w:rsidR="0058050D" w:rsidRDefault="0058050D" w:rsidP="00E87182">
            <w:pPr>
              <w:pStyle w:val="Textpoznpodarou"/>
              <w:jc w:val="both"/>
              <w:rPr>
                <w:spacing w:val="-4"/>
              </w:rPr>
            </w:pPr>
          </w:p>
        </w:tc>
        <w:tc>
          <w:tcPr>
            <w:tcW w:w="7623" w:type="dxa"/>
            <w:tcMar>
              <w:left w:w="0" w:type="dxa"/>
            </w:tcMar>
          </w:tcPr>
          <w:p w14:paraId="4F3D051E" w14:textId="77777777" w:rsidR="0058050D" w:rsidRDefault="0058050D" w:rsidP="00E87182">
            <w:pPr>
              <w:spacing w:after="0"/>
            </w:pPr>
            <w:r w:rsidRPr="00D721B4">
              <w:rPr>
                <w:b/>
                <w:szCs w:val="20"/>
              </w:rPr>
              <w:t>Graf č. 3</w:t>
            </w:r>
            <w:r>
              <w:rPr>
                <w:b/>
                <w:szCs w:val="20"/>
              </w:rPr>
              <w:t xml:space="preserve"> </w:t>
            </w:r>
            <w:r w:rsidRPr="00D721B4">
              <w:rPr>
                <w:rFonts w:cs="Arial"/>
                <w:b/>
                <w:szCs w:val="20"/>
                <w:lang w:eastAsia="en-US"/>
              </w:rPr>
              <w:t xml:space="preserve">Příspěvky odvětví k reálné změně HPH </w:t>
            </w:r>
            <w:r w:rsidRPr="00D721B4">
              <w:rPr>
                <w:rFonts w:cs="Arial"/>
                <w:bCs/>
                <w:szCs w:val="20"/>
                <w:lang w:eastAsia="en-US"/>
              </w:rPr>
              <w:t>(objemové indexy, meziroční příspěvky v p. b., HPH v</w:t>
            </w:r>
            <w:r>
              <w:rPr>
                <w:rFonts w:cs="Arial"/>
                <w:bCs/>
                <w:szCs w:val="20"/>
                <w:lang w:eastAsia="en-US"/>
              </w:rPr>
              <w:t> %</w:t>
            </w:r>
            <w:r w:rsidRPr="00D721B4">
              <w:rPr>
                <w:rFonts w:cs="Arial"/>
                <w:bCs/>
                <w:szCs w:val="20"/>
                <w:lang w:eastAsia="en-US"/>
              </w:rPr>
              <w:t>)</w:t>
            </w:r>
          </w:p>
        </w:tc>
      </w:tr>
      <w:tr w:rsidR="0058050D" w:rsidRPr="009110F7" w14:paraId="46440224" w14:textId="77777777" w:rsidTr="00E87182">
        <w:tblPrEx>
          <w:tblCellMar>
            <w:left w:w="70" w:type="dxa"/>
            <w:right w:w="70" w:type="dxa"/>
          </w:tblCellMar>
        </w:tblPrEx>
        <w:trPr>
          <w:trHeight w:val="170"/>
        </w:trPr>
        <w:tc>
          <w:tcPr>
            <w:tcW w:w="1806" w:type="dxa"/>
            <w:vMerge/>
          </w:tcPr>
          <w:p w14:paraId="0087DBB3" w14:textId="77777777" w:rsidR="0058050D" w:rsidRDefault="0058050D" w:rsidP="00E87182">
            <w:pPr>
              <w:pStyle w:val="Marginlie"/>
            </w:pPr>
          </w:p>
        </w:tc>
        <w:tc>
          <w:tcPr>
            <w:tcW w:w="210" w:type="dxa"/>
            <w:vMerge/>
          </w:tcPr>
          <w:p w14:paraId="77041ECB" w14:textId="77777777" w:rsidR="0058050D" w:rsidRDefault="0058050D" w:rsidP="00E87182">
            <w:pPr>
              <w:pStyle w:val="Textpoznpodarou"/>
              <w:jc w:val="both"/>
              <w:rPr>
                <w:spacing w:val="-4"/>
              </w:rPr>
            </w:pPr>
          </w:p>
        </w:tc>
        <w:tc>
          <w:tcPr>
            <w:tcW w:w="7623" w:type="dxa"/>
          </w:tcPr>
          <w:p w14:paraId="741E377F" w14:textId="77777777" w:rsidR="0058050D" w:rsidRDefault="0058050D" w:rsidP="00E87182">
            <w:pPr>
              <w:spacing w:after="0"/>
            </w:pPr>
            <w:r>
              <w:rPr>
                <w:noProof/>
              </w:rPr>
              <w:drawing>
                <wp:inline distT="0" distB="0" distL="0" distR="0" wp14:anchorId="094BC4BD" wp14:editId="3AC731D2">
                  <wp:extent cx="4737600" cy="3486525"/>
                  <wp:effectExtent l="0" t="0" r="6350" b="0"/>
                  <wp:docPr id="99678940" name="Graf 1">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58050D" w:rsidRPr="009110F7" w14:paraId="32D1E406" w14:textId="77777777" w:rsidTr="00E87182">
        <w:trPr>
          <w:trHeight w:val="170"/>
        </w:trPr>
        <w:tc>
          <w:tcPr>
            <w:tcW w:w="1806" w:type="dxa"/>
            <w:vMerge/>
            <w:tcMar>
              <w:left w:w="0" w:type="dxa"/>
            </w:tcMar>
          </w:tcPr>
          <w:p w14:paraId="3A12F46C" w14:textId="77777777" w:rsidR="0058050D" w:rsidRDefault="0058050D" w:rsidP="00E87182">
            <w:pPr>
              <w:pStyle w:val="Marginlie"/>
            </w:pPr>
          </w:p>
        </w:tc>
        <w:tc>
          <w:tcPr>
            <w:tcW w:w="210" w:type="dxa"/>
            <w:vMerge/>
            <w:tcMar>
              <w:left w:w="0" w:type="dxa"/>
            </w:tcMar>
          </w:tcPr>
          <w:p w14:paraId="0437A8CE" w14:textId="77777777" w:rsidR="0058050D" w:rsidRDefault="0058050D" w:rsidP="00E87182">
            <w:pPr>
              <w:pStyle w:val="Textpoznpodarou"/>
              <w:jc w:val="both"/>
              <w:rPr>
                <w:spacing w:val="-4"/>
              </w:rPr>
            </w:pPr>
          </w:p>
        </w:tc>
        <w:tc>
          <w:tcPr>
            <w:tcW w:w="7623" w:type="dxa"/>
            <w:tcMar>
              <w:left w:w="0" w:type="dxa"/>
            </w:tcMar>
          </w:tcPr>
          <w:p w14:paraId="6653AAF2" w14:textId="77777777" w:rsidR="0058050D" w:rsidRDefault="0058050D" w:rsidP="00E87182">
            <w:r w:rsidRPr="00A85DE1">
              <w:rPr>
                <w:sz w:val="14"/>
                <w:szCs w:val="14"/>
              </w:rPr>
              <w:t>Zdroj: ČSÚ</w:t>
            </w:r>
          </w:p>
        </w:tc>
      </w:tr>
      <w:bookmarkEnd w:id="12"/>
      <w:bookmarkEnd w:id="13"/>
      <w:bookmarkEnd w:id="14"/>
      <w:bookmarkEnd w:id="15"/>
    </w:tbl>
    <w:p w14:paraId="3925996A" w14:textId="77777777" w:rsidR="0058050D" w:rsidRPr="00A04CEF" w:rsidRDefault="0058050D" w:rsidP="0058050D">
      <w:pPr>
        <w:pStyle w:val="Nadpis1"/>
        <w:rPr>
          <w:sz w:val="2"/>
          <w:szCs w:val="2"/>
        </w:rPr>
      </w:pPr>
    </w:p>
    <w:p w14:paraId="7C7E9504" w14:textId="77777777" w:rsidR="00410694" w:rsidRPr="001A108E" w:rsidRDefault="00410694" w:rsidP="00410694">
      <w:pPr>
        <w:pStyle w:val="Nadpis1"/>
        <w:rPr>
          <w:sz w:val="2"/>
          <w:szCs w:val="2"/>
          <w:highlight w:val="yellow"/>
        </w:rPr>
      </w:pPr>
    </w:p>
    <w:p w14:paraId="4AFF762C" w14:textId="77777777" w:rsidR="0058050D" w:rsidRDefault="0058050D">
      <w:pPr>
        <w:spacing w:after="0" w:line="240" w:lineRule="auto"/>
        <w:jc w:val="left"/>
        <w:rPr>
          <w:rFonts w:eastAsia="MS Gothic"/>
          <w:b/>
          <w:bCs/>
          <w:color w:val="86BF5E"/>
          <w:sz w:val="32"/>
          <w:szCs w:val="28"/>
          <w:highlight w:val="yellow"/>
        </w:rPr>
      </w:pPr>
      <w:bookmarkStart w:id="18" w:name="_Toc208920079"/>
      <w:bookmarkEnd w:id="16"/>
      <w:r>
        <w:rPr>
          <w:highlight w:val="yellow"/>
        </w:rPr>
        <w:br w:type="page"/>
      </w:r>
    </w:p>
    <w:p w14:paraId="4CCDD32A" w14:textId="77777777" w:rsidR="00290725" w:rsidRDefault="00290725" w:rsidP="00290725">
      <w:pPr>
        <w:pStyle w:val="Nadpis1"/>
      </w:pPr>
      <w:bookmarkStart w:id="19" w:name="_Toc224903147"/>
      <w:bookmarkEnd w:id="17"/>
      <w:bookmarkEnd w:id="18"/>
      <w:r>
        <w:lastRenderedPageBreak/>
        <w:t>3. Výkonnost odvětví</w:t>
      </w:r>
      <w:bookmarkEnd w:id="19"/>
    </w:p>
    <w:tbl>
      <w:tblPr>
        <w:tblW w:w="9646" w:type="dxa"/>
        <w:tblInd w:w="-20" w:type="dxa"/>
        <w:tblCellMar>
          <w:left w:w="0" w:type="dxa"/>
          <w:right w:w="0" w:type="dxa"/>
        </w:tblCellMar>
        <w:tblLook w:val="00A0" w:firstRow="1" w:lastRow="0" w:firstColumn="1" w:lastColumn="0" w:noHBand="0" w:noVBand="0"/>
      </w:tblPr>
      <w:tblGrid>
        <w:gridCol w:w="1788"/>
        <w:gridCol w:w="147"/>
        <w:gridCol w:w="7711"/>
      </w:tblGrid>
      <w:tr w:rsidR="00290725" w:rsidRPr="0037004A" w14:paraId="26EC70A9" w14:textId="77777777" w:rsidTr="00A96D94">
        <w:trPr>
          <w:trHeight w:val="145"/>
        </w:trPr>
        <w:tc>
          <w:tcPr>
            <w:tcW w:w="1788" w:type="dxa"/>
          </w:tcPr>
          <w:p w14:paraId="0F2ACD69" w14:textId="77777777" w:rsidR="00290725" w:rsidRPr="00EE0E68" w:rsidRDefault="00290725" w:rsidP="00A96D94">
            <w:pPr>
              <w:pStyle w:val="Marginlie"/>
              <w:rPr>
                <w:color w:val="000000" w:themeColor="text1"/>
                <w:spacing w:val="0"/>
                <w:lang w:eastAsia="en-US"/>
              </w:rPr>
            </w:pPr>
            <w:r>
              <w:rPr>
                <w:color w:val="000000" w:themeColor="text1"/>
                <w:spacing w:val="0"/>
                <w:lang w:eastAsia="en-US"/>
              </w:rPr>
              <w:t xml:space="preserve">Ekonomika loni navázala na přechozí oživení. </w:t>
            </w:r>
            <w:proofErr w:type="spellStart"/>
            <w:r>
              <w:rPr>
                <w:color w:val="000000" w:themeColor="text1"/>
                <w:spacing w:val="0"/>
                <w:lang w:eastAsia="en-US"/>
              </w:rPr>
              <w:t>Mezikvartální</w:t>
            </w:r>
            <w:proofErr w:type="spellEnd"/>
            <w:r>
              <w:rPr>
                <w:color w:val="000000" w:themeColor="text1"/>
                <w:spacing w:val="0"/>
                <w:lang w:eastAsia="en-US"/>
              </w:rPr>
              <w:t xml:space="preserve"> růst HPH byl během roku vcelku rovnoměrný. Na jeho konci se projevil příznivý vývoj průmyslu.</w:t>
            </w:r>
          </w:p>
        </w:tc>
        <w:tc>
          <w:tcPr>
            <w:tcW w:w="147" w:type="dxa"/>
          </w:tcPr>
          <w:p w14:paraId="7816FA86" w14:textId="77777777" w:rsidR="00290725" w:rsidRPr="00EE0E68" w:rsidRDefault="00290725" w:rsidP="00A96D94">
            <w:pPr>
              <w:pStyle w:val="Textpoznpodarou"/>
              <w:jc w:val="both"/>
              <w:rPr>
                <w:color w:val="000000" w:themeColor="text1"/>
                <w:lang w:eastAsia="en-US"/>
              </w:rPr>
            </w:pPr>
          </w:p>
        </w:tc>
        <w:tc>
          <w:tcPr>
            <w:tcW w:w="7711" w:type="dxa"/>
          </w:tcPr>
          <w:p w14:paraId="2495EE87" w14:textId="77777777" w:rsidR="00290725" w:rsidRPr="00E357B4" w:rsidRDefault="00290725" w:rsidP="00A96D94">
            <w:pPr>
              <w:spacing w:after="220"/>
              <w:rPr>
                <w:lang w:eastAsia="en-US"/>
              </w:rPr>
            </w:pPr>
            <w:r w:rsidRPr="00E357B4">
              <w:rPr>
                <w:lang w:eastAsia="en-US"/>
              </w:rPr>
              <w:t>Vývoj nabídkové strany ekonomiky potvrzuje, že tuzemskému hospodářství se loni dařilo. Celková hrubá přidaná hodnota (HPH)</w:t>
            </w:r>
            <w:r w:rsidRPr="00E357B4">
              <w:rPr>
                <w:rStyle w:val="Znakapoznpodarou"/>
                <w:color w:val="0D0D0D" w:themeColor="text1" w:themeTint="F2"/>
              </w:rPr>
              <w:footnoteReference w:id="12"/>
            </w:r>
            <w:r w:rsidRPr="00E357B4">
              <w:rPr>
                <w:lang w:eastAsia="en-US"/>
              </w:rPr>
              <w:t xml:space="preserve"> navázala na předloňské oživení a</w:t>
            </w:r>
            <w:r>
              <w:rPr>
                <w:lang w:eastAsia="en-US"/>
              </w:rPr>
              <w:t> </w:t>
            </w:r>
            <w:r w:rsidRPr="00E357B4">
              <w:rPr>
                <w:lang w:eastAsia="en-US"/>
              </w:rPr>
              <w:t>v</w:t>
            </w:r>
            <w:r>
              <w:rPr>
                <w:lang w:eastAsia="en-US"/>
              </w:rPr>
              <w:t> </w:t>
            </w:r>
            <w:r w:rsidRPr="00E357B4">
              <w:rPr>
                <w:lang w:eastAsia="en-US"/>
              </w:rPr>
              <w:t>1.</w:t>
            </w:r>
            <w:r>
              <w:rPr>
                <w:lang w:eastAsia="en-US"/>
              </w:rPr>
              <w:t> </w:t>
            </w:r>
            <w:r w:rsidRPr="00E357B4">
              <w:rPr>
                <w:lang w:eastAsia="en-US"/>
              </w:rPr>
              <w:t xml:space="preserve">čtvrtletí 2025 </w:t>
            </w:r>
            <w:r>
              <w:rPr>
                <w:lang w:eastAsia="en-US"/>
              </w:rPr>
              <w:t xml:space="preserve">se </w:t>
            </w:r>
            <w:r w:rsidRPr="00E357B4">
              <w:rPr>
                <w:lang w:eastAsia="en-US"/>
              </w:rPr>
              <w:t xml:space="preserve">mezikvartálně zvýšila o 0,9 % (nejvíce za poslední tři roky). V další části roku výkon ekonomiky v zásadě s podobnou intenzitou pokračoval na této růstové trajektorii. Jestliže v první polovině loňského roku ekonomiku táhly hlavně obchod (spolu s odvětvími vázanými na cestovní ruch) a stavebnictví, na konci převzal tuto roli zpracovatelský průmysl, jenž těžil z domácího oživení investic do strojů </w:t>
            </w:r>
            <w:r>
              <w:rPr>
                <w:lang w:eastAsia="en-US"/>
              </w:rPr>
              <w:br/>
            </w:r>
            <w:r w:rsidRPr="00E357B4">
              <w:rPr>
                <w:lang w:eastAsia="en-US"/>
              </w:rPr>
              <w:t xml:space="preserve">a zařízení a také vyšší zahraniční poptávky. </w:t>
            </w:r>
            <w:r w:rsidRPr="00E357B4">
              <w:rPr>
                <w:color w:val="0D0D0D" w:themeColor="text1" w:themeTint="F2"/>
              </w:rPr>
              <w:t>Celkový výkon odvětví ekonomiky se tak nacházel o 5,4 % nad vrcholem z období poslední konjunktury (4. čtvrtletí 2019), z drtivé části zásluhou služeb (zejména ICT, vyspělých služeb pro podniky a veřejných služeb)</w:t>
            </w:r>
            <w:r w:rsidRPr="00E357B4">
              <w:rPr>
                <w:rStyle w:val="Znakapoznpodarou"/>
                <w:color w:val="0D0D0D" w:themeColor="text1" w:themeTint="F2"/>
              </w:rPr>
              <w:footnoteReference w:id="13"/>
            </w:r>
            <w:r w:rsidRPr="00E357B4">
              <w:rPr>
                <w:color w:val="0D0D0D" w:themeColor="text1" w:themeTint="F2"/>
              </w:rPr>
              <w:t xml:space="preserve">. </w:t>
            </w:r>
          </w:p>
        </w:tc>
      </w:tr>
      <w:tr w:rsidR="00290725" w:rsidRPr="004D4FDB" w14:paraId="655AB6F3" w14:textId="77777777" w:rsidTr="00A96D94">
        <w:trPr>
          <w:trHeight w:val="145"/>
        </w:trPr>
        <w:tc>
          <w:tcPr>
            <w:tcW w:w="1788" w:type="dxa"/>
            <w:tcMar>
              <w:left w:w="0" w:type="dxa"/>
            </w:tcMar>
          </w:tcPr>
          <w:p w14:paraId="57AABF09" w14:textId="77777777" w:rsidR="00290725" w:rsidRPr="00101A1A" w:rsidRDefault="00290725" w:rsidP="00A96D94">
            <w:pPr>
              <w:pStyle w:val="Marginlie"/>
              <w:rPr>
                <w:color w:val="000000" w:themeColor="text1"/>
              </w:rPr>
            </w:pPr>
            <w:r w:rsidRPr="00101A1A">
              <w:rPr>
                <w:color w:val="000000" w:themeColor="text1"/>
              </w:rPr>
              <w:t>Loňský růst HPH nastal ve všech hlavních sledovaných odvětvích. Nejrychleji se rozvíjely oblast ICT a také stavebnictví.</w:t>
            </w:r>
          </w:p>
          <w:p w14:paraId="4C6FAC96" w14:textId="77777777" w:rsidR="00290725" w:rsidRPr="00101A1A" w:rsidRDefault="00290725" w:rsidP="00A96D94">
            <w:pPr>
              <w:pStyle w:val="Marginlie"/>
              <w:rPr>
                <w:color w:val="000000" w:themeColor="text1"/>
              </w:rPr>
            </w:pPr>
          </w:p>
          <w:p w14:paraId="733CDB0B" w14:textId="77777777" w:rsidR="00290725" w:rsidRPr="00101A1A" w:rsidRDefault="00290725" w:rsidP="00A96D94">
            <w:pPr>
              <w:pStyle w:val="Marginlie"/>
              <w:rPr>
                <w:color w:val="000000" w:themeColor="text1"/>
              </w:rPr>
            </w:pPr>
          </w:p>
          <w:p w14:paraId="00AC2C10" w14:textId="77777777" w:rsidR="00290725" w:rsidRPr="00101A1A" w:rsidRDefault="00290725" w:rsidP="00A96D94">
            <w:pPr>
              <w:pStyle w:val="Marginlie"/>
              <w:rPr>
                <w:color w:val="000000" w:themeColor="text1"/>
              </w:rPr>
            </w:pPr>
          </w:p>
          <w:p w14:paraId="6823070D" w14:textId="77777777" w:rsidR="00290725" w:rsidRPr="00101A1A" w:rsidRDefault="00290725" w:rsidP="00A96D94">
            <w:pPr>
              <w:pStyle w:val="Marginlie"/>
              <w:rPr>
                <w:color w:val="000000" w:themeColor="text1"/>
              </w:rPr>
            </w:pPr>
          </w:p>
          <w:p w14:paraId="22D26221" w14:textId="77777777" w:rsidR="00290725" w:rsidRDefault="00290725" w:rsidP="00A96D94">
            <w:pPr>
              <w:pStyle w:val="Marginlie"/>
              <w:rPr>
                <w:color w:val="000000" w:themeColor="text1"/>
              </w:rPr>
            </w:pPr>
          </w:p>
          <w:p w14:paraId="7C0B5A36" w14:textId="77777777" w:rsidR="00290725" w:rsidRDefault="00290725" w:rsidP="00A96D94">
            <w:pPr>
              <w:pStyle w:val="Marginlie"/>
              <w:rPr>
                <w:color w:val="000000" w:themeColor="text1"/>
              </w:rPr>
            </w:pPr>
          </w:p>
          <w:p w14:paraId="5A90BBBB" w14:textId="77777777" w:rsidR="00290725" w:rsidRPr="00101A1A" w:rsidRDefault="00290725" w:rsidP="00A96D94">
            <w:pPr>
              <w:pStyle w:val="Marginlie"/>
              <w:rPr>
                <w:color w:val="000000" w:themeColor="text1"/>
              </w:rPr>
            </w:pPr>
          </w:p>
          <w:p w14:paraId="7D7EE758" w14:textId="77777777" w:rsidR="00290725" w:rsidRDefault="00290725" w:rsidP="00A96D94">
            <w:pPr>
              <w:pStyle w:val="Marginlie"/>
              <w:rPr>
                <w:color w:val="000000" w:themeColor="text1"/>
                <w:spacing w:val="0"/>
              </w:rPr>
            </w:pPr>
            <w:r w:rsidRPr="00101A1A">
              <w:rPr>
                <w:color w:val="000000" w:themeColor="text1"/>
              </w:rPr>
              <w:t>V průmyslu nastalo mírné oživení. Růst výkonu primárního sektoru měl dlouhodobější povahu</w:t>
            </w:r>
            <w:r>
              <w:rPr>
                <w:color w:val="000000" w:themeColor="text1"/>
                <w:spacing w:val="0"/>
              </w:rPr>
              <w:t>.</w:t>
            </w:r>
          </w:p>
          <w:p w14:paraId="087E2930" w14:textId="77777777" w:rsidR="00290725" w:rsidRDefault="00290725" w:rsidP="00A96D94">
            <w:pPr>
              <w:pStyle w:val="Marginlie"/>
              <w:rPr>
                <w:color w:val="000000" w:themeColor="text1"/>
                <w:spacing w:val="0"/>
              </w:rPr>
            </w:pPr>
          </w:p>
          <w:p w14:paraId="6AFEC09F" w14:textId="77777777" w:rsidR="00290725" w:rsidRDefault="00290725" w:rsidP="00A96D94">
            <w:pPr>
              <w:pStyle w:val="Marginlie"/>
              <w:rPr>
                <w:color w:val="000000" w:themeColor="text1"/>
                <w:spacing w:val="0"/>
              </w:rPr>
            </w:pPr>
          </w:p>
          <w:p w14:paraId="4A3077B7" w14:textId="77777777" w:rsidR="00290725" w:rsidRDefault="00290725" w:rsidP="00A96D94">
            <w:pPr>
              <w:pStyle w:val="Marginlie"/>
              <w:rPr>
                <w:color w:val="000000" w:themeColor="text1"/>
                <w:spacing w:val="0"/>
              </w:rPr>
            </w:pPr>
          </w:p>
          <w:p w14:paraId="406D8D4F" w14:textId="77777777" w:rsidR="00290725" w:rsidRDefault="00290725" w:rsidP="00A96D94">
            <w:pPr>
              <w:pStyle w:val="Marginlie"/>
              <w:rPr>
                <w:color w:val="000000" w:themeColor="text1"/>
                <w:spacing w:val="0"/>
              </w:rPr>
            </w:pPr>
          </w:p>
          <w:p w14:paraId="45D2E3C5" w14:textId="77777777" w:rsidR="00290725" w:rsidRDefault="00290725" w:rsidP="00A96D94">
            <w:pPr>
              <w:pStyle w:val="Marginlie"/>
              <w:rPr>
                <w:color w:val="000000" w:themeColor="text1"/>
                <w:spacing w:val="0"/>
              </w:rPr>
            </w:pPr>
            <w:r>
              <w:rPr>
                <w:color w:val="000000" w:themeColor="text1"/>
                <w:spacing w:val="0"/>
              </w:rPr>
              <w:t xml:space="preserve">Úroda většiny hlavních plodin byla velmi dobrá. Pokračoval mírný růst výroby mléka i masa. </w:t>
            </w:r>
          </w:p>
          <w:p w14:paraId="4678CEC3" w14:textId="77777777" w:rsidR="00290725" w:rsidRDefault="00290725" w:rsidP="00A96D94">
            <w:pPr>
              <w:pStyle w:val="Marginlie"/>
              <w:spacing w:after="240"/>
              <w:rPr>
                <w:color w:val="000000" w:themeColor="text1"/>
                <w:spacing w:val="0"/>
              </w:rPr>
            </w:pPr>
          </w:p>
        </w:tc>
        <w:tc>
          <w:tcPr>
            <w:tcW w:w="147" w:type="dxa"/>
            <w:tcMar>
              <w:left w:w="0" w:type="dxa"/>
            </w:tcMar>
          </w:tcPr>
          <w:p w14:paraId="23A0F2A5" w14:textId="77777777" w:rsidR="00290725" w:rsidRPr="00EE0E68" w:rsidRDefault="00290725" w:rsidP="00A96D94">
            <w:pPr>
              <w:pStyle w:val="Textpoznpodarou"/>
              <w:spacing w:after="240"/>
              <w:jc w:val="both"/>
              <w:rPr>
                <w:color w:val="000000" w:themeColor="text1"/>
              </w:rPr>
            </w:pPr>
          </w:p>
        </w:tc>
        <w:tc>
          <w:tcPr>
            <w:tcW w:w="7711" w:type="dxa"/>
            <w:tcMar>
              <w:left w:w="0" w:type="dxa"/>
            </w:tcMar>
          </w:tcPr>
          <w:p w14:paraId="70897BAE" w14:textId="51CED203" w:rsidR="00290725" w:rsidRPr="00E357B4" w:rsidRDefault="00290725" w:rsidP="00FE470B">
            <w:pPr>
              <w:spacing w:after="0"/>
              <w:rPr>
                <w:color w:val="0D0D0D" w:themeColor="text1" w:themeTint="F2"/>
              </w:rPr>
            </w:pPr>
            <w:r w:rsidRPr="00E357B4">
              <w:rPr>
                <w:color w:val="0D0D0D" w:themeColor="text1" w:themeTint="F2"/>
              </w:rPr>
              <w:t xml:space="preserve">Za celý loňský rok se souhrnná HPH zvýšila o 2,8 % a rostla nejvýrazněji za poslední tři roky. Pozitivní je, že </w:t>
            </w:r>
            <w:r w:rsidR="00FE470B">
              <w:rPr>
                <w:color w:val="0D0D0D" w:themeColor="text1" w:themeTint="F2"/>
              </w:rPr>
              <w:t xml:space="preserve">poprvé od roku 2004 </w:t>
            </w:r>
            <w:r w:rsidRPr="00E357B4">
              <w:rPr>
                <w:color w:val="0D0D0D" w:themeColor="text1" w:themeTint="F2"/>
              </w:rPr>
              <w:t>došlo</w:t>
            </w:r>
            <w:r w:rsidR="00FE470B">
              <w:rPr>
                <w:color w:val="0D0D0D" w:themeColor="text1" w:themeTint="F2"/>
              </w:rPr>
              <w:t xml:space="preserve"> k růstu</w:t>
            </w:r>
            <w:r w:rsidRPr="00E357B4">
              <w:rPr>
                <w:color w:val="0D0D0D" w:themeColor="text1" w:themeTint="F2"/>
              </w:rPr>
              <w:t xml:space="preserve"> ve všech jedenácti hlavních odvětvových uskupeních</w:t>
            </w:r>
            <w:r w:rsidR="00FE470B">
              <w:rPr>
                <w:color w:val="0D0D0D" w:themeColor="text1" w:themeTint="F2"/>
              </w:rPr>
              <w:t>.</w:t>
            </w:r>
            <w:r w:rsidRPr="00E357B4">
              <w:rPr>
                <w:color w:val="0D0D0D" w:themeColor="text1" w:themeTint="F2"/>
              </w:rPr>
              <w:t xml:space="preserve"> Nejvíce se vedlo informačním a komunikačním činnostem (+7,8 %). K růstu ekonomiky ale nejvíce přispělo, obdobně jako v roce 2024, uskupení obchod, doprava, ubytování a pohostinství (+0,7 p. b.), jež profitovalo ze stabilně rostoucí kupní síly tuzemských domácností i pokračujícího rozvoje příjezdového cestovního ruchu. Dařilo se také všem dalším odvětvím služeb, kter</w:t>
            </w:r>
            <w:r>
              <w:rPr>
                <w:color w:val="0D0D0D" w:themeColor="text1" w:themeTint="F2"/>
              </w:rPr>
              <w:t>á</w:t>
            </w:r>
            <w:r w:rsidRPr="00E357B4">
              <w:rPr>
                <w:color w:val="0D0D0D" w:themeColor="text1" w:themeTint="F2"/>
              </w:rPr>
              <w:t xml:space="preserve"> ale v úhrnu podpořil</w:t>
            </w:r>
            <w:r>
              <w:rPr>
                <w:color w:val="0D0D0D" w:themeColor="text1" w:themeTint="F2"/>
              </w:rPr>
              <w:t>a</w:t>
            </w:r>
            <w:r w:rsidRPr="00E357B4">
              <w:rPr>
                <w:color w:val="0D0D0D" w:themeColor="text1" w:themeTint="F2"/>
              </w:rPr>
              <w:t xml:space="preserve"> růst ekonomiky méně výrazně (+0,6 p. b.). Výkon stavebnictví razantně zrychlil, HPH rostla o 6,8 % (vyššího tempa dosáhla v současném miléniu jen v roce 2002) a k růstu celé ekonomiky přispěla 0,4 p. b. Podobný vliv měl loni průmysl, jehož výkon posílil o 1,5 %, ovšem propad z roku 2024 nevykompenzoval. Dařilo se přitom jak zpracovatelským odvětvím, tak energetice. Čtvrtým rokem v řadě posilovala HPH v primárním sektoru (loni o 3,5 %). Protože objem těžby dřeva se loni, stejně jako v předcházejícím roce, zásadně nezměnil, odrážel vývoj výkonu primárního sektoru především výsledky zemědělství. Z předběžných výsledků účtu hrubé zemědělské produkce</w:t>
            </w:r>
            <w:r w:rsidRPr="00E357B4">
              <w:rPr>
                <w:rStyle w:val="Znakapoznpodarou"/>
                <w:color w:val="0D0D0D" w:themeColor="text1" w:themeTint="F2"/>
              </w:rPr>
              <w:footnoteReference w:id="14"/>
            </w:r>
            <w:r w:rsidRPr="00E357B4">
              <w:rPr>
                <w:color w:val="0D0D0D" w:themeColor="text1" w:themeTint="F2"/>
              </w:rPr>
              <w:t xml:space="preserve"> plyne, že za růstem HPH loni stála vyšší produkce rostlinné výroby. V ní se projevil dopad velmi dobré úrody většiny základních plodin, zejména obilovin, pícnin či brambor</w:t>
            </w:r>
            <w:r w:rsidRPr="00E357B4">
              <w:rPr>
                <w:rStyle w:val="Znakapoznpodarou"/>
                <w:color w:val="0D0D0D" w:themeColor="text1" w:themeTint="F2"/>
              </w:rPr>
              <w:footnoteReference w:id="15"/>
            </w:r>
            <w:r w:rsidRPr="00E357B4">
              <w:rPr>
                <w:color w:val="0D0D0D" w:themeColor="text1" w:themeTint="F2"/>
              </w:rPr>
              <w:t xml:space="preserve">. K výraznějšímu oživení došlo po velmi špatném roce 2024 v malém segmentu </w:t>
            </w:r>
            <w:r w:rsidRPr="00191AE2">
              <w:rPr>
                <w:color w:val="0D0D0D" w:themeColor="text1" w:themeTint="F2"/>
                <w:spacing w:val="-4"/>
              </w:rPr>
              <w:t>ovocnářství. V živočišné výrobě loni produkce stagnovala. I</w:t>
            </w:r>
            <w:r w:rsidRPr="00191AE2">
              <w:rPr>
                <w:rStyle w:val="normaltextrun"/>
                <w:rFonts w:eastAsia="MS Gothic" w:cs="Arial"/>
                <w:color w:val="0D0D0D" w:themeColor="text1" w:themeTint="F2"/>
                <w:spacing w:val="-4"/>
                <w:szCs w:val="20"/>
              </w:rPr>
              <w:t xml:space="preserve"> přes přetrvávající významnější</w:t>
            </w:r>
            <w:r w:rsidRPr="00E357B4">
              <w:rPr>
                <w:rStyle w:val="normaltextrun"/>
                <w:rFonts w:eastAsia="MS Gothic" w:cs="Arial"/>
                <w:color w:val="0D0D0D" w:themeColor="text1" w:themeTint="F2"/>
                <w:szCs w:val="20"/>
              </w:rPr>
              <w:t xml:space="preserve"> cenové pohyby hlavních komodit (</w:t>
            </w:r>
            <w:r>
              <w:rPr>
                <w:rStyle w:val="normaltextrun"/>
                <w:rFonts w:eastAsia="MS Gothic" w:cs="Arial"/>
                <w:color w:val="0D0D0D" w:themeColor="text1" w:themeTint="F2"/>
                <w:szCs w:val="20"/>
              </w:rPr>
              <w:t xml:space="preserve">zejména </w:t>
            </w:r>
            <w:r w:rsidRPr="00E357B4">
              <w:rPr>
                <w:rStyle w:val="normaltextrun"/>
                <w:rFonts w:eastAsia="MS Gothic" w:cs="Arial"/>
                <w:color w:val="0D0D0D" w:themeColor="text1" w:themeTint="F2"/>
              </w:rPr>
              <w:t>hovězího a vepřového masa) i</w:t>
            </w:r>
            <w:r w:rsidRPr="00E357B4">
              <w:rPr>
                <w:color w:val="0D0D0D" w:themeColor="text1" w:themeTint="F2"/>
              </w:rPr>
              <w:t> zvýšená</w:t>
            </w:r>
            <w:r w:rsidRPr="00E357B4">
              <w:rPr>
                <w:rStyle w:val="normaltextrun"/>
                <w:rFonts w:eastAsia="MS Gothic" w:cs="Arial"/>
                <w:color w:val="0D0D0D" w:themeColor="text1" w:themeTint="F2"/>
                <w:szCs w:val="20"/>
              </w:rPr>
              <w:t xml:space="preserve"> hygienická rizika zůstala situace tuzemských producentů stabilizovaná. Výroba masa (v</w:t>
            </w:r>
            <w:r>
              <w:rPr>
                <w:rStyle w:val="normaltextrun"/>
                <w:rFonts w:eastAsia="MS Gothic" w:cs="Arial"/>
                <w:color w:val="0D0D0D" w:themeColor="text1" w:themeTint="F2"/>
                <w:szCs w:val="20"/>
              </w:rPr>
              <w:t> </w:t>
            </w:r>
            <w:r w:rsidRPr="00E357B4">
              <w:rPr>
                <w:rStyle w:val="normaltextrun"/>
                <w:rFonts w:eastAsia="MS Gothic" w:cs="Arial"/>
                <w:color w:val="0D0D0D" w:themeColor="text1" w:themeTint="F2"/>
                <w:szCs w:val="20"/>
              </w:rPr>
              <w:t xml:space="preserve">naturálním množství) </w:t>
            </w:r>
            <w:r w:rsidR="00FE470B">
              <w:rPr>
                <w:rStyle w:val="normaltextrun"/>
                <w:rFonts w:eastAsia="MS Gothic" w:cs="Arial"/>
                <w:color w:val="0D0D0D" w:themeColor="text1" w:themeTint="F2"/>
                <w:szCs w:val="20"/>
              </w:rPr>
              <w:t>r</w:t>
            </w:r>
            <w:r w:rsidR="00FE470B">
              <w:rPr>
                <w:rStyle w:val="normaltextrun"/>
                <w:rFonts w:eastAsia="MS Gothic" w:cs="Arial"/>
                <w:color w:val="0D0D0D" w:themeColor="text1" w:themeTint="F2"/>
              </w:rPr>
              <w:t>ostla</w:t>
            </w:r>
            <w:r w:rsidRPr="00E357B4">
              <w:rPr>
                <w:rStyle w:val="normaltextrun"/>
                <w:rFonts w:eastAsia="MS Gothic" w:cs="Arial"/>
                <w:color w:val="0D0D0D" w:themeColor="text1" w:themeTint="F2"/>
                <w:szCs w:val="20"/>
              </w:rPr>
              <w:t xml:space="preserve"> druhý rok v řadě</w:t>
            </w:r>
            <w:r w:rsidRPr="00E357B4">
              <w:rPr>
                <w:rStyle w:val="Znakapoznpodarou"/>
                <w:color w:val="0D0D0D" w:themeColor="text1" w:themeTint="F2"/>
              </w:rPr>
              <w:footnoteReference w:id="16"/>
            </w:r>
            <w:r w:rsidRPr="00E357B4">
              <w:rPr>
                <w:rStyle w:val="normaltextrun"/>
                <w:rFonts w:eastAsia="MS Gothic" w:cs="Arial"/>
                <w:color w:val="0D0D0D" w:themeColor="text1" w:themeTint="F2"/>
                <w:szCs w:val="20"/>
              </w:rPr>
              <w:t>. Růst výroby mléka měl dlouhodobější povahu a loni činil 3,2 %. Z toho samotný nákup tuzemskými mlékárnami stagnoval,</w:t>
            </w:r>
            <w:r w:rsidRPr="00E357B4">
              <w:rPr>
                <w:rFonts w:eastAsia="MS Gothic"/>
                <w:color w:val="0D0D0D" w:themeColor="text1" w:themeTint="F2"/>
              </w:rPr>
              <w:t xml:space="preserve"> prvovýrobcům se tak v</w:t>
            </w:r>
            <w:r w:rsidRPr="00E357B4">
              <w:rPr>
                <w:rFonts w:eastAsia="MS Gothic"/>
              </w:rPr>
              <w:t xml:space="preserve">íce </w:t>
            </w:r>
            <w:r w:rsidRPr="00E357B4">
              <w:rPr>
                <w:rFonts w:eastAsia="MS Gothic"/>
                <w:color w:val="0D0D0D" w:themeColor="text1" w:themeTint="F2"/>
              </w:rPr>
              <w:t xml:space="preserve">dařilo </w:t>
            </w:r>
            <w:r>
              <w:rPr>
                <w:rFonts w:eastAsia="MS Gothic"/>
                <w:color w:val="0D0D0D" w:themeColor="text1" w:themeTint="F2"/>
              </w:rPr>
              <w:t xml:space="preserve">exportovat </w:t>
            </w:r>
            <w:r w:rsidRPr="00E357B4">
              <w:rPr>
                <w:rFonts w:eastAsia="MS Gothic"/>
                <w:color w:val="0D0D0D" w:themeColor="text1" w:themeTint="F2"/>
              </w:rPr>
              <w:t>mléko za příznivější ceny.</w:t>
            </w:r>
          </w:p>
        </w:tc>
      </w:tr>
      <w:tr w:rsidR="00290725" w:rsidRPr="004D4FDB" w14:paraId="665D962F" w14:textId="77777777" w:rsidTr="00A96D94">
        <w:trPr>
          <w:trHeight w:val="145"/>
        </w:trPr>
        <w:tc>
          <w:tcPr>
            <w:tcW w:w="1788" w:type="dxa"/>
            <w:tcMar>
              <w:left w:w="0" w:type="dxa"/>
            </w:tcMar>
          </w:tcPr>
          <w:p w14:paraId="6429621D" w14:textId="77777777" w:rsidR="00290725" w:rsidRPr="00EE0E68" w:rsidRDefault="00290725" w:rsidP="00A96D94">
            <w:pPr>
              <w:pStyle w:val="Marginlie"/>
              <w:spacing w:after="240"/>
              <w:rPr>
                <w:color w:val="000000" w:themeColor="text1"/>
                <w:spacing w:val="0"/>
              </w:rPr>
            </w:pPr>
            <w:r>
              <w:rPr>
                <w:color w:val="000000" w:themeColor="text1"/>
                <w:spacing w:val="0"/>
              </w:rPr>
              <w:lastRenderedPageBreak/>
              <w:t xml:space="preserve">K oživení průmyslu došlo zejména na počátku </w:t>
            </w:r>
            <w:r>
              <w:rPr>
                <w:color w:val="000000" w:themeColor="text1"/>
                <w:spacing w:val="0"/>
              </w:rPr>
              <w:br/>
              <w:t xml:space="preserve">a také na samém konci loňského roku, kdy již </w:t>
            </w:r>
            <w:proofErr w:type="spellStart"/>
            <w:r>
              <w:rPr>
                <w:color w:val="000000" w:themeColor="text1"/>
                <w:spacing w:val="0"/>
              </w:rPr>
              <w:t>mezikvartální</w:t>
            </w:r>
            <w:proofErr w:type="spellEnd"/>
            <w:r>
              <w:rPr>
                <w:color w:val="000000" w:themeColor="text1"/>
                <w:spacing w:val="0"/>
              </w:rPr>
              <w:t xml:space="preserve"> růst produkce prostoupil drtivou většinu klíčových oborů.</w:t>
            </w:r>
          </w:p>
        </w:tc>
        <w:tc>
          <w:tcPr>
            <w:tcW w:w="147" w:type="dxa"/>
            <w:tcMar>
              <w:left w:w="0" w:type="dxa"/>
            </w:tcMar>
          </w:tcPr>
          <w:p w14:paraId="22A5EA93" w14:textId="77777777" w:rsidR="00290725" w:rsidRPr="00EE0E68" w:rsidRDefault="00290725" w:rsidP="00A96D94">
            <w:pPr>
              <w:pStyle w:val="Textpoznpodarou"/>
              <w:spacing w:after="240"/>
              <w:jc w:val="both"/>
              <w:rPr>
                <w:color w:val="000000" w:themeColor="text1"/>
              </w:rPr>
            </w:pPr>
          </w:p>
        </w:tc>
        <w:tc>
          <w:tcPr>
            <w:tcW w:w="7711" w:type="dxa"/>
            <w:tcMar>
              <w:left w:w="0" w:type="dxa"/>
            </w:tcMar>
          </w:tcPr>
          <w:p w14:paraId="5224BC6D" w14:textId="77777777" w:rsidR="00290725" w:rsidRPr="00E357B4" w:rsidRDefault="00290725" w:rsidP="00A96D94">
            <w:pPr>
              <w:spacing w:after="200"/>
              <w:rPr>
                <w:color w:val="0D0D0D" w:themeColor="text1" w:themeTint="F2"/>
              </w:rPr>
            </w:pPr>
            <w:r w:rsidRPr="00E357B4">
              <w:rPr>
                <w:color w:val="0D0D0D" w:themeColor="text1" w:themeTint="F2"/>
              </w:rPr>
              <w:t>Po letech 2023 i 2024, kdy se průmysl v Česku vinou slabé zahraniční i domácí poptávky i silných nákladových tlaků v důsledku energetické krize nacházel v celkové mírné recesi, se loni situace postupně zlepšovala. Již v 1. čtvrtletí se průmyslová produkce</w:t>
            </w:r>
            <w:r w:rsidRPr="00E357B4">
              <w:rPr>
                <w:rStyle w:val="Znakapoznpodarou"/>
                <w:color w:val="0D0D0D" w:themeColor="text1" w:themeTint="F2"/>
              </w:rPr>
              <w:footnoteReference w:id="17"/>
            </w:r>
            <w:r w:rsidRPr="00E357B4">
              <w:rPr>
                <w:color w:val="0D0D0D" w:themeColor="text1" w:themeTint="F2"/>
              </w:rPr>
              <w:t xml:space="preserve"> mezikvartálně zvýšila o 2,1 %, k čemuž přispěla zejména energetika, strojírenství a</w:t>
            </w:r>
            <w:r>
              <w:rPr>
                <w:color w:val="0D0D0D" w:themeColor="text1" w:themeTint="F2"/>
              </w:rPr>
              <w:t> </w:t>
            </w:r>
            <w:r w:rsidRPr="00E357B4">
              <w:rPr>
                <w:color w:val="0D0D0D" w:themeColor="text1" w:themeTint="F2"/>
              </w:rPr>
              <w:t xml:space="preserve">některé významnější obory zaměřené na výrobu meziproduktů (elektrotechnika, hutnictví a slévárenství, výroba stavebních materiálů, gumárenství a </w:t>
            </w:r>
            <w:proofErr w:type="spellStart"/>
            <w:r w:rsidRPr="00E357B4">
              <w:rPr>
                <w:color w:val="0D0D0D" w:themeColor="text1" w:themeTint="F2"/>
              </w:rPr>
              <w:t>plastikářství</w:t>
            </w:r>
            <w:proofErr w:type="spellEnd"/>
            <w:r w:rsidRPr="00E357B4">
              <w:rPr>
                <w:color w:val="0D0D0D" w:themeColor="text1" w:themeTint="F2"/>
              </w:rPr>
              <w:t>). Posílení části exportních oborů zčásti souviselo se snahou obchodních partnerů o</w:t>
            </w:r>
            <w:r>
              <w:rPr>
                <w:color w:val="0D0D0D" w:themeColor="text1" w:themeTint="F2"/>
              </w:rPr>
              <w:t> </w:t>
            </w:r>
            <w:r w:rsidRPr="00E357B4">
              <w:rPr>
                <w:color w:val="0D0D0D" w:themeColor="text1" w:themeTint="F2"/>
              </w:rPr>
              <w:t>předzásobení se před účinností opatření vlády USA v oblasti obchodní politiky. V následujícím kvartálu sice tento krátkodobý stimul vyprchal, avšak výkon průmyslu nadále mírně rostl – především díky výrobě ostatních (zejména kolejových) dopravních prostředků a také vlivem pokračujícího oživení v hutnictví. V samotném závěru roku tuzemský průmysl těžil z rostoucí zahraniční poptávky a jeho produkce mezikvartálně posílila o 2,2 % (nejvíce od konce roku 2020). Příznivý vývoj nastal téměř ve všech investičně zaměřených oborech a také v oblasti meziproduktů. I díky tomu celková průmyslová produkce loni ve 4. čtvrtletí velmi mírně (o 1,1 %) předčila úroveň z vrcholu z období poslední konjunktury (2. čtvrtletí 2019)</w:t>
            </w:r>
            <w:r w:rsidRPr="00E357B4">
              <w:rPr>
                <w:rStyle w:val="Znakapoznpodarou"/>
                <w:color w:val="0D0D0D" w:themeColor="text1" w:themeTint="F2"/>
              </w:rPr>
              <w:footnoteReference w:id="18"/>
            </w:r>
            <w:r w:rsidRPr="00E357B4">
              <w:rPr>
                <w:color w:val="0D0D0D" w:themeColor="text1" w:themeTint="F2"/>
              </w:rPr>
              <w:t xml:space="preserve"> a současně se dorovnala absolutnímu vrcholu z období postpandemického oživení (3. čtvrtletí 2022).</w:t>
            </w:r>
          </w:p>
        </w:tc>
      </w:tr>
      <w:tr w:rsidR="00290725" w:rsidRPr="004D4FDB" w14:paraId="339C7BDE" w14:textId="77777777" w:rsidTr="00A96D94">
        <w:trPr>
          <w:trHeight w:val="145"/>
        </w:trPr>
        <w:tc>
          <w:tcPr>
            <w:tcW w:w="1788" w:type="dxa"/>
            <w:tcMar>
              <w:left w:w="0" w:type="dxa"/>
            </w:tcMar>
          </w:tcPr>
          <w:p w14:paraId="2F577B31" w14:textId="77777777" w:rsidR="00290725" w:rsidRPr="00EE0E68" w:rsidRDefault="00290725" w:rsidP="00A96D94">
            <w:pPr>
              <w:pStyle w:val="Marginlie"/>
              <w:spacing w:after="240"/>
              <w:rPr>
                <w:color w:val="000000" w:themeColor="text1"/>
                <w:spacing w:val="0"/>
              </w:rPr>
            </w:pPr>
            <w:r>
              <w:rPr>
                <w:color w:val="000000" w:themeColor="text1"/>
                <w:spacing w:val="0"/>
              </w:rPr>
              <w:t>K mírnému růstu</w:t>
            </w:r>
            <w:r w:rsidRPr="00EE0E68">
              <w:rPr>
                <w:color w:val="000000" w:themeColor="text1"/>
                <w:spacing w:val="0"/>
              </w:rPr>
              <w:t xml:space="preserve"> průmyslové produkce </w:t>
            </w:r>
            <w:r>
              <w:rPr>
                <w:color w:val="000000" w:themeColor="text1"/>
                <w:spacing w:val="0"/>
              </w:rPr>
              <w:t>loni</w:t>
            </w:r>
            <w:r w:rsidRPr="00EE0E68">
              <w:rPr>
                <w:color w:val="000000" w:themeColor="text1"/>
                <w:spacing w:val="0"/>
              </w:rPr>
              <w:t xml:space="preserve"> nejvíce </w:t>
            </w:r>
            <w:r>
              <w:rPr>
                <w:color w:val="000000" w:themeColor="text1"/>
                <w:spacing w:val="0"/>
              </w:rPr>
              <w:t>přispěly</w:t>
            </w:r>
            <w:r w:rsidRPr="00EE0E68">
              <w:rPr>
                <w:color w:val="000000" w:themeColor="text1"/>
                <w:spacing w:val="0"/>
              </w:rPr>
              <w:t xml:space="preserve"> </w:t>
            </w:r>
            <w:r>
              <w:rPr>
                <w:color w:val="000000" w:themeColor="text1"/>
                <w:spacing w:val="0"/>
              </w:rPr>
              <w:t xml:space="preserve">kovodělný průmysl </w:t>
            </w:r>
            <w:r>
              <w:rPr>
                <w:color w:val="000000" w:themeColor="text1"/>
                <w:spacing w:val="0"/>
              </w:rPr>
              <w:br/>
              <w:t xml:space="preserve">a </w:t>
            </w:r>
            <w:r w:rsidRPr="00EE0E68">
              <w:rPr>
                <w:color w:val="000000" w:themeColor="text1"/>
                <w:spacing w:val="0"/>
              </w:rPr>
              <w:t>energetik</w:t>
            </w:r>
            <w:r>
              <w:rPr>
                <w:color w:val="000000" w:themeColor="text1"/>
                <w:spacing w:val="0"/>
              </w:rPr>
              <w:t>a</w:t>
            </w:r>
            <w:r w:rsidRPr="00EE0E68">
              <w:rPr>
                <w:color w:val="000000" w:themeColor="text1"/>
                <w:spacing w:val="0"/>
              </w:rPr>
              <w:t>.</w:t>
            </w:r>
            <w:r>
              <w:rPr>
                <w:color w:val="000000" w:themeColor="text1"/>
                <w:spacing w:val="0"/>
              </w:rPr>
              <w:t xml:space="preserve"> Projevila se sílící poptávka po zbrojní výrobě, u energií k ní významně pomohlo chladnější počasí. </w:t>
            </w:r>
          </w:p>
        </w:tc>
        <w:tc>
          <w:tcPr>
            <w:tcW w:w="147" w:type="dxa"/>
            <w:tcMar>
              <w:left w:w="0" w:type="dxa"/>
            </w:tcMar>
          </w:tcPr>
          <w:p w14:paraId="4A1DD2C7" w14:textId="77777777" w:rsidR="00290725" w:rsidRPr="00EE0E68" w:rsidRDefault="00290725" w:rsidP="00A96D94">
            <w:pPr>
              <w:pStyle w:val="Textpoznpodarou"/>
              <w:spacing w:after="240"/>
              <w:jc w:val="both"/>
              <w:rPr>
                <w:color w:val="000000" w:themeColor="text1"/>
              </w:rPr>
            </w:pPr>
          </w:p>
        </w:tc>
        <w:tc>
          <w:tcPr>
            <w:tcW w:w="7711" w:type="dxa"/>
            <w:tcMar>
              <w:left w:w="0" w:type="dxa"/>
            </w:tcMar>
          </w:tcPr>
          <w:p w14:paraId="752BFD2C" w14:textId="77777777" w:rsidR="00290725" w:rsidRPr="00E357B4" w:rsidRDefault="00290725" w:rsidP="00A96D94">
            <w:pPr>
              <w:spacing w:after="200"/>
              <w:rPr>
                <w:color w:val="000000" w:themeColor="text1"/>
              </w:rPr>
            </w:pPr>
            <w:r w:rsidRPr="00E357B4">
              <w:rPr>
                <w:color w:val="000000" w:themeColor="text1"/>
              </w:rPr>
              <w:t>V úhrnu za celý rok 2025 se průmyslová produkce zvýšila o 2,2 %, což znamenalo nejlepší výsledek za poslední čtyři roky. Loňský růst podpořil nejvíce kovodělný průmysl (růst o 7,0</w:t>
            </w:r>
            <w:r w:rsidRPr="00E357B4">
              <w:rPr>
                <w:color w:val="0D0D0D" w:themeColor="text1" w:themeTint="F2"/>
              </w:rPr>
              <w:t> </w:t>
            </w:r>
            <w:r w:rsidRPr="00E357B4">
              <w:rPr>
                <w:color w:val="000000" w:themeColor="text1"/>
              </w:rPr>
              <w:t>%, příspěvek k růstu +0,69 p. b.) poháněný sílící domácí i zahraniční poptávkou, jež ve 4. čtvrtletí vyústila v tomto oboru v růst produkce o 13,7 % (nejvyšší za poslední čtyři a půl roku). Vyšší výroba kovových konstrukcí našla uplatnění v automobilovém průmyslu a stavebnictví. Vedle toho se zde stále více projevoval rychlý růst v segmentu zbrojní výroby. Průmyslu loni pomáhala také energetika (+0,35 p. b.), jejíž produkce po třech slabších rocích vzrostla o 4,0 % (nejvíce za posledních osm let). Zvyšovala se výroba i spotřeba elektřiny</w:t>
            </w:r>
            <w:r w:rsidRPr="00E357B4">
              <w:rPr>
                <w:rStyle w:val="Znakapoznpodarou"/>
                <w:color w:val="000000" w:themeColor="text1"/>
              </w:rPr>
              <w:footnoteReference w:id="19"/>
            </w:r>
            <w:r w:rsidRPr="00E357B4">
              <w:rPr>
                <w:color w:val="000000" w:themeColor="text1"/>
              </w:rPr>
              <w:t>, plynu</w:t>
            </w:r>
            <w:r w:rsidRPr="00E357B4">
              <w:rPr>
                <w:rStyle w:val="Znakapoznpodarou"/>
                <w:color w:val="000000" w:themeColor="text1"/>
              </w:rPr>
              <w:footnoteReference w:id="20"/>
            </w:r>
            <w:r w:rsidRPr="00E357B4">
              <w:rPr>
                <w:color w:val="000000" w:themeColor="text1"/>
              </w:rPr>
              <w:t xml:space="preserve"> i tepla</w:t>
            </w:r>
            <w:r w:rsidRPr="00E357B4">
              <w:rPr>
                <w:rStyle w:val="Znakapoznpodarou"/>
                <w:color w:val="000000" w:themeColor="text1"/>
              </w:rPr>
              <w:footnoteReference w:id="21"/>
            </w:r>
            <w:r w:rsidRPr="00E357B4">
              <w:rPr>
                <w:color w:val="000000" w:themeColor="text1"/>
              </w:rPr>
              <w:t xml:space="preserve">. To souvisí zejména s tím, že počátek roku 2025 nebyl teplotně natolik nadprůměrný jako ten předchozí a relativně chladněji bylo vloni i v květnu, září či říjnu. Vedle toho motivace k dalším úsporám ve spotřebě, zejména v domácnostech, klesala i vlivem stabilizace a následného zlevňování cen energií, jež bylo znatelnější hlavně u zemního plynu. Do vyšší spotřeby </w:t>
            </w:r>
            <w:r w:rsidRPr="00E357B4">
              <w:rPr>
                <w:color w:val="000000" w:themeColor="text1"/>
              </w:rPr>
              <w:lastRenderedPageBreak/>
              <w:t>se loni promítaly příznivější finanční situace domácností i postupné oživení výkonu ekonomiky doprovázené stabilizací poptávky v některých energeticky náročných průmyslových oborech.</w:t>
            </w:r>
          </w:p>
        </w:tc>
      </w:tr>
      <w:tr w:rsidR="00290725" w:rsidRPr="00884AAD" w14:paraId="22785BB0" w14:textId="77777777" w:rsidTr="00A96D94">
        <w:trPr>
          <w:trHeight w:val="145"/>
        </w:trPr>
        <w:tc>
          <w:tcPr>
            <w:tcW w:w="1788" w:type="dxa"/>
            <w:tcMar>
              <w:left w:w="0" w:type="dxa"/>
            </w:tcMar>
          </w:tcPr>
          <w:p w14:paraId="1548C94B" w14:textId="77777777" w:rsidR="00290725" w:rsidRPr="00EE0E68" w:rsidRDefault="00290725" w:rsidP="00A96D94">
            <w:pPr>
              <w:pStyle w:val="Marginlie"/>
              <w:spacing w:after="240"/>
              <w:rPr>
                <w:color w:val="000000" w:themeColor="text1"/>
                <w:spacing w:val="0"/>
              </w:rPr>
            </w:pPr>
            <w:r>
              <w:rPr>
                <w:color w:val="000000" w:themeColor="text1"/>
                <w:spacing w:val="0"/>
              </w:rPr>
              <w:lastRenderedPageBreak/>
              <w:t xml:space="preserve">Některé významné energeticky náročné obory zaměřené na výrobu meziproduktů loni zřetelně ožily. Nejvíce patrné to bylo v hutnictví, jemuž pomohla domácí </w:t>
            </w:r>
            <w:r>
              <w:rPr>
                <w:color w:val="000000" w:themeColor="text1"/>
                <w:spacing w:val="0"/>
              </w:rPr>
              <w:br/>
              <w:t>i zahraniční poptávka.</w:t>
            </w:r>
          </w:p>
        </w:tc>
        <w:tc>
          <w:tcPr>
            <w:tcW w:w="147" w:type="dxa"/>
            <w:tcMar>
              <w:left w:w="0" w:type="dxa"/>
            </w:tcMar>
          </w:tcPr>
          <w:p w14:paraId="245F0D54" w14:textId="77777777" w:rsidR="00290725" w:rsidRPr="00EE0E68" w:rsidRDefault="00290725" w:rsidP="00A96D94">
            <w:pPr>
              <w:pStyle w:val="Textpoznpodarou"/>
              <w:spacing w:after="240"/>
              <w:jc w:val="both"/>
              <w:rPr>
                <w:color w:val="000000" w:themeColor="text1"/>
              </w:rPr>
            </w:pPr>
          </w:p>
        </w:tc>
        <w:tc>
          <w:tcPr>
            <w:tcW w:w="7711" w:type="dxa"/>
            <w:tcMar>
              <w:left w:w="0" w:type="dxa"/>
            </w:tcMar>
          </w:tcPr>
          <w:p w14:paraId="6D8F0324" w14:textId="77777777" w:rsidR="00290725" w:rsidRPr="00E357B4" w:rsidRDefault="00290725" w:rsidP="00A96D94">
            <w:pPr>
              <w:spacing w:after="200"/>
              <w:rPr>
                <w:color w:val="000000" w:themeColor="text1"/>
              </w:rPr>
            </w:pPr>
            <w:r w:rsidRPr="00E357B4">
              <w:rPr>
                <w:color w:val="0D0D0D" w:themeColor="text1" w:themeTint="F2"/>
              </w:rPr>
              <w:t>Průmyslu loni pomohla i většina váhově významných</w:t>
            </w:r>
            <w:r>
              <w:rPr>
                <w:color w:val="0D0D0D" w:themeColor="text1" w:themeTint="F2"/>
              </w:rPr>
              <w:t>,</w:t>
            </w:r>
            <w:r w:rsidRPr="00E357B4">
              <w:rPr>
                <w:color w:val="0D0D0D" w:themeColor="text1" w:themeTint="F2"/>
              </w:rPr>
              <w:t xml:space="preserve"> vesměs energeticky náročných oborů vyrábějících meziprodukty. Nejvýznamnější roli zde mělo gumárenství a</w:t>
            </w:r>
            <w:r>
              <w:rPr>
                <w:color w:val="0D0D0D" w:themeColor="text1" w:themeTint="F2"/>
              </w:rPr>
              <w:t> </w:t>
            </w:r>
            <w:proofErr w:type="spellStart"/>
            <w:r w:rsidRPr="00E357B4">
              <w:rPr>
                <w:color w:val="0D0D0D" w:themeColor="text1" w:themeTint="F2"/>
              </w:rPr>
              <w:t>plastikářství</w:t>
            </w:r>
            <w:proofErr w:type="spellEnd"/>
            <w:r w:rsidRPr="00E357B4">
              <w:rPr>
                <w:color w:val="0D0D0D" w:themeColor="text1" w:themeTint="F2"/>
              </w:rPr>
              <w:t xml:space="preserve">, kde produkce vzrostla o 4,0 % (během roku postupně výkon sílil – až na 7,7 % ve 4. čtvrtletí, což bylo nejvíce za poslední čtyři a půl roku). Pomohla k tomu výhradně zahraniční poptávka, jež </w:t>
            </w:r>
            <w:r>
              <w:rPr>
                <w:color w:val="0D0D0D" w:themeColor="text1" w:themeTint="F2"/>
              </w:rPr>
              <w:t>částečně</w:t>
            </w:r>
            <w:r w:rsidRPr="00E357B4">
              <w:rPr>
                <w:color w:val="0D0D0D" w:themeColor="text1" w:themeTint="F2"/>
              </w:rPr>
              <w:t xml:space="preserve"> souvisela </w:t>
            </w:r>
            <w:r>
              <w:rPr>
                <w:color w:val="0D0D0D" w:themeColor="text1" w:themeTint="F2"/>
              </w:rPr>
              <w:t>s</w:t>
            </w:r>
            <w:r w:rsidRPr="00E357B4">
              <w:rPr>
                <w:color w:val="0D0D0D" w:themeColor="text1" w:themeTint="F2"/>
              </w:rPr>
              <w:t xml:space="preserve"> rozvojem automobilového průmyslu. Podobné faktory loni podpořily rovněž výkon elektrotechnického průmyslu (+1,7 %). Zejména díky vyšší domácí poptávce došlo k významnějšímu oživení produkce </w:t>
            </w:r>
            <w:r w:rsidRPr="00E357B4">
              <w:rPr>
                <w:color w:val="000000" w:themeColor="text1"/>
              </w:rPr>
              <w:t>(po hlubokém útlumu v předchozích třech letech – nejdelším a nejhlubším v současném miléniu) v hutnictví a slévárenství (+4,9 %). Dynamický rozvoj tuzemského stavebnictví se promítl i do výroby ostatních nekovových minerálních výrobků, kde produkce loni vzrostla o 3,4 %. Především lepší odbyt v zahraniční vedl loni k udržení mírného růstu produkce v relativně malém oboru dřevozpracujícího průmyslu (+1,0 %). Druhý rok v řadě se mírně zvyšoval i výkon navazujícího papírenského průmyslu, aktuálně podpořený vyšší poptávkou spíše z tuzemska. V chemickém průmyslu produkce loni, podobně jako v průměru za rok 2024, fakticky stagnovala. Projevilo se zde i postupné omezování výrobních kapacit spojené s útlumem některých dříve tradičních výrob. Během 2. pololetí 2025 však šlo vystopovat náznaky mírného oživení domácí i zahraniční poptávky, což se ve 4. čtvrtletí promítlo do vyšší produkce (+5,0 %, nejvyšší tempo za poslední tři roky). Výše uvedené obory zaměřené na meziprodukty přispěly loni k meziročnímu růstu celého průmyslu 0,76 p. b.</w:t>
            </w:r>
          </w:p>
        </w:tc>
      </w:tr>
      <w:tr w:rsidR="00290725" w:rsidRPr="00884AAD" w14:paraId="424FC87E" w14:textId="77777777" w:rsidTr="00A96D94">
        <w:trPr>
          <w:trHeight w:val="145"/>
        </w:trPr>
        <w:tc>
          <w:tcPr>
            <w:tcW w:w="1788" w:type="dxa"/>
            <w:tcMar>
              <w:left w:w="0" w:type="dxa"/>
            </w:tcMar>
          </w:tcPr>
          <w:p w14:paraId="7E624015" w14:textId="77777777" w:rsidR="00290725" w:rsidRDefault="00290725" w:rsidP="00A96D94">
            <w:pPr>
              <w:pStyle w:val="Marginlie"/>
              <w:spacing w:after="240"/>
              <w:rPr>
                <w:color w:val="000000" w:themeColor="text1"/>
                <w:spacing w:val="0"/>
              </w:rPr>
            </w:pPr>
            <w:r>
              <w:rPr>
                <w:color w:val="000000" w:themeColor="text1"/>
                <w:spacing w:val="0"/>
              </w:rPr>
              <w:t>Nejvíce loni vzrostla produkce</w:t>
            </w:r>
            <w:r w:rsidRPr="00EE0E68">
              <w:rPr>
                <w:color w:val="000000" w:themeColor="text1"/>
                <w:spacing w:val="0"/>
              </w:rPr>
              <w:t xml:space="preserve"> </w:t>
            </w:r>
            <w:r>
              <w:rPr>
                <w:color w:val="000000" w:themeColor="text1"/>
                <w:spacing w:val="0"/>
              </w:rPr>
              <w:t xml:space="preserve">ve </w:t>
            </w:r>
            <w:r w:rsidRPr="00EE0E68">
              <w:rPr>
                <w:color w:val="000000" w:themeColor="text1"/>
                <w:spacing w:val="0"/>
              </w:rPr>
              <w:t>výrob</w:t>
            </w:r>
            <w:r>
              <w:rPr>
                <w:color w:val="000000" w:themeColor="text1"/>
                <w:spacing w:val="0"/>
              </w:rPr>
              <w:t>ě</w:t>
            </w:r>
            <w:r w:rsidRPr="00EE0E68">
              <w:rPr>
                <w:color w:val="000000" w:themeColor="text1"/>
                <w:spacing w:val="0"/>
              </w:rPr>
              <w:t xml:space="preserve"> </w:t>
            </w:r>
            <w:r w:rsidRPr="00897CD7">
              <w:rPr>
                <w:color w:val="000000" w:themeColor="text1"/>
              </w:rPr>
              <w:t>kolejových dopravních</w:t>
            </w:r>
            <w:r w:rsidRPr="00EE0E68">
              <w:rPr>
                <w:color w:val="000000" w:themeColor="text1"/>
                <w:spacing w:val="0"/>
              </w:rPr>
              <w:t xml:space="preserve"> prostředků</w:t>
            </w:r>
            <w:r>
              <w:rPr>
                <w:color w:val="000000" w:themeColor="text1"/>
                <w:spacing w:val="0"/>
              </w:rPr>
              <w:t xml:space="preserve">. </w:t>
            </w:r>
          </w:p>
          <w:p w14:paraId="1A415AF8" w14:textId="77777777" w:rsidR="00290725" w:rsidRDefault="00290725" w:rsidP="00A96D94">
            <w:pPr>
              <w:pStyle w:val="Marginlie"/>
              <w:spacing w:after="240"/>
              <w:rPr>
                <w:color w:val="000000" w:themeColor="text1"/>
                <w:spacing w:val="0"/>
              </w:rPr>
            </w:pPr>
          </w:p>
          <w:p w14:paraId="584BA0F4" w14:textId="77777777" w:rsidR="00290725" w:rsidRPr="00EE0E68" w:rsidRDefault="00290725" w:rsidP="00A96D94">
            <w:pPr>
              <w:pStyle w:val="Marginlie"/>
              <w:spacing w:after="240"/>
              <w:rPr>
                <w:color w:val="000000" w:themeColor="text1"/>
                <w:spacing w:val="0"/>
              </w:rPr>
            </w:pPr>
            <w:r>
              <w:rPr>
                <w:color w:val="000000" w:themeColor="text1"/>
                <w:spacing w:val="0"/>
              </w:rPr>
              <w:t>V automobilovém průmyslu produkce i přes rozvoj elektromobility spíše stagnovala.</w:t>
            </w:r>
          </w:p>
        </w:tc>
        <w:tc>
          <w:tcPr>
            <w:tcW w:w="147" w:type="dxa"/>
            <w:tcMar>
              <w:left w:w="0" w:type="dxa"/>
            </w:tcMar>
          </w:tcPr>
          <w:p w14:paraId="686A87B5" w14:textId="77777777" w:rsidR="00290725" w:rsidRPr="00EE0E68" w:rsidRDefault="00290725" w:rsidP="00A96D94">
            <w:pPr>
              <w:pStyle w:val="Textpoznpodarou"/>
              <w:spacing w:after="240"/>
              <w:jc w:val="both"/>
              <w:rPr>
                <w:color w:val="000000" w:themeColor="text1"/>
              </w:rPr>
            </w:pPr>
          </w:p>
        </w:tc>
        <w:tc>
          <w:tcPr>
            <w:tcW w:w="7711" w:type="dxa"/>
            <w:tcMar>
              <w:left w:w="0" w:type="dxa"/>
            </w:tcMar>
          </w:tcPr>
          <w:p w14:paraId="59E50724" w14:textId="77777777" w:rsidR="00290725" w:rsidRPr="00E357B4" w:rsidRDefault="00290725" w:rsidP="00A96D94">
            <w:pPr>
              <w:spacing w:after="200"/>
              <w:rPr>
                <w:color w:val="000000" w:themeColor="text1"/>
              </w:rPr>
            </w:pPr>
            <w:r w:rsidRPr="00E357B4">
              <w:rPr>
                <w:color w:val="0D0D0D" w:themeColor="text1" w:themeTint="F2"/>
              </w:rPr>
              <w:t xml:space="preserve">Ze všech průmyslových oborů se loni zvyšovala produkce nejvíce ve výrobě ostatních dopravních prostředků (+8,4 %). Pomohl tomu silný závěr roku, kdy se vedle delší dobu pozitivně působící zahraniční poptávky projevily také pozitivní stimuly z tuzemského trhu. Rozvoj dalších </w:t>
            </w:r>
            <w:r w:rsidRPr="00E357B4">
              <w:rPr>
                <w:bCs/>
                <w:color w:val="0D0D0D" w:themeColor="text1" w:themeTint="F2"/>
              </w:rPr>
              <w:t xml:space="preserve">investičně zaměřených oborů nebyl loni tak intenzivní. </w:t>
            </w:r>
            <w:r w:rsidRPr="00E357B4">
              <w:rPr>
                <w:color w:val="000000" w:themeColor="text1"/>
              </w:rPr>
              <w:t>Ve výrobě dopravních prostředků loni produkce spíše stagnovala (+0,5 %) a navázala tak na slabší výsledek z roku 2024 (−1,5 %). Zatímco za mírným útlumem v roce 2024 st</w:t>
            </w:r>
            <w:r>
              <w:rPr>
                <w:color w:val="000000" w:themeColor="text1"/>
              </w:rPr>
              <w:t>á</w:t>
            </w:r>
            <w:r w:rsidRPr="00E357B4">
              <w:rPr>
                <w:color w:val="000000" w:themeColor="text1"/>
              </w:rPr>
              <w:t xml:space="preserve">la hlavně </w:t>
            </w:r>
            <w:r w:rsidRPr="00E357B4">
              <w:rPr>
                <w:color w:val="0D0D0D" w:themeColor="text1" w:themeTint="F2"/>
              </w:rPr>
              <w:t>zhoršená situace přímých tuzemských subdodavatelů autodílů (působících v rámci odvětví automobilového průmyslu), loni se projevily i nepatrně horší výsledky finálních výrobců vozidel</w:t>
            </w:r>
            <w:r w:rsidRPr="00E357B4">
              <w:rPr>
                <w:rStyle w:val="Znakapoznpodarou"/>
                <w:color w:val="0D0D0D" w:themeColor="text1" w:themeTint="F2"/>
              </w:rPr>
              <w:footnoteReference w:id="22"/>
            </w:r>
            <w:r w:rsidRPr="00E357B4">
              <w:rPr>
                <w:color w:val="0D0D0D" w:themeColor="text1" w:themeTint="F2"/>
              </w:rPr>
              <w:t xml:space="preserve">. </w:t>
            </w:r>
            <w:r w:rsidRPr="00E357B4">
              <w:rPr>
                <w:bCs/>
                <w:color w:val="0D0D0D" w:themeColor="text1" w:themeTint="F2"/>
              </w:rPr>
              <w:t xml:space="preserve">V </w:t>
            </w:r>
            <w:r w:rsidRPr="00E357B4">
              <w:rPr>
                <w:color w:val="0D0D0D" w:themeColor="text1" w:themeTint="F2"/>
              </w:rPr>
              <w:t>dlo</w:t>
            </w:r>
            <w:r w:rsidRPr="00E357B4">
              <w:rPr>
                <w:color w:val="000000" w:themeColor="text1"/>
              </w:rPr>
              <w:t>uhodobě rostoucím oboru opravy a instalace strojů a zařízení zaměřeném tradičně spíše na domácí trh (např. opravy jaderných zařízení) produkce vzrostla o 2,5 %. Spíše tuzemská poptávka pak podpořila strojírenství, kde se produkce po hlubokém útlumu v roce 2024 loni mírně zotavila (+1,9 %). Výše uvedené „investiční obory“ přispěly loni k růstu průmyslu 0,47 p. b.</w:t>
            </w:r>
          </w:p>
        </w:tc>
      </w:tr>
      <w:tr w:rsidR="00290725" w:rsidRPr="00884AAD" w14:paraId="1AA5B88C" w14:textId="77777777" w:rsidTr="00A96D94">
        <w:trPr>
          <w:trHeight w:val="145"/>
        </w:trPr>
        <w:tc>
          <w:tcPr>
            <w:tcW w:w="1788" w:type="dxa"/>
            <w:tcMar>
              <w:left w:w="0" w:type="dxa"/>
            </w:tcMar>
          </w:tcPr>
          <w:p w14:paraId="09CB7081" w14:textId="77777777" w:rsidR="00290725" w:rsidRDefault="00290725" w:rsidP="00A96D94">
            <w:pPr>
              <w:pStyle w:val="Marginlie"/>
              <w:spacing w:after="240"/>
              <w:rPr>
                <w:color w:val="000000" w:themeColor="text1"/>
                <w:spacing w:val="0"/>
              </w:rPr>
            </w:pPr>
            <w:r w:rsidRPr="00EE0E68">
              <w:rPr>
                <w:color w:val="000000" w:themeColor="text1"/>
                <w:spacing w:val="0"/>
              </w:rPr>
              <w:t xml:space="preserve">Zvyšující se kupní síla domácností dále podporovala rozvoj potravinářství. Růst produkce však oproti roku </w:t>
            </w:r>
            <w:r>
              <w:rPr>
                <w:color w:val="000000" w:themeColor="text1"/>
                <w:spacing w:val="0"/>
              </w:rPr>
              <w:t>2024 lehce zvolnil.</w:t>
            </w:r>
          </w:p>
        </w:tc>
        <w:tc>
          <w:tcPr>
            <w:tcW w:w="147" w:type="dxa"/>
            <w:tcMar>
              <w:left w:w="0" w:type="dxa"/>
            </w:tcMar>
          </w:tcPr>
          <w:p w14:paraId="5CA7B976" w14:textId="77777777" w:rsidR="00290725" w:rsidRPr="00EE0E68" w:rsidRDefault="00290725" w:rsidP="00A96D94">
            <w:pPr>
              <w:pStyle w:val="Textpoznpodarou"/>
              <w:spacing w:after="240"/>
              <w:jc w:val="both"/>
              <w:rPr>
                <w:color w:val="000000" w:themeColor="text1"/>
              </w:rPr>
            </w:pPr>
          </w:p>
        </w:tc>
        <w:tc>
          <w:tcPr>
            <w:tcW w:w="7711" w:type="dxa"/>
            <w:tcMar>
              <w:left w:w="0" w:type="dxa"/>
            </w:tcMar>
          </w:tcPr>
          <w:p w14:paraId="2982D157" w14:textId="77777777" w:rsidR="00290725" w:rsidRPr="00E357B4" w:rsidRDefault="00290725" w:rsidP="00A96D94">
            <w:pPr>
              <w:spacing w:after="200"/>
              <w:rPr>
                <w:color w:val="000000" w:themeColor="text1"/>
              </w:rPr>
            </w:pPr>
            <w:r w:rsidRPr="00E357B4">
              <w:rPr>
                <w:color w:val="000000" w:themeColor="text1"/>
              </w:rPr>
              <w:t>Z </w:t>
            </w:r>
            <w:r w:rsidRPr="00E357B4">
              <w:rPr>
                <w:color w:val="0D0D0D" w:themeColor="text1" w:themeTint="F2"/>
              </w:rPr>
              <w:t>oborů vyrábějících spotřební zboží díky rostoucí kupní síle domácností i jejich důvěře v ekonomiku profitovalo loni zejména potravinářství. Ovšem</w:t>
            </w:r>
            <w:r w:rsidRPr="00E357B4">
              <w:rPr>
                <w:color w:val="000000" w:themeColor="text1"/>
              </w:rPr>
              <w:t xml:space="preserve"> růst produkce v tomto oboru ve srovnání s rokem 2024 zvolnil (na 3,4 %). To platí i pro ostatní zpracovatelský průmysl (+2,3 %) zahrnující např. výrobu sportovních potřeb, her, hraček či bižuterie. Výše uvedené obory vyrábějící převážně spotřební zboží loni souhrnně podpořily růst celého průmyslu jen 0,23 p. b.</w:t>
            </w:r>
          </w:p>
        </w:tc>
      </w:tr>
      <w:tr w:rsidR="00290725" w:rsidRPr="00884AAD" w14:paraId="36005E78" w14:textId="77777777" w:rsidTr="00A96D94">
        <w:trPr>
          <w:trHeight w:val="145"/>
        </w:trPr>
        <w:tc>
          <w:tcPr>
            <w:tcW w:w="1788" w:type="dxa"/>
            <w:tcMar>
              <w:left w:w="0" w:type="dxa"/>
            </w:tcMar>
          </w:tcPr>
          <w:p w14:paraId="62A58057" w14:textId="77777777" w:rsidR="00290725" w:rsidRPr="00812245" w:rsidRDefault="00290725" w:rsidP="00A96D94">
            <w:pPr>
              <w:pStyle w:val="Marginlie"/>
              <w:rPr>
                <w:color w:val="000000" w:themeColor="text1"/>
              </w:rPr>
            </w:pPr>
            <w:r w:rsidRPr="00812245">
              <w:rPr>
                <w:color w:val="000000" w:themeColor="text1"/>
              </w:rPr>
              <w:t xml:space="preserve">Růst </w:t>
            </w:r>
            <w:r>
              <w:rPr>
                <w:color w:val="000000" w:themeColor="text1"/>
              </w:rPr>
              <w:t xml:space="preserve">zpracovatelského </w:t>
            </w:r>
            <w:r w:rsidRPr="00812245">
              <w:rPr>
                <w:color w:val="000000" w:themeColor="text1"/>
              </w:rPr>
              <w:t xml:space="preserve">průmyslu byl nejvíce tlumen výrobou počítačů, </w:t>
            </w:r>
            <w:r w:rsidRPr="00812245">
              <w:rPr>
                <w:color w:val="000000" w:themeColor="text1"/>
              </w:rPr>
              <w:lastRenderedPageBreak/>
              <w:t xml:space="preserve">elektronických </w:t>
            </w:r>
            <w:r>
              <w:rPr>
                <w:color w:val="000000" w:themeColor="text1"/>
              </w:rPr>
              <w:br/>
            </w:r>
            <w:r w:rsidRPr="00812245">
              <w:rPr>
                <w:color w:val="000000" w:themeColor="text1"/>
              </w:rPr>
              <w:t xml:space="preserve">a optických přístrojů. </w:t>
            </w:r>
          </w:p>
          <w:p w14:paraId="02396D44" w14:textId="77777777" w:rsidR="00290725" w:rsidRPr="00EE0E68" w:rsidRDefault="00290725" w:rsidP="00A96D94">
            <w:pPr>
              <w:pStyle w:val="Marginlie"/>
              <w:spacing w:after="240"/>
              <w:rPr>
                <w:color w:val="000000" w:themeColor="text1"/>
                <w:spacing w:val="0"/>
              </w:rPr>
            </w:pPr>
          </w:p>
        </w:tc>
        <w:tc>
          <w:tcPr>
            <w:tcW w:w="147" w:type="dxa"/>
            <w:tcMar>
              <w:left w:w="0" w:type="dxa"/>
            </w:tcMar>
          </w:tcPr>
          <w:p w14:paraId="70216D24" w14:textId="77777777" w:rsidR="00290725" w:rsidRPr="00EE0E68" w:rsidRDefault="00290725" w:rsidP="00A96D94">
            <w:pPr>
              <w:pStyle w:val="Textpoznpodarou"/>
              <w:spacing w:after="240"/>
              <w:jc w:val="both"/>
              <w:rPr>
                <w:color w:val="000000" w:themeColor="text1"/>
              </w:rPr>
            </w:pPr>
          </w:p>
        </w:tc>
        <w:tc>
          <w:tcPr>
            <w:tcW w:w="7711" w:type="dxa"/>
            <w:tcMar>
              <w:left w:w="0" w:type="dxa"/>
            </w:tcMar>
          </w:tcPr>
          <w:p w14:paraId="4D64FB0F" w14:textId="77777777" w:rsidR="00290725" w:rsidRPr="00E357B4" w:rsidRDefault="00290725" w:rsidP="00A96D94">
            <w:pPr>
              <w:spacing w:after="200"/>
              <w:rPr>
                <w:color w:val="000000" w:themeColor="text1"/>
              </w:rPr>
            </w:pPr>
            <w:r w:rsidRPr="00E357B4">
              <w:rPr>
                <w:color w:val="0D0D0D" w:themeColor="text1" w:themeTint="F2"/>
              </w:rPr>
              <w:t>Mezi investičně zaměřenými obory loni klesal výkon jen ve výrobě počítačů, elektronických a optických přístrojů, vyznačující se vysokou dovozní náročností a</w:t>
            </w:r>
            <w:r>
              <w:rPr>
                <w:color w:val="0D0D0D" w:themeColor="text1" w:themeTint="F2"/>
              </w:rPr>
              <w:t> </w:t>
            </w:r>
            <w:r w:rsidRPr="00E357B4">
              <w:rPr>
                <w:color w:val="0D0D0D" w:themeColor="text1" w:themeTint="F2"/>
              </w:rPr>
              <w:t xml:space="preserve">současně i výrazně proexportním zaměřením. Produkce v tomto oboru, jež se </w:t>
            </w:r>
            <w:r w:rsidRPr="00E357B4">
              <w:rPr>
                <w:color w:val="0D0D0D" w:themeColor="text1" w:themeTint="F2"/>
              </w:rPr>
              <w:lastRenderedPageBreak/>
              <w:t>v předchozích čtyřech letech slibně rozvíjel</w:t>
            </w:r>
            <w:r>
              <w:rPr>
                <w:color w:val="0D0D0D" w:themeColor="text1" w:themeTint="F2"/>
              </w:rPr>
              <w:t>a</w:t>
            </w:r>
            <w:r w:rsidRPr="00E357B4">
              <w:rPr>
                <w:color w:val="0D0D0D" w:themeColor="text1" w:themeTint="F2"/>
              </w:rPr>
              <w:t xml:space="preserve">, </w:t>
            </w:r>
            <w:r w:rsidRPr="00E357B4">
              <w:rPr>
                <w:color w:val="000000" w:themeColor="text1"/>
              </w:rPr>
              <w:t xml:space="preserve">loni klesla o rovná 2 % (a proti růstu průmyslu působila silou 0,07 p. b, nejvíce ze všech zpracovatelských oborů). Vedle slabší zahraniční poptávky zde negativně působila i tuzemská, jež byla ještě předloni významněji podporována </w:t>
            </w:r>
            <w:r w:rsidRPr="00E357B4">
              <w:rPr>
                <w:color w:val="0D0D0D" w:themeColor="text1" w:themeTint="F2"/>
              </w:rPr>
              <w:t xml:space="preserve">pokračujícím rozvojem fotovoltaiky. </w:t>
            </w:r>
          </w:p>
        </w:tc>
      </w:tr>
      <w:tr w:rsidR="00290725" w:rsidRPr="00884AAD" w14:paraId="1BDE1E56" w14:textId="77777777" w:rsidTr="00A96D94">
        <w:trPr>
          <w:trHeight w:val="145"/>
        </w:trPr>
        <w:tc>
          <w:tcPr>
            <w:tcW w:w="1788" w:type="dxa"/>
            <w:tcMar>
              <w:left w:w="0" w:type="dxa"/>
            </w:tcMar>
          </w:tcPr>
          <w:p w14:paraId="4734EA46" w14:textId="77777777" w:rsidR="00290725" w:rsidRPr="00812245" w:rsidRDefault="00290725" w:rsidP="00A96D94">
            <w:pPr>
              <w:pStyle w:val="Marginlie"/>
              <w:rPr>
                <w:color w:val="000000" w:themeColor="text1"/>
              </w:rPr>
            </w:pPr>
            <w:r>
              <w:rPr>
                <w:color w:val="000000" w:themeColor="text1"/>
                <w:spacing w:val="0"/>
              </w:rPr>
              <w:lastRenderedPageBreak/>
              <w:t>Energeticky náročné obory těžebního průmyslu se nadále potýkaly se zvýšenými výrobními náklady.</w:t>
            </w:r>
          </w:p>
        </w:tc>
        <w:tc>
          <w:tcPr>
            <w:tcW w:w="147" w:type="dxa"/>
            <w:tcMar>
              <w:left w:w="0" w:type="dxa"/>
            </w:tcMar>
          </w:tcPr>
          <w:p w14:paraId="540C609C" w14:textId="77777777" w:rsidR="00290725" w:rsidRPr="00EE0E68" w:rsidRDefault="00290725" w:rsidP="00A96D94">
            <w:pPr>
              <w:pStyle w:val="Textpoznpodarou"/>
              <w:spacing w:after="240"/>
              <w:jc w:val="both"/>
              <w:rPr>
                <w:color w:val="000000" w:themeColor="text1"/>
              </w:rPr>
            </w:pPr>
          </w:p>
        </w:tc>
        <w:tc>
          <w:tcPr>
            <w:tcW w:w="7711" w:type="dxa"/>
            <w:tcMar>
              <w:left w:w="0" w:type="dxa"/>
            </w:tcMar>
          </w:tcPr>
          <w:p w14:paraId="79E33110" w14:textId="77777777" w:rsidR="00290725" w:rsidRPr="00E357B4" w:rsidRDefault="00290725" w:rsidP="00A96D94">
            <w:pPr>
              <w:spacing w:after="200"/>
              <w:rPr>
                <w:color w:val="0D0D0D" w:themeColor="text1" w:themeTint="F2"/>
              </w:rPr>
            </w:pPr>
            <w:r w:rsidRPr="00E357B4">
              <w:rPr>
                <w:color w:val="000000" w:themeColor="text1"/>
              </w:rPr>
              <w:t xml:space="preserve">S </w:t>
            </w:r>
            <w:r w:rsidRPr="00E357B4">
              <w:rPr>
                <w:color w:val="0D0D0D" w:themeColor="text1" w:themeTint="F2"/>
              </w:rPr>
              <w:t>hlubšími problémy se stále potýkaly některé vesměs energeticky náročné obory vyrábějící meziprodukty. V těžbě a dobývání se sice loni produkce meziročně snížila méně výrazněji než v předchozích dvou letech, i tak šlo o vcelku významný pohyb (</w:t>
            </w:r>
            <w:r>
              <w:rPr>
                <w:color w:val="0D0D0D" w:themeColor="text1" w:themeTint="F2"/>
              </w:rPr>
              <w:t>−</w:t>
            </w:r>
            <w:r w:rsidRPr="00E357B4">
              <w:rPr>
                <w:color w:val="0D0D0D" w:themeColor="text1" w:themeTint="F2"/>
              </w:rPr>
              <w:t>4,1</w:t>
            </w:r>
            <w:r>
              <w:rPr>
                <w:color w:val="0D0D0D" w:themeColor="text1" w:themeTint="F2"/>
              </w:rPr>
              <w:t> </w:t>
            </w:r>
            <w:r w:rsidRPr="00E357B4">
              <w:rPr>
                <w:color w:val="0D0D0D" w:themeColor="text1" w:themeTint="F2"/>
              </w:rPr>
              <w:t xml:space="preserve">%). Pokračoval řízený útlum těžby uhlí (na přelomu roku 2025 a 2026 se v Česku zcela zastavila těžba černého uhlí). Naopak poněkud překvapivě se loni citelně (zhruba o desetinu) snížila také </w:t>
            </w:r>
            <w:r w:rsidRPr="00E357B4">
              <w:rPr>
                <w:color w:val="000000" w:themeColor="text1"/>
              </w:rPr>
              <w:t xml:space="preserve">těžba stavebních materiálů. Rostoucí tuzemská poptávka zde stále více naráží na současné limity dané počtem povolených obývacích prostor, častěji tak patrně dochází k dovozu materiálů, např. z Polska). Výkon </w:t>
            </w:r>
            <w:r w:rsidRPr="00E357B4">
              <w:rPr>
                <w:color w:val="0D0D0D" w:themeColor="text1" w:themeTint="F2"/>
              </w:rPr>
              <w:t>v textilním průmyslu, jehož klíčovou část tvoří výroba umělých textilií k užití v průmyslu nebo stavebnictví, za loňský rok klesl o 3,0 % (snížil se potřetí v řadě). Výše</w:t>
            </w:r>
            <w:r>
              <w:rPr>
                <w:color w:val="0D0D0D" w:themeColor="text1" w:themeTint="F2"/>
              </w:rPr>
              <w:t xml:space="preserve"> uvedené</w:t>
            </w:r>
            <w:r w:rsidRPr="00E357B4">
              <w:rPr>
                <w:color w:val="0D0D0D" w:themeColor="text1" w:themeTint="F2"/>
              </w:rPr>
              <w:t xml:space="preserve"> obory </w:t>
            </w:r>
            <w:r>
              <w:rPr>
                <w:color w:val="0D0D0D" w:themeColor="text1" w:themeTint="F2"/>
              </w:rPr>
              <w:t xml:space="preserve">loni </w:t>
            </w:r>
            <w:r w:rsidRPr="00E357B4">
              <w:rPr>
                <w:color w:val="0D0D0D" w:themeColor="text1" w:themeTint="F2"/>
              </w:rPr>
              <w:t>celkově působily proti růstu celého průmyslu silou 0,10 p. b</w:t>
            </w:r>
            <w:r>
              <w:rPr>
                <w:color w:val="0D0D0D" w:themeColor="text1" w:themeTint="F2"/>
              </w:rPr>
              <w:t>.</w:t>
            </w:r>
          </w:p>
        </w:tc>
      </w:tr>
      <w:tr w:rsidR="00290725" w:rsidRPr="00884AAD" w14:paraId="67A6AF53" w14:textId="77777777" w:rsidTr="00A96D94">
        <w:trPr>
          <w:trHeight w:val="145"/>
        </w:trPr>
        <w:tc>
          <w:tcPr>
            <w:tcW w:w="1788" w:type="dxa"/>
            <w:tcMar>
              <w:left w:w="0" w:type="dxa"/>
            </w:tcMar>
          </w:tcPr>
          <w:p w14:paraId="333E95E5" w14:textId="77777777" w:rsidR="00290725" w:rsidRPr="00EE0E68" w:rsidRDefault="00290725" w:rsidP="00A96D94">
            <w:pPr>
              <w:pStyle w:val="Marginlie"/>
              <w:spacing w:after="240"/>
              <w:rPr>
                <w:color w:val="0D0D0D" w:themeColor="text1" w:themeTint="F2"/>
                <w:spacing w:val="0"/>
              </w:rPr>
            </w:pPr>
          </w:p>
        </w:tc>
        <w:tc>
          <w:tcPr>
            <w:tcW w:w="147" w:type="dxa"/>
            <w:tcMar>
              <w:left w:w="0" w:type="dxa"/>
            </w:tcMar>
          </w:tcPr>
          <w:p w14:paraId="03094511" w14:textId="77777777" w:rsidR="00290725" w:rsidRPr="00EE0E68" w:rsidRDefault="00290725" w:rsidP="00A96D94">
            <w:pPr>
              <w:pStyle w:val="Textpoznpodarou"/>
              <w:spacing w:after="240"/>
              <w:jc w:val="both"/>
            </w:pPr>
          </w:p>
        </w:tc>
        <w:tc>
          <w:tcPr>
            <w:tcW w:w="7711" w:type="dxa"/>
            <w:tcMar>
              <w:left w:w="0" w:type="dxa"/>
            </w:tcMar>
          </w:tcPr>
          <w:p w14:paraId="15AB4C9C" w14:textId="77777777" w:rsidR="00290725" w:rsidRPr="00E357B4" w:rsidRDefault="00290725" w:rsidP="00A96D94">
            <w:pPr>
              <w:spacing w:after="40"/>
              <w:rPr>
                <w:color w:val="0D0D0D" w:themeColor="text1" w:themeTint="F2"/>
              </w:rPr>
            </w:pPr>
            <w:r w:rsidRPr="00E357B4">
              <w:rPr>
                <w:b/>
                <w:color w:val="0D0D0D" w:themeColor="text1" w:themeTint="F2"/>
              </w:rPr>
              <w:t>Graf č. 4 Příspěvky dílčích odvětví k meziroční změně průmyslové produkce v ČR</w:t>
            </w:r>
            <w:r w:rsidRPr="00E357B4">
              <w:rPr>
                <w:color w:val="0D0D0D" w:themeColor="text1" w:themeTint="F2"/>
              </w:rPr>
              <w:t xml:space="preserve"> (očištěno o kalendářní vlivy, reálně, v p. b.) </w:t>
            </w:r>
            <w:r w:rsidRPr="00E357B4">
              <w:rPr>
                <w:b/>
                <w:color w:val="0D0D0D" w:themeColor="text1" w:themeTint="F2"/>
              </w:rPr>
              <w:t>a produkce v celém průmyslu v ČR, Německu a EU27</w:t>
            </w:r>
            <w:r w:rsidRPr="00E357B4">
              <w:rPr>
                <w:i/>
                <w:color w:val="0D0D0D" w:themeColor="text1" w:themeTint="F2"/>
              </w:rPr>
              <w:t xml:space="preserve"> </w:t>
            </w:r>
            <w:r w:rsidRPr="00E357B4">
              <w:rPr>
                <w:color w:val="0D0D0D" w:themeColor="text1" w:themeTint="F2"/>
              </w:rPr>
              <w:t>(sezónně očištěno, úroveň roku 2021=100, pravá osa)</w:t>
            </w:r>
          </w:p>
        </w:tc>
      </w:tr>
      <w:tr w:rsidR="00290725" w:rsidRPr="0067514E" w14:paraId="23A46061" w14:textId="77777777" w:rsidTr="00A96D94">
        <w:tblPrEx>
          <w:tblCellMar>
            <w:left w:w="70" w:type="dxa"/>
            <w:right w:w="70" w:type="dxa"/>
          </w:tblCellMar>
        </w:tblPrEx>
        <w:trPr>
          <w:trHeight w:val="145"/>
        </w:trPr>
        <w:tc>
          <w:tcPr>
            <w:tcW w:w="1788" w:type="dxa"/>
          </w:tcPr>
          <w:p w14:paraId="00A0EBE8" w14:textId="77777777" w:rsidR="00290725" w:rsidRPr="00EE0E68" w:rsidRDefault="00290725" w:rsidP="00A96D94">
            <w:pPr>
              <w:pStyle w:val="Marginlie"/>
              <w:spacing w:after="240"/>
              <w:rPr>
                <w:color w:val="0D0D0D" w:themeColor="text1" w:themeTint="F2"/>
                <w:spacing w:val="0"/>
              </w:rPr>
            </w:pPr>
          </w:p>
        </w:tc>
        <w:tc>
          <w:tcPr>
            <w:tcW w:w="147" w:type="dxa"/>
          </w:tcPr>
          <w:p w14:paraId="3886D436" w14:textId="77777777" w:rsidR="00290725" w:rsidRPr="00EE0E68" w:rsidRDefault="00290725" w:rsidP="00A96D94">
            <w:pPr>
              <w:pStyle w:val="Textpoznpodarou"/>
              <w:spacing w:after="240"/>
              <w:jc w:val="both"/>
            </w:pPr>
          </w:p>
        </w:tc>
        <w:tc>
          <w:tcPr>
            <w:tcW w:w="7711" w:type="dxa"/>
          </w:tcPr>
          <w:p w14:paraId="2787E68C" w14:textId="77777777" w:rsidR="00290725" w:rsidRPr="00E357B4" w:rsidRDefault="00290725" w:rsidP="00A96D94">
            <w:pPr>
              <w:spacing w:before="40" w:after="40"/>
              <w:rPr>
                <w:color w:val="0D0D0D" w:themeColor="text1" w:themeTint="F2"/>
              </w:rPr>
            </w:pPr>
            <w:r w:rsidRPr="00E357B4">
              <w:rPr>
                <w:noProof/>
              </w:rPr>
              <w:drawing>
                <wp:inline distT="0" distB="0" distL="0" distR="0" wp14:anchorId="768574A0" wp14:editId="78D804EC">
                  <wp:extent cx="4730750" cy="3206750"/>
                  <wp:effectExtent l="0" t="0" r="0" b="0"/>
                  <wp:docPr id="1900032645" name="Graf 1">
                    <a:extLst xmlns:a="http://schemas.openxmlformats.org/drawingml/2006/main">
                      <a:ext uri="{FF2B5EF4-FFF2-40B4-BE49-F238E27FC236}">
                        <a16:creationId xmlns:a16="http://schemas.microsoft.com/office/drawing/2014/main" id="{00000000-0008-0000-06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290725" w:rsidRPr="00E52D45" w14:paraId="35DE6246" w14:textId="77777777" w:rsidTr="00A96D94">
        <w:trPr>
          <w:trHeight w:val="145"/>
        </w:trPr>
        <w:tc>
          <w:tcPr>
            <w:tcW w:w="1788" w:type="dxa"/>
            <w:tcMar>
              <w:left w:w="0" w:type="dxa"/>
            </w:tcMar>
          </w:tcPr>
          <w:p w14:paraId="741222B5" w14:textId="77777777" w:rsidR="00290725" w:rsidRPr="00EE0E68" w:rsidRDefault="00290725" w:rsidP="00A96D94">
            <w:pPr>
              <w:pStyle w:val="Marginlie"/>
              <w:spacing w:after="240"/>
              <w:rPr>
                <w:color w:val="0D0D0D" w:themeColor="text1" w:themeTint="F2"/>
                <w:spacing w:val="0"/>
              </w:rPr>
            </w:pPr>
          </w:p>
        </w:tc>
        <w:tc>
          <w:tcPr>
            <w:tcW w:w="147" w:type="dxa"/>
            <w:tcMar>
              <w:left w:w="0" w:type="dxa"/>
            </w:tcMar>
          </w:tcPr>
          <w:p w14:paraId="76CA5FCE" w14:textId="77777777" w:rsidR="00290725" w:rsidRPr="00EE0E68" w:rsidRDefault="00290725" w:rsidP="00A96D94">
            <w:pPr>
              <w:pStyle w:val="Textpoznpodarou"/>
              <w:spacing w:after="240"/>
              <w:jc w:val="both"/>
            </w:pPr>
          </w:p>
        </w:tc>
        <w:tc>
          <w:tcPr>
            <w:tcW w:w="7711" w:type="dxa"/>
            <w:tcMar>
              <w:left w:w="0" w:type="dxa"/>
            </w:tcMar>
          </w:tcPr>
          <w:p w14:paraId="4CCA4AF6" w14:textId="77777777" w:rsidR="00290725" w:rsidRPr="00E357B4" w:rsidRDefault="00290725" w:rsidP="00A96D94">
            <w:pPr>
              <w:spacing w:after="0"/>
              <w:rPr>
                <w:color w:val="0D0D0D" w:themeColor="text1" w:themeTint="F2"/>
                <w:sz w:val="14"/>
                <w:szCs w:val="14"/>
              </w:rPr>
            </w:pPr>
            <w:r w:rsidRPr="00E357B4">
              <w:rPr>
                <w:color w:val="0D0D0D" w:themeColor="text1" w:themeTint="F2"/>
                <w:sz w:val="14"/>
                <w:szCs w:val="14"/>
              </w:rPr>
              <w:t>*Příspěvek zbývajícího zpracovatelského průmyslu zahrnuje i vliv celkové metodické diskrepance pramenící ze změny vah.</w:t>
            </w:r>
          </w:p>
          <w:p w14:paraId="07AA9337" w14:textId="77777777" w:rsidR="00290725" w:rsidRPr="00E357B4" w:rsidRDefault="00290725" w:rsidP="00A96D94">
            <w:pPr>
              <w:spacing w:after="200"/>
              <w:rPr>
                <w:color w:val="0D0D0D" w:themeColor="text1" w:themeTint="F2"/>
              </w:rPr>
            </w:pPr>
            <w:r w:rsidRPr="00E357B4">
              <w:rPr>
                <w:color w:val="0D0D0D" w:themeColor="text1" w:themeTint="F2"/>
                <w:sz w:val="14"/>
                <w:szCs w:val="14"/>
              </w:rPr>
              <w:t xml:space="preserve">Zdroj: ČSÚ, </w:t>
            </w:r>
            <w:proofErr w:type="spellStart"/>
            <w:r w:rsidRPr="00E357B4">
              <w:rPr>
                <w:color w:val="0D0D0D" w:themeColor="text1" w:themeTint="F2"/>
                <w:sz w:val="14"/>
                <w:szCs w:val="14"/>
              </w:rPr>
              <w:t>Eurostat</w:t>
            </w:r>
            <w:proofErr w:type="spellEnd"/>
          </w:p>
        </w:tc>
      </w:tr>
      <w:tr w:rsidR="00290725" w:rsidRPr="009658AC" w14:paraId="311679CC" w14:textId="77777777" w:rsidTr="00A96D94">
        <w:trPr>
          <w:trHeight w:val="145"/>
        </w:trPr>
        <w:tc>
          <w:tcPr>
            <w:tcW w:w="1788" w:type="dxa"/>
            <w:tcMar>
              <w:left w:w="0" w:type="dxa"/>
            </w:tcMar>
          </w:tcPr>
          <w:p w14:paraId="2F6CE13C" w14:textId="77777777" w:rsidR="00290725" w:rsidRDefault="00290725" w:rsidP="00A96D94">
            <w:pPr>
              <w:pStyle w:val="Marginlie"/>
              <w:spacing w:after="240"/>
              <w:rPr>
                <w:color w:val="000000" w:themeColor="text1"/>
                <w:spacing w:val="0"/>
              </w:rPr>
            </w:pPr>
            <w:r w:rsidRPr="00EE0E68">
              <w:rPr>
                <w:color w:val="000000" w:themeColor="text1"/>
                <w:spacing w:val="0"/>
              </w:rPr>
              <w:t>Největší útlum postihl drobné odvětví</w:t>
            </w:r>
            <w:r w:rsidRPr="00EE0E68">
              <w:rPr>
                <w:color w:val="000000" w:themeColor="text1"/>
                <w:spacing w:val="0"/>
              </w:rPr>
              <w:br/>
              <w:t xml:space="preserve">kožedělného průmyslu. </w:t>
            </w:r>
            <w:r>
              <w:rPr>
                <w:color w:val="000000" w:themeColor="text1"/>
                <w:spacing w:val="0"/>
              </w:rPr>
              <w:t xml:space="preserve">Po dlouhém období klesl i výkon ve farmacii. </w:t>
            </w:r>
          </w:p>
          <w:p w14:paraId="7F099169" w14:textId="77777777" w:rsidR="00290725" w:rsidRDefault="00290725" w:rsidP="00A96D94">
            <w:pPr>
              <w:pStyle w:val="Marginlie"/>
              <w:spacing w:after="240"/>
              <w:rPr>
                <w:color w:val="000000" w:themeColor="text1"/>
                <w:spacing w:val="0"/>
              </w:rPr>
            </w:pPr>
          </w:p>
          <w:p w14:paraId="2D1C6873" w14:textId="77777777" w:rsidR="00290725" w:rsidRPr="00EE0E68" w:rsidRDefault="00290725" w:rsidP="00A96D94">
            <w:pPr>
              <w:pStyle w:val="Marginlie"/>
              <w:spacing w:after="240"/>
              <w:rPr>
                <w:color w:val="000000" w:themeColor="text1"/>
                <w:spacing w:val="0"/>
              </w:rPr>
            </w:pPr>
            <w:r>
              <w:rPr>
                <w:color w:val="000000" w:themeColor="text1"/>
                <w:spacing w:val="0"/>
              </w:rPr>
              <w:t xml:space="preserve">V některých oborech loni kontrastoval vcelku příznivý vývoj domácí </w:t>
            </w:r>
            <w:r>
              <w:rPr>
                <w:color w:val="000000" w:themeColor="text1"/>
                <w:spacing w:val="0"/>
              </w:rPr>
              <w:lastRenderedPageBreak/>
              <w:t>poptávky se slabší exportní výkonností.</w:t>
            </w:r>
          </w:p>
        </w:tc>
        <w:tc>
          <w:tcPr>
            <w:tcW w:w="147" w:type="dxa"/>
            <w:tcMar>
              <w:left w:w="0" w:type="dxa"/>
            </w:tcMar>
          </w:tcPr>
          <w:p w14:paraId="35DFCEA2" w14:textId="77777777" w:rsidR="00290725" w:rsidRPr="00EE0E68" w:rsidRDefault="00290725" w:rsidP="00A96D94">
            <w:pPr>
              <w:pStyle w:val="Textpoznpodarou"/>
              <w:spacing w:after="240"/>
              <w:jc w:val="both"/>
              <w:rPr>
                <w:color w:val="000000" w:themeColor="text1"/>
              </w:rPr>
            </w:pPr>
          </w:p>
        </w:tc>
        <w:tc>
          <w:tcPr>
            <w:tcW w:w="7711" w:type="dxa"/>
            <w:tcMar>
              <w:left w:w="0" w:type="dxa"/>
            </w:tcMar>
          </w:tcPr>
          <w:p w14:paraId="6606E1EF" w14:textId="77777777" w:rsidR="00290725" w:rsidRPr="00E357B4" w:rsidRDefault="00290725" w:rsidP="00A96D94">
            <w:pPr>
              <w:spacing w:after="200"/>
              <w:rPr>
                <w:color w:val="0D0D0D" w:themeColor="text1" w:themeTint="F2"/>
              </w:rPr>
            </w:pPr>
            <w:r w:rsidRPr="00E357B4">
              <w:rPr>
                <w:color w:val="000000" w:themeColor="text1"/>
              </w:rPr>
              <w:t>Ve větši</w:t>
            </w:r>
            <w:r w:rsidRPr="00E357B4">
              <w:rPr>
                <w:color w:val="0D0D0D" w:themeColor="text1" w:themeTint="F2"/>
              </w:rPr>
              <w:t>ně malých oborů zaměřených na tvorbu produktů krátkodobé spotřeby loni růst již nepokračoval. Největší propad zasáhl kožedělný průmysl</w:t>
            </w:r>
            <w:r w:rsidRPr="00E357B4">
              <w:rPr>
                <w:rStyle w:val="Znakapoznpodarou"/>
                <w:color w:val="0D0D0D" w:themeColor="text1" w:themeTint="F2"/>
              </w:rPr>
              <w:footnoteReference w:id="23"/>
            </w:r>
            <w:r w:rsidRPr="00E357B4">
              <w:rPr>
                <w:color w:val="0D0D0D" w:themeColor="text1" w:themeTint="F2"/>
                <w:vertAlign w:val="superscript"/>
              </w:rPr>
              <w:t xml:space="preserve"> </w:t>
            </w:r>
            <w:r w:rsidRPr="00E357B4">
              <w:rPr>
                <w:color w:val="0D0D0D" w:themeColor="text1" w:themeTint="F2"/>
              </w:rPr>
              <w:t>(−9,2 %, srovnatelný s útlumem v roce 2020), výhradně kvůli výpadku zahraniční poptávky. Ta poznamenala i výkon oděvnictví, je</w:t>
            </w:r>
            <w:r>
              <w:rPr>
                <w:color w:val="0D0D0D" w:themeColor="text1" w:themeTint="F2"/>
              </w:rPr>
              <w:t>n</w:t>
            </w:r>
            <w:r w:rsidRPr="00E357B4">
              <w:rPr>
                <w:color w:val="0D0D0D" w:themeColor="text1" w:themeTint="F2"/>
              </w:rPr>
              <w:t>ž loni klesl o 5,9 % (nejvíce po roce 2009). Naopak za mírnějším poklesem ve výrobě nápojů (o 2,0 %) stála spíše tradičně dominantní tuzemská poptávka</w:t>
            </w:r>
            <w:r w:rsidRPr="00E357B4">
              <w:rPr>
                <w:rStyle w:val="Znakapoznpodarou"/>
                <w:color w:val="0D0D0D" w:themeColor="text1" w:themeTint="F2"/>
              </w:rPr>
              <w:footnoteReference w:id="24"/>
            </w:r>
            <w:r w:rsidRPr="00E357B4">
              <w:rPr>
                <w:color w:val="0D0D0D" w:themeColor="text1" w:themeTint="F2"/>
              </w:rPr>
              <w:t>. Ta ovlivnila také podobné snížení výkonu v tiskárenství. Oslabení dominantní zahraniční poptávky při současně svižném růstu tuzemského trhu (souvisejícím s vyšší poptávkou veřejného sektoru v oblasti bezpečnosti) vyústilo v mírný pokles výkonu farmaceutické</w:t>
            </w:r>
            <w:r>
              <w:rPr>
                <w:color w:val="0D0D0D" w:themeColor="text1" w:themeTint="F2"/>
              </w:rPr>
              <w:t>ho</w:t>
            </w:r>
            <w:r w:rsidRPr="00E357B4">
              <w:rPr>
                <w:color w:val="0D0D0D" w:themeColor="text1" w:themeTint="F2"/>
              </w:rPr>
              <w:t xml:space="preserve"> průmyslu (−0,8 %), první za posledních třináct </w:t>
            </w:r>
            <w:r w:rsidRPr="00E357B4">
              <w:rPr>
                <w:color w:val="0D0D0D" w:themeColor="text1" w:themeTint="F2"/>
              </w:rPr>
              <w:lastRenderedPageBreak/>
              <w:t>let. Naopak již třetí ro</w:t>
            </w:r>
            <w:r>
              <w:rPr>
                <w:color w:val="0D0D0D" w:themeColor="text1" w:themeTint="F2"/>
              </w:rPr>
              <w:t>k</w:t>
            </w:r>
            <w:r w:rsidRPr="00E357B4">
              <w:rPr>
                <w:color w:val="0D0D0D" w:themeColor="text1" w:themeTint="F2"/>
              </w:rPr>
              <w:t xml:space="preserve"> v řadě se snížila produkce v nábytkářském průmyslu, byť loni jen nepatrně (−0,1 %). V roce 2024 </w:t>
            </w:r>
            <w:r>
              <w:rPr>
                <w:color w:val="0D0D0D" w:themeColor="text1" w:themeTint="F2"/>
              </w:rPr>
              <w:t xml:space="preserve">i loni </w:t>
            </w:r>
            <w:r w:rsidRPr="00E357B4">
              <w:rPr>
                <w:color w:val="0D0D0D" w:themeColor="text1" w:themeTint="F2"/>
              </w:rPr>
              <w:t>za tím stála slabší domácí poptávka. Výše uvedený různorodý mix spotřebních oborů celkově loni působil proti růstu celého průmyslu silou 0,13 p. b.</w:t>
            </w:r>
          </w:p>
        </w:tc>
      </w:tr>
      <w:tr w:rsidR="00290725" w:rsidRPr="009658AC" w14:paraId="64B4510C" w14:textId="77777777" w:rsidTr="00A96D94">
        <w:trPr>
          <w:trHeight w:val="145"/>
        </w:trPr>
        <w:tc>
          <w:tcPr>
            <w:tcW w:w="1788" w:type="dxa"/>
            <w:tcMar>
              <w:left w:w="0" w:type="dxa"/>
            </w:tcMar>
          </w:tcPr>
          <w:p w14:paraId="464B5722" w14:textId="77777777" w:rsidR="00290725" w:rsidRDefault="00290725" w:rsidP="00A96D94">
            <w:pPr>
              <w:pStyle w:val="Marginlie"/>
              <w:rPr>
                <w:color w:val="0D0D0D" w:themeColor="text1" w:themeTint="F2"/>
                <w:spacing w:val="0"/>
              </w:rPr>
            </w:pPr>
            <w:r>
              <w:rPr>
                <w:color w:val="0D0D0D" w:themeColor="text1" w:themeTint="F2"/>
                <w:spacing w:val="0"/>
              </w:rPr>
              <w:lastRenderedPageBreak/>
              <w:t>Razantně zrychlil růst h</w:t>
            </w:r>
            <w:r w:rsidRPr="00EE0E68">
              <w:rPr>
                <w:color w:val="0D0D0D" w:themeColor="text1" w:themeTint="F2"/>
                <w:spacing w:val="0"/>
              </w:rPr>
              <w:t>odnot</w:t>
            </w:r>
            <w:r>
              <w:rPr>
                <w:color w:val="0D0D0D" w:themeColor="text1" w:themeTint="F2"/>
                <w:spacing w:val="0"/>
              </w:rPr>
              <w:t>y</w:t>
            </w:r>
            <w:r w:rsidRPr="00EE0E68">
              <w:rPr>
                <w:color w:val="0D0D0D" w:themeColor="text1" w:themeTint="F2"/>
                <w:spacing w:val="0"/>
              </w:rPr>
              <w:t xml:space="preserve"> nových zakázek </w:t>
            </w:r>
            <w:r>
              <w:rPr>
                <w:color w:val="0D0D0D" w:themeColor="text1" w:themeTint="F2"/>
                <w:spacing w:val="0"/>
              </w:rPr>
              <w:t xml:space="preserve">na konci roku 2025, a to díky zahraniční poptávce </w:t>
            </w:r>
            <w:r>
              <w:rPr>
                <w:color w:val="0D0D0D" w:themeColor="text1" w:themeTint="F2"/>
                <w:spacing w:val="0"/>
              </w:rPr>
              <w:br/>
              <w:t xml:space="preserve">v oblasti veřejné dopravy </w:t>
            </w:r>
            <w:r>
              <w:rPr>
                <w:color w:val="0D0D0D" w:themeColor="text1" w:themeTint="F2"/>
                <w:spacing w:val="0"/>
              </w:rPr>
              <w:br/>
              <w:t>i bezpečnosti.</w:t>
            </w:r>
          </w:p>
          <w:p w14:paraId="535A8CE4" w14:textId="77777777" w:rsidR="00290725" w:rsidRDefault="00290725" w:rsidP="00A96D94">
            <w:pPr>
              <w:pStyle w:val="Marginlie"/>
              <w:rPr>
                <w:color w:val="0D0D0D" w:themeColor="text1" w:themeTint="F2"/>
                <w:spacing w:val="0"/>
              </w:rPr>
            </w:pPr>
          </w:p>
          <w:p w14:paraId="53DBE2FD" w14:textId="77777777" w:rsidR="00290725" w:rsidRDefault="00290725" w:rsidP="00A96D94">
            <w:pPr>
              <w:pStyle w:val="Marginlie"/>
              <w:rPr>
                <w:color w:val="0D0D0D" w:themeColor="text1" w:themeTint="F2"/>
                <w:spacing w:val="0"/>
              </w:rPr>
            </w:pPr>
          </w:p>
          <w:p w14:paraId="359FEDC9" w14:textId="77777777" w:rsidR="00290725" w:rsidRDefault="00290725" w:rsidP="00A96D94">
            <w:pPr>
              <w:pStyle w:val="Marginlie"/>
              <w:rPr>
                <w:color w:val="0D0D0D" w:themeColor="text1" w:themeTint="F2"/>
                <w:spacing w:val="0"/>
              </w:rPr>
            </w:pPr>
          </w:p>
          <w:p w14:paraId="537204BF" w14:textId="77777777" w:rsidR="00290725" w:rsidRDefault="00290725" w:rsidP="00A96D94">
            <w:pPr>
              <w:pStyle w:val="Marginlie"/>
              <w:rPr>
                <w:color w:val="0D0D0D" w:themeColor="text1" w:themeTint="F2"/>
                <w:spacing w:val="0"/>
              </w:rPr>
            </w:pPr>
          </w:p>
          <w:p w14:paraId="582CED39" w14:textId="77777777" w:rsidR="00290725" w:rsidRDefault="00290725" w:rsidP="00A96D94">
            <w:pPr>
              <w:pStyle w:val="Marginlie"/>
              <w:rPr>
                <w:color w:val="0D0D0D" w:themeColor="text1" w:themeTint="F2"/>
                <w:spacing w:val="0"/>
              </w:rPr>
            </w:pPr>
          </w:p>
          <w:p w14:paraId="4E959BBE" w14:textId="77777777" w:rsidR="00290725" w:rsidRPr="008772DD" w:rsidRDefault="00290725" w:rsidP="00A96D94">
            <w:pPr>
              <w:pStyle w:val="Marginlie"/>
              <w:rPr>
                <w:color w:val="0D0D0D" w:themeColor="text1" w:themeTint="F2"/>
                <w:spacing w:val="0"/>
              </w:rPr>
            </w:pPr>
            <w:r>
              <w:rPr>
                <w:color w:val="0D0D0D" w:themeColor="text1" w:themeTint="F2"/>
                <w:spacing w:val="0"/>
              </w:rPr>
              <w:t>V řadě vesměs menších oborů se však poptávka nezvyšovala.</w:t>
            </w:r>
          </w:p>
        </w:tc>
        <w:tc>
          <w:tcPr>
            <w:tcW w:w="147" w:type="dxa"/>
            <w:tcMar>
              <w:left w:w="0" w:type="dxa"/>
            </w:tcMar>
          </w:tcPr>
          <w:p w14:paraId="5C84A169" w14:textId="77777777" w:rsidR="00290725" w:rsidRPr="00EE0E68" w:rsidRDefault="00290725" w:rsidP="00A96D94">
            <w:pPr>
              <w:pStyle w:val="Textpoznpodarou"/>
              <w:spacing w:after="240"/>
              <w:jc w:val="both"/>
              <w:rPr>
                <w:color w:val="000000" w:themeColor="text1"/>
              </w:rPr>
            </w:pPr>
          </w:p>
        </w:tc>
        <w:tc>
          <w:tcPr>
            <w:tcW w:w="7711" w:type="dxa"/>
            <w:tcMar>
              <w:left w:w="0" w:type="dxa"/>
            </w:tcMar>
          </w:tcPr>
          <w:p w14:paraId="67312DBB" w14:textId="77777777" w:rsidR="00290725" w:rsidRPr="00E357B4" w:rsidRDefault="00290725" w:rsidP="00A96D94">
            <w:pPr>
              <w:spacing w:after="200"/>
              <w:rPr>
                <w:color w:val="000000" w:themeColor="text1"/>
              </w:rPr>
            </w:pPr>
            <w:r w:rsidRPr="00E357B4">
              <w:rPr>
                <w:color w:val="000000" w:themeColor="text1"/>
              </w:rPr>
              <w:t xml:space="preserve">Vývoj </w:t>
            </w:r>
            <w:r w:rsidRPr="00E357B4">
              <w:rPr>
                <w:color w:val="0D0D0D" w:themeColor="text1" w:themeTint="F2"/>
              </w:rPr>
              <w:t>nominální hodnoty nových průmyslových zakázek</w:t>
            </w:r>
            <w:r w:rsidRPr="00E357B4">
              <w:rPr>
                <w:color w:val="0D0D0D" w:themeColor="text1" w:themeTint="F2"/>
                <w:vertAlign w:val="superscript"/>
              </w:rPr>
              <w:footnoteReference w:id="25"/>
            </w:r>
            <w:r w:rsidRPr="00E357B4">
              <w:rPr>
                <w:color w:val="0D0D0D" w:themeColor="text1" w:themeTint="F2"/>
              </w:rPr>
              <w:t xml:space="preserve"> byl loni z pohledu jednotlivých částí roku i dílčích oborů nerovnoměrný. Meziroční růst objemu zakázek </w:t>
            </w:r>
            <w:r w:rsidRPr="00E357B4">
              <w:rPr>
                <w:color w:val="000000" w:themeColor="text1"/>
              </w:rPr>
              <w:t>již během druhé poloviny předloňského roku zvolňoval a v 1. čtvrtletí 2025 se vinou slabší poptávky po klíčových exportních oborech zcela zastavil (−0,1 %). Následně však nastalo drobné oživení, které pokračovalo i během léta, a na samém konci roku přišel významnější růstový impuls. Ve 4. čtvrtletí objem zakázek posílil o desetinu (nejvíce za poslední tři roky). Přispěla k němu ovšem fakticky pouze zahraniční poptávka (především ve výrobě ostatních dopravních prostředků</w:t>
            </w:r>
            <w:r w:rsidRPr="00E357B4">
              <w:rPr>
                <w:rStyle w:val="Znakapoznpodarou"/>
                <w:color w:val="000000" w:themeColor="text1"/>
              </w:rPr>
              <w:footnoteReference w:id="26"/>
            </w:r>
            <w:r w:rsidRPr="00E357B4">
              <w:rPr>
                <w:color w:val="000000" w:themeColor="text1"/>
              </w:rPr>
              <w:t xml:space="preserve"> a v elektrotechnice i kovodělném průmyslu). Mírněji rostla zahraniční poptávka i v automobilovém průmyslu (+</w:t>
            </w:r>
            <w:r>
              <w:rPr>
                <w:color w:val="000000" w:themeColor="text1"/>
              </w:rPr>
              <w:t>5</w:t>
            </w:r>
            <w:r w:rsidRPr="00E357B4">
              <w:rPr>
                <w:color w:val="000000" w:themeColor="text1"/>
              </w:rPr>
              <w:t>,6 %, celoročně o 3,7 %). V úhrnu za celý loňský rok se hodnota veškerých zakázek v celém průmyslu zvýšila o</w:t>
            </w:r>
            <w:r>
              <w:rPr>
                <w:color w:val="000000" w:themeColor="text1"/>
              </w:rPr>
              <w:t> </w:t>
            </w:r>
            <w:r w:rsidRPr="00E357B4">
              <w:rPr>
                <w:color w:val="000000" w:themeColor="text1"/>
              </w:rPr>
              <w:t>3,9 %, z toho ve výrobě ostatních dopravních prostředků o 54</w:t>
            </w:r>
            <w:r>
              <w:rPr>
                <w:color w:val="000000" w:themeColor="text1"/>
              </w:rPr>
              <w:t>,1</w:t>
            </w:r>
            <w:r w:rsidRPr="00E357B4">
              <w:rPr>
                <w:color w:val="000000" w:themeColor="text1"/>
              </w:rPr>
              <w:t xml:space="preserve"> %</w:t>
            </w:r>
            <w:r w:rsidRPr="00E357B4">
              <w:rPr>
                <w:rStyle w:val="Znakapoznpodarou"/>
                <w:color w:val="000000" w:themeColor="text1"/>
              </w:rPr>
              <w:footnoteReference w:id="27"/>
            </w:r>
            <w:r w:rsidRPr="00E357B4">
              <w:rPr>
                <w:color w:val="000000" w:themeColor="text1"/>
              </w:rPr>
              <w:t>, v kovodělném průmyslu o 9,4 % a dále např. i ve strojírenství (+4,0 %). Naopak nejvíce klesly v elektronickém průmyslu (−</w:t>
            </w:r>
            <w:r>
              <w:rPr>
                <w:color w:val="000000" w:themeColor="text1"/>
              </w:rPr>
              <w:t>4</w:t>
            </w:r>
            <w:r w:rsidRPr="00E357B4">
              <w:rPr>
                <w:color w:val="000000" w:themeColor="text1"/>
              </w:rPr>
              <w:t>,6 %). Při zohlednění cen výrobců zakázky reálně mírněji klesly také v textilním, oděvním, papírenském a farmaceutickém průmyslu. V hutnictví a</w:t>
            </w:r>
            <w:r>
              <w:rPr>
                <w:color w:val="000000" w:themeColor="text1"/>
              </w:rPr>
              <w:t> </w:t>
            </w:r>
            <w:r w:rsidRPr="00E357B4">
              <w:rPr>
                <w:color w:val="000000" w:themeColor="text1"/>
              </w:rPr>
              <w:t xml:space="preserve">chemickém průmyslu touto optikou naopak velmi mírně rostly. </w:t>
            </w:r>
          </w:p>
        </w:tc>
      </w:tr>
      <w:tr w:rsidR="00290725" w:rsidRPr="00705C3E" w14:paraId="49A1C5C5" w14:textId="77777777" w:rsidTr="00A96D94">
        <w:trPr>
          <w:trHeight w:val="145"/>
        </w:trPr>
        <w:tc>
          <w:tcPr>
            <w:tcW w:w="1788" w:type="dxa"/>
            <w:tcMar>
              <w:left w:w="0" w:type="dxa"/>
            </w:tcMar>
          </w:tcPr>
          <w:p w14:paraId="74962BB2" w14:textId="77777777" w:rsidR="00290725" w:rsidRPr="00EE0E68" w:rsidRDefault="00290725" w:rsidP="00A96D94">
            <w:pPr>
              <w:pStyle w:val="Marginlie"/>
              <w:spacing w:after="240"/>
              <w:rPr>
                <w:color w:val="0D0D0D" w:themeColor="text1" w:themeTint="F2"/>
                <w:spacing w:val="0"/>
              </w:rPr>
            </w:pPr>
          </w:p>
        </w:tc>
        <w:tc>
          <w:tcPr>
            <w:tcW w:w="147" w:type="dxa"/>
            <w:tcMar>
              <w:left w:w="0" w:type="dxa"/>
            </w:tcMar>
          </w:tcPr>
          <w:p w14:paraId="401752E9" w14:textId="77777777" w:rsidR="00290725" w:rsidRPr="00EE0E68" w:rsidRDefault="00290725" w:rsidP="00A96D94">
            <w:pPr>
              <w:pStyle w:val="Textpoznpodarou"/>
              <w:spacing w:after="240"/>
              <w:jc w:val="both"/>
            </w:pPr>
          </w:p>
        </w:tc>
        <w:tc>
          <w:tcPr>
            <w:tcW w:w="7711" w:type="dxa"/>
            <w:tcMar>
              <w:left w:w="0" w:type="dxa"/>
            </w:tcMar>
          </w:tcPr>
          <w:p w14:paraId="59D4893D" w14:textId="77777777" w:rsidR="00290725" w:rsidRPr="00E357B4" w:rsidRDefault="00290725" w:rsidP="00A96D94">
            <w:pPr>
              <w:spacing w:after="40"/>
              <w:rPr>
                <w:color w:val="0D0D0D" w:themeColor="text1" w:themeTint="F2"/>
              </w:rPr>
            </w:pPr>
            <w:r w:rsidRPr="00E357B4">
              <w:rPr>
                <w:b/>
                <w:color w:val="0D0D0D" w:themeColor="text1" w:themeTint="F2"/>
              </w:rPr>
              <w:t>Graf č. 5 Nové zakázky v průmyslu</w:t>
            </w:r>
            <w:r w:rsidRPr="00E357B4">
              <w:rPr>
                <w:color w:val="0D0D0D" w:themeColor="text1" w:themeTint="F2"/>
              </w:rPr>
              <w:t xml:space="preserve"> (nominálně, meziročně, v %)</w:t>
            </w:r>
            <w:r w:rsidRPr="00E357B4">
              <w:rPr>
                <w:b/>
                <w:color w:val="0D0D0D" w:themeColor="text1" w:themeTint="F2"/>
              </w:rPr>
              <w:t>, využití výrobních kapacit v průmyslu, vybrané bariéry růstu*</w:t>
            </w:r>
            <w:r w:rsidRPr="00E357B4">
              <w:rPr>
                <w:color w:val="0D0D0D" w:themeColor="text1" w:themeTint="F2"/>
              </w:rPr>
              <w:t xml:space="preserve"> (v %, pravá osa) </w:t>
            </w:r>
            <w:r w:rsidRPr="00E357B4">
              <w:rPr>
                <w:b/>
                <w:color w:val="0D0D0D" w:themeColor="text1" w:themeTint="F2"/>
              </w:rPr>
              <w:t>a saldo důvěry podnikatelů v průmyslu*</w:t>
            </w:r>
            <w:r w:rsidRPr="00E357B4">
              <w:rPr>
                <w:color w:val="0D0D0D" w:themeColor="text1" w:themeTint="F2"/>
              </w:rPr>
              <w:t xml:space="preserve"> (v p. b., pravá osa)</w:t>
            </w:r>
          </w:p>
        </w:tc>
      </w:tr>
      <w:tr w:rsidR="00290725" w:rsidRPr="00705C3E" w14:paraId="2818A26D" w14:textId="77777777" w:rsidTr="00A96D94">
        <w:tblPrEx>
          <w:tblCellMar>
            <w:left w:w="70" w:type="dxa"/>
            <w:right w:w="70" w:type="dxa"/>
          </w:tblCellMar>
        </w:tblPrEx>
        <w:trPr>
          <w:trHeight w:val="145"/>
        </w:trPr>
        <w:tc>
          <w:tcPr>
            <w:tcW w:w="1788" w:type="dxa"/>
          </w:tcPr>
          <w:p w14:paraId="5E2D03E3" w14:textId="77777777" w:rsidR="00290725" w:rsidRPr="00EE0E68" w:rsidRDefault="00290725" w:rsidP="00A96D94">
            <w:pPr>
              <w:pStyle w:val="Marginlie"/>
              <w:spacing w:after="240"/>
              <w:rPr>
                <w:color w:val="0D0D0D" w:themeColor="text1" w:themeTint="F2"/>
                <w:spacing w:val="0"/>
              </w:rPr>
            </w:pPr>
          </w:p>
        </w:tc>
        <w:tc>
          <w:tcPr>
            <w:tcW w:w="147" w:type="dxa"/>
          </w:tcPr>
          <w:p w14:paraId="7FFAF5D3" w14:textId="77777777" w:rsidR="00290725" w:rsidRPr="00EE0E68" w:rsidRDefault="00290725" w:rsidP="00A96D94">
            <w:pPr>
              <w:pStyle w:val="Textpoznpodarou"/>
              <w:spacing w:after="240"/>
              <w:jc w:val="both"/>
            </w:pPr>
          </w:p>
        </w:tc>
        <w:tc>
          <w:tcPr>
            <w:tcW w:w="7711" w:type="dxa"/>
          </w:tcPr>
          <w:p w14:paraId="59B5A21A" w14:textId="77777777" w:rsidR="00290725" w:rsidRPr="00E357B4" w:rsidRDefault="00290725" w:rsidP="00A96D94">
            <w:pPr>
              <w:spacing w:before="40" w:after="40"/>
              <w:rPr>
                <w:color w:val="0D0D0D" w:themeColor="text1" w:themeTint="F2"/>
              </w:rPr>
            </w:pPr>
            <w:r w:rsidRPr="00E357B4">
              <w:rPr>
                <w:noProof/>
              </w:rPr>
              <w:drawing>
                <wp:inline distT="0" distB="0" distL="0" distR="0" wp14:anchorId="1241DA08" wp14:editId="035627F9">
                  <wp:extent cx="4692650" cy="3600450"/>
                  <wp:effectExtent l="0" t="0" r="0" b="0"/>
                  <wp:docPr id="1928630191" name="Graf 1">
                    <a:extLst xmlns:a="http://schemas.openxmlformats.org/drawingml/2006/main">
                      <a:ext uri="{FF2B5EF4-FFF2-40B4-BE49-F238E27FC236}">
                        <a16:creationId xmlns:a16="http://schemas.microsoft.com/office/drawing/2014/main" id="{00000000-0008-0000-07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r w:rsidR="00290725" w:rsidRPr="00705C3E" w14:paraId="105C7551" w14:textId="77777777" w:rsidTr="00A96D94">
        <w:trPr>
          <w:trHeight w:val="145"/>
        </w:trPr>
        <w:tc>
          <w:tcPr>
            <w:tcW w:w="1788" w:type="dxa"/>
            <w:tcMar>
              <w:left w:w="0" w:type="dxa"/>
            </w:tcMar>
          </w:tcPr>
          <w:p w14:paraId="541C076A" w14:textId="77777777" w:rsidR="00290725" w:rsidRPr="00EE0E68" w:rsidRDefault="00290725" w:rsidP="00A96D94">
            <w:pPr>
              <w:pStyle w:val="Marginlie"/>
              <w:spacing w:after="240"/>
              <w:rPr>
                <w:color w:val="0D0D0D" w:themeColor="text1" w:themeTint="F2"/>
                <w:spacing w:val="0"/>
              </w:rPr>
            </w:pPr>
          </w:p>
        </w:tc>
        <w:tc>
          <w:tcPr>
            <w:tcW w:w="147" w:type="dxa"/>
            <w:tcMar>
              <w:left w:w="0" w:type="dxa"/>
            </w:tcMar>
          </w:tcPr>
          <w:p w14:paraId="525542DA" w14:textId="77777777" w:rsidR="00290725" w:rsidRPr="00EE0E68" w:rsidRDefault="00290725" w:rsidP="00A96D94">
            <w:pPr>
              <w:pStyle w:val="Textpoznpodarou"/>
              <w:spacing w:after="240"/>
              <w:jc w:val="both"/>
            </w:pPr>
          </w:p>
        </w:tc>
        <w:tc>
          <w:tcPr>
            <w:tcW w:w="7711" w:type="dxa"/>
            <w:tcMar>
              <w:left w:w="0" w:type="dxa"/>
            </w:tcMar>
          </w:tcPr>
          <w:p w14:paraId="2BF27AC4" w14:textId="77777777" w:rsidR="00290725" w:rsidRPr="00E357B4" w:rsidRDefault="00290725" w:rsidP="00A96D94">
            <w:pPr>
              <w:spacing w:after="220"/>
              <w:jc w:val="left"/>
              <w:rPr>
                <w:color w:val="0D0D0D" w:themeColor="text1" w:themeTint="F2"/>
                <w:sz w:val="14"/>
                <w:szCs w:val="14"/>
              </w:rPr>
            </w:pPr>
            <w:r w:rsidRPr="00E357B4">
              <w:rPr>
                <w:color w:val="0D0D0D" w:themeColor="text1" w:themeTint="F2"/>
                <w:sz w:val="14"/>
                <w:szCs w:val="14"/>
              </w:rPr>
              <w:t xml:space="preserve">*Využití průmyslových kapacit i bariéry růstu vyjadřují stav v prvním měsíci daného čtvrtletí, saldo důvěry podnikatelů je vztaženo ke druhému měsíci čtvrtletí. Zakázky jsou očištěny o kalendářní vlivy, ostatní ukazatele jsou sezónně očištěny. Podniky mohly uvést více hlavních růstových bariér současně.                                                                                                                                Zdroj: ČSÚ, </w:t>
            </w:r>
            <w:proofErr w:type="spellStart"/>
            <w:r w:rsidRPr="00E357B4">
              <w:rPr>
                <w:color w:val="0D0D0D" w:themeColor="text1" w:themeTint="F2"/>
                <w:sz w:val="14"/>
                <w:szCs w:val="14"/>
              </w:rPr>
              <w:t>Eurostat</w:t>
            </w:r>
            <w:proofErr w:type="spellEnd"/>
          </w:p>
        </w:tc>
      </w:tr>
      <w:tr w:rsidR="00290725" w:rsidRPr="00710F53" w14:paraId="50DB3B25" w14:textId="77777777" w:rsidTr="00A96D94">
        <w:trPr>
          <w:trHeight w:val="145"/>
        </w:trPr>
        <w:tc>
          <w:tcPr>
            <w:tcW w:w="1788" w:type="dxa"/>
            <w:tcMar>
              <w:left w:w="0" w:type="dxa"/>
            </w:tcMar>
          </w:tcPr>
          <w:p w14:paraId="460D5C2C" w14:textId="77777777" w:rsidR="00290725" w:rsidRPr="00F03FEE" w:rsidRDefault="00290725" w:rsidP="00A96D94">
            <w:pPr>
              <w:pStyle w:val="Marginlie"/>
              <w:rPr>
                <w:color w:val="0D0D0D" w:themeColor="text1" w:themeTint="F2"/>
                <w:spacing w:val="0"/>
              </w:rPr>
            </w:pPr>
            <w:r w:rsidRPr="00F501E1">
              <w:rPr>
                <w:color w:val="0D0D0D" w:themeColor="text1" w:themeTint="F2"/>
                <w:spacing w:val="0"/>
              </w:rPr>
              <w:lastRenderedPageBreak/>
              <w:t xml:space="preserve">Důvěra firem v průmyslu setrvávala v lehce negativním pásmu. Polovinu firem sužovala nedostatečná </w:t>
            </w:r>
            <w:r w:rsidRPr="00F03FEE">
              <w:rPr>
                <w:color w:val="0D0D0D" w:themeColor="text1" w:themeTint="F2"/>
                <w:spacing w:val="0"/>
              </w:rPr>
              <w:t>poptávka.</w:t>
            </w:r>
          </w:p>
          <w:p w14:paraId="0995E339" w14:textId="77777777" w:rsidR="00290725" w:rsidRDefault="00290725" w:rsidP="00A96D94">
            <w:pPr>
              <w:pStyle w:val="Marginlie"/>
              <w:rPr>
                <w:color w:val="0D0D0D" w:themeColor="text1" w:themeTint="F2"/>
                <w:spacing w:val="0"/>
              </w:rPr>
            </w:pPr>
          </w:p>
          <w:p w14:paraId="563AB003" w14:textId="77777777" w:rsidR="00290725" w:rsidRDefault="00290725" w:rsidP="00A96D94">
            <w:pPr>
              <w:pStyle w:val="Marginlie"/>
              <w:rPr>
                <w:color w:val="0D0D0D" w:themeColor="text1" w:themeTint="F2"/>
                <w:spacing w:val="0"/>
              </w:rPr>
            </w:pPr>
          </w:p>
          <w:p w14:paraId="247F46AC" w14:textId="77777777" w:rsidR="00290725" w:rsidRDefault="00290725" w:rsidP="00A96D94">
            <w:pPr>
              <w:pStyle w:val="Marginlie"/>
              <w:rPr>
                <w:color w:val="0D0D0D" w:themeColor="text1" w:themeTint="F2"/>
                <w:spacing w:val="0"/>
              </w:rPr>
            </w:pPr>
          </w:p>
          <w:p w14:paraId="41C6F752" w14:textId="77777777" w:rsidR="00290725" w:rsidRDefault="00290725" w:rsidP="00A96D94">
            <w:pPr>
              <w:pStyle w:val="Marginlie"/>
              <w:rPr>
                <w:color w:val="0D0D0D" w:themeColor="text1" w:themeTint="F2"/>
                <w:spacing w:val="0"/>
              </w:rPr>
            </w:pPr>
          </w:p>
          <w:p w14:paraId="090ADF88" w14:textId="77777777" w:rsidR="00290725" w:rsidRDefault="00290725" w:rsidP="00A96D94">
            <w:pPr>
              <w:pStyle w:val="Marginlie"/>
              <w:rPr>
                <w:color w:val="0D0D0D" w:themeColor="text1" w:themeTint="F2"/>
                <w:spacing w:val="0"/>
              </w:rPr>
            </w:pPr>
          </w:p>
          <w:p w14:paraId="012E169D" w14:textId="77777777" w:rsidR="00290725" w:rsidRPr="00F501E1" w:rsidRDefault="00290725" w:rsidP="00A96D94">
            <w:pPr>
              <w:pStyle w:val="Marginlie"/>
              <w:rPr>
                <w:color w:val="0D0D0D" w:themeColor="text1" w:themeTint="F2"/>
                <w:spacing w:val="0"/>
              </w:rPr>
            </w:pPr>
            <w:r>
              <w:rPr>
                <w:color w:val="0D0D0D" w:themeColor="text1" w:themeTint="F2"/>
                <w:spacing w:val="0"/>
              </w:rPr>
              <w:t>V</w:t>
            </w:r>
            <w:r w:rsidRPr="00F03FEE">
              <w:rPr>
                <w:color w:val="0D0D0D" w:themeColor="text1" w:themeTint="F2"/>
                <w:spacing w:val="0"/>
              </w:rPr>
              <w:t xml:space="preserve"> meziročním pohledu </w:t>
            </w:r>
            <w:r w:rsidRPr="00F501E1">
              <w:rPr>
                <w:color w:val="0D0D0D" w:themeColor="text1" w:themeTint="F2"/>
                <w:spacing w:val="0"/>
              </w:rPr>
              <w:t>bylo ale patrné zlepšení</w:t>
            </w:r>
            <w:r>
              <w:rPr>
                <w:color w:val="0D0D0D" w:themeColor="text1" w:themeTint="F2"/>
                <w:spacing w:val="0"/>
              </w:rPr>
              <w:t xml:space="preserve"> poptávky, očekávání výroby, zaměstnanosti </w:t>
            </w:r>
            <w:r>
              <w:rPr>
                <w:color w:val="0D0D0D" w:themeColor="text1" w:themeTint="F2"/>
                <w:spacing w:val="0"/>
              </w:rPr>
              <w:br/>
              <w:t>a také ekonomické situace podniků.</w:t>
            </w:r>
          </w:p>
          <w:p w14:paraId="60262CF8" w14:textId="77777777" w:rsidR="00290725" w:rsidRDefault="00290725" w:rsidP="00A96D94">
            <w:pPr>
              <w:pStyle w:val="Marginlie"/>
              <w:rPr>
                <w:color w:val="0D0D0D" w:themeColor="text1" w:themeTint="F2"/>
                <w:spacing w:val="0"/>
              </w:rPr>
            </w:pPr>
          </w:p>
        </w:tc>
        <w:tc>
          <w:tcPr>
            <w:tcW w:w="147" w:type="dxa"/>
            <w:tcMar>
              <w:left w:w="0" w:type="dxa"/>
            </w:tcMar>
          </w:tcPr>
          <w:p w14:paraId="33981F2E" w14:textId="77777777" w:rsidR="00290725" w:rsidRPr="00EE0E68" w:rsidRDefault="00290725" w:rsidP="00A96D94">
            <w:pPr>
              <w:pStyle w:val="Textpoznpodarou"/>
              <w:spacing w:after="240"/>
              <w:jc w:val="both"/>
              <w:rPr>
                <w:color w:val="0D0D0D" w:themeColor="text1" w:themeTint="F2"/>
              </w:rPr>
            </w:pPr>
          </w:p>
        </w:tc>
        <w:tc>
          <w:tcPr>
            <w:tcW w:w="7711" w:type="dxa"/>
            <w:tcMar>
              <w:left w:w="0" w:type="dxa"/>
            </w:tcMar>
          </w:tcPr>
          <w:p w14:paraId="6DF0FB07" w14:textId="77777777" w:rsidR="00290725" w:rsidRPr="00E357B4" w:rsidRDefault="00290725" w:rsidP="00A96D94">
            <w:pPr>
              <w:spacing w:after="200"/>
              <w:rPr>
                <w:color w:val="0D0D0D" w:themeColor="text1" w:themeTint="F2"/>
              </w:rPr>
            </w:pPr>
            <w:r w:rsidRPr="00E357B4">
              <w:rPr>
                <w:color w:val="0D0D0D" w:themeColor="text1" w:themeTint="F2"/>
              </w:rPr>
              <w:t>Důvěra podnikatelů v průmyslu se během roku 2025 příliš neměnila a setrvávala v lehce negativním pásmu. Přesto již loni na podzim a také na počátku letošního roku byly patrné náznaky dílčího oživení. V únoru 2026 činilo saldo důvěry −2 p. b. (ta zároveň zůstávala lehce pod dlouhodobým průměrem). Zmírňoval se negativní náhled na nynější poptávku, především zahraniční. Růst poptávky s výhledem na letošní jarní období předpokládala již pětina podniků (pokles jen 3 %), což se promítlo do převažujících pozitivních očekávání výroby. Ubývalo firem plánujících propuštění a též pokles evidenčního počtu zaměstnanců během roku 2025 zvolňoval</w:t>
            </w:r>
            <w:r w:rsidRPr="00E357B4">
              <w:rPr>
                <w:rStyle w:val="Znakapoznpodarou"/>
                <w:color w:val="0D0D0D" w:themeColor="text1" w:themeTint="F2"/>
              </w:rPr>
              <w:footnoteReference w:id="28"/>
            </w:r>
            <w:r w:rsidRPr="00E357B4">
              <w:rPr>
                <w:color w:val="0D0D0D" w:themeColor="text1" w:themeTint="F2"/>
              </w:rPr>
              <w:t>. Aktuální ekonomická situace firem se na přelomu roku zlepšovala a také její vyhlídky byly mírně pozitivní</w:t>
            </w:r>
            <w:r w:rsidRPr="00E357B4">
              <w:rPr>
                <w:rStyle w:val="Znakapoznpodarou"/>
                <w:color w:val="0D0D0D" w:themeColor="text1" w:themeTint="F2"/>
              </w:rPr>
              <w:footnoteReference w:id="29"/>
            </w:r>
            <w:r w:rsidRPr="00E357B4">
              <w:rPr>
                <w:color w:val="0D0D0D" w:themeColor="text1" w:themeTint="F2"/>
              </w:rPr>
              <w:t>. Již třetí rok v řadě zůstává klíčovou růstovou bariérou v průmyslu nedostatečná poptávka</w:t>
            </w:r>
            <w:r w:rsidRPr="00E357B4">
              <w:rPr>
                <w:rStyle w:val="Znakapoznpodarou"/>
                <w:rFonts w:eastAsia="MS Gothic"/>
                <w:szCs w:val="20"/>
              </w:rPr>
              <w:footnoteReference w:id="30"/>
            </w:r>
            <w:r w:rsidRPr="00E357B4">
              <w:rPr>
                <w:color w:val="0D0D0D" w:themeColor="text1" w:themeTint="F2"/>
              </w:rPr>
              <w:t xml:space="preserve">. Tu letos v lednu uvedlo </w:t>
            </w:r>
            <w:r w:rsidRPr="00E357B4">
              <w:rPr>
                <w:rStyle w:val="normaltextrun"/>
                <w:rFonts w:eastAsia="MS Gothic" w:cs="Arial"/>
                <w:szCs w:val="20"/>
              </w:rPr>
              <w:t>53 % podniků, meziročně se však její role snížila (o 10 p. b.). Naopak stabilně desetinu podniků trápí nedostatek pracovníků, resp. materiálů či zařízení. Příznivé je, že meziročně se téměř zdvojnásobil podíl firem, jež žádné významné bariéry neuvedly (na 26 %, nejvíce za posledních pět let). Využití výrobních kapacit v průmyslu dosáhlo letos v lednu 82 %, meziročně se téměř nezměnilo a ve srovnání s konjunkturním obdobím 2015 až 2019 bylo nižší o 2,5 p. b. V automobilovém průmyslu bylo jejich využití tradičně vysoké (90 %), avšak i zde za obdobím poslední konju</w:t>
            </w:r>
            <w:r>
              <w:rPr>
                <w:rStyle w:val="normaltextrun"/>
                <w:rFonts w:eastAsia="MS Gothic" w:cs="Arial"/>
                <w:szCs w:val="20"/>
              </w:rPr>
              <w:t>n</w:t>
            </w:r>
            <w:r w:rsidRPr="00E357B4">
              <w:rPr>
                <w:rStyle w:val="normaltextrun"/>
                <w:rFonts w:eastAsia="MS Gothic" w:cs="Arial"/>
                <w:szCs w:val="20"/>
              </w:rPr>
              <w:t>ktury lehce zaostávalo</w:t>
            </w:r>
            <w:r w:rsidRPr="00E357B4">
              <w:rPr>
                <w:rStyle w:val="Znakapoznpodarou"/>
                <w:rFonts w:eastAsia="MS Gothic"/>
                <w:szCs w:val="20"/>
              </w:rPr>
              <w:footnoteReference w:id="31"/>
            </w:r>
            <w:r w:rsidRPr="00E357B4">
              <w:rPr>
                <w:rStyle w:val="normaltextrun"/>
                <w:rFonts w:eastAsia="MS Gothic" w:cs="Arial"/>
                <w:szCs w:val="20"/>
              </w:rPr>
              <w:t xml:space="preserve">. </w:t>
            </w:r>
          </w:p>
        </w:tc>
      </w:tr>
      <w:tr w:rsidR="00290725" w:rsidRPr="00710F53" w14:paraId="25F2816D" w14:textId="77777777" w:rsidTr="00A96D94">
        <w:trPr>
          <w:trHeight w:val="145"/>
        </w:trPr>
        <w:tc>
          <w:tcPr>
            <w:tcW w:w="1788" w:type="dxa"/>
            <w:tcMar>
              <w:left w:w="0" w:type="dxa"/>
            </w:tcMar>
          </w:tcPr>
          <w:p w14:paraId="0578E12C" w14:textId="77777777" w:rsidR="00290725" w:rsidRDefault="00290725" w:rsidP="00A96D94">
            <w:pPr>
              <w:pStyle w:val="Marginlie"/>
              <w:rPr>
                <w:color w:val="0D0D0D" w:themeColor="text1" w:themeTint="F2"/>
                <w:spacing w:val="0"/>
              </w:rPr>
            </w:pPr>
            <w:r>
              <w:rPr>
                <w:color w:val="0D0D0D" w:themeColor="text1" w:themeTint="F2"/>
                <w:spacing w:val="0"/>
              </w:rPr>
              <w:t>Průmyslová produkce v EU loni vzrostla podobným tempem jako v Česku. Zřetelnější náznak akcelerace na konci roku však v Unii nebyl patrný.</w:t>
            </w:r>
          </w:p>
          <w:p w14:paraId="09630996" w14:textId="77777777" w:rsidR="00290725" w:rsidRDefault="00290725" w:rsidP="00A96D94">
            <w:pPr>
              <w:pStyle w:val="Marginlie"/>
              <w:rPr>
                <w:color w:val="0D0D0D" w:themeColor="text1" w:themeTint="F2"/>
                <w:spacing w:val="0"/>
              </w:rPr>
            </w:pPr>
          </w:p>
          <w:p w14:paraId="3773869A" w14:textId="77777777" w:rsidR="00290725" w:rsidRDefault="00290725" w:rsidP="00A96D94">
            <w:pPr>
              <w:pStyle w:val="Marginlie"/>
              <w:rPr>
                <w:color w:val="0D0D0D" w:themeColor="text1" w:themeTint="F2"/>
                <w:spacing w:val="0"/>
              </w:rPr>
            </w:pPr>
          </w:p>
          <w:p w14:paraId="65FF83E1" w14:textId="77777777" w:rsidR="00290725" w:rsidRDefault="00290725" w:rsidP="00A96D94">
            <w:pPr>
              <w:pStyle w:val="Marginlie"/>
              <w:rPr>
                <w:color w:val="0D0D0D" w:themeColor="text1" w:themeTint="F2"/>
                <w:spacing w:val="0"/>
              </w:rPr>
            </w:pPr>
          </w:p>
          <w:p w14:paraId="167348F3" w14:textId="77777777" w:rsidR="00290725" w:rsidRDefault="00290725" w:rsidP="00A96D94">
            <w:pPr>
              <w:pStyle w:val="Marginlie"/>
              <w:rPr>
                <w:color w:val="0D0D0D" w:themeColor="text1" w:themeTint="F2"/>
                <w:spacing w:val="0"/>
              </w:rPr>
            </w:pPr>
          </w:p>
          <w:p w14:paraId="5FC24F91" w14:textId="77777777" w:rsidR="00290725" w:rsidRDefault="00290725" w:rsidP="00A96D94">
            <w:pPr>
              <w:pStyle w:val="Marginlie"/>
              <w:rPr>
                <w:color w:val="0D0D0D" w:themeColor="text1" w:themeTint="F2"/>
                <w:spacing w:val="0"/>
              </w:rPr>
            </w:pPr>
          </w:p>
          <w:p w14:paraId="3C735DD8" w14:textId="77777777" w:rsidR="00290725" w:rsidRDefault="00290725" w:rsidP="00A96D94">
            <w:pPr>
              <w:pStyle w:val="Marginlie"/>
              <w:rPr>
                <w:color w:val="0D0D0D" w:themeColor="text1" w:themeTint="F2"/>
                <w:spacing w:val="0"/>
              </w:rPr>
            </w:pPr>
          </w:p>
          <w:p w14:paraId="30E3FE16" w14:textId="77777777" w:rsidR="00290725" w:rsidRDefault="00290725" w:rsidP="00A96D94">
            <w:pPr>
              <w:pStyle w:val="Marginlie"/>
              <w:rPr>
                <w:color w:val="0D0D0D" w:themeColor="text1" w:themeTint="F2"/>
                <w:spacing w:val="0"/>
              </w:rPr>
            </w:pPr>
            <w:r>
              <w:rPr>
                <w:color w:val="0D0D0D" w:themeColor="text1" w:themeTint="F2"/>
                <w:spacing w:val="0"/>
              </w:rPr>
              <w:t>V Německu se mírný růst produkce obnovil až na konci loňského roku, nepříznivý vývoj zaměstnanosti v průmyslu zde ovšem přetrvával.</w:t>
            </w:r>
          </w:p>
        </w:tc>
        <w:tc>
          <w:tcPr>
            <w:tcW w:w="147" w:type="dxa"/>
            <w:tcMar>
              <w:left w:w="0" w:type="dxa"/>
            </w:tcMar>
          </w:tcPr>
          <w:p w14:paraId="35976AEF" w14:textId="77777777" w:rsidR="00290725" w:rsidRPr="00EE0E68" w:rsidRDefault="00290725" w:rsidP="00A96D94">
            <w:pPr>
              <w:pStyle w:val="Textpoznpodarou"/>
              <w:spacing w:after="240"/>
              <w:jc w:val="both"/>
              <w:rPr>
                <w:color w:val="0D0D0D" w:themeColor="text1" w:themeTint="F2"/>
              </w:rPr>
            </w:pPr>
          </w:p>
        </w:tc>
        <w:tc>
          <w:tcPr>
            <w:tcW w:w="7711" w:type="dxa"/>
            <w:tcMar>
              <w:left w:w="0" w:type="dxa"/>
            </w:tcMar>
          </w:tcPr>
          <w:p w14:paraId="0CEE1D9B" w14:textId="77777777" w:rsidR="00290725" w:rsidRPr="00E357B4" w:rsidRDefault="00290725" w:rsidP="00A96D94">
            <w:pPr>
              <w:spacing w:after="200"/>
              <w:rPr>
                <w:color w:val="0D0D0D" w:themeColor="text1" w:themeTint="F2"/>
              </w:rPr>
            </w:pPr>
            <w:r w:rsidRPr="00E357B4">
              <w:rPr>
                <w:color w:val="0D0D0D" w:themeColor="text1" w:themeTint="F2"/>
              </w:rPr>
              <w:t xml:space="preserve">Průmysl v EU se již </w:t>
            </w:r>
            <w:r>
              <w:rPr>
                <w:color w:val="0D0D0D" w:themeColor="text1" w:themeTint="F2"/>
              </w:rPr>
              <w:t xml:space="preserve">na </w:t>
            </w:r>
            <w:r w:rsidRPr="00E357B4">
              <w:rPr>
                <w:color w:val="0D0D0D" w:themeColor="text1" w:themeTint="F2"/>
              </w:rPr>
              <w:t xml:space="preserve">konci roku 2024 vymanil z mírné recese a jeho oživení </w:t>
            </w:r>
            <w:r>
              <w:rPr>
                <w:color w:val="0D0D0D" w:themeColor="text1" w:themeTint="F2"/>
              </w:rPr>
              <w:br/>
            </w:r>
            <w:r w:rsidRPr="00E357B4">
              <w:rPr>
                <w:color w:val="0D0D0D" w:themeColor="text1" w:themeTint="F2"/>
              </w:rPr>
              <w:t xml:space="preserve">v 1. čtvrtletí 2025 bylo spojeno s obory zaměřenými na investiční produkty. Ve druhé části roku se udržoval mírný </w:t>
            </w:r>
            <w:proofErr w:type="spellStart"/>
            <w:r w:rsidRPr="00E357B4">
              <w:rPr>
                <w:color w:val="0D0D0D" w:themeColor="text1" w:themeTint="F2"/>
              </w:rPr>
              <w:t>mezikvartální</w:t>
            </w:r>
            <w:proofErr w:type="spellEnd"/>
            <w:r w:rsidRPr="00E357B4">
              <w:rPr>
                <w:color w:val="0D0D0D" w:themeColor="text1" w:themeTint="F2"/>
              </w:rPr>
              <w:t xml:space="preserve"> růst produkce (0,2 až 0,3 %) tažený především investičními obory a zčásti i vyšší poptávkou po spotřebním zboží. V Česku bylo na konci loňského roku oživení průmyslu výraznější a stálo hlavně na vyšší produkci oborů zacílených na investice a meziprodukty. Za celý rok 2025 se výkon celého průmyslu v EU zvýšil o 1,5</w:t>
            </w:r>
            <w:r>
              <w:rPr>
                <w:color w:val="0D0D0D" w:themeColor="text1" w:themeTint="F2"/>
              </w:rPr>
              <w:t> </w:t>
            </w:r>
            <w:r w:rsidRPr="00E357B4">
              <w:rPr>
                <w:color w:val="0D0D0D" w:themeColor="text1" w:themeTint="F2"/>
              </w:rPr>
              <w:t>% (v Česku o 2,2 %). Nejvíce se zde projevila vyšší produkce oborů vyrábějících spotřební zboží (+4,8 %), zejména krátkodobé spotřeby. Naopak čtvrtý rok v řadě se snížil výkon oborů zaměřených na meziprodukty (−0,3 %), např. chemický průmysl, gumárenství a</w:t>
            </w:r>
            <w:r>
              <w:rPr>
                <w:color w:val="0D0D0D" w:themeColor="text1" w:themeTint="F2"/>
              </w:rPr>
              <w:t> </w:t>
            </w:r>
            <w:proofErr w:type="spellStart"/>
            <w:r w:rsidRPr="00E357B4">
              <w:rPr>
                <w:color w:val="0D0D0D" w:themeColor="text1" w:themeTint="F2"/>
              </w:rPr>
              <w:t>plastikářství</w:t>
            </w:r>
            <w:proofErr w:type="spellEnd"/>
            <w:r w:rsidRPr="00E357B4">
              <w:rPr>
                <w:color w:val="0D0D0D" w:themeColor="text1" w:themeTint="F2"/>
              </w:rPr>
              <w:t xml:space="preserve"> nebo výroba stavebních materiálů. Za celý loňský rok docílily mezi členskými státy nejvyššího růstu průmyslu Irsko (+17,7 %</w:t>
            </w:r>
            <w:r w:rsidRPr="00E357B4">
              <w:rPr>
                <w:rStyle w:val="Znakapoznpodarou"/>
                <w:color w:val="0D0D0D" w:themeColor="text1" w:themeTint="F2"/>
              </w:rPr>
              <w:footnoteReference w:id="32"/>
            </w:r>
            <w:r w:rsidRPr="00E357B4">
              <w:rPr>
                <w:color w:val="0D0D0D" w:themeColor="text1" w:themeTint="F2"/>
              </w:rPr>
              <w:t>), Švédsko (+4,7 %) a</w:t>
            </w:r>
            <w:r>
              <w:rPr>
                <w:color w:val="0D0D0D" w:themeColor="text1" w:themeTint="F2"/>
              </w:rPr>
              <w:t> </w:t>
            </w:r>
            <w:r w:rsidRPr="00E357B4">
              <w:rPr>
                <w:color w:val="0D0D0D" w:themeColor="text1" w:themeTint="F2"/>
              </w:rPr>
              <w:t xml:space="preserve">Lotyšsko (+4,0 %), z významnějších ekonomik Polsko (+2,5 %), Španělsko (+1,2 %) a Francie (+0,7 %). Naopak nejvyšší pokles postihl Bulharsko </w:t>
            </w:r>
            <w:r>
              <w:rPr>
                <w:color w:val="0D0D0D" w:themeColor="text1" w:themeTint="F2"/>
              </w:rPr>
              <w:br/>
            </w:r>
            <w:r w:rsidRPr="00E357B4">
              <w:rPr>
                <w:color w:val="0D0D0D" w:themeColor="text1" w:themeTint="F2"/>
              </w:rPr>
              <w:t>(−7,3 %, při útlumu energetiky i hutnictví), třetí rok v řadě klesala produkc</w:t>
            </w:r>
            <w:r>
              <w:rPr>
                <w:color w:val="0D0D0D" w:themeColor="text1" w:themeTint="F2"/>
              </w:rPr>
              <w:t>e</w:t>
            </w:r>
            <w:r w:rsidRPr="00E357B4">
              <w:rPr>
                <w:color w:val="0D0D0D" w:themeColor="text1" w:themeTint="F2"/>
              </w:rPr>
              <w:t xml:space="preserve"> také v Maďarsku (loni o 3,6 %, při hlubším poklesu /</w:t>
            </w:r>
            <w:proofErr w:type="spellStart"/>
            <w:r w:rsidRPr="00E357B4">
              <w:rPr>
                <w:color w:val="0D0D0D" w:themeColor="text1" w:themeTint="F2"/>
              </w:rPr>
              <w:t>petro</w:t>
            </w:r>
            <w:proofErr w:type="spellEnd"/>
            <w:r w:rsidRPr="00E357B4">
              <w:rPr>
                <w:color w:val="0D0D0D" w:themeColor="text1" w:themeTint="F2"/>
              </w:rPr>
              <w:t>-/chemického průmyslu, výroby automobilů a dalších investičních oborů a výroby většiny meziproduktů) a dále nastal útlum také na Slovensku (−3,0 %, při citelném propadu výkonu energetiky). Z významných producentů klesl loni výkon průmyslu v Itálii (−0,3 %) a v Německu (−0,9 %</w:t>
            </w:r>
            <w:r w:rsidRPr="00E357B4">
              <w:rPr>
                <w:rStyle w:val="Znakapoznpodarou"/>
                <w:color w:val="0D0D0D" w:themeColor="text1" w:themeTint="F2"/>
              </w:rPr>
              <w:footnoteReference w:id="33"/>
            </w:r>
            <w:r w:rsidRPr="00E357B4">
              <w:rPr>
                <w:color w:val="0D0D0D" w:themeColor="text1" w:themeTint="F2"/>
              </w:rPr>
              <w:t>), kde sice recese tohoto odvětví nebyla tak výrazná jako v letech 2023 i 2024, avšak trvala čtvrtý rok v řadě. Loni se zde projevil hlavně pokles v tradičních exportních oblastech (</w:t>
            </w:r>
            <w:proofErr w:type="spellStart"/>
            <w:r w:rsidRPr="00E357B4">
              <w:rPr>
                <w:color w:val="0D0D0D" w:themeColor="text1" w:themeTint="F2"/>
              </w:rPr>
              <w:t>automotive</w:t>
            </w:r>
            <w:proofErr w:type="spellEnd"/>
            <w:r w:rsidRPr="00E357B4">
              <w:rPr>
                <w:color w:val="0D0D0D" w:themeColor="text1" w:themeTint="F2"/>
              </w:rPr>
              <w:t xml:space="preserve">, strojírenství), navíc kromě energetiky klesala produkce ve všech dalších významných oborech. </w:t>
            </w:r>
          </w:p>
        </w:tc>
      </w:tr>
      <w:tr w:rsidR="00290725" w:rsidRPr="00710F53" w14:paraId="7C66A5CC" w14:textId="77777777" w:rsidTr="00A96D94">
        <w:trPr>
          <w:trHeight w:val="145"/>
        </w:trPr>
        <w:tc>
          <w:tcPr>
            <w:tcW w:w="1788" w:type="dxa"/>
            <w:tcMar>
              <w:left w:w="0" w:type="dxa"/>
            </w:tcMar>
          </w:tcPr>
          <w:p w14:paraId="635BFC53" w14:textId="77777777" w:rsidR="00290725" w:rsidRDefault="00290725" w:rsidP="00A96D94">
            <w:pPr>
              <w:pStyle w:val="Marginlie"/>
              <w:rPr>
                <w:color w:val="0D0D0D" w:themeColor="text1" w:themeTint="F2"/>
                <w:spacing w:val="0"/>
              </w:rPr>
            </w:pPr>
            <w:r>
              <w:rPr>
                <w:color w:val="0D0D0D" w:themeColor="text1" w:themeTint="F2"/>
                <w:spacing w:val="0"/>
              </w:rPr>
              <w:lastRenderedPageBreak/>
              <w:t>Na přelomu roku 2024</w:t>
            </w:r>
            <w:r>
              <w:rPr>
                <w:color w:val="0D0D0D" w:themeColor="text1" w:themeTint="F2"/>
                <w:spacing w:val="0"/>
              </w:rPr>
              <w:br/>
              <w:t>a 2025 došlo k výraznému oživení stavebnictví. Další pokračování svižného rozvoje však může být limitováno přetrvávajícími růstovými bariérami, zejména na trhu práce.</w:t>
            </w:r>
          </w:p>
          <w:p w14:paraId="5AEBF22A" w14:textId="77777777" w:rsidR="00290725" w:rsidRPr="00EE0E68" w:rsidRDefault="00290725" w:rsidP="00A96D94">
            <w:pPr>
              <w:pStyle w:val="Marginlie"/>
              <w:rPr>
                <w:color w:val="0D0D0D" w:themeColor="text1" w:themeTint="F2"/>
                <w:spacing w:val="0"/>
              </w:rPr>
            </w:pPr>
          </w:p>
        </w:tc>
        <w:tc>
          <w:tcPr>
            <w:tcW w:w="147" w:type="dxa"/>
            <w:tcMar>
              <w:left w:w="0" w:type="dxa"/>
            </w:tcMar>
          </w:tcPr>
          <w:p w14:paraId="28B61252" w14:textId="77777777" w:rsidR="00290725" w:rsidRPr="00EE0E68" w:rsidRDefault="00290725" w:rsidP="00A96D94">
            <w:pPr>
              <w:pStyle w:val="Textpoznpodarou"/>
              <w:spacing w:after="240"/>
              <w:jc w:val="both"/>
              <w:rPr>
                <w:color w:val="0D0D0D" w:themeColor="text1" w:themeTint="F2"/>
              </w:rPr>
            </w:pPr>
          </w:p>
        </w:tc>
        <w:tc>
          <w:tcPr>
            <w:tcW w:w="7711" w:type="dxa"/>
            <w:tcMar>
              <w:left w:w="0" w:type="dxa"/>
            </w:tcMar>
          </w:tcPr>
          <w:p w14:paraId="6BE99E31" w14:textId="77777777" w:rsidR="00290725" w:rsidRPr="00E357B4" w:rsidRDefault="00290725" w:rsidP="00A96D94">
            <w:pPr>
              <w:spacing w:after="200"/>
              <w:rPr>
                <w:color w:val="0D0D0D" w:themeColor="text1" w:themeTint="F2"/>
              </w:rPr>
            </w:pPr>
            <w:r w:rsidRPr="00E357B4">
              <w:rPr>
                <w:color w:val="0D0D0D" w:themeColor="text1" w:themeTint="F2"/>
              </w:rPr>
              <w:t>Stavebnictví se loni dařilo. Zřetelné náznaky pozitivního obratu byly patrné již ve druhé polovině roku 2024. Po počátku loňského roku se stavební produkce</w:t>
            </w:r>
            <w:r w:rsidRPr="00E357B4">
              <w:rPr>
                <w:rStyle w:val="Znakapoznpodarou"/>
                <w:color w:val="0D0D0D" w:themeColor="text1" w:themeTint="F2"/>
              </w:rPr>
              <w:footnoteReference w:id="34"/>
            </w:r>
            <w:r w:rsidRPr="00E357B4">
              <w:rPr>
                <w:color w:val="0D0D0D" w:themeColor="text1" w:themeTint="F2"/>
              </w:rPr>
              <w:t xml:space="preserve"> mezikvartálně zvýšila o 6,5 %, když významné oživení nastalo </w:t>
            </w:r>
            <w:r>
              <w:rPr>
                <w:color w:val="0D0D0D" w:themeColor="text1" w:themeTint="F2"/>
              </w:rPr>
              <w:t>v</w:t>
            </w:r>
            <w:r w:rsidRPr="00E357B4">
              <w:rPr>
                <w:color w:val="0D0D0D" w:themeColor="text1" w:themeTint="F2"/>
              </w:rPr>
              <w:t xml:space="preserve">e všech segmentech odvětví. To pokračovalo v nižší intenzitě i v další části roku. Ve 4. čtvrtletí 2025 se ovšem </w:t>
            </w:r>
            <w:proofErr w:type="spellStart"/>
            <w:r w:rsidRPr="00E357B4">
              <w:rPr>
                <w:color w:val="0D0D0D" w:themeColor="text1" w:themeTint="F2"/>
              </w:rPr>
              <w:t>mezikvartální</w:t>
            </w:r>
            <w:proofErr w:type="spellEnd"/>
            <w:r w:rsidRPr="00E357B4">
              <w:rPr>
                <w:color w:val="0D0D0D" w:themeColor="text1" w:themeTint="F2"/>
              </w:rPr>
              <w:t xml:space="preserve"> růst produkce zastavil (−1,4 %) a k mírnému „ochlazení“ došlo v pozemním </w:t>
            </w:r>
            <w:r>
              <w:rPr>
                <w:color w:val="0D0D0D" w:themeColor="text1" w:themeTint="F2"/>
              </w:rPr>
              <w:t>a také</w:t>
            </w:r>
            <w:r w:rsidRPr="00E357B4">
              <w:rPr>
                <w:color w:val="0D0D0D" w:themeColor="text1" w:themeTint="F2"/>
              </w:rPr>
              <w:t xml:space="preserve"> inženýrském stavitelství. Nelze vyloučit, že </w:t>
            </w:r>
            <w:r w:rsidRPr="00E357B4">
              <w:rPr>
                <w:rStyle w:val="normaltextrun"/>
                <w:rFonts w:eastAsiaTheme="majorEastAsia" w:cs="Arial"/>
                <w:szCs w:val="20"/>
              </w:rPr>
              <w:t>stavební trh se po výraznějším zotavení z předchozích čtvrtletí do jisté míry dočasně nasytil a jeho další rozvoj stále více limitovaly přetrvávající bariéry (např. nedostatek pracovníků).</w:t>
            </w:r>
            <w:r w:rsidRPr="00E357B4">
              <w:rPr>
                <w:color w:val="0D0D0D" w:themeColor="text1" w:themeTint="F2"/>
              </w:rPr>
              <w:t xml:space="preserve"> </w:t>
            </w:r>
          </w:p>
        </w:tc>
      </w:tr>
      <w:tr w:rsidR="00290725" w:rsidRPr="00D232BB" w14:paraId="30C92259" w14:textId="77777777" w:rsidTr="00A96D94">
        <w:trPr>
          <w:trHeight w:val="145"/>
        </w:trPr>
        <w:tc>
          <w:tcPr>
            <w:tcW w:w="1788" w:type="dxa"/>
            <w:tcMar>
              <w:left w:w="0" w:type="dxa"/>
            </w:tcMar>
          </w:tcPr>
          <w:p w14:paraId="08F387D0" w14:textId="77777777" w:rsidR="00290725" w:rsidRDefault="00290725" w:rsidP="00A96D94">
            <w:pPr>
              <w:pStyle w:val="Marginlie"/>
              <w:rPr>
                <w:color w:val="0D0D0D" w:themeColor="text1" w:themeTint="F2"/>
                <w:spacing w:val="0"/>
              </w:rPr>
            </w:pPr>
            <w:r>
              <w:rPr>
                <w:color w:val="0D0D0D" w:themeColor="text1" w:themeTint="F2"/>
                <w:spacing w:val="0"/>
              </w:rPr>
              <w:t>M</w:t>
            </w:r>
            <w:r w:rsidRPr="00EE0E68">
              <w:rPr>
                <w:color w:val="0D0D0D" w:themeColor="text1" w:themeTint="F2"/>
                <w:spacing w:val="0"/>
              </w:rPr>
              <w:t xml:space="preserve">eziroční růst </w:t>
            </w:r>
            <w:r>
              <w:rPr>
                <w:color w:val="0D0D0D" w:themeColor="text1" w:themeTint="F2"/>
                <w:spacing w:val="0"/>
              </w:rPr>
              <w:t xml:space="preserve">stavební </w:t>
            </w:r>
            <w:r w:rsidRPr="00EE0E68">
              <w:rPr>
                <w:color w:val="0D0D0D" w:themeColor="text1" w:themeTint="F2"/>
                <w:spacing w:val="0"/>
              </w:rPr>
              <w:t xml:space="preserve">produkce </w:t>
            </w:r>
            <w:r>
              <w:rPr>
                <w:color w:val="0D0D0D" w:themeColor="text1" w:themeTint="F2"/>
                <w:spacing w:val="0"/>
              </w:rPr>
              <w:t xml:space="preserve">byl </w:t>
            </w:r>
            <w:r w:rsidRPr="00EE0E68">
              <w:rPr>
                <w:color w:val="0D0D0D" w:themeColor="text1" w:themeTint="F2"/>
                <w:spacing w:val="0"/>
              </w:rPr>
              <w:t>l</w:t>
            </w:r>
            <w:r>
              <w:rPr>
                <w:color w:val="0D0D0D" w:themeColor="text1" w:themeTint="F2"/>
                <w:spacing w:val="0"/>
              </w:rPr>
              <w:t>oni rekordní.</w:t>
            </w:r>
            <w:r w:rsidRPr="00EE0E68">
              <w:rPr>
                <w:color w:val="0D0D0D" w:themeColor="text1" w:themeTint="F2"/>
                <w:spacing w:val="0"/>
              </w:rPr>
              <w:t xml:space="preserve"> </w:t>
            </w:r>
            <w:r>
              <w:rPr>
                <w:color w:val="0D0D0D" w:themeColor="text1" w:themeTint="F2"/>
                <w:spacing w:val="0"/>
              </w:rPr>
              <w:t>Dvoucifernými tempy rostly</w:t>
            </w:r>
            <w:r w:rsidRPr="00EE0E68">
              <w:rPr>
                <w:color w:val="0D0D0D" w:themeColor="text1" w:themeTint="F2"/>
                <w:spacing w:val="0"/>
              </w:rPr>
              <w:t xml:space="preserve"> všechny segmenty stavebnictví. </w:t>
            </w:r>
          </w:p>
          <w:p w14:paraId="01ADDE0E" w14:textId="77777777" w:rsidR="00290725" w:rsidRDefault="00290725" w:rsidP="00A96D94">
            <w:pPr>
              <w:pStyle w:val="Marginlie"/>
              <w:rPr>
                <w:color w:val="0D0D0D" w:themeColor="text1" w:themeTint="F2"/>
                <w:spacing w:val="0"/>
              </w:rPr>
            </w:pPr>
          </w:p>
          <w:p w14:paraId="062C6800" w14:textId="77777777" w:rsidR="00290725" w:rsidRDefault="00290725" w:rsidP="00A96D94">
            <w:pPr>
              <w:pStyle w:val="Marginlie"/>
              <w:rPr>
                <w:color w:val="0D0D0D" w:themeColor="text1" w:themeTint="F2"/>
                <w:spacing w:val="0"/>
              </w:rPr>
            </w:pPr>
          </w:p>
          <w:p w14:paraId="709E8238" w14:textId="77777777" w:rsidR="00290725" w:rsidRPr="00EE0E68" w:rsidRDefault="00290725" w:rsidP="00A96D94">
            <w:pPr>
              <w:pStyle w:val="Marginlie"/>
              <w:spacing w:after="240"/>
              <w:rPr>
                <w:color w:val="0D0D0D" w:themeColor="text1" w:themeTint="F2"/>
                <w:spacing w:val="0"/>
              </w:rPr>
            </w:pPr>
            <w:r>
              <w:rPr>
                <w:color w:val="0D0D0D" w:themeColor="text1" w:themeTint="F2"/>
                <w:spacing w:val="0"/>
              </w:rPr>
              <w:t>Klesla výstavba rodinných i bytových domů.</w:t>
            </w:r>
            <w:r w:rsidRPr="00EE0E68">
              <w:rPr>
                <w:color w:val="0D0D0D" w:themeColor="text1" w:themeTint="F2"/>
                <w:spacing w:val="0"/>
              </w:rPr>
              <w:t xml:space="preserve"> </w:t>
            </w:r>
            <w:r>
              <w:rPr>
                <w:color w:val="0D0D0D" w:themeColor="text1" w:themeTint="F2"/>
                <w:spacing w:val="0"/>
              </w:rPr>
              <w:t>R</w:t>
            </w:r>
            <w:r w:rsidRPr="00EE0E68">
              <w:rPr>
                <w:color w:val="0D0D0D" w:themeColor="text1" w:themeTint="F2"/>
                <w:spacing w:val="0"/>
              </w:rPr>
              <w:t>ychle se však rozvíjel malý segment konverzí stávajících bytových objektů</w:t>
            </w:r>
            <w:r>
              <w:rPr>
                <w:color w:val="0D0D0D" w:themeColor="text1" w:themeTint="F2"/>
                <w:spacing w:val="0"/>
              </w:rPr>
              <w:t xml:space="preserve"> </w:t>
            </w:r>
            <w:r w:rsidRPr="00EE0E68">
              <w:rPr>
                <w:color w:val="0D0D0D" w:themeColor="text1" w:themeTint="F2"/>
                <w:spacing w:val="0"/>
              </w:rPr>
              <w:t>i nebytových budov.</w:t>
            </w:r>
          </w:p>
        </w:tc>
        <w:tc>
          <w:tcPr>
            <w:tcW w:w="147" w:type="dxa"/>
            <w:tcMar>
              <w:left w:w="0" w:type="dxa"/>
            </w:tcMar>
          </w:tcPr>
          <w:p w14:paraId="0BF6945A" w14:textId="77777777" w:rsidR="00290725" w:rsidRPr="00EE0E68" w:rsidRDefault="00290725" w:rsidP="00A96D94">
            <w:pPr>
              <w:pStyle w:val="Textpoznpodarou"/>
              <w:spacing w:after="240"/>
              <w:jc w:val="both"/>
            </w:pPr>
          </w:p>
        </w:tc>
        <w:tc>
          <w:tcPr>
            <w:tcW w:w="7711" w:type="dxa"/>
            <w:tcMar>
              <w:left w:w="0" w:type="dxa"/>
            </w:tcMar>
          </w:tcPr>
          <w:p w14:paraId="0DA5E830" w14:textId="77777777" w:rsidR="00290725" w:rsidRPr="00E357B4" w:rsidRDefault="00290725" w:rsidP="00A96D94">
            <w:pPr>
              <w:spacing w:after="200"/>
              <w:rPr>
                <w:rFonts w:cs="Arial"/>
              </w:rPr>
            </w:pPr>
            <w:r w:rsidRPr="00E357B4">
              <w:rPr>
                <w:rStyle w:val="normaltextrun"/>
                <w:rFonts w:eastAsiaTheme="majorEastAsia" w:cs="Arial"/>
                <w:szCs w:val="20"/>
              </w:rPr>
              <w:t>Za celý l</w:t>
            </w:r>
            <w:r w:rsidRPr="00E357B4">
              <w:rPr>
                <w:rStyle w:val="normaltextrun"/>
                <w:rFonts w:eastAsiaTheme="majorEastAsia" w:cs="Arial"/>
              </w:rPr>
              <w:t xml:space="preserve">oňský </w:t>
            </w:r>
            <w:r w:rsidRPr="00E357B4">
              <w:rPr>
                <w:rStyle w:val="normaltextrun"/>
                <w:rFonts w:eastAsiaTheme="majorEastAsia" w:cs="Arial"/>
                <w:color w:val="0D0D0D" w:themeColor="text1" w:themeTint="F2"/>
                <w:szCs w:val="20"/>
              </w:rPr>
              <w:t xml:space="preserve">rok </w:t>
            </w:r>
            <w:r w:rsidRPr="00E357B4">
              <w:rPr>
                <w:color w:val="0D0D0D" w:themeColor="text1" w:themeTint="F2"/>
              </w:rPr>
              <w:t>se výkon stavebnictví zvýšil o 10,9 % (nejvíce v dostupné řadě od roku 2001) a objemem produkce současně poprvé překonal úroveň z vrcholu předpandemické konjunktury (rok 2019). Na loňském růstu se téměř ze dvou třetin podílelo pozemní stavitelství, kde dosáhly výrazného oživení jak výstavba budov (+10,2</w:t>
            </w:r>
            <w:r>
              <w:rPr>
                <w:color w:val="0D0D0D" w:themeColor="text1" w:themeTint="F2"/>
              </w:rPr>
              <w:t> </w:t>
            </w:r>
            <w:r w:rsidRPr="00E357B4">
              <w:rPr>
                <w:color w:val="0D0D0D" w:themeColor="text1" w:themeTint="F2"/>
              </w:rPr>
              <w:t xml:space="preserve">%), tak </w:t>
            </w:r>
            <w:r w:rsidRPr="00E357B4">
              <w:rPr>
                <w:rStyle w:val="normaltextrun"/>
                <w:rFonts w:eastAsiaTheme="majorEastAsia" w:cs="Arial"/>
                <w:szCs w:val="20"/>
              </w:rPr>
              <w:t xml:space="preserve">specializované stavební činnosti </w:t>
            </w:r>
            <w:r w:rsidRPr="00E357B4">
              <w:rPr>
                <w:rStyle w:val="normaltextrun"/>
                <w:rFonts w:eastAsiaTheme="majorEastAsia" w:cs="Arial"/>
              </w:rPr>
              <w:t xml:space="preserve">(+10,7 %), jež jsou doménou zpravidla menších podniků a drobných podnikatelů. Projevilo se </w:t>
            </w:r>
            <w:r w:rsidRPr="00E357B4">
              <w:rPr>
                <w:color w:val="0D0D0D" w:themeColor="text1" w:themeTint="F2"/>
              </w:rPr>
              <w:t>částečné zotavení soukromých investic (vlivem posilování růstu ekonomiky i důvěry v ní) a významnou roli zde hrají i cenové vlivy</w:t>
            </w:r>
            <w:r w:rsidRPr="00E357B4">
              <w:rPr>
                <w:rStyle w:val="Znakapoznpodarou"/>
                <w:color w:val="0D0D0D" w:themeColor="text1" w:themeTint="F2"/>
              </w:rPr>
              <w:footnoteReference w:id="35"/>
            </w:r>
            <w:r w:rsidRPr="00E357B4">
              <w:rPr>
                <w:color w:val="0D0D0D" w:themeColor="text1" w:themeTint="F2"/>
              </w:rPr>
              <w:t xml:space="preserve">. Pokračující růst veřejných investic do dopravní infrastruktury se odrazil ve více než 11,5% růstu produkce inženýrského stavitelství. </w:t>
            </w:r>
            <w:r w:rsidRPr="00E357B4">
              <w:rPr>
                <w:rStyle w:val="normaltextrun"/>
                <w:rFonts w:eastAsiaTheme="majorEastAsia" w:cs="Arial"/>
                <w:szCs w:val="20"/>
              </w:rPr>
              <w:t xml:space="preserve">K rozvoji pozemního stavitelství příliš nepomáhala </w:t>
            </w:r>
            <w:r w:rsidRPr="00E357B4">
              <w:rPr>
                <w:color w:val="0D0D0D" w:themeColor="text1" w:themeTint="F2"/>
              </w:rPr>
              <w:t>utlumená</w:t>
            </w:r>
            <w:r w:rsidRPr="00E357B4">
              <w:rPr>
                <w:rStyle w:val="normaltextrun"/>
                <w:rFonts w:eastAsiaTheme="majorEastAsia" w:cs="Arial"/>
                <w:szCs w:val="20"/>
              </w:rPr>
              <w:t xml:space="preserve"> bytová výstavba (více se patrně rozvíjejí jiné oblasti, např. výrobní a skladovací haly, dále třeba i veřejné budovy).</w:t>
            </w:r>
            <w:r w:rsidRPr="00E357B4">
              <w:rPr>
                <w:rStyle w:val="normaltextrun"/>
                <w:rFonts w:cs="Arial"/>
              </w:rPr>
              <w:t xml:space="preserve"> </w:t>
            </w:r>
            <w:r w:rsidRPr="00E357B4">
              <w:rPr>
                <w:rStyle w:val="normaltextrun"/>
                <w:rFonts w:eastAsiaTheme="majorEastAsia" w:cs="Arial"/>
                <w:szCs w:val="20"/>
              </w:rPr>
              <w:t>Počet loni zahájených bytů (35,8 tis.) odpovídal dlouhodobému průměru a meziročně lehce klesl (</w:t>
            </w:r>
            <w:r w:rsidRPr="00E357B4">
              <w:rPr>
                <w:color w:val="0D0D0D" w:themeColor="text1" w:themeTint="F2"/>
              </w:rPr>
              <w:t>−</w:t>
            </w:r>
            <w:r w:rsidRPr="00E357B4">
              <w:rPr>
                <w:rStyle w:val="normaltextrun"/>
                <w:rFonts w:eastAsiaTheme="majorEastAsia" w:cs="Arial"/>
                <w:szCs w:val="20"/>
              </w:rPr>
              <w:t>2,2 %), a to téměř ve všech segmentech (vyjma nástaveb a přístaveb k BD). Dokončeno bylo sice o 10,8 % bytů meziročně více, ale jejich loňský počet (33,6 tis.) byl druhý nejnižší za posledních osm let. Pokračoval pokles dokončování v klíčových segmentech (nové RD</w:t>
            </w:r>
            <w:r w:rsidRPr="00E357B4">
              <w:rPr>
                <w:rStyle w:val="Znakapoznpodarou"/>
                <w:rFonts w:eastAsiaTheme="majorEastAsia"/>
                <w:szCs w:val="20"/>
              </w:rPr>
              <w:footnoteReference w:id="36"/>
            </w:r>
            <w:r w:rsidRPr="00E357B4">
              <w:rPr>
                <w:rStyle w:val="normaltextrun"/>
                <w:rFonts w:eastAsiaTheme="majorEastAsia" w:cs="Arial"/>
                <w:szCs w:val="20"/>
              </w:rPr>
              <w:t>, i BD), naopak na bezmála dvouapůlnásobek vzrostl meziročně počet bytů vzniklých úpravou stávajících RD i BD a také v nebytových budovách. To může souviset s relativně jednodušší administrativní náročností realizací těchto staveb. T</w:t>
            </w:r>
            <w:r w:rsidRPr="00E357B4">
              <w:rPr>
                <w:rStyle w:val="normaltextrun"/>
                <w:rFonts w:eastAsiaTheme="majorEastAsia" w:cs="Arial"/>
              </w:rPr>
              <w:t xml:space="preserve">řetina všech zahájených i dokončených bytů připadala loni </w:t>
            </w:r>
            <w:r>
              <w:rPr>
                <w:rStyle w:val="normaltextrun"/>
                <w:rFonts w:eastAsiaTheme="majorEastAsia" w:cs="Arial"/>
              </w:rPr>
              <w:t>n</w:t>
            </w:r>
            <w:r w:rsidRPr="00E357B4">
              <w:rPr>
                <w:rStyle w:val="normaltextrun"/>
                <w:rFonts w:eastAsiaTheme="majorEastAsia" w:cs="Arial"/>
              </w:rPr>
              <w:t xml:space="preserve">a Prahu a Středočeský kraj. </w:t>
            </w:r>
          </w:p>
        </w:tc>
      </w:tr>
      <w:tr w:rsidR="00290725" w:rsidRPr="00D232BB" w14:paraId="52A274DB" w14:textId="77777777" w:rsidTr="00A96D94">
        <w:trPr>
          <w:trHeight w:val="145"/>
        </w:trPr>
        <w:tc>
          <w:tcPr>
            <w:tcW w:w="1788" w:type="dxa"/>
            <w:tcMar>
              <w:left w:w="0" w:type="dxa"/>
            </w:tcMar>
          </w:tcPr>
          <w:p w14:paraId="2F3790EA" w14:textId="77777777" w:rsidR="00290725" w:rsidRDefault="00290725" w:rsidP="00A96D94">
            <w:pPr>
              <w:pStyle w:val="Marginlie"/>
              <w:rPr>
                <w:color w:val="0D0D0D" w:themeColor="text1" w:themeTint="F2"/>
                <w:spacing w:val="0"/>
              </w:rPr>
            </w:pPr>
            <w:r>
              <w:rPr>
                <w:color w:val="0D0D0D" w:themeColor="text1" w:themeTint="F2"/>
                <w:spacing w:val="0"/>
              </w:rPr>
              <w:t>O</w:t>
            </w:r>
            <w:r>
              <w:rPr>
                <w:color w:val="0D0D0D" w:themeColor="text1" w:themeTint="F2"/>
              </w:rPr>
              <w:t>bjem</w:t>
            </w:r>
            <w:r w:rsidRPr="00EE0E68">
              <w:rPr>
                <w:color w:val="0D0D0D" w:themeColor="text1" w:themeTint="F2"/>
                <w:spacing w:val="0"/>
              </w:rPr>
              <w:t xml:space="preserve"> nových stavebních zakázek</w:t>
            </w:r>
          </w:p>
          <w:p w14:paraId="01BF4005" w14:textId="77777777" w:rsidR="00290725" w:rsidRDefault="00290725" w:rsidP="00A96D94">
            <w:pPr>
              <w:pStyle w:val="Marginlie"/>
              <w:rPr>
                <w:color w:val="0D0D0D" w:themeColor="text1" w:themeTint="F2"/>
              </w:rPr>
            </w:pPr>
            <w:r>
              <w:rPr>
                <w:color w:val="0D0D0D" w:themeColor="text1" w:themeTint="F2"/>
              </w:rPr>
              <w:t>Po většinu loňského roku rostl, byť pomaleji než v roce 2024.</w:t>
            </w:r>
          </w:p>
          <w:p w14:paraId="2107BF95" w14:textId="77777777" w:rsidR="00290725" w:rsidRDefault="00290725" w:rsidP="00A96D94">
            <w:pPr>
              <w:pStyle w:val="Marginlie"/>
              <w:rPr>
                <w:color w:val="0D0D0D" w:themeColor="text1" w:themeTint="F2"/>
              </w:rPr>
            </w:pPr>
          </w:p>
          <w:p w14:paraId="414D80B6" w14:textId="77777777" w:rsidR="00290725" w:rsidRDefault="00290725" w:rsidP="00A96D94">
            <w:pPr>
              <w:pStyle w:val="Marginlie"/>
              <w:rPr>
                <w:color w:val="0D0D0D" w:themeColor="text1" w:themeTint="F2"/>
              </w:rPr>
            </w:pPr>
          </w:p>
          <w:p w14:paraId="554F9ED5" w14:textId="77777777" w:rsidR="00290725" w:rsidRDefault="00290725" w:rsidP="00A96D94">
            <w:pPr>
              <w:pStyle w:val="Marginlie"/>
              <w:rPr>
                <w:color w:val="0D0D0D" w:themeColor="text1" w:themeTint="F2"/>
              </w:rPr>
            </w:pPr>
          </w:p>
          <w:p w14:paraId="6A8D2D9D" w14:textId="77777777" w:rsidR="00290725" w:rsidRDefault="00290725" w:rsidP="00A96D94">
            <w:pPr>
              <w:pStyle w:val="Marginlie"/>
              <w:rPr>
                <w:color w:val="0D0D0D" w:themeColor="text1" w:themeTint="F2"/>
              </w:rPr>
            </w:pPr>
          </w:p>
          <w:p w14:paraId="451BD0E1" w14:textId="77777777" w:rsidR="00290725" w:rsidRPr="00EE0E68" w:rsidRDefault="00290725" w:rsidP="00A96D94">
            <w:pPr>
              <w:pStyle w:val="Marginlie"/>
              <w:rPr>
                <w:color w:val="0D0D0D" w:themeColor="text1" w:themeTint="F2"/>
                <w:spacing w:val="0"/>
              </w:rPr>
            </w:pPr>
            <w:r>
              <w:rPr>
                <w:color w:val="0D0D0D" w:themeColor="text1" w:themeTint="F2"/>
                <w:spacing w:val="0"/>
              </w:rPr>
              <w:t>Hodnota povolených staveb klesla druhým rokem v řadě, loni v drtivé většině kategorií staveb i krajů.</w:t>
            </w:r>
          </w:p>
          <w:p w14:paraId="57291058" w14:textId="77777777" w:rsidR="00290725" w:rsidRPr="00EE0E68" w:rsidRDefault="00290725" w:rsidP="00A96D94">
            <w:pPr>
              <w:pStyle w:val="Marginlie"/>
              <w:rPr>
                <w:color w:val="0D0D0D" w:themeColor="text1" w:themeTint="F2"/>
                <w:spacing w:val="0"/>
              </w:rPr>
            </w:pPr>
          </w:p>
        </w:tc>
        <w:tc>
          <w:tcPr>
            <w:tcW w:w="147" w:type="dxa"/>
            <w:tcMar>
              <w:left w:w="0" w:type="dxa"/>
            </w:tcMar>
          </w:tcPr>
          <w:p w14:paraId="5D64DA2E" w14:textId="77777777" w:rsidR="00290725" w:rsidRPr="00EE0E68" w:rsidRDefault="00290725" w:rsidP="00A96D94">
            <w:pPr>
              <w:pStyle w:val="Textpoznpodarou"/>
              <w:spacing w:after="240"/>
              <w:jc w:val="both"/>
            </w:pPr>
          </w:p>
        </w:tc>
        <w:tc>
          <w:tcPr>
            <w:tcW w:w="7711" w:type="dxa"/>
            <w:tcMar>
              <w:left w:w="0" w:type="dxa"/>
            </w:tcMar>
          </w:tcPr>
          <w:p w14:paraId="01130B3B" w14:textId="77777777" w:rsidR="00290725" w:rsidRPr="00E357B4" w:rsidRDefault="00290725" w:rsidP="00A96D94">
            <w:pPr>
              <w:spacing w:after="200"/>
              <w:rPr>
                <w:rStyle w:val="normaltextrun"/>
                <w:rFonts w:eastAsiaTheme="majorEastAsia" w:cs="Arial"/>
                <w:szCs w:val="20"/>
              </w:rPr>
            </w:pPr>
            <w:r w:rsidRPr="00E357B4">
              <w:rPr>
                <w:rStyle w:val="normaltextrun"/>
                <w:rFonts w:eastAsiaTheme="majorEastAsia"/>
              </w:rPr>
              <w:t xml:space="preserve">Hodnota </w:t>
            </w:r>
            <w:r w:rsidRPr="00E357B4">
              <w:rPr>
                <w:rStyle w:val="normaltextrun"/>
                <w:rFonts w:eastAsiaTheme="majorEastAsia"/>
                <w:color w:val="0D0D0D" w:themeColor="text1" w:themeTint="F2"/>
              </w:rPr>
              <w:t>nově uzavřených stavebních zakázek v Česku</w:t>
            </w:r>
            <w:r w:rsidRPr="00E357B4">
              <w:rPr>
                <w:rStyle w:val="Znakapoznpodarou"/>
                <w:rFonts w:eastAsiaTheme="majorEastAsia"/>
                <w:color w:val="0D0D0D" w:themeColor="text1" w:themeTint="F2"/>
              </w:rPr>
              <w:footnoteReference w:id="37"/>
            </w:r>
            <w:r w:rsidRPr="00E357B4">
              <w:rPr>
                <w:rStyle w:val="normaltextrun"/>
                <w:rFonts w:eastAsiaTheme="majorEastAsia"/>
                <w:color w:val="0D0D0D" w:themeColor="text1" w:themeTint="F2"/>
              </w:rPr>
              <w:t xml:space="preserve"> se loni meziročně zvýšila o 9,8 %. K růstu přispěly oba hlavní segmenty odvětví, přičemž stejně jako v roce 2024 měly rozhodující význam zakázky v inženýrském stavitelství. V samotném 4. čtvrtletí 2025 se ovšem celkový objem zakázek lehce snížil (o 2,6 %), zčásti vlivem vysoké předloňské srovnávací základny v inženýrském stavitelství. </w:t>
            </w:r>
            <w:r w:rsidRPr="00E357B4">
              <w:rPr>
                <w:rStyle w:val="normaltextrun"/>
                <w:rFonts w:eastAsiaTheme="majorEastAsia" w:cs="Arial"/>
                <w:szCs w:val="20"/>
              </w:rPr>
              <w:t>Díky vysokému přílivu zakázek z přechozích kvartálů i dlouhodobějšímu horizontu jejich realizace zůstává celková zásoba práce tuzemských stavebních firem stále vysoká. Hodnota všech dosud nerealizovaných zakázek činil</w:t>
            </w:r>
            <w:r>
              <w:rPr>
                <w:rStyle w:val="normaltextrun"/>
                <w:rFonts w:eastAsiaTheme="majorEastAsia" w:cs="Arial"/>
                <w:szCs w:val="20"/>
              </w:rPr>
              <w:t>a</w:t>
            </w:r>
            <w:r w:rsidRPr="00E357B4">
              <w:rPr>
                <w:rStyle w:val="normaltextrun"/>
                <w:rFonts w:eastAsiaTheme="majorEastAsia" w:cs="Arial"/>
                <w:szCs w:val="20"/>
              </w:rPr>
              <w:t xml:space="preserve"> na konci loňského roku 401 mld. korun (z toho 68 % od veřejných zadavatelů </w:t>
            </w:r>
            <w:r>
              <w:rPr>
                <w:rStyle w:val="normaltextrun"/>
                <w:rFonts w:eastAsiaTheme="majorEastAsia" w:cs="Arial"/>
                <w:szCs w:val="20"/>
              </w:rPr>
              <w:t>v</w:t>
            </w:r>
            <w:r>
              <w:rPr>
                <w:rStyle w:val="normaltextrun"/>
                <w:rFonts w:eastAsiaTheme="majorEastAsia" w:cs="Arial"/>
              </w:rPr>
              <w:t xml:space="preserve"> </w:t>
            </w:r>
            <w:r w:rsidRPr="00E357B4">
              <w:rPr>
                <w:rStyle w:val="normaltextrun"/>
                <w:rFonts w:eastAsiaTheme="majorEastAsia" w:cs="Arial"/>
                <w:szCs w:val="20"/>
              </w:rPr>
              <w:t xml:space="preserve">tuzemsku a 2 % všech zakázek v zahraničí) a meziročně byl vyšší o více než pětinu (podobně u veřejných i soukromých tuzemských zakázek). Podle jiného předstihového ukazatele jsou vyhlídky stavebnictví horší. </w:t>
            </w:r>
            <w:r w:rsidRPr="00E357B4">
              <w:rPr>
                <w:rStyle w:val="normaltextrun"/>
                <w:rFonts w:eastAsiaTheme="majorEastAsia"/>
                <w:color w:val="0D0D0D" w:themeColor="text1" w:themeTint="F2"/>
              </w:rPr>
              <w:t xml:space="preserve">Orientační hodnota staveb, na které bylo </w:t>
            </w:r>
            <w:r w:rsidRPr="00E357B4">
              <w:rPr>
                <w:rStyle w:val="normaltextrun"/>
                <w:rFonts w:eastAsiaTheme="majorEastAsia"/>
              </w:rPr>
              <w:t>loni vydáno stavební povolení, se totiž meziročně snížila o 13,3</w:t>
            </w:r>
            <w:r>
              <w:rPr>
                <w:rStyle w:val="normaltextrun"/>
                <w:rFonts w:eastAsiaTheme="majorEastAsia"/>
              </w:rPr>
              <w:t> </w:t>
            </w:r>
            <w:r w:rsidRPr="00E357B4">
              <w:rPr>
                <w:rStyle w:val="normaltextrun"/>
                <w:rFonts w:eastAsiaTheme="majorEastAsia"/>
              </w:rPr>
              <w:t>%</w:t>
            </w:r>
            <w:r w:rsidRPr="00E357B4">
              <w:rPr>
                <w:rStyle w:val="Znakapoznpodarou"/>
                <w:rFonts w:eastAsiaTheme="majorEastAsia"/>
              </w:rPr>
              <w:footnoteReference w:id="38"/>
            </w:r>
            <w:r w:rsidRPr="00E357B4">
              <w:rPr>
                <w:rStyle w:val="normaltextrun"/>
                <w:rFonts w:eastAsiaTheme="majorEastAsia"/>
              </w:rPr>
              <w:t xml:space="preserve"> a prohloubila pokles z předchozího roku. Hodnota povolení klesala, vyjma 3. čtvrtletí, po celý loňský rok. K celoročnímu poklesu přispěly hlavně nové inženýrské stavby (dopravní i ostatní) a nebytové budovy. Oproti tomu loni významněji rostly jen modernizace či rekonstrukce dopravních staveb (+40 %). Na celkovém úbytku se </w:t>
            </w:r>
            <w:r w:rsidRPr="00E357B4">
              <w:rPr>
                <w:rStyle w:val="normaltextrun"/>
                <w:rFonts w:eastAsiaTheme="majorEastAsia"/>
              </w:rPr>
              <w:lastRenderedPageBreak/>
              <w:t>nejvíce podílely Moravskoslezský a Středočeský kraj, hodnota všech povolení naopak vzrostla pouze v Ústeckém kraji.</w:t>
            </w:r>
          </w:p>
        </w:tc>
      </w:tr>
      <w:tr w:rsidR="00290725" w:rsidRPr="00D232BB" w14:paraId="703D91CF" w14:textId="77777777" w:rsidTr="00A96D94">
        <w:trPr>
          <w:trHeight w:val="145"/>
        </w:trPr>
        <w:tc>
          <w:tcPr>
            <w:tcW w:w="1788" w:type="dxa"/>
            <w:tcMar>
              <w:left w:w="0" w:type="dxa"/>
            </w:tcMar>
          </w:tcPr>
          <w:p w14:paraId="3D69C5A9" w14:textId="77777777" w:rsidR="00290725" w:rsidRDefault="00290725" w:rsidP="00A96D94">
            <w:pPr>
              <w:pStyle w:val="Marginlie"/>
              <w:rPr>
                <w:spacing w:val="0"/>
              </w:rPr>
            </w:pPr>
            <w:r w:rsidRPr="00EE0E68">
              <w:rPr>
                <w:spacing w:val="0"/>
              </w:rPr>
              <w:lastRenderedPageBreak/>
              <w:t>Saldo důvěry podnikatelů ve stavebnictví se</w:t>
            </w:r>
            <w:r>
              <w:rPr>
                <w:spacing w:val="0"/>
              </w:rPr>
              <w:t xml:space="preserve"> po většinu roku zvyšovalo. </w:t>
            </w:r>
            <w:r w:rsidRPr="00EE0E68">
              <w:rPr>
                <w:spacing w:val="0"/>
              </w:rPr>
              <w:t>Zlepšilo se hodnocení poptávky</w:t>
            </w:r>
            <w:r>
              <w:rPr>
                <w:spacing w:val="0"/>
              </w:rPr>
              <w:t>,</w:t>
            </w:r>
            <w:r w:rsidRPr="00EE0E68">
              <w:rPr>
                <w:spacing w:val="0"/>
              </w:rPr>
              <w:t xml:space="preserve"> výhled</w:t>
            </w:r>
            <w:r>
              <w:rPr>
                <w:spacing w:val="0"/>
              </w:rPr>
              <w:t>y i</w:t>
            </w:r>
            <w:r>
              <w:rPr>
                <w:color w:val="0D0D0D" w:themeColor="text1" w:themeTint="F2"/>
                <w:spacing w:val="0"/>
              </w:rPr>
              <w:t> </w:t>
            </w:r>
            <w:r>
              <w:rPr>
                <w:spacing w:val="0"/>
              </w:rPr>
              <w:t xml:space="preserve">reálný stav </w:t>
            </w:r>
            <w:r w:rsidRPr="00EE0E68">
              <w:rPr>
                <w:spacing w:val="0"/>
              </w:rPr>
              <w:t xml:space="preserve">zaměstnanosti. </w:t>
            </w:r>
          </w:p>
          <w:p w14:paraId="1DD0AA01" w14:textId="77777777" w:rsidR="00290725" w:rsidRDefault="00290725" w:rsidP="00A96D94">
            <w:pPr>
              <w:pStyle w:val="Marginlie"/>
              <w:rPr>
                <w:spacing w:val="0"/>
              </w:rPr>
            </w:pPr>
          </w:p>
          <w:p w14:paraId="6916B862" w14:textId="77777777" w:rsidR="00290725" w:rsidRDefault="00290725" w:rsidP="00A96D94">
            <w:pPr>
              <w:pStyle w:val="Marginlie"/>
              <w:rPr>
                <w:spacing w:val="0"/>
              </w:rPr>
            </w:pPr>
          </w:p>
          <w:p w14:paraId="27AC8782" w14:textId="77777777" w:rsidR="00290725" w:rsidRPr="00EE0E68" w:rsidRDefault="00290725" w:rsidP="00A96D94">
            <w:pPr>
              <w:pStyle w:val="Marginlie"/>
              <w:rPr>
                <w:color w:val="0D0D0D" w:themeColor="text1" w:themeTint="F2"/>
                <w:spacing w:val="0"/>
              </w:rPr>
            </w:pPr>
            <w:r>
              <w:rPr>
                <w:spacing w:val="0"/>
              </w:rPr>
              <w:t>Nejvíce růstových bariér odvětví přetrvává v segmentu výstavby budov.</w:t>
            </w:r>
          </w:p>
        </w:tc>
        <w:tc>
          <w:tcPr>
            <w:tcW w:w="147" w:type="dxa"/>
            <w:tcMar>
              <w:left w:w="0" w:type="dxa"/>
            </w:tcMar>
          </w:tcPr>
          <w:p w14:paraId="20D73C07" w14:textId="77777777" w:rsidR="00290725" w:rsidRPr="00EE0E68" w:rsidRDefault="00290725" w:rsidP="00A96D94">
            <w:pPr>
              <w:pStyle w:val="Textpoznpodarou"/>
              <w:spacing w:after="240"/>
              <w:jc w:val="both"/>
            </w:pPr>
          </w:p>
        </w:tc>
        <w:tc>
          <w:tcPr>
            <w:tcW w:w="7711" w:type="dxa"/>
            <w:tcMar>
              <w:left w:w="0" w:type="dxa"/>
            </w:tcMar>
          </w:tcPr>
          <w:p w14:paraId="7C269C0D" w14:textId="77777777" w:rsidR="00290725" w:rsidRPr="00E357B4" w:rsidRDefault="00290725" w:rsidP="00A96D94">
            <w:pPr>
              <w:spacing w:after="200"/>
              <w:rPr>
                <w:rStyle w:val="normaltextrun"/>
                <w:rFonts w:eastAsiaTheme="majorEastAsia" w:cs="Arial"/>
                <w:szCs w:val="20"/>
              </w:rPr>
            </w:pPr>
            <w:r w:rsidRPr="00E357B4">
              <w:rPr>
                <w:color w:val="0D0D0D" w:themeColor="text1" w:themeTint="F2"/>
              </w:rPr>
              <w:t>P</w:t>
            </w:r>
            <w:r w:rsidRPr="00E357B4">
              <w:rPr>
                <w:rStyle w:val="normaltextrun"/>
                <w:rFonts w:eastAsiaTheme="majorEastAsia" w:cs="Arial"/>
                <w:color w:val="0D0D0D" w:themeColor="text1" w:themeTint="F2"/>
                <w:szCs w:val="20"/>
              </w:rPr>
              <w:t xml:space="preserve">esimismus ve stavebnictví se od podzimu </w:t>
            </w:r>
            <w:r w:rsidRPr="00E357B4">
              <w:rPr>
                <w:rStyle w:val="normaltextrun"/>
                <w:rFonts w:eastAsiaTheme="majorEastAsia" w:cs="Arial"/>
                <w:szCs w:val="20"/>
              </w:rPr>
              <w:t xml:space="preserve">2024 zmírňoval a loni v červnu se saldo důvěry firem po více než třech letech vrátilo do kladného pásma. Na přelomu roku 2025 a 2026 sice došlo k mírné korekci, když saldo důvěry dosáhlo v únoru </w:t>
            </w:r>
            <w:r w:rsidRPr="00E357B4">
              <w:rPr>
                <w:color w:val="000000" w:themeColor="text1"/>
              </w:rPr>
              <w:t>−2</w:t>
            </w:r>
            <w:r w:rsidRPr="00E357B4">
              <w:rPr>
                <w:rStyle w:val="normaltextrun"/>
                <w:rFonts w:eastAsiaTheme="majorEastAsia" w:cs="Arial"/>
                <w:szCs w:val="20"/>
              </w:rPr>
              <w:t xml:space="preserve">,0 bodu, v meziročním pohledu bylo však stále mírně příznivější a současně výrazněji převyšovalo dlouhodobý průměr. </w:t>
            </w:r>
            <w:r w:rsidRPr="00E357B4">
              <w:rPr>
                <w:rStyle w:val="normaltextrun"/>
                <w:rFonts w:eastAsia="MS Gothic" w:cs="Arial"/>
                <w:szCs w:val="20"/>
              </w:rPr>
              <w:t>Mírně pozitivní očekávání nejbližšího vývoje stavební činnosti (s výhledem na letošní jarní měsíce) se odrazila v plánech na nábor pracovníků</w:t>
            </w:r>
            <w:r w:rsidRPr="00E357B4">
              <w:rPr>
                <w:rStyle w:val="Znakapoznpodarou"/>
                <w:rFonts w:eastAsia="MS Gothic"/>
                <w:szCs w:val="20"/>
              </w:rPr>
              <w:footnoteReference w:id="39"/>
            </w:r>
            <w:r w:rsidRPr="00E357B4">
              <w:rPr>
                <w:rStyle w:val="normaltextrun"/>
                <w:rFonts w:eastAsia="MS Gothic" w:cs="Arial"/>
                <w:szCs w:val="20"/>
              </w:rPr>
              <w:t xml:space="preserve">. Příznivě hodnotilo aktuálně svou finanční situaci 35 % firem (nepříznivě jen 3 %), v půlročním výhledu zde očekává zlepšení každý čtvrtý podnik (zhoršení jen každý dvacátý). Současnou poptávku ovšem stále nepříznivě vnímá pětina firem. </w:t>
            </w:r>
            <w:r w:rsidRPr="00E357B4">
              <w:rPr>
                <w:rStyle w:val="normaltextrun"/>
                <w:rFonts w:eastAsia="MS Gothic"/>
              </w:rPr>
              <w:t>Výkon celého odvětví limitují chronické růstové bariéry</w:t>
            </w:r>
            <w:r w:rsidRPr="00E357B4">
              <w:rPr>
                <w:rStyle w:val="Znakapoznpodarou"/>
                <w:rFonts w:eastAsia="MS Gothic"/>
              </w:rPr>
              <w:footnoteReference w:id="40"/>
            </w:r>
            <w:r w:rsidRPr="00E357B4">
              <w:rPr>
                <w:rStyle w:val="normaltextrun"/>
                <w:rFonts w:eastAsia="MS Gothic"/>
              </w:rPr>
              <w:t>. Fakticky již více než sedm let v řadě je tou nejvýznamnější nedostatek (zejména kvalifikovaných) zaměstnanců. J</w:t>
            </w:r>
            <w:r w:rsidRPr="00E357B4">
              <w:rPr>
                <w:rStyle w:val="normaltextrun"/>
                <w:rFonts w:eastAsiaTheme="majorEastAsia" w:cs="Arial"/>
                <w:szCs w:val="20"/>
              </w:rPr>
              <w:t xml:space="preserve">ako jednu </w:t>
            </w:r>
            <w:r w:rsidRPr="00191AE2">
              <w:rPr>
                <w:rStyle w:val="normaltextrun"/>
                <w:rFonts w:eastAsiaTheme="majorEastAsia" w:cs="Arial"/>
                <w:spacing w:val="-2"/>
                <w:szCs w:val="20"/>
              </w:rPr>
              <w:t>z bariér ji uvedlo okolo 50 % firem, obdobně jako na počátku loňského roku)</w:t>
            </w:r>
            <w:r w:rsidRPr="00191AE2">
              <w:rPr>
                <w:rStyle w:val="normaltextrun"/>
                <w:rFonts w:eastAsia="MS Gothic"/>
                <w:spacing w:val="-2"/>
              </w:rPr>
              <w:t>. Nedostatečná</w:t>
            </w:r>
            <w:r w:rsidRPr="00E357B4">
              <w:rPr>
                <w:rStyle w:val="normaltextrun"/>
                <w:rFonts w:eastAsia="MS Gothic"/>
              </w:rPr>
              <w:t xml:space="preserve"> poptávka sužovala </w:t>
            </w:r>
            <w:r>
              <w:rPr>
                <w:rStyle w:val="normaltextrun"/>
                <w:rFonts w:eastAsia="MS Gothic"/>
              </w:rPr>
              <w:t>skoro</w:t>
            </w:r>
            <w:r w:rsidRPr="00E357B4">
              <w:rPr>
                <w:rStyle w:val="normaltextrun"/>
                <w:rFonts w:eastAsia="MS Gothic"/>
              </w:rPr>
              <w:t xml:space="preserve"> třetinu firem</w:t>
            </w:r>
            <w:r w:rsidRPr="00E357B4">
              <w:rPr>
                <w:rStyle w:val="Znakapoznpodarou"/>
                <w:rFonts w:eastAsia="MS Gothic"/>
              </w:rPr>
              <w:footnoteReference w:id="41"/>
            </w:r>
            <w:r w:rsidRPr="00E357B4">
              <w:rPr>
                <w:rStyle w:val="normaltextrun"/>
                <w:rFonts w:eastAsia="MS Gothic"/>
              </w:rPr>
              <w:t xml:space="preserve"> a tento podíl se meziročně mírně zvýšil. Příznivé naopak je, že problém s nedostatkem materiálu či vybavení, který byl palčivý v letech 2021 až 2024, již během loňska z velké části vymizel. To přispělo ke stabilizaci cen stavebních materiálů i </w:t>
            </w:r>
            <w:r w:rsidRPr="00E357B4">
              <w:rPr>
                <w:rStyle w:val="normaltextrun"/>
                <w:rFonts w:eastAsiaTheme="majorEastAsia"/>
              </w:rPr>
              <w:t>zmírnění o</w:t>
            </w:r>
            <w:r w:rsidRPr="00E357B4">
              <w:rPr>
                <w:rStyle w:val="normaltextrun"/>
                <w:rFonts w:eastAsia="MS Gothic"/>
              </w:rPr>
              <w:t>čekávaného růstu cen celkové stavební produkce</w:t>
            </w:r>
            <w:r w:rsidRPr="00E357B4">
              <w:rPr>
                <w:rStyle w:val="Znakapoznpodarou"/>
                <w:rFonts w:eastAsia="MS Gothic"/>
              </w:rPr>
              <w:footnoteReference w:id="42"/>
            </w:r>
            <w:r w:rsidRPr="00E357B4">
              <w:rPr>
                <w:rStyle w:val="normaltextrun"/>
                <w:rFonts w:eastAsia="MS Gothic"/>
              </w:rPr>
              <w:t>.</w:t>
            </w:r>
          </w:p>
        </w:tc>
      </w:tr>
      <w:tr w:rsidR="00290725" w:rsidRPr="00D232BB" w14:paraId="00079982" w14:textId="77777777" w:rsidTr="00A96D94">
        <w:trPr>
          <w:trHeight w:val="145"/>
        </w:trPr>
        <w:tc>
          <w:tcPr>
            <w:tcW w:w="1788" w:type="dxa"/>
            <w:tcMar>
              <w:left w:w="0" w:type="dxa"/>
            </w:tcMar>
          </w:tcPr>
          <w:p w14:paraId="050FB268" w14:textId="77777777" w:rsidR="00290725" w:rsidRPr="00EE0E68" w:rsidRDefault="00290725" w:rsidP="00A96D94">
            <w:pPr>
              <w:pStyle w:val="Marginlie"/>
              <w:spacing w:after="240"/>
              <w:rPr>
                <w:color w:val="0D0D0D" w:themeColor="text1" w:themeTint="F2"/>
                <w:spacing w:val="0"/>
              </w:rPr>
            </w:pPr>
          </w:p>
        </w:tc>
        <w:tc>
          <w:tcPr>
            <w:tcW w:w="147" w:type="dxa"/>
            <w:tcMar>
              <w:left w:w="0" w:type="dxa"/>
            </w:tcMar>
          </w:tcPr>
          <w:p w14:paraId="463BEB2A" w14:textId="77777777" w:rsidR="00290725" w:rsidRPr="00EE0E68" w:rsidRDefault="00290725" w:rsidP="00A96D94">
            <w:pPr>
              <w:pStyle w:val="Textpoznpodarou"/>
              <w:spacing w:after="240"/>
              <w:jc w:val="both"/>
            </w:pPr>
          </w:p>
        </w:tc>
        <w:tc>
          <w:tcPr>
            <w:tcW w:w="7711" w:type="dxa"/>
            <w:tcMar>
              <w:left w:w="0" w:type="dxa"/>
            </w:tcMar>
          </w:tcPr>
          <w:p w14:paraId="03B98A9F" w14:textId="77777777" w:rsidR="00290725" w:rsidRPr="00E357B4" w:rsidRDefault="00290725" w:rsidP="00A96D94">
            <w:pPr>
              <w:spacing w:after="40"/>
              <w:rPr>
                <w:color w:val="0D0D0D" w:themeColor="text1" w:themeTint="F2"/>
              </w:rPr>
            </w:pPr>
            <w:r w:rsidRPr="00E357B4">
              <w:rPr>
                <w:b/>
                <w:color w:val="0D0D0D" w:themeColor="text1" w:themeTint="F2"/>
              </w:rPr>
              <w:t>Graf č. 6 Příspěvky odvětví k meziroční změně stavební produkce (reálně, v p. b.),</w:t>
            </w:r>
            <w:r w:rsidRPr="00E357B4">
              <w:rPr>
                <w:b/>
                <w:color w:val="0D0D0D" w:themeColor="text1" w:themeTint="F2"/>
              </w:rPr>
              <w:br/>
              <w:t>nové stavební zakázky</w:t>
            </w:r>
            <w:r w:rsidRPr="00E357B4">
              <w:rPr>
                <w:color w:val="0D0D0D" w:themeColor="text1" w:themeTint="F2"/>
              </w:rPr>
              <w:t xml:space="preserve"> (nominálně, meziročně, v %), </w:t>
            </w:r>
            <w:r w:rsidRPr="00E357B4">
              <w:rPr>
                <w:b/>
                <w:color w:val="0D0D0D" w:themeColor="text1" w:themeTint="F2"/>
              </w:rPr>
              <w:t>saldo důvěry podnikatelů ve stavebnictví*</w:t>
            </w:r>
            <w:r w:rsidRPr="00E357B4">
              <w:rPr>
                <w:color w:val="0D0D0D" w:themeColor="text1" w:themeTint="F2"/>
              </w:rPr>
              <w:t xml:space="preserve"> (v p. b., pravá osa) </w:t>
            </w:r>
            <w:r w:rsidRPr="00E357B4">
              <w:rPr>
                <w:b/>
                <w:color w:val="0D0D0D" w:themeColor="text1" w:themeTint="F2"/>
              </w:rPr>
              <w:t>a vybrané bariéry růstu*</w:t>
            </w:r>
            <w:r w:rsidRPr="00E357B4">
              <w:rPr>
                <w:color w:val="0D0D0D" w:themeColor="text1" w:themeTint="F2"/>
              </w:rPr>
              <w:t xml:space="preserve"> (v %, pravá osa)</w:t>
            </w:r>
          </w:p>
        </w:tc>
      </w:tr>
      <w:tr w:rsidR="00290725" w:rsidRPr="0067514E" w14:paraId="4BE78179" w14:textId="77777777" w:rsidTr="00A96D94">
        <w:tblPrEx>
          <w:tblCellMar>
            <w:left w:w="70" w:type="dxa"/>
            <w:right w:w="70" w:type="dxa"/>
          </w:tblCellMar>
        </w:tblPrEx>
        <w:trPr>
          <w:trHeight w:val="145"/>
        </w:trPr>
        <w:tc>
          <w:tcPr>
            <w:tcW w:w="1788" w:type="dxa"/>
          </w:tcPr>
          <w:p w14:paraId="3E98B5FE" w14:textId="77777777" w:rsidR="00290725" w:rsidRPr="00EE0E68" w:rsidRDefault="00290725" w:rsidP="00A96D94">
            <w:pPr>
              <w:pStyle w:val="Marginlie"/>
              <w:spacing w:after="240"/>
              <w:rPr>
                <w:color w:val="0D0D0D" w:themeColor="text1" w:themeTint="F2"/>
                <w:spacing w:val="0"/>
              </w:rPr>
            </w:pPr>
          </w:p>
        </w:tc>
        <w:tc>
          <w:tcPr>
            <w:tcW w:w="147" w:type="dxa"/>
          </w:tcPr>
          <w:p w14:paraId="038A99BC" w14:textId="77777777" w:rsidR="00290725" w:rsidRPr="00EE0E68" w:rsidRDefault="00290725" w:rsidP="00A96D94">
            <w:pPr>
              <w:pStyle w:val="Textpoznpodarou"/>
              <w:spacing w:after="240"/>
              <w:jc w:val="both"/>
            </w:pPr>
          </w:p>
        </w:tc>
        <w:tc>
          <w:tcPr>
            <w:tcW w:w="7711" w:type="dxa"/>
          </w:tcPr>
          <w:p w14:paraId="773874D8" w14:textId="77777777" w:rsidR="00290725" w:rsidRPr="00E357B4" w:rsidRDefault="00290725" w:rsidP="00A96D94">
            <w:pPr>
              <w:spacing w:before="40" w:after="40"/>
              <w:rPr>
                <w:color w:val="0D0D0D" w:themeColor="text1" w:themeTint="F2"/>
              </w:rPr>
            </w:pPr>
            <w:r w:rsidRPr="00E357B4">
              <w:rPr>
                <w:noProof/>
              </w:rPr>
              <w:drawing>
                <wp:inline distT="0" distB="0" distL="0" distR="0" wp14:anchorId="1B481E60" wp14:editId="38C21514">
                  <wp:extent cx="4724400" cy="3484245"/>
                  <wp:effectExtent l="0" t="0" r="0" b="1905"/>
                  <wp:docPr id="1538283329" name="Graf 1">
                    <a:extLst xmlns:a="http://schemas.openxmlformats.org/drawingml/2006/main">
                      <a:ext uri="{FF2B5EF4-FFF2-40B4-BE49-F238E27FC236}">
                        <a16:creationId xmlns:a16="http://schemas.microsoft.com/office/drawing/2014/main" id="{00000000-0008-0000-0E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r w:rsidR="00290725" w:rsidRPr="00EC434A" w14:paraId="3A10CB7A" w14:textId="77777777" w:rsidTr="00A96D94">
        <w:trPr>
          <w:trHeight w:val="145"/>
        </w:trPr>
        <w:tc>
          <w:tcPr>
            <w:tcW w:w="1788" w:type="dxa"/>
            <w:tcMar>
              <w:left w:w="0" w:type="dxa"/>
            </w:tcMar>
          </w:tcPr>
          <w:p w14:paraId="0B5ED44E" w14:textId="77777777" w:rsidR="00290725" w:rsidRPr="00EE0E68" w:rsidRDefault="00290725" w:rsidP="00A96D94">
            <w:pPr>
              <w:pStyle w:val="Marginlie"/>
              <w:spacing w:after="240"/>
              <w:rPr>
                <w:color w:val="0D0D0D" w:themeColor="text1" w:themeTint="F2"/>
                <w:spacing w:val="0"/>
              </w:rPr>
            </w:pPr>
          </w:p>
        </w:tc>
        <w:tc>
          <w:tcPr>
            <w:tcW w:w="147" w:type="dxa"/>
            <w:tcMar>
              <w:left w:w="0" w:type="dxa"/>
            </w:tcMar>
          </w:tcPr>
          <w:p w14:paraId="5003638A" w14:textId="77777777" w:rsidR="00290725" w:rsidRPr="00EE0E68" w:rsidRDefault="00290725" w:rsidP="00A96D94">
            <w:pPr>
              <w:pStyle w:val="Textpoznpodarou"/>
              <w:spacing w:after="240"/>
              <w:jc w:val="both"/>
            </w:pPr>
          </w:p>
        </w:tc>
        <w:tc>
          <w:tcPr>
            <w:tcW w:w="7711" w:type="dxa"/>
            <w:tcMar>
              <w:left w:w="0" w:type="dxa"/>
            </w:tcMar>
          </w:tcPr>
          <w:p w14:paraId="2D0E8F9B" w14:textId="77777777" w:rsidR="00290725" w:rsidRPr="00E357B4" w:rsidRDefault="00290725" w:rsidP="00A96D94">
            <w:pPr>
              <w:spacing w:after="0"/>
              <w:rPr>
                <w:color w:val="0D0D0D" w:themeColor="text1" w:themeTint="F2"/>
                <w:sz w:val="14"/>
                <w:szCs w:val="14"/>
              </w:rPr>
            </w:pPr>
            <w:r w:rsidRPr="00E357B4">
              <w:rPr>
                <w:color w:val="0D0D0D" w:themeColor="text1" w:themeTint="F2"/>
                <w:sz w:val="14"/>
                <w:szCs w:val="14"/>
              </w:rPr>
              <w:t>Poznámka: Údaje o stavební produkci jsou očištěny o kalendářní vlivy.</w:t>
            </w:r>
          </w:p>
          <w:p w14:paraId="22A80B6C" w14:textId="77777777" w:rsidR="00290725" w:rsidRPr="00E357B4" w:rsidRDefault="00290725" w:rsidP="00A96D94">
            <w:pPr>
              <w:spacing w:after="0"/>
              <w:rPr>
                <w:color w:val="0D0D0D" w:themeColor="text1" w:themeTint="F2"/>
                <w:sz w:val="14"/>
                <w:szCs w:val="14"/>
              </w:rPr>
            </w:pPr>
            <w:r w:rsidRPr="00E357B4">
              <w:rPr>
                <w:color w:val="0D0D0D" w:themeColor="text1" w:themeTint="F2"/>
                <w:sz w:val="14"/>
                <w:szCs w:val="14"/>
              </w:rPr>
              <w:t>*Saldo důvěry podnikatelů i bariéry růstu jsou sezónně očištěny a vyjadřují stav ve druhém měsíci daného čtvrtletí. Podniky mohly uvést více hlavních bariér současně.</w:t>
            </w:r>
          </w:p>
          <w:p w14:paraId="23CAE71B" w14:textId="77777777" w:rsidR="00290725" w:rsidRPr="00E357B4" w:rsidRDefault="00290725" w:rsidP="00A96D94">
            <w:pPr>
              <w:spacing w:after="200"/>
              <w:rPr>
                <w:color w:val="0D0D0D" w:themeColor="text1" w:themeTint="F2"/>
                <w:sz w:val="16"/>
                <w:szCs w:val="16"/>
              </w:rPr>
            </w:pPr>
            <w:r w:rsidRPr="00E357B4">
              <w:rPr>
                <w:color w:val="0D0D0D" w:themeColor="text1" w:themeTint="F2"/>
                <w:sz w:val="14"/>
                <w:szCs w:val="14"/>
              </w:rPr>
              <w:t xml:space="preserve">Zdroj: ČSÚ, </w:t>
            </w:r>
            <w:proofErr w:type="spellStart"/>
            <w:r w:rsidRPr="00E357B4">
              <w:rPr>
                <w:color w:val="0D0D0D" w:themeColor="text1" w:themeTint="F2"/>
                <w:sz w:val="14"/>
                <w:szCs w:val="14"/>
              </w:rPr>
              <w:t>Eurostat</w:t>
            </w:r>
            <w:proofErr w:type="spellEnd"/>
          </w:p>
        </w:tc>
      </w:tr>
      <w:tr w:rsidR="00290725" w14:paraId="7A6763C2" w14:textId="77777777" w:rsidTr="00A96D94">
        <w:trPr>
          <w:trHeight w:val="170"/>
        </w:trPr>
        <w:tc>
          <w:tcPr>
            <w:tcW w:w="1788" w:type="dxa"/>
            <w:tcMar>
              <w:left w:w="0" w:type="dxa"/>
            </w:tcMar>
          </w:tcPr>
          <w:p w14:paraId="315AEAE7" w14:textId="77777777" w:rsidR="00290725" w:rsidRPr="00EE0E68" w:rsidRDefault="00290725" w:rsidP="00A96D94">
            <w:pPr>
              <w:pStyle w:val="Marginlie"/>
              <w:rPr>
                <w:spacing w:val="0"/>
              </w:rPr>
            </w:pPr>
            <w:r>
              <w:rPr>
                <w:spacing w:val="0"/>
              </w:rPr>
              <w:lastRenderedPageBreak/>
              <w:t xml:space="preserve">Mírný růst poptávky po službách loni </w:t>
            </w:r>
            <w:r w:rsidRPr="000F21D6">
              <w:rPr>
                <w:color w:val="0D0D0D" w:themeColor="text1" w:themeTint="F2"/>
                <w:spacing w:val="0"/>
              </w:rPr>
              <w:t>p</w:t>
            </w:r>
            <w:r>
              <w:rPr>
                <w:color w:val="0D0D0D" w:themeColor="text1" w:themeTint="F2"/>
                <w:spacing w:val="0"/>
              </w:rPr>
              <w:t>řetrval.</w:t>
            </w:r>
            <w:r w:rsidRPr="000F21D6">
              <w:rPr>
                <w:color w:val="0D0D0D" w:themeColor="text1" w:themeTint="F2"/>
                <w:spacing w:val="0"/>
              </w:rPr>
              <w:t xml:space="preserve"> </w:t>
            </w:r>
            <w:proofErr w:type="spellStart"/>
            <w:r w:rsidRPr="000F21D6">
              <w:rPr>
                <w:color w:val="0D0D0D" w:themeColor="text1" w:themeTint="F2"/>
                <w:spacing w:val="0"/>
              </w:rPr>
              <w:t>Mezikvartální</w:t>
            </w:r>
            <w:proofErr w:type="spellEnd"/>
            <w:r w:rsidRPr="000F21D6">
              <w:rPr>
                <w:color w:val="0D0D0D" w:themeColor="text1" w:themeTint="F2"/>
                <w:spacing w:val="0"/>
              </w:rPr>
              <w:t xml:space="preserve"> vývoj tržeb byl ovlivněn kolísavým vývojem </w:t>
            </w:r>
            <w:r w:rsidRPr="000F21D6">
              <w:rPr>
                <w:color w:val="0D0D0D" w:themeColor="text1" w:themeTint="F2"/>
                <w:spacing w:val="-4"/>
              </w:rPr>
              <w:t>v odvětvích vázaných na situaci v průmyslu.</w:t>
            </w:r>
          </w:p>
        </w:tc>
        <w:tc>
          <w:tcPr>
            <w:tcW w:w="147" w:type="dxa"/>
            <w:tcMar>
              <w:left w:w="0" w:type="dxa"/>
            </w:tcMar>
          </w:tcPr>
          <w:p w14:paraId="07F262C2" w14:textId="77777777" w:rsidR="00290725" w:rsidRPr="00EE0E68" w:rsidRDefault="00290725" w:rsidP="00A96D94">
            <w:pPr>
              <w:pStyle w:val="Textpoznpodarou"/>
              <w:jc w:val="both"/>
            </w:pPr>
          </w:p>
        </w:tc>
        <w:tc>
          <w:tcPr>
            <w:tcW w:w="7711" w:type="dxa"/>
            <w:tcMar>
              <w:left w:w="0" w:type="dxa"/>
            </w:tcMar>
          </w:tcPr>
          <w:p w14:paraId="78C360D9" w14:textId="77777777" w:rsidR="00290725" w:rsidRPr="00E357B4" w:rsidRDefault="00290725" w:rsidP="00A96D94">
            <w:pPr>
              <w:spacing w:after="200"/>
              <w:rPr>
                <w:rStyle w:val="normaltextrun"/>
                <w:rFonts w:eastAsiaTheme="majorEastAsia"/>
              </w:rPr>
            </w:pPr>
            <w:r w:rsidRPr="00E357B4">
              <w:rPr>
                <w:rStyle w:val="normaltextrun"/>
                <w:rFonts w:eastAsiaTheme="majorEastAsia"/>
              </w:rPr>
              <w:t xml:space="preserve">Služby loni navázaly na </w:t>
            </w:r>
            <w:r w:rsidRPr="00E357B4">
              <w:rPr>
                <w:rStyle w:val="normaltextrun"/>
                <w:rFonts w:eastAsiaTheme="majorEastAsia"/>
                <w:color w:val="0D0D0D" w:themeColor="text1" w:themeTint="F2"/>
              </w:rPr>
              <w:t xml:space="preserve">mírné oživení z roku 2024. </w:t>
            </w:r>
            <w:r w:rsidRPr="00E357B4">
              <w:rPr>
                <w:color w:val="0D0D0D" w:themeColor="text1" w:themeTint="F2"/>
              </w:rPr>
              <w:t>Stabilizace hladiny spotřebitelských cen pomohla znovu</w:t>
            </w:r>
            <w:r>
              <w:rPr>
                <w:color w:val="0D0D0D" w:themeColor="text1" w:themeTint="F2"/>
              </w:rPr>
              <w:t xml:space="preserve"> </w:t>
            </w:r>
            <w:r w:rsidRPr="00E357B4">
              <w:rPr>
                <w:color w:val="0D0D0D" w:themeColor="text1" w:themeTint="F2"/>
              </w:rPr>
              <w:t xml:space="preserve">nastartovat růst reálných mezd zaměstnanců, což se odrazilo v příznivější finanční situaci domácností a následně </w:t>
            </w:r>
            <w:r>
              <w:rPr>
                <w:color w:val="0D0D0D" w:themeColor="text1" w:themeTint="F2"/>
              </w:rPr>
              <w:t xml:space="preserve">to </w:t>
            </w:r>
            <w:r w:rsidRPr="00E357B4">
              <w:rPr>
                <w:color w:val="0D0D0D" w:themeColor="text1" w:themeTint="F2"/>
              </w:rPr>
              <w:t>stimulovalo jejich spotřebu. Na služby působila pozitivně i</w:t>
            </w:r>
            <w:r w:rsidRPr="00E357B4">
              <w:rPr>
                <w:rStyle w:val="normaltextrun"/>
                <w:rFonts w:eastAsia="MS Gothic"/>
                <w:color w:val="0D0D0D" w:themeColor="text1" w:themeTint="F2"/>
              </w:rPr>
              <w:t> </w:t>
            </w:r>
            <w:r w:rsidRPr="00E357B4">
              <w:rPr>
                <w:color w:val="0D0D0D" w:themeColor="text1" w:themeTint="F2"/>
              </w:rPr>
              <w:t xml:space="preserve">mírně rostoucí podniková poptávka. </w:t>
            </w:r>
            <w:proofErr w:type="spellStart"/>
            <w:r w:rsidRPr="00E357B4">
              <w:rPr>
                <w:color w:val="0D0D0D" w:themeColor="text1" w:themeTint="F2"/>
              </w:rPr>
              <w:t>Mezikvartální</w:t>
            </w:r>
            <w:proofErr w:type="spellEnd"/>
            <w:r w:rsidRPr="00E357B4">
              <w:rPr>
                <w:color w:val="0D0D0D" w:themeColor="text1" w:themeTint="F2"/>
              </w:rPr>
              <w:t xml:space="preserve"> růst </w:t>
            </w:r>
            <w:r w:rsidRPr="00E357B4">
              <w:rPr>
                <w:rFonts w:cs="Arial"/>
                <w:color w:val="0D0D0D" w:themeColor="text1" w:themeTint="F2"/>
              </w:rPr>
              <w:t>tržeb ve službách</w:t>
            </w:r>
            <w:r w:rsidRPr="00E357B4">
              <w:rPr>
                <w:color w:val="0D0D0D" w:themeColor="text1" w:themeTint="F2"/>
                <w:vertAlign w:val="superscript"/>
              </w:rPr>
              <w:footnoteReference w:id="43"/>
            </w:r>
            <w:r w:rsidRPr="00E357B4">
              <w:rPr>
                <w:rFonts w:cs="Arial"/>
                <w:color w:val="0D0D0D" w:themeColor="text1" w:themeTint="F2"/>
              </w:rPr>
              <w:t xml:space="preserve"> na počátku loňského roku proto zrychlil (na 1,5 %) hlavně zásluhou profesních, vědeckých a technických činností. Ve 2. i 3. čtvrtletí se však celkový růst zastavil, neboť se projevila slabší poptávka v dopravě a skladování, která reagovala na kolísavou situaci v průmyslu. Na samém konci roku došlo vlivem významnějšího posílení investiční aktivity firem v ekonomice k růstu poptávky v průmyslu i </w:t>
            </w:r>
            <w:r>
              <w:rPr>
                <w:rFonts w:cs="Arial"/>
                <w:color w:val="0D0D0D" w:themeColor="text1" w:themeTint="F2"/>
              </w:rPr>
              <w:t xml:space="preserve">v </w:t>
            </w:r>
            <w:r w:rsidRPr="00E357B4">
              <w:rPr>
                <w:rFonts w:cs="Arial"/>
                <w:color w:val="0D0D0D" w:themeColor="text1" w:themeTint="F2"/>
              </w:rPr>
              <w:t>návazných odvětví</w:t>
            </w:r>
            <w:r>
              <w:rPr>
                <w:rFonts w:cs="Arial"/>
                <w:color w:val="0D0D0D" w:themeColor="text1" w:themeTint="F2"/>
              </w:rPr>
              <w:t xml:space="preserve">ch </w:t>
            </w:r>
            <w:r w:rsidRPr="00E357B4">
              <w:rPr>
                <w:rFonts w:cs="Arial"/>
                <w:color w:val="0D0D0D" w:themeColor="text1" w:themeTint="F2"/>
              </w:rPr>
              <w:t>služeb. To vedlo k posílení dopravy a skladování, tržby však rostly ve všech hlavních odvětvích služeb (vyjma činností v oblast</w:t>
            </w:r>
            <w:r>
              <w:rPr>
                <w:rFonts w:cs="Arial"/>
                <w:color w:val="0D0D0D" w:themeColor="text1" w:themeTint="F2"/>
              </w:rPr>
              <w:t>i</w:t>
            </w:r>
            <w:r w:rsidRPr="00E357B4">
              <w:rPr>
                <w:rFonts w:cs="Arial"/>
                <w:color w:val="0D0D0D" w:themeColor="text1" w:themeTint="F2"/>
              </w:rPr>
              <w:t xml:space="preserve"> nemovitostí). Celkové tržby ve službách se </w:t>
            </w:r>
            <w:r>
              <w:rPr>
                <w:rFonts w:cs="Arial"/>
                <w:color w:val="0D0D0D" w:themeColor="text1" w:themeTint="F2"/>
              </w:rPr>
              <w:t>tak</w:t>
            </w:r>
            <w:r w:rsidRPr="00E357B4">
              <w:rPr>
                <w:rFonts w:cs="Arial"/>
                <w:color w:val="0D0D0D" w:themeColor="text1" w:themeTint="F2"/>
              </w:rPr>
              <w:t xml:space="preserve"> nacházely mírně nad úrovní z vrcholu předpandemické konju</w:t>
            </w:r>
            <w:r>
              <w:rPr>
                <w:rFonts w:cs="Arial"/>
                <w:color w:val="0D0D0D" w:themeColor="text1" w:themeTint="F2"/>
              </w:rPr>
              <w:t>n</w:t>
            </w:r>
            <w:r w:rsidRPr="00E357B4">
              <w:rPr>
                <w:rFonts w:cs="Arial"/>
                <w:color w:val="0D0D0D" w:themeColor="text1" w:themeTint="F2"/>
              </w:rPr>
              <w:t>ktury</w:t>
            </w:r>
            <w:r w:rsidRPr="00E357B4">
              <w:rPr>
                <w:rStyle w:val="Znakapoznpodarou"/>
                <w:color w:val="0D0D0D" w:themeColor="text1" w:themeTint="F2"/>
              </w:rPr>
              <w:footnoteReference w:id="44"/>
            </w:r>
            <w:r w:rsidRPr="00E357B4">
              <w:rPr>
                <w:rFonts w:cs="Arial"/>
                <w:color w:val="0D0D0D" w:themeColor="text1" w:themeTint="F2"/>
              </w:rPr>
              <w:t>.</w:t>
            </w:r>
          </w:p>
        </w:tc>
      </w:tr>
      <w:tr w:rsidR="00290725" w:rsidRPr="006B7463" w14:paraId="2A3806F2" w14:textId="77777777" w:rsidTr="00A96D94">
        <w:trPr>
          <w:trHeight w:val="170"/>
        </w:trPr>
        <w:tc>
          <w:tcPr>
            <w:tcW w:w="1788" w:type="dxa"/>
            <w:tcMar>
              <w:left w:w="0" w:type="dxa"/>
            </w:tcMar>
          </w:tcPr>
          <w:p w14:paraId="6B6AFE4A" w14:textId="77777777" w:rsidR="00290725" w:rsidRDefault="00290725" w:rsidP="00A96D94">
            <w:pPr>
              <w:pStyle w:val="Marginlie"/>
            </w:pPr>
            <w:r>
              <w:t xml:space="preserve">K meziročnímu růstu tržeb ve službách přispívaly loni nejvíce vyspělé podnikové služby tažené vyšší poptávkou po inženýrských </w:t>
            </w:r>
            <w:r>
              <w:br/>
              <w:t>a architektonických činnostech.</w:t>
            </w:r>
          </w:p>
        </w:tc>
        <w:tc>
          <w:tcPr>
            <w:tcW w:w="0" w:type="auto"/>
            <w:tcMar>
              <w:left w:w="0" w:type="dxa"/>
            </w:tcMar>
          </w:tcPr>
          <w:p w14:paraId="02AA3D9F" w14:textId="77777777" w:rsidR="00290725" w:rsidRPr="006B7463" w:rsidRDefault="00290725" w:rsidP="00A96D94">
            <w:pPr>
              <w:pStyle w:val="Textpoznpodarou"/>
              <w:jc w:val="both"/>
              <w:rPr>
                <w:color w:val="0D0D0D" w:themeColor="text1" w:themeTint="F2"/>
                <w:spacing w:val="-4"/>
              </w:rPr>
            </w:pPr>
          </w:p>
        </w:tc>
        <w:tc>
          <w:tcPr>
            <w:tcW w:w="7711" w:type="dxa"/>
            <w:tcMar>
              <w:left w:w="0" w:type="dxa"/>
            </w:tcMar>
          </w:tcPr>
          <w:p w14:paraId="580A9D0E" w14:textId="77777777" w:rsidR="00290725" w:rsidRPr="00E357B4" w:rsidRDefault="00290725" w:rsidP="00A96D94">
            <w:pPr>
              <w:spacing w:after="200"/>
              <w:rPr>
                <w:color w:val="0D0D0D" w:themeColor="text1" w:themeTint="F2"/>
              </w:rPr>
            </w:pPr>
            <w:r w:rsidRPr="00E357B4">
              <w:rPr>
                <w:bCs/>
                <w:color w:val="0D0D0D" w:themeColor="text1" w:themeTint="F2"/>
              </w:rPr>
              <w:t>Za celý rok 2025 se</w:t>
            </w:r>
            <w:r w:rsidRPr="00E357B4">
              <w:rPr>
                <w:color w:val="0D0D0D" w:themeColor="text1" w:themeTint="F2"/>
              </w:rPr>
              <w:t xml:space="preserve"> tržby ve službách zvýšily meziročně o 1,9 %. Ve srovnání s předloňským tempem šlo o velmi mírn</w:t>
            </w:r>
            <w:r>
              <w:rPr>
                <w:color w:val="0D0D0D" w:themeColor="text1" w:themeTint="F2"/>
              </w:rPr>
              <w:t>é</w:t>
            </w:r>
            <w:r w:rsidRPr="00E357B4">
              <w:rPr>
                <w:color w:val="0D0D0D" w:themeColor="text1" w:themeTint="F2"/>
              </w:rPr>
              <w:t xml:space="preserve"> zpomalení (související s kolísavým vývojem poptávky v dopravě a skladování). Na loňském růstu se více než třetinou podílely </w:t>
            </w:r>
            <w:r w:rsidRPr="00E357B4">
              <w:rPr>
                <w:rFonts w:cs="Arial"/>
                <w:color w:val="0D0D0D" w:themeColor="text1" w:themeTint="F2"/>
                <w:szCs w:val="20"/>
              </w:rPr>
              <w:t>profesní, vědecké a technické činnost</w:t>
            </w:r>
            <w:r>
              <w:rPr>
                <w:rFonts w:cs="Arial"/>
                <w:color w:val="0D0D0D" w:themeColor="text1" w:themeTint="F2"/>
                <w:szCs w:val="20"/>
              </w:rPr>
              <w:t>i</w:t>
            </w:r>
            <w:r w:rsidRPr="00E357B4">
              <w:rPr>
                <w:rFonts w:cs="Arial"/>
                <w:color w:val="0D0D0D" w:themeColor="text1" w:themeTint="F2"/>
                <w:szCs w:val="20"/>
              </w:rPr>
              <w:t>. Vyjma reklamních činností (jejichž výkon stagnoval)</w:t>
            </w:r>
            <w:r w:rsidRPr="00E357B4">
              <w:rPr>
                <w:rStyle w:val="Znakapoznpodarou"/>
                <w:color w:val="0D0D0D" w:themeColor="text1" w:themeTint="F2"/>
                <w:szCs w:val="20"/>
              </w:rPr>
              <w:footnoteReference w:id="45"/>
            </w:r>
            <w:r w:rsidRPr="00E357B4">
              <w:rPr>
                <w:rFonts w:cs="Arial"/>
                <w:color w:val="0D0D0D" w:themeColor="text1" w:themeTint="F2"/>
                <w:szCs w:val="20"/>
              </w:rPr>
              <w:t xml:space="preserve"> se zde tržby zvýšily všem dílčím oborům. Rozvoj celého odvětví byl tažen architektonickými a inženýrskými činnostmi, kde růst vlivem svižně se rozvíjejícího odvětví stavebnictví zrychlil (na 3,3 %). Dařilo se i činnostem vedení podniků a</w:t>
            </w:r>
            <w:r>
              <w:rPr>
                <w:rFonts w:cs="Arial"/>
                <w:color w:val="0D0D0D" w:themeColor="text1" w:themeTint="F2"/>
                <w:szCs w:val="20"/>
              </w:rPr>
              <w:t> </w:t>
            </w:r>
            <w:r w:rsidRPr="00E357B4">
              <w:rPr>
                <w:rFonts w:cs="Arial"/>
                <w:color w:val="0D0D0D" w:themeColor="text1" w:themeTint="F2"/>
                <w:szCs w:val="20"/>
              </w:rPr>
              <w:t xml:space="preserve">poradenství v oblasti řízení (+6,2 %, čtyřleté maximum) i právnickým a účetnickým činnostem, v nichž tržby převýšily úroveň z předkrizového roku 2019 již téměř o pětinu. Dynamičtější růst poptávky pokračoval druhým rokem v diverzifikovaném segmentu </w:t>
            </w:r>
            <w:r w:rsidRPr="00E357B4">
              <w:t>ostatních profesních, vědeckých a technických činností (+4,9</w:t>
            </w:r>
            <w:r w:rsidRPr="00E357B4">
              <w:rPr>
                <w:rFonts w:cs="Arial"/>
                <w:color w:val="0D0D0D" w:themeColor="text1" w:themeTint="F2"/>
                <w:szCs w:val="20"/>
              </w:rPr>
              <w:t> </w:t>
            </w:r>
            <w:r w:rsidRPr="00E357B4">
              <w:t>%)</w:t>
            </w:r>
            <w:r w:rsidRPr="00E357B4">
              <w:rPr>
                <w:rStyle w:val="Znakapoznpodarou"/>
              </w:rPr>
              <w:footnoteReference w:id="46"/>
            </w:r>
            <w:r w:rsidRPr="00E357B4">
              <w:t xml:space="preserve"> a tržby se zde poprvé loni dorovnaly úrovni z roku 2019.</w:t>
            </w:r>
          </w:p>
        </w:tc>
      </w:tr>
      <w:tr w:rsidR="00290725" w:rsidRPr="006B7463" w14:paraId="0D652FAE" w14:textId="77777777" w:rsidTr="00A96D94">
        <w:trPr>
          <w:trHeight w:val="170"/>
        </w:trPr>
        <w:tc>
          <w:tcPr>
            <w:tcW w:w="1788" w:type="dxa"/>
            <w:tcMar>
              <w:left w:w="0" w:type="dxa"/>
            </w:tcMar>
          </w:tcPr>
          <w:p w14:paraId="426F28C3" w14:textId="77777777" w:rsidR="00290725" w:rsidRPr="000C02DA" w:rsidRDefault="00290725" w:rsidP="00A96D94">
            <w:pPr>
              <w:pStyle w:val="Marginlie"/>
              <w:rPr>
                <w:spacing w:val="-4"/>
              </w:rPr>
            </w:pPr>
            <w:r w:rsidRPr="000C02DA">
              <w:rPr>
                <w:spacing w:val="-4"/>
              </w:rPr>
              <w:t>Tržby v oblasti ICT rostly hlavně díky dynamickému segmentu telekomunikací.</w:t>
            </w:r>
            <w:r>
              <w:rPr>
                <w:spacing w:val="-4"/>
              </w:rPr>
              <w:t xml:space="preserve"> K oživení poptávky došlo v informačních činnostech.</w:t>
            </w:r>
          </w:p>
        </w:tc>
        <w:tc>
          <w:tcPr>
            <w:tcW w:w="0" w:type="auto"/>
            <w:tcMar>
              <w:left w:w="0" w:type="dxa"/>
            </w:tcMar>
          </w:tcPr>
          <w:p w14:paraId="3D7B992E" w14:textId="77777777" w:rsidR="00290725" w:rsidRPr="006B7463" w:rsidRDefault="00290725" w:rsidP="00A96D94">
            <w:pPr>
              <w:pStyle w:val="Textpoznpodarou"/>
              <w:jc w:val="both"/>
              <w:rPr>
                <w:color w:val="0D0D0D" w:themeColor="text1" w:themeTint="F2"/>
                <w:spacing w:val="-4"/>
              </w:rPr>
            </w:pPr>
          </w:p>
        </w:tc>
        <w:tc>
          <w:tcPr>
            <w:tcW w:w="7711" w:type="dxa"/>
            <w:tcMar>
              <w:left w:w="0" w:type="dxa"/>
            </w:tcMar>
          </w:tcPr>
          <w:p w14:paraId="49B05978" w14:textId="77777777" w:rsidR="00290725" w:rsidRPr="00E357B4" w:rsidRDefault="00290725" w:rsidP="00A96D94">
            <w:pPr>
              <w:spacing w:after="0"/>
              <w:rPr>
                <w:rFonts w:cs="Arial"/>
                <w:color w:val="0D0D0D" w:themeColor="text1" w:themeTint="F2"/>
                <w:szCs w:val="20"/>
              </w:rPr>
            </w:pPr>
            <w:r w:rsidRPr="00E357B4">
              <w:rPr>
                <w:rFonts w:cs="Arial"/>
                <w:color w:val="0D0D0D" w:themeColor="text1" w:themeTint="F2"/>
                <w:szCs w:val="20"/>
              </w:rPr>
              <w:t xml:space="preserve">Rozvoj služeb významně podporovaly také </w:t>
            </w:r>
            <w:r w:rsidRPr="00E357B4">
              <w:rPr>
                <w:color w:val="0D0D0D" w:themeColor="text1" w:themeTint="F2"/>
              </w:rPr>
              <w:t xml:space="preserve">informační a komunikační činnosti (ICT), jimž tržby loni vzrostly o 2,7 % (nejvíce za poslední tři roky). Oblast ICT těžila hlavně z výrazného posílení výkonu telekomunikací (na +5,8 %, nejvyššího po roce 2007), svižně se ovšem zvyšovaly také tržby </w:t>
            </w:r>
            <w:r w:rsidRPr="00E357B4">
              <w:rPr>
                <w:rFonts w:cs="Arial"/>
                <w:color w:val="0D0D0D" w:themeColor="text1" w:themeTint="F2"/>
              </w:rPr>
              <w:t>informačním činnostem</w:t>
            </w:r>
            <w:r w:rsidRPr="00E357B4">
              <w:rPr>
                <w:rStyle w:val="Znakapoznpodarou"/>
                <w:color w:val="0D0D0D" w:themeColor="text1" w:themeTint="F2"/>
              </w:rPr>
              <w:footnoteReference w:id="47"/>
            </w:r>
            <w:r w:rsidRPr="00E357B4">
              <w:rPr>
                <w:rFonts w:cs="Arial"/>
                <w:color w:val="0D0D0D" w:themeColor="text1" w:themeTint="F2"/>
              </w:rPr>
              <w:t>, v nichž se dříve dynamický růst poptávky v předchozích třech letech fakticky zastavil. V dlouhodobě silně se rozvíjejících činnostech v oblasti IT</w:t>
            </w:r>
            <w:r w:rsidRPr="00E357B4">
              <w:rPr>
                <w:rStyle w:val="Znakapoznpodarou"/>
                <w:color w:val="0D0D0D" w:themeColor="text1" w:themeTint="F2"/>
              </w:rPr>
              <w:footnoteReference w:id="48"/>
            </w:r>
            <w:r w:rsidRPr="00E357B4">
              <w:rPr>
                <w:rFonts w:cs="Arial"/>
                <w:color w:val="0D0D0D" w:themeColor="text1" w:themeTint="F2"/>
              </w:rPr>
              <w:t xml:space="preserve"> rostly loni tržby mírněji (+2,3 %, zhruba o</w:t>
            </w:r>
            <w:r>
              <w:rPr>
                <w:rFonts w:cs="Arial"/>
                <w:color w:val="0D0D0D" w:themeColor="text1" w:themeTint="F2"/>
              </w:rPr>
              <w:t> </w:t>
            </w:r>
            <w:r w:rsidRPr="00E357B4">
              <w:rPr>
                <w:rFonts w:cs="Arial"/>
                <w:color w:val="0D0D0D" w:themeColor="text1" w:themeTint="F2"/>
              </w:rPr>
              <w:t xml:space="preserve">polovinu méně než v roce 2024). Naopak po útlumu v letech 2023 i 2024 velmi mírně ožily </w:t>
            </w:r>
            <w:r w:rsidRPr="00E357B4">
              <w:rPr>
                <w:color w:val="0D0D0D" w:themeColor="text1" w:themeTint="F2"/>
              </w:rPr>
              <w:t xml:space="preserve">vydavatelské činnosti (nejvíce v oblasti SW). </w:t>
            </w:r>
            <w:r w:rsidRPr="00E357B4">
              <w:rPr>
                <w:rFonts w:cs="Arial"/>
                <w:color w:val="0D0D0D" w:themeColor="text1" w:themeTint="F2"/>
              </w:rPr>
              <w:t>V malém segmentu ICT – filmovém a</w:t>
            </w:r>
            <w:r>
              <w:rPr>
                <w:rFonts w:cs="Arial"/>
                <w:color w:val="0D0D0D" w:themeColor="text1" w:themeTint="F2"/>
              </w:rPr>
              <w:t> </w:t>
            </w:r>
            <w:r w:rsidRPr="00E357B4">
              <w:rPr>
                <w:rFonts w:cs="Arial"/>
                <w:color w:val="0D0D0D" w:themeColor="text1" w:themeTint="F2"/>
              </w:rPr>
              <w:t>hudebním průmyslu – se tržby po propadu v předchozích dvou letech</w:t>
            </w:r>
            <w:r w:rsidRPr="00E357B4">
              <w:rPr>
                <w:rStyle w:val="Znakapoznpodarou"/>
                <w:color w:val="0D0D0D" w:themeColor="text1" w:themeTint="F2"/>
              </w:rPr>
              <w:footnoteReference w:id="49"/>
            </w:r>
            <w:r w:rsidRPr="00E357B4">
              <w:rPr>
                <w:rFonts w:cs="Arial"/>
                <w:color w:val="0D0D0D" w:themeColor="text1" w:themeTint="F2"/>
              </w:rPr>
              <w:t xml:space="preserve"> stabilizovaly (+3,4 %</w:t>
            </w:r>
            <w:r w:rsidRPr="00E357B4">
              <w:rPr>
                <w:rStyle w:val="Znakapoznpodarou"/>
                <w:color w:val="0D0D0D" w:themeColor="text1" w:themeTint="F2"/>
              </w:rPr>
              <w:footnoteReference w:id="50"/>
            </w:r>
            <w:r w:rsidRPr="00E357B4">
              <w:rPr>
                <w:rFonts w:cs="Arial"/>
                <w:color w:val="0D0D0D" w:themeColor="text1" w:themeTint="F2"/>
              </w:rPr>
              <w:t>) a oproti roku 2019 byly nižší o 29 %. V tvorbě televizních a rozhlasových programů, ve které jako</w:t>
            </w:r>
            <w:r>
              <w:rPr>
                <w:rFonts w:cs="Arial"/>
                <w:color w:val="0D0D0D" w:themeColor="text1" w:themeTint="F2"/>
              </w:rPr>
              <w:t xml:space="preserve"> v</w:t>
            </w:r>
            <w:r w:rsidRPr="00E357B4">
              <w:rPr>
                <w:rFonts w:cs="Arial"/>
                <w:color w:val="0D0D0D" w:themeColor="text1" w:themeTint="F2"/>
              </w:rPr>
              <w:t xml:space="preserve"> jednom z mála dílčích odvětví služeb výrazněji neklesla poptávka během „pandemického roku“ 2020, se loni tržby propad</w:t>
            </w:r>
            <w:r>
              <w:rPr>
                <w:rFonts w:cs="Arial"/>
                <w:color w:val="0D0D0D" w:themeColor="text1" w:themeTint="F2"/>
              </w:rPr>
              <w:t>l</w:t>
            </w:r>
            <w:r w:rsidRPr="00E357B4">
              <w:rPr>
                <w:rFonts w:cs="Arial"/>
                <w:color w:val="0D0D0D" w:themeColor="text1" w:themeTint="F2"/>
              </w:rPr>
              <w:t>y o 13,5 %</w:t>
            </w:r>
            <w:r w:rsidRPr="00E357B4">
              <w:rPr>
                <w:rStyle w:val="Znakapoznpodarou"/>
                <w:color w:val="0D0D0D" w:themeColor="text1" w:themeTint="F2"/>
              </w:rPr>
              <w:footnoteReference w:id="51"/>
            </w:r>
            <w:r w:rsidRPr="00E357B4">
              <w:rPr>
                <w:rFonts w:cs="Arial"/>
                <w:color w:val="0D0D0D" w:themeColor="text1" w:themeTint="F2"/>
              </w:rPr>
              <w:t>, což bylo nejvíce po roce 2009.</w:t>
            </w:r>
          </w:p>
        </w:tc>
      </w:tr>
      <w:tr w:rsidR="00290725" w:rsidRPr="00A05E70" w14:paraId="015C6006" w14:textId="77777777" w:rsidTr="00A96D94">
        <w:trPr>
          <w:trHeight w:val="170"/>
        </w:trPr>
        <w:tc>
          <w:tcPr>
            <w:tcW w:w="1788" w:type="dxa"/>
            <w:tcMar>
              <w:left w:w="0" w:type="dxa"/>
            </w:tcMar>
          </w:tcPr>
          <w:p w14:paraId="7DE2ECF1" w14:textId="77777777" w:rsidR="00290725" w:rsidRDefault="00290725" w:rsidP="00A96D94">
            <w:pPr>
              <w:pStyle w:val="Marginlie"/>
            </w:pPr>
            <w:r>
              <w:lastRenderedPageBreak/>
              <w:t xml:space="preserve">K mírnému růstu tržeb v dopravě a skladování přispěly loni všechny dílčí obory vyjma letecké dopravy. </w:t>
            </w:r>
          </w:p>
        </w:tc>
        <w:tc>
          <w:tcPr>
            <w:tcW w:w="0" w:type="auto"/>
            <w:tcMar>
              <w:left w:w="0" w:type="dxa"/>
            </w:tcMar>
          </w:tcPr>
          <w:p w14:paraId="05A8C560" w14:textId="77777777" w:rsidR="00290725" w:rsidRPr="006B7463" w:rsidRDefault="00290725" w:rsidP="00A96D94">
            <w:pPr>
              <w:pStyle w:val="Textpoznpodarou"/>
              <w:jc w:val="both"/>
              <w:rPr>
                <w:color w:val="0D0D0D" w:themeColor="text1" w:themeTint="F2"/>
                <w:spacing w:val="-4"/>
              </w:rPr>
            </w:pPr>
          </w:p>
        </w:tc>
        <w:tc>
          <w:tcPr>
            <w:tcW w:w="7711" w:type="dxa"/>
            <w:tcMar>
              <w:left w:w="0" w:type="dxa"/>
            </w:tcMar>
          </w:tcPr>
          <w:p w14:paraId="36A8B60A" w14:textId="77777777" w:rsidR="00290725" w:rsidRPr="00E357B4" w:rsidRDefault="00290725" w:rsidP="00A96D94">
            <w:pPr>
              <w:spacing w:after="200"/>
              <w:rPr>
                <w:rFonts w:cs="Arial"/>
                <w:color w:val="0D0D0D" w:themeColor="text1" w:themeTint="F2"/>
                <w:szCs w:val="20"/>
              </w:rPr>
            </w:pPr>
            <w:r w:rsidRPr="00E357B4">
              <w:rPr>
                <w:rFonts w:cs="Arial"/>
                <w:color w:val="0D0D0D" w:themeColor="text1" w:themeTint="F2"/>
                <w:szCs w:val="20"/>
              </w:rPr>
              <w:t>Posledním odvětvím, jež loni významněji podpořilo růst služeb, byla doprava a</w:t>
            </w:r>
            <w:r>
              <w:rPr>
                <w:rFonts w:cs="Arial"/>
                <w:color w:val="0D0D0D" w:themeColor="text1" w:themeTint="F2"/>
                <w:szCs w:val="20"/>
              </w:rPr>
              <w:t> </w:t>
            </w:r>
            <w:r w:rsidRPr="00E357B4">
              <w:rPr>
                <w:rFonts w:cs="Arial"/>
                <w:color w:val="0D0D0D" w:themeColor="text1" w:themeTint="F2"/>
                <w:szCs w:val="20"/>
              </w:rPr>
              <w:t>skladování, kde tržby meziročně posílily o 1,5 % a k růstu služeb přispěly 0,</w:t>
            </w:r>
            <w:r>
              <w:rPr>
                <w:rFonts w:cs="Arial"/>
                <w:color w:val="0D0D0D" w:themeColor="text1" w:themeTint="F2"/>
                <w:szCs w:val="20"/>
              </w:rPr>
              <w:t>4</w:t>
            </w:r>
            <w:r w:rsidRPr="00E357B4">
              <w:rPr>
                <w:rFonts w:cs="Arial"/>
                <w:color w:val="0D0D0D" w:themeColor="text1" w:themeTint="F2"/>
                <w:szCs w:val="20"/>
              </w:rPr>
              <w:t xml:space="preserve"> p. b. (za relativně slabším tempem stálo zejména 3. čtvrtletí 2025, kdy se růst tržeb v tomto odvětví poprvé od konce roku 2023 zastavil). Zatímco v roce 2024 přispíval k růstu odvětví hlavně váhově významný segment skladování (vč. vedlejších činností v dopravě), loni tuto roli převzala pozemní doprava. Mírný loňský růst tržeb (+1,8 %) zde odrážel vyšší přepravní výkony v osobní i nákladní dopravě</w:t>
            </w:r>
            <w:r w:rsidRPr="00E357B4">
              <w:rPr>
                <w:rStyle w:val="Znakapoznpodarou"/>
                <w:color w:val="0D0D0D" w:themeColor="text1" w:themeTint="F2"/>
                <w:szCs w:val="20"/>
              </w:rPr>
              <w:footnoteReference w:id="52"/>
            </w:r>
            <w:r w:rsidRPr="00E357B4">
              <w:rPr>
                <w:rFonts w:cs="Arial"/>
                <w:color w:val="0D0D0D" w:themeColor="text1" w:themeTint="F2"/>
                <w:szCs w:val="20"/>
              </w:rPr>
              <w:t>. Ve skladování růst tržeb zvolnil, i tak se však reálně nacházely bezmála šestinu nad úrovní z roku 2019. Podobně na tom z dlouhodobějšího pohledu byly i poštovní a kurýrní činnosti. Jejich tržby ovšem loni i přes pokračující svižný rozvoj internetového prodeje rostly jen mírně (+2,0 %). Ve váhově okrajovém segmentu letecké dopravy rychlé zotavování poptávky z předchozích let již nepokračovalo a tržby tuzemských přepravců se loni meziročně mírně snížily (o</w:t>
            </w:r>
            <w:r>
              <w:rPr>
                <w:rFonts w:cs="Arial"/>
                <w:color w:val="0D0D0D" w:themeColor="text1" w:themeTint="F2"/>
                <w:szCs w:val="20"/>
              </w:rPr>
              <w:t> </w:t>
            </w:r>
            <w:r w:rsidRPr="00E357B4">
              <w:rPr>
                <w:rFonts w:cs="Arial"/>
                <w:color w:val="0D0D0D" w:themeColor="text1" w:themeTint="F2"/>
                <w:szCs w:val="20"/>
              </w:rPr>
              <w:t>3,0 %)</w:t>
            </w:r>
            <w:r w:rsidRPr="00E357B4">
              <w:rPr>
                <w:rStyle w:val="Znakapoznpodarou"/>
                <w:color w:val="0D0D0D" w:themeColor="text1" w:themeTint="F2"/>
                <w:szCs w:val="20"/>
              </w:rPr>
              <w:footnoteReference w:id="53"/>
            </w:r>
            <w:r w:rsidRPr="00E357B4">
              <w:rPr>
                <w:rFonts w:cs="Arial"/>
                <w:color w:val="0D0D0D" w:themeColor="text1" w:themeTint="F2"/>
                <w:szCs w:val="20"/>
              </w:rPr>
              <w:t>. V samotném 4. čtvrtletí se ovšem tržby zvýšily o 12,2</w:t>
            </w:r>
            <w:r w:rsidRPr="00E357B4">
              <w:rPr>
                <w:rFonts w:cs="Arial"/>
                <w:color w:val="0D0D0D" w:themeColor="text1" w:themeTint="F2"/>
              </w:rPr>
              <w:t> </w:t>
            </w:r>
            <w:r w:rsidRPr="00E357B4">
              <w:rPr>
                <w:rFonts w:cs="Arial"/>
                <w:color w:val="0D0D0D" w:themeColor="text1" w:themeTint="F2"/>
                <w:szCs w:val="20"/>
              </w:rPr>
              <w:t>% a po sezonním očištění poprvé dorovnaly maximální úroveň z minulé dekády (2. čtvrtletí 2019). Naopak tržby ve vodní dopravě i přes loňské oživení (+7,2 %) stále za rokem 2019 zhruba o</w:t>
            </w:r>
            <w:r>
              <w:rPr>
                <w:rFonts w:cs="Arial"/>
                <w:color w:val="0D0D0D" w:themeColor="text1" w:themeTint="F2"/>
                <w:szCs w:val="20"/>
              </w:rPr>
              <w:t> </w:t>
            </w:r>
            <w:r w:rsidRPr="00E357B4">
              <w:rPr>
                <w:rFonts w:cs="Arial"/>
                <w:color w:val="0D0D0D" w:themeColor="text1" w:themeTint="F2"/>
                <w:szCs w:val="20"/>
              </w:rPr>
              <w:t>desetinu zaostávaly.</w:t>
            </w:r>
          </w:p>
        </w:tc>
      </w:tr>
      <w:tr w:rsidR="00290725" w14:paraId="5B940133" w14:textId="77777777" w:rsidTr="00A96D94">
        <w:trPr>
          <w:trHeight w:val="170"/>
        </w:trPr>
        <w:tc>
          <w:tcPr>
            <w:tcW w:w="1788" w:type="dxa"/>
            <w:tcMar>
              <w:left w:w="0" w:type="dxa"/>
            </w:tcMar>
          </w:tcPr>
          <w:p w14:paraId="4FDC771B" w14:textId="77777777" w:rsidR="00290725" w:rsidRDefault="00290725" w:rsidP="00A96D94">
            <w:pPr>
              <w:pStyle w:val="Marginlie"/>
            </w:pPr>
            <w:r>
              <w:t>Tržby v ubytování, stravování a pohostinství posílily jen mírně. Proti vyššímu růstu poptávky působilo horší letní počasí a dlouhodoběji také svižný cenový růst v těchto službách.</w:t>
            </w:r>
          </w:p>
        </w:tc>
        <w:tc>
          <w:tcPr>
            <w:tcW w:w="0" w:type="auto"/>
            <w:tcMar>
              <w:left w:w="0" w:type="dxa"/>
            </w:tcMar>
          </w:tcPr>
          <w:p w14:paraId="57D2381A" w14:textId="77777777" w:rsidR="00290725" w:rsidRPr="006B7463" w:rsidRDefault="00290725" w:rsidP="00A96D94">
            <w:pPr>
              <w:pStyle w:val="Textpoznpodarou"/>
              <w:jc w:val="both"/>
              <w:rPr>
                <w:color w:val="0D0D0D" w:themeColor="text1" w:themeTint="F2"/>
                <w:spacing w:val="-4"/>
              </w:rPr>
            </w:pPr>
          </w:p>
        </w:tc>
        <w:tc>
          <w:tcPr>
            <w:tcW w:w="7711" w:type="dxa"/>
            <w:tcMar>
              <w:left w:w="0" w:type="dxa"/>
            </w:tcMar>
          </w:tcPr>
          <w:p w14:paraId="36BF14F6" w14:textId="77777777" w:rsidR="00290725" w:rsidRPr="00E357B4" w:rsidRDefault="00290725" w:rsidP="00A96D94">
            <w:pPr>
              <w:spacing w:after="200"/>
              <w:rPr>
                <w:bCs/>
              </w:rPr>
            </w:pPr>
            <w:r w:rsidRPr="00E357B4">
              <w:rPr>
                <w:bCs/>
              </w:rPr>
              <w:t>V odvětví ubytování, stravování a pohostinství se za loňský rok tržby zvýšily o 1,3 % (a</w:t>
            </w:r>
            <w:r>
              <w:rPr>
                <w:bCs/>
              </w:rPr>
              <w:t> </w:t>
            </w:r>
            <w:r w:rsidRPr="00E357B4">
              <w:rPr>
                <w:bCs/>
              </w:rPr>
              <w:t xml:space="preserve">potřetí v řadě byl tak jejich růst utlumený). Stalo se tak navzdory relativně svižně rostoucí kupní síle tuzemských domácností i pokračujícímu rozvoji příjezdového cestovního ruchu. To může souviset i s rychlým růstem cen těchto </w:t>
            </w:r>
            <w:r w:rsidRPr="00E357B4">
              <w:rPr>
                <w:bCs/>
                <w:color w:val="0D0D0D" w:themeColor="text1" w:themeTint="F2"/>
              </w:rPr>
              <w:t>služeb</w:t>
            </w:r>
            <w:r w:rsidRPr="00E357B4">
              <w:rPr>
                <w:rStyle w:val="Znakapoznpodarou"/>
                <w:color w:val="0D0D0D" w:themeColor="text1" w:themeTint="F2"/>
              </w:rPr>
              <w:footnoteReference w:id="54"/>
            </w:r>
            <w:r w:rsidRPr="00E357B4">
              <w:rPr>
                <w:bCs/>
                <w:color w:val="0D0D0D" w:themeColor="text1" w:themeTint="F2"/>
              </w:rPr>
              <w:t xml:space="preserve">. </w:t>
            </w:r>
            <w:r w:rsidRPr="00E357B4">
              <w:rPr>
                <w:rFonts w:cs="Arial"/>
                <w:color w:val="0D0D0D" w:themeColor="text1" w:themeTint="F2"/>
              </w:rPr>
              <w:t xml:space="preserve">Naturální ukazatele v oblasti příjezdového cestovního ruchu naznačují oproti reálným tržbám nepatrně lepší výsledky. </w:t>
            </w:r>
            <w:r w:rsidRPr="00E357B4">
              <w:rPr>
                <w:rFonts w:eastAsia="Arial" w:cs="Arial"/>
                <w:szCs w:val="20"/>
              </w:rPr>
              <w:t>Tuzemští poskytovatelé hromadného ubytov</w:t>
            </w:r>
            <w:r>
              <w:rPr>
                <w:rFonts w:eastAsia="Arial" w:cs="Arial"/>
                <w:szCs w:val="20"/>
              </w:rPr>
              <w:t>á</w:t>
            </w:r>
            <w:r w:rsidRPr="00E357B4">
              <w:rPr>
                <w:rFonts w:eastAsia="Arial" w:cs="Arial"/>
                <w:szCs w:val="20"/>
              </w:rPr>
              <w:t xml:space="preserve">ní (HUZ) registrovali loni 23,55 mil. hostů (z toho 12,64 </w:t>
            </w:r>
            <w:r>
              <w:rPr>
                <w:rFonts w:eastAsia="Arial" w:cs="Arial"/>
                <w:szCs w:val="20"/>
              </w:rPr>
              <w:t xml:space="preserve">mil. </w:t>
            </w:r>
            <w:r w:rsidRPr="00E357B4">
              <w:rPr>
                <w:rFonts w:eastAsia="Arial" w:cs="Arial"/>
                <w:szCs w:val="20"/>
              </w:rPr>
              <w:t>z tuzemska) při průměrném počtu 2,51</w:t>
            </w:r>
            <w:r>
              <w:rPr>
                <w:rFonts w:eastAsia="Arial" w:cs="Arial"/>
                <w:szCs w:val="20"/>
              </w:rPr>
              <w:t> </w:t>
            </w:r>
            <w:r w:rsidRPr="00E357B4">
              <w:rPr>
                <w:rFonts w:eastAsia="Arial" w:cs="Arial"/>
                <w:szCs w:val="20"/>
              </w:rPr>
              <w:t>nocí na hosta. Počet přenocování se meziročně zvýšil o 3,3 % a na</w:t>
            </w:r>
            <w:r>
              <w:rPr>
                <w:rFonts w:eastAsia="Arial" w:cs="Arial"/>
                <w:szCs w:val="20"/>
              </w:rPr>
              <w:t xml:space="preserve"> </w:t>
            </w:r>
            <w:r w:rsidRPr="00E357B4">
              <w:rPr>
                <w:rFonts w:eastAsia="Arial" w:cs="Arial"/>
                <w:szCs w:val="20"/>
              </w:rPr>
              <w:t>rozdíl od počtu hostů (jenž loni rostl obdobně) se jeho růstové tempo ve srovnání s rokem 2024 (2,5 %) lehce zvýšilo. Rychleji rostla loni poptávka nerezidentů (+5,0 %), přenocování domácích hostů přibylo jen o 2,0 %. Letní sezónu opět poznamenalo horší počasí – zatímco předloni šlo výhradně o zářijové povodně, loni o dlouhodobě proměnlivější počasí s vyšší četností srážek a relativně mírně podprůměrnými teplotami v červenci a září. To se odrazilo v nižší poptávce tuzemských hostů, zejména v kempech</w:t>
            </w:r>
            <w:r w:rsidRPr="00E357B4">
              <w:rPr>
                <w:rStyle w:val="Znakapoznpodarou"/>
                <w:rFonts w:eastAsia="Arial"/>
                <w:szCs w:val="20"/>
              </w:rPr>
              <w:footnoteReference w:id="55"/>
            </w:r>
            <w:r w:rsidRPr="00E357B4">
              <w:rPr>
                <w:rFonts w:eastAsia="Arial" w:cs="Arial"/>
                <w:szCs w:val="20"/>
              </w:rPr>
              <w:t xml:space="preserve">. Již druhým rokem v řadě byla celoroční návštěvnost v HUZ nad úrovní </w:t>
            </w:r>
            <w:proofErr w:type="spellStart"/>
            <w:r w:rsidRPr="00E357B4">
              <w:rPr>
                <w:rFonts w:eastAsia="Arial" w:cs="Arial"/>
                <w:szCs w:val="20"/>
              </w:rPr>
              <w:t>předcovidového</w:t>
            </w:r>
            <w:proofErr w:type="spellEnd"/>
            <w:r w:rsidRPr="00E357B4">
              <w:rPr>
                <w:rFonts w:eastAsia="Arial" w:cs="Arial"/>
                <w:szCs w:val="20"/>
              </w:rPr>
              <w:t xml:space="preserve"> roku 2019, a to jak v počtech ubytovaných hostů (+7,1 %)</w:t>
            </w:r>
            <w:r>
              <w:rPr>
                <w:rFonts w:eastAsia="Arial" w:cs="Arial"/>
                <w:szCs w:val="20"/>
              </w:rPr>
              <w:t>, tak</w:t>
            </w:r>
            <w:r w:rsidRPr="00E357B4">
              <w:rPr>
                <w:rFonts w:eastAsia="Arial" w:cs="Arial"/>
                <w:szCs w:val="20"/>
              </w:rPr>
              <w:t xml:space="preserve"> i v přenocováních (+3,7 %)</w:t>
            </w:r>
            <w:r w:rsidRPr="00E357B4">
              <w:rPr>
                <w:rStyle w:val="Znakapoznpodarou"/>
                <w:rFonts w:eastAsia="Arial"/>
                <w:szCs w:val="20"/>
              </w:rPr>
              <w:footnoteReference w:id="56"/>
            </w:r>
            <w:r w:rsidRPr="00E357B4">
              <w:rPr>
                <w:rFonts w:eastAsia="Arial" w:cs="Arial"/>
                <w:szCs w:val="20"/>
              </w:rPr>
              <w:t xml:space="preserve">. </w:t>
            </w:r>
          </w:p>
        </w:tc>
      </w:tr>
      <w:tr w:rsidR="00290725" w14:paraId="1C121C5E" w14:textId="77777777" w:rsidTr="00A96D94">
        <w:trPr>
          <w:trHeight w:val="170"/>
        </w:trPr>
        <w:tc>
          <w:tcPr>
            <w:tcW w:w="1788" w:type="dxa"/>
            <w:tcMar>
              <w:left w:w="0" w:type="dxa"/>
            </w:tcMar>
          </w:tcPr>
          <w:p w14:paraId="57FEE794" w14:textId="77777777" w:rsidR="00290725" w:rsidRDefault="00290725" w:rsidP="00A96D94">
            <w:pPr>
              <w:pStyle w:val="Marginlie"/>
            </w:pPr>
            <w:r>
              <w:t xml:space="preserve">Ve většině segmentů administrativních </w:t>
            </w:r>
            <w:r>
              <w:br/>
              <w:t xml:space="preserve">a podpůrných činností pokračoval pokles poptávky vlivem proměny </w:t>
            </w:r>
            <w:r>
              <w:lastRenderedPageBreak/>
              <w:t xml:space="preserve">trhu práce i postupující digitalizace. </w:t>
            </w:r>
          </w:p>
          <w:p w14:paraId="690701BD" w14:textId="77777777" w:rsidR="00290725" w:rsidRDefault="00290725" w:rsidP="00A96D94">
            <w:pPr>
              <w:pStyle w:val="Marginlie"/>
            </w:pPr>
          </w:p>
          <w:p w14:paraId="4CDA9BDB" w14:textId="77777777" w:rsidR="00290725" w:rsidRDefault="00290725" w:rsidP="00A96D94">
            <w:pPr>
              <w:pStyle w:val="Marginlie"/>
            </w:pPr>
          </w:p>
          <w:p w14:paraId="799A057C" w14:textId="77777777" w:rsidR="00290725" w:rsidRDefault="00290725" w:rsidP="00A96D94">
            <w:pPr>
              <w:pStyle w:val="Marginlie"/>
            </w:pPr>
            <w:r>
              <w:t xml:space="preserve">Stabilní poptávku si udržoval pronájem </w:t>
            </w:r>
            <w:r>
              <w:br/>
              <w:t>a operativní leasing.</w:t>
            </w:r>
          </w:p>
          <w:p w14:paraId="24D15997" w14:textId="77777777" w:rsidR="00290725" w:rsidRDefault="00290725" w:rsidP="00A96D94">
            <w:pPr>
              <w:pStyle w:val="Marginlie"/>
            </w:pPr>
          </w:p>
        </w:tc>
        <w:tc>
          <w:tcPr>
            <w:tcW w:w="0" w:type="auto"/>
            <w:tcMar>
              <w:left w:w="0" w:type="dxa"/>
            </w:tcMar>
          </w:tcPr>
          <w:p w14:paraId="0E66ACEE" w14:textId="77777777" w:rsidR="00290725" w:rsidRPr="006B7463" w:rsidRDefault="00290725" w:rsidP="00A96D94">
            <w:pPr>
              <w:pStyle w:val="Textpoznpodarou"/>
              <w:jc w:val="both"/>
              <w:rPr>
                <w:color w:val="0D0D0D" w:themeColor="text1" w:themeTint="F2"/>
                <w:spacing w:val="-4"/>
              </w:rPr>
            </w:pPr>
          </w:p>
        </w:tc>
        <w:tc>
          <w:tcPr>
            <w:tcW w:w="7711" w:type="dxa"/>
            <w:tcMar>
              <w:left w:w="0" w:type="dxa"/>
            </w:tcMar>
          </w:tcPr>
          <w:p w14:paraId="1404ED59" w14:textId="049A048A" w:rsidR="00290725" w:rsidRPr="00E357B4" w:rsidRDefault="00290725" w:rsidP="00A96D94">
            <w:pPr>
              <w:spacing w:after="200"/>
              <w:rPr>
                <w:bCs/>
              </w:rPr>
            </w:pPr>
            <w:r w:rsidRPr="00E357B4">
              <w:rPr>
                <w:bCs/>
              </w:rPr>
              <w:t xml:space="preserve">V činnostech v oblasti nemovitostí vzrostly loni tržby meziročně jen velmi mírně (+0,6 %) a navázaly tak na nevýrazné výsledky z </w:t>
            </w:r>
            <w:r w:rsidRPr="00E357B4">
              <w:rPr>
                <w:bCs/>
                <w:color w:val="0D0D0D" w:themeColor="text1" w:themeTint="F2"/>
              </w:rPr>
              <w:t xml:space="preserve">roku 2024. V odvětví </w:t>
            </w:r>
            <w:r w:rsidRPr="00E357B4">
              <w:rPr>
                <w:color w:val="0D0D0D" w:themeColor="text1" w:themeTint="F2"/>
              </w:rPr>
              <w:t>administrativních a</w:t>
            </w:r>
            <w:r>
              <w:rPr>
                <w:color w:val="0D0D0D" w:themeColor="text1" w:themeTint="F2"/>
              </w:rPr>
              <w:t> </w:t>
            </w:r>
            <w:r w:rsidRPr="00E357B4">
              <w:rPr>
                <w:color w:val="0D0D0D" w:themeColor="text1" w:themeTint="F2"/>
              </w:rPr>
              <w:t>podpůrných činností, poskytující</w:t>
            </w:r>
            <w:r>
              <w:rPr>
                <w:color w:val="0D0D0D" w:themeColor="text1" w:themeTint="F2"/>
              </w:rPr>
              <w:t>ch</w:t>
            </w:r>
            <w:r w:rsidRPr="00E357B4">
              <w:rPr>
                <w:color w:val="0D0D0D" w:themeColor="text1" w:themeTint="F2"/>
              </w:rPr>
              <w:t xml:space="preserve"> především podnikům zpravidla služby s nižší přidanou hodnotou, loni tržby fakticky stagnovaly (+0,1 %), což byl nejhorší výsledek za poslední pětiletí). K nepatrnému růstu nejvíce přispěl</w:t>
            </w:r>
            <w:r>
              <w:rPr>
                <w:color w:val="0D0D0D" w:themeColor="text1" w:themeTint="F2"/>
              </w:rPr>
              <w:t>y</w:t>
            </w:r>
            <w:r w:rsidRPr="00E357B4">
              <w:rPr>
                <w:color w:val="0D0D0D" w:themeColor="text1" w:themeTint="F2"/>
              </w:rPr>
              <w:t xml:space="preserve"> vyšší tržby </w:t>
            </w:r>
            <w:r>
              <w:rPr>
                <w:color w:val="0D0D0D" w:themeColor="text1" w:themeTint="F2"/>
              </w:rPr>
              <w:t xml:space="preserve">v </w:t>
            </w:r>
            <w:r w:rsidRPr="00E357B4">
              <w:rPr>
                <w:color w:val="0D0D0D" w:themeColor="text1" w:themeTint="F2"/>
              </w:rPr>
              <w:t xml:space="preserve">administrativních, </w:t>
            </w:r>
            <w:r w:rsidRPr="00E357B4">
              <w:rPr>
                <w:color w:val="0D0D0D" w:themeColor="text1" w:themeTint="F2"/>
              </w:rPr>
              <w:lastRenderedPageBreak/>
              <w:t>kancelářských a jin</w:t>
            </w:r>
            <w:r>
              <w:rPr>
                <w:color w:val="0D0D0D" w:themeColor="text1" w:themeTint="F2"/>
              </w:rPr>
              <w:t>ých</w:t>
            </w:r>
            <w:r w:rsidRPr="00E357B4">
              <w:rPr>
                <w:color w:val="0D0D0D" w:themeColor="text1" w:themeTint="F2"/>
              </w:rPr>
              <w:t xml:space="preserve"> podpůrných činnostech pro podnikání (+6,8 %)</w:t>
            </w:r>
            <w:r w:rsidRPr="00E357B4">
              <w:rPr>
                <w:rStyle w:val="Znakapoznpodarou"/>
                <w:color w:val="0D0D0D" w:themeColor="text1" w:themeTint="F2"/>
              </w:rPr>
              <w:footnoteReference w:id="57"/>
            </w:r>
            <w:r w:rsidRPr="00E357B4">
              <w:rPr>
                <w:color w:val="0D0D0D" w:themeColor="text1" w:themeTint="F2"/>
              </w:rPr>
              <w:t>. Vyšší poptávka domácností i podniků se promítla do růstu tržeb za pronájem a operativní leasing (+4,8 %</w:t>
            </w:r>
            <w:r w:rsidRPr="00E357B4">
              <w:rPr>
                <w:rStyle w:val="Znakapoznpodarou"/>
                <w:color w:val="0D0D0D" w:themeColor="text1" w:themeTint="F2"/>
              </w:rPr>
              <w:footnoteReference w:id="58"/>
            </w:r>
            <w:r w:rsidRPr="00E357B4">
              <w:rPr>
                <w:color w:val="0D0D0D" w:themeColor="text1" w:themeTint="F2"/>
              </w:rPr>
              <w:t>), jenž tak navázal na předloňské oživení. Naopak čtvrtý rok pokračoval hlubší pokles tržeb pracovních agentur, loni o 8,7 %</w:t>
            </w:r>
            <w:r w:rsidRPr="00E357B4">
              <w:rPr>
                <w:rStyle w:val="Znakapoznpodarou"/>
                <w:color w:val="0D0D0D" w:themeColor="text1" w:themeTint="F2"/>
              </w:rPr>
              <w:footnoteReference w:id="59"/>
            </w:r>
            <w:r w:rsidRPr="00E357B4">
              <w:rPr>
                <w:color w:val="0D0D0D" w:themeColor="text1" w:themeTint="F2"/>
              </w:rPr>
              <w:t>. Tlak na snižování nákladů spojený s</w:t>
            </w:r>
            <w:r w:rsidR="00FE470B">
              <w:rPr>
                <w:color w:val="0D0D0D" w:themeColor="text1" w:themeTint="F2"/>
              </w:rPr>
              <w:t> </w:t>
            </w:r>
            <w:r w:rsidRPr="00E357B4">
              <w:rPr>
                <w:color w:val="0D0D0D" w:themeColor="text1" w:themeTint="F2"/>
              </w:rPr>
              <w:t>rozvojem digitalizace se odrazil v poklesu tržeb bezpečnostních a pátracích činností. Ten trvá již třetí rok a loni se prohloubil na 7,6 % (srovnatelně naposledy v roce 2009). Poprvé od ústupu pandemie covid</w:t>
            </w:r>
            <w:r>
              <w:rPr>
                <w:color w:val="0D0D0D" w:themeColor="text1" w:themeTint="F2"/>
              </w:rPr>
              <w:t>u</w:t>
            </w:r>
            <w:r w:rsidRPr="00E357B4">
              <w:rPr>
                <w:color w:val="0D0D0D" w:themeColor="text1" w:themeTint="F2"/>
              </w:rPr>
              <w:t xml:space="preserve">-19 se loni zastavil růst poptávky po službách cestovních agentur a kanceláří (tržby zde ale úroveň z roku 2019 již o 5 % překonávaly). </w:t>
            </w:r>
          </w:p>
        </w:tc>
      </w:tr>
      <w:tr w:rsidR="00290725" w:rsidRPr="00C32591" w14:paraId="467E88D5" w14:textId="77777777" w:rsidTr="00A96D94">
        <w:trPr>
          <w:trHeight w:val="170"/>
        </w:trPr>
        <w:tc>
          <w:tcPr>
            <w:tcW w:w="1788" w:type="dxa"/>
            <w:tcMar>
              <w:left w:w="0" w:type="dxa"/>
            </w:tcMar>
          </w:tcPr>
          <w:p w14:paraId="7DD6FBFD" w14:textId="77777777" w:rsidR="00290725" w:rsidRDefault="00290725" w:rsidP="00A96D94">
            <w:pPr>
              <w:pStyle w:val="Marginlie"/>
            </w:pPr>
          </w:p>
        </w:tc>
        <w:tc>
          <w:tcPr>
            <w:tcW w:w="0" w:type="auto"/>
            <w:tcMar>
              <w:left w:w="0" w:type="dxa"/>
            </w:tcMar>
          </w:tcPr>
          <w:p w14:paraId="3B8E21CE" w14:textId="77777777" w:rsidR="00290725" w:rsidRDefault="00290725" w:rsidP="00A96D94">
            <w:pPr>
              <w:pStyle w:val="Textpoznpodarou"/>
              <w:jc w:val="both"/>
              <w:rPr>
                <w:spacing w:val="-4"/>
              </w:rPr>
            </w:pPr>
          </w:p>
        </w:tc>
        <w:tc>
          <w:tcPr>
            <w:tcW w:w="7711" w:type="dxa"/>
            <w:tcMar>
              <w:left w:w="0" w:type="dxa"/>
            </w:tcMar>
          </w:tcPr>
          <w:p w14:paraId="56B3B047" w14:textId="77777777" w:rsidR="00290725" w:rsidRPr="00E357B4" w:rsidRDefault="00290725" w:rsidP="00A96D94">
            <w:pPr>
              <w:spacing w:after="40"/>
              <w:rPr>
                <w:b/>
              </w:rPr>
            </w:pPr>
            <w:r w:rsidRPr="00E357B4">
              <w:rPr>
                <w:b/>
              </w:rPr>
              <w:t xml:space="preserve">Graf č. 7 </w:t>
            </w:r>
            <w:r w:rsidRPr="00E357B4">
              <w:rPr>
                <w:b/>
                <w:bCs/>
              </w:rPr>
              <w:t>Příspěvky dílčích odvětví k meziroční změně tržeb ve službách*</w:t>
            </w:r>
            <w:r w:rsidRPr="00E357B4">
              <w:rPr>
                <w:b/>
              </w:rPr>
              <w:br/>
            </w:r>
            <w:r w:rsidRPr="00E357B4">
              <w:t>(reálně, v p. b),</w:t>
            </w:r>
            <w:r w:rsidRPr="00E357B4">
              <w:rPr>
                <w:b/>
              </w:rPr>
              <w:t xml:space="preserve"> </w:t>
            </w:r>
            <w:r w:rsidRPr="00E357B4">
              <w:rPr>
                <w:b/>
                <w:bCs/>
              </w:rPr>
              <w:t xml:space="preserve">celkové tržby ve službách* </w:t>
            </w:r>
            <w:r w:rsidRPr="00E357B4">
              <w:t>(báze 2021=100, pravá osa),</w:t>
            </w:r>
            <w:r w:rsidRPr="00E357B4">
              <w:rPr>
                <w:b/>
              </w:rPr>
              <w:t xml:space="preserve"> </w:t>
            </w:r>
            <w:r w:rsidRPr="00E357B4">
              <w:rPr>
                <w:b/>
                <w:bCs/>
              </w:rPr>
              <w:t>saldo důvěry podnikatelů ve službách**</w:t>
            </w:r>
            <w:r w:rsidRPr="00E357B4">
              <w:rPr>
                <w:b/>
              </w:rPr>
              <w:t xml:space="preserve"> </w:t>
            </w:r>
            <w:r w:rsidRPr="00E357B4">
              <w:t>(v p. b., pravá osa)</w:t>
            </w:r>
            <w:r w:rsidRPr="00E357B4">
              <w:rPr>
                <w:b/>
                <w:bCs/>
              </w:rPr>
              <w:t xml:space="preserve"> a bariéry růstu**</w:t>
            </w:r>
            <w:r w:rsidRPr="00E357B4">
              <w:rPr>
                <w:b/>
              </w:rPr>
              <w:t xml:space="preserve"> </w:t>
            </w:r>
            <w:r w:rsidRPr="00E357B4">
              <w:t xml:space="preserve">(v %, pravá osa) </w:t>
            </w:r>
          </w:p>
        </w:tc>
      </w:tr>
      <w:tr w:rsidR="00290725" w:rsidRPr="004C1143" w14:paraId="26F960E7" w14:textId="77777777" w:rsidTr="00A96D94">
        <w:tblPrEx>
          <w:tblCellMar>
            <w:left w:w="70" w:type="dxa"/>
            <w:right w:w="70" w:type="dxa"/>
          </w:tblCellMar>
        </w:tblPrEx>
        <w:trPr>
          <w:trHeight w:val="170"/>
        </w:trPr>
        <w:tc>
          <w:tcPr>
            <w:tcW w:w="1788" w:type="dxa"/>
          </w:tcPr>
          <w:p w14:paraId="7F542293" w14:textId="77777777" w:rsidR="00290725" w:rsidRDefault="00290725" w:rsidP="00A96D94">
            <w:pPr>
              <w:pStyle w:val="Marginlie"/>
            </w:pPr>
          </w:p>
        </w:tc>
        <w:tc>
          <w:tcPr>
            <w:tcW w:w="147" w:type="dxa"/>
          </w:tcPr>
          <w:p w14:paraId="59BF6161" w14:textId="77777777" w:rsidR="00290725" w:rsidRDefault="00290725" w:rsidP="00A96D94">
            <w:pPr>
              <w:pStyle w:val="Textpoznpodarou"/>
              <w:jc w:val="both"/>
              <w:rPr>
                <w:spacing w:val="-4"/>
              </w:rPr>
            </w:pPr>
          </w:p>
        </w:tc>
        <w:tc>
          <w:tcPr>
            <w:tcW w:w="7711" w:type="dxa"/>
          </w:tcPr>
          <w:p w14:paraId="1E07A95F" w14:textId="77777777" w:rsidR="00290725" w:rsidRPr="00E357B4" w:rsidRDefault="00290725" w:rsidP="00A96D94">
            <w:pPr>
              <w:spacing w:before="40" w:after="40"/>
              <w:rPr>
                <w:rFonts w:cs="Arial"/>
                <w:sz w:val="14"/>
                <w:szCs w:val="14"/>
              </w:rPr>
            </w:pPr>
            <w:r w:rsidRPr="00E357B4">
              <w:rPr>
                <w:noProof/>
              </w:rPr>
              <w:drawing>
                <wp:inline distT="0" distB="0" distL="0" distR="0" wp14:anchorId="08AF6FB1" wp14:editId="4D5CA175">
                  <wp:extent cx="4794250" cy="3409950"/>
                  <wp:effectExtent l="0" t="0" r="6350" b="0"/>
                  <wp:docPr id="157795172" name="Graf 1">
                    <a:extLst xmlns:a="http://schemas.openxmlformats.org/drawingml/2006/main">
                      <a:ext uri="{FF2B5EF4-FFF2-40B4-BE49-F238E27FC236}">
                        <a16:creationId xmlns:a16="http://schemas.microsoft.com/office/drawing/2014/main" id="{CB80320E-451A-4FD4-B128-C587F6B59D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r w:rsidR="00290725" w:rsidRPr="004C1143" w14:paraId="1FDA9FEF" w14:textId="77777777" w:rsidTr="00A96D94">
        <w:trPr>
          <w:trHeight w:val="170"/>
        </w:trPr>
        <w:tc>
          <w:tcPr>
            <w:tcW w:w="1788" w:type="dxa"/>
            <w:tcMar>
              <w:left w:w="0" w:type="dxa"/>
            </w:tcMar>
          </w:tcPr>
          <w:p w14:paraId="48074B05" w14:textId="77777777" w:rsidR="00290725" w:rsidRDefault="00290725" w:rsidP="00A96D94">
            <w:pPr>
              <w:pStyle w:val="Marginlie"/>
            </w:pPr>
          </w:p>
        </w:tc>
        <w:tc>
          <w:tcPr>
            <w:tcW w:w="0" w:type="auto"/>
            <w:tcMar>
              <w:left w:w="0" w:type="dxa"/>
            </w:tcMar>
          </w:tcPr>
          <w:p w14:paraId="5AD5D522" w14:textId="77777777" w:rsidR="00290725" w:rsidRDefault="00290725" w:rsidP="00A96D94">
            <w:pPr>
              <w:pStyle w:val="Textpoznpodarou"/>
              <w:jc w:val="both"/>
              <w:rPr>
                <w:spacing w:val="-4"/>
              </w:rPr>
            </w:pPr>
          </w:p>
        </w:tc>
        <w:tc>
          <w:tcPr>
            <w:tcW w:w="7711" w:type="dxa"/>
            <w:tcMar>
              <w:left w:w="0" w:type="dxa"/>
            </w:tcMar>
          </w:tcPr>
          <w:p w14:paraId="585E5CC8" w14:textId="77777777" w:rsidR="00290725" w:rsidRPr="00E357B4" w:rsidRDefault="00290725" w:rsidP="00A96D94">
            <w:pPr>
              <w:spacing w:after="0" w:line="240" w:lineRule="auto"/>
              <w:rPr>
                <w:rFonts w:cs="Arial"/>
                <w:sz w:val="14"/>
                <w:szCs w:val="14"/>
              </w:rPr>
            </w:pPr>
            <w:r w:rsidRPr="00E357B4">
              <w:rPr>
                <w:rFonts w:cs="Arial"/>
                <w:sz w:val="14"/>
                <w:szCs w:val="14"/>
              </w:rPr>
              <w:t>Poznámka: všechny údaje jsou sezónně očištěny, pouze příspěvky dílčích odvětví k růstu tržeb jsou očištěny jen o kalendářní vlivy.</w:t>
            </w:r>
          </w:p>
          <w:p w14:paraId="371A3FEB" w14:textId="77777777" w:rsidR="00290725" w:rsidRPr="00E357B4" w:rsidRDefault="00290725" w:rsidP="00A96D94">
            <w:pPr>
              <w:spacing w:after="0" w:line="240" w:lineRule="auto"/>
              <w:rPr>
                <w:rFonts w:cs="Arial"/>
                <w:sz w:val="14"/>
                <w:szCs w:val="14"/>
              </w:rPr>
            </w:pPr>
            <w:r w:rsidRPr="00E357B4">
              <w:rPr>
                <w:rFonts w:cs="Arial"/>
                <w:sz w:val="14"/>
                <w:szCs w:val="14"/>
              </w:rPr>
              <w:t>*Bez odvětví obchodu, peněžnictví, pojišťovnictví, vědy, výzkumu a veřejných služeb.</w:t>
            </w:r>
          </w:p>
          <w:p w14:paraId="0512FD5B" w14:textId="77777777" w:rsidR="00290725" w:rsidRPr="00E357B4" w:rsidRDefault="00290725" w:rsidP="00A96D94">
            <w:pPr>
              <w:spacing w:after="0" w:line="240" w:lineRule="auto"/>
              <w:rPr>
                <w:rFonts w:cs="Arial"/>
                <w:sz w:val="14"/>
                <w:szCs w:val="14"/>
              </w:rPr>
            </w:pPr>
            <w:proofErr w:type="gramStart"/>
            <w:r w:rsidRPr="00E357B4">
              <w:rPr>
                <w:rFonts w:cs="Arial"/>
                <w:sz w:val="14"/>
                <w:szCs w:val="14"/>
              </w:rPr>
              <w:t>.*</w:t>
            </w:r>
            <w:proofErr w:type="gramEnd"/>
            <w:r w:rsidRPr="00E357B4">
              <w:rPr>
                <w:rFonts w:cs="Arial"/>
                <w:sz w:val="14"/>
                <w:szCs w:val="14"/>
              </w:rPr>
              <w:t xml:space="preserve">*Zahrnuje i finanční sektor. Bariéry růstu vyjadřují stav k prvnímu měsíci daného čtvrtletí, saldo důvěry podnikatelů pak ke druhému měsíci. Podniky mohly uvést více hlavních bariér současně.                                                   </w:t>
            </w:r>
          </w:p>
          <w:p w14:paraId="448E3D83" w14:textId="77777777" w:rsidR="00290725" w:rsidRPr="00E357B4" w:rsidRDefault="00290725" w:rsidP="00A96D94">
            <w:pPr>
              <w:spacing w:line="240" w:lineRule="auto"/>
              <w:rPr>
                <w:rFonts w:cs="Arial"/>
                <w:sz w:val="14"/>
                <w:szCs w:val="14"/>
              </w:rPr>
            </w:pPr>
            <w:r w:rsidRPr="00E357B4">
              <w:rPr>
                <w:rFonts w:cs="Arial"/>
                <w:sz w:val="14"/>
                <w:szCs w:val="14"/>
              </w:rPr>
              <w:t xml:space="preserve">Zdroj: ČSÚ, </w:t>
            </w:r>
            <w:proofErr w:type="spellStart"/>
            <w:r w:rsidRPr="00E357B4">
              <w:rPr>
                <w:rFonts w:cs="Arial"/>
                <w:sz w:val="14"/>
                <w:szCs w:val="14"/>
              </w:rPr>
              <w:t>Eurostat</w:t>
            </w:r>
            <w:proofErr w:type="spellEnd"/>
          </w:p>
        </w:tc>
      </w:tr>
      <w:tr w:rsidR="00290725" w:rsidRPr="009027C4" w14:paraId="24534875" w14:textId="77777777" w:rsidTr="00A96D94">
        <w:trPr>
          <w:trHeight w:val="155"/>
        </w:trPr>
        <w:tc>
          <w:tcPr>
            <w:tcW w:w="1788" w:type="dxa"/>
            <w:tcMar>
              <w:left w:w="0" w:type="dxa"/>
            </w:tcMar>
          </w:tcPr>
          <w:p w14:paraId="21366965" w14:textId="77777777" w:rsidR="00290725" w:rsidRDefault="00290725" w:rsidP="00A96D94">
            <w:pPr>
              <w:pStyle w:val="Marginlie"/>
            </w:pPr>
            <w:r>
              <w:t xml:space="preserve">Rozvoj maloobchodu loni pokračoval. </w:t>
            </w:r>
            <w:proofErr w:type="spellStart"/>
            <w:r>
              <w:t>Mezikvartální</w:t>
            </w:r>
            <w:proofErr w:type="spellEnd"/>
            <w:r>
              <w:t xml:space="preserve"> tempa tržeb ale naznačovala možné zvolňování růstu. </w:t>
            </w:r>
          </w:p>
          <w:p w14:paraId="3F760BCD" w14:textId="77777777" w:rsidR="00290725" w:rsidRDefault="00290725" w:rsidP="00A96D94">
            <w:pPr>
              <w:pStyle w:val="Marginlie"/>
            </w:pPr>
          </w:p>
        </w:tc>
        <w:tc>
          <w:tcPr>
            <w:tcW w:w="0" w:type="auto"/>
            <w:tcMar>
              <w:left w:w="0" w:type="dxa"/>
            </w:tcMar>
          </w:tcPr>
          <w:p w14:paraId="2EAF9595" w14:textId="77777777" w:rsidR="00290725" w:rsidRDefault="00290725" w:rsidP="00A96D94">
            <w:pPr>
              <w:pStyle w:val="Textpoznpodarou"/>
              <w:jc w:val="both"/>
              <w:rPr>
                <w:spacing w:val="-4"/>
              </w:rPr>
            </w:pPr>
          </w:p>
        </w:tc>
        <w:tc>
          <w:tcPr>
            <w:tcW w:w="7711" w:type="dxa"/>
            <w:tcMar>
              <w:left w:w="0" w:type="dxa"/>
            </w:tcMar>
          </w:tcPr>
          <w:p w14:paraId="210A545D" w14:textId="77777777" w:rsidR="00290725" w:rsidRPr="00E357B4" w:rsidRDefault="00290725" w:rsidP="00A96D94">
            <w:pPr>
              <w:spacing w:after="200"/>
              <w:rPr>
                <w:rFonts w:cs="Arial"/>
                <w:color w:val="0D0D0D" w:themeColor="text1" w:themeTint="F2"/>
                <w:szCs w:val="20"/>
              </w:rPr>
            </w:pPr>
            <w:r w:rsidRPr="00E357B4">
              <w:rPr>
                <w:rFonts w:cs="Arial"/>
                <w:color w:val="0D0D0D" w:themeColor="text1" w:themeTint="F2"/>
                <w:szCs w:val="20"/>
              </w:rPr>
              <w:t>Rozvoj maloobchodu v roce 2025 pokračoval, neboť těžil z rostoucí důvěry domácností v ekonomiku</w:t>
            </w:r>
            <w:r w:rsidRPr="00E357B4">
              <w:rPr>
                <w:rStyle w:val="Znakapoznpodarou"/>
                <w:color w:val="0D0D0D" w:themeColor="text1" w:themeTint="F2"/>
                <w:szCs w:val="20"/>
              </w:rPr>
              <w:footnoteReference w:id="60"/>
            </w:r>
            <w:r w:rsidRPr="00E357B4">
              <w:rPr>
                <w:rFonts w:cs="Arial"/>
                <w:color w:val="0D0D0D" w:themeColor="text1" w:themeTint="F2"/>
                <w:szCs w:val="20"/>
              </w:rPr>
              <w:t xml:space="preserve"> podpořenou příznivým vývojem na trhu práce. </w:t>
            </w:r>
            <w:proofErr w:type="spellStart"/>
            <w:r w:rsidRPr="00E357B4">
              <w:rPr>
                <w:rFonts w:cs="Arial"/>
                <w:color w:val="0D0D0D" w:themeColor="text1" w:themeTint="F2"/>
                <w:szCs w:val="20"/>
              </w:rPr>
              <w:t>Mezikvartální</w:t>
            </w:r>
            <w:proofErr w:type="spellEnd"/>
            <w:r w:rsidRPr="00E357B4">
              <w:rPr>
                <w:rFonts w:cs="Arial"/>
                <w:color w:val="0D0D0D" w:themeColor="text1" w:themeTint="F2"/>
                <w:szCs w:val="20"/>
              </w:rPr>
              <w:t xml:space="preserve"> tempa tržeb v maloobchodu</w:t>
            </w:r>
            <w:r w:rsidRPr="00E357B4">
              <w:rPr>
                <w:rStyle w:val="Znakapoznpodarou"/>
                <w:color w:val="0D0D0D" w:themeColor="text1" w:themeTint="F2"/>
              </w:rPr>
              <w:footnoteReference w:id="61"/>
            </w:r>
            <w:r w:rsidRPr="00E357B4">
              <w:rPr>
                <w:rFonts w:cs="Arial"/>
                <w:color w:val="0D0D0D" w:themeColor="text1" w:themeTint="F2"/>
                <w:szCs w:val="20"/>
              </w:rPr>
              <w:t xml:space="preserve"> nicméně naznačovala ve 2. pololetí tendenci k mírnému zvolňování růstu.   Přestože hodnocení vlastní finanční situace domácnostmi (i její výhledy na rok 2026) se postupně zlepšovaly, ochota lidí k větším nákupům (zejména investic a zboží dlouhodobé spotřeby) se příliš nezvyšovala a současně přetrvával vyšší sklon </w:t>
            </w:r>
            <w:r w:rsidRPr="00E357B4">
              <w:rPr>
                <w:rFonts w:cs="Arial"/>
                <w:color w:val="0D0D0D" w:themeColor="text1" w:themeTint="F2"/>
                <w:szCs w:val="20"/>
              </w:rPr>
              <w:lastRenderedPageBreak/>
              <w:t>k vytváření finančních úspor. Výkon maloobchodu se loni ve 4. čtvrtletí sice nacházel mírně nad vrcholem předpandemické konjunktury (+1,6 %), avšak útlum z let 2023 i</w:t>
            </w:r>
            <w:r>
              <w:rPr>
                <w:rFonts w:cs="Arial"/>
                <w:color w:val="0D0D0D" w:themeColor="text1" w:themeTint="F2"/>
                <w:szCs w:val="20"/>
              </w:rPr>
              <w:t> </w:t>
            </w:r>
            <w:r w:rsidRPr="00E357B4">
              <w:rPr>
                <w:rFonts w:cs="Arial"/>
                <w:color w:val="0D0D0D" w:themeColor="text1" w:themeTint="F2"/>
                <w:szCs w:val="20"/>
              </w:rPr>
              <w:t>2024 (spojený s propadem reálných mezd) zatím plně nevykompenzoval.</w:t>
            </w:r>
          </w:p>
        </w:tc>
      </w:tr>
      <w:tr w:rsidR="00290725" w:rsidRPr="009027C4" w14:paraId="04CBBDAC" w14:textId="77777777" w:rsidTr="00A96D94">
        <w:trPr>
          <w:trHeight w:val="155"/>
        </w:trPr>
        <w:tc>
          <w:tcPr>
            <w:tcW w:w="1788" w:type="dxa"/>
            <w:tcMar>
              <w:left w:w="0" w:type="dxa"/>
            </w:tcMar>
          </w:tcPr>
          <w:p w14:paraId="2A0F6DB9" w14:textId="77777777" w:rsidR="00290725" w:rsidRDefault="00290725" w:rsidP="00A96D94">
            <w:pPr>
              <w:pStyle w:val="Marginlie"/>
              <w:rPr>
                <w:spacing w:val="-4"/>
              </w:rPr>
            </w:pPr>
            <w:r>
              <w:rPr>
                <w:spacing w:val="-4"/>
              </w:rPr>
              <w:lastRenderedPageBreak/>
              <w:t xml:space="preserve">K meziročnímu růstu maloobchodu přispívaly zejména internetové prodeje a také vyšší poptávka po pohonných hmotách stimulovaná příznivým loňským cenovým vývojem. </w:t>
            </w:r>
          </w:p>
          <w:p w14:paraId="2CF1150B" w14:textId="77777777" w:rsidR="00290725" w:rsidRDefault="00290725" w:rsidP="00A96D94">
            <w:pPr>
              <w:pStyle w:val="Marginlie"/>
              <w:rPr>
                <w:spacing w:val="-4"/>
              </w:rPr>
            </w:pPr>
          </w:p>
          <w:p w14:paraId="37C121BC" w14:textId="77777777" w:rsidR="00290725" w:rsidRDefault="00290725" w:rsidP="00A96D94">
            <w:pPr>
              <w:pStyle w:val="Marginlie"/>
              <w:rPr>
                <w:spacing w:val="-4"/>
              </w:rPr>
            </w:pPr>
          </w:p>
          <w:p w14:paraId="073801DE" w14:textId="77777777" w:rsidR="00290725" w:rsidRDefault="00290725" w:rsidP="00A96D94">
            <w:pPr>
              <w:pStyle w:val="Marginlie"/>
              <w:rPr>
                <w:spacing w:val="-4"/>
              </w:rPr>
            </w:pPr>
          </w:p>
          <w:p w14:paraId="0AAC4997" w14:textId="77777777" w:rsidR="00290725" w:rsidRDefault="00290725" w:rsidP="00A96D94">
            <w:pPr>
              <w:pStyle w:val="Marginlie"/>
              <w:rPr>
                <w:spacing w:val="-4"/>
              </w:rPr>
            </w:pPr>
          </w:p>
          <w:p w14:paraId="0E8FD237" w14:textId="77777777" w:rsidR="00290725" w:rsidRDefault="00290725" w:rsidP="00A96D94">
            <w:pPr>
              <w:pStyle w:val="Marginlie"/>
              <w:rPr>
                <w:spacing w:val="-4"/>
              </w:rPr>
            </w:pPr>
          </w:p>
          <w:p w14:paraId="3E804FD6" w14:textId="77777777" w:rsidR="00290725" w:rsidRDefault="00290725" w:rsidP="00A96D94">
            <w:pPr>
              <w:pStyle w:val="Marginlie"/>
              <w:rPr>
                <w:spacing w:val="-4"/>
              </w:rPr>
            </w:pPr>
          </w:p>
          <w:p w14:paraId="5B83A5FF" w14:textId="77777777" w:rsidR="00290725" w:rsidRDefault="00290725" w:rsidP="00A96D94">
            <w:pPr>
              <w:pStyle w:val="Marginlie"/>
              <w:rPr>
                <w:spacing w:val="-4"/>
              </w:rPr>
            </w:pPr>
          </w:p>
          <w:p w14:paraId="64841EFF" w14:textId="77777777" w:rsidR="00290725" w:rsidRDefault="00290725" w:rsidP="00A96D94">
            <w:pPr>
              <w:pStyle w:val="Marginlie"/>
              <w:rPr>
                <w:spacing w:val="-4"/>
              </w:rPr>
            </w:pPr>
          </w:p>
          <w:p w14:paraId="3BA6040A" w14:textId="77777777" w:rsidR="00290725" w:rsidRDefault="00290725" w:rsidP="00A96D94">
            <w:pPr>
              <w:pStyle w:val="Marginlie"/>
              <w:rPr>
                <w:spacing w:val="-4"/>
              </w:rPr>
            </w:pPr>
            <w:r>
              <w:rPr>
                <w:spacing w:val="-4"/>
              </w:rPr>
              <w:t xml:space="preserve">Růst tržeb za prodej potravin loni zvolnil. Domácnosti patrně omezily spotřebu některých potravin </w:t>
            </w:r>
            <w:r>
              <w:rPr>
                <w:spacing w:val="-4"/>
              </w:rPr>
              <w:br/>
              <w:t>i z důvodu jejich cenového růstu.</w:t>
            </w:r>
          </w:p>
          <w:p w14:paraId="6AF5C095" w14:textId="77777777" w:rsidR="00290725" w:rsidRDefault="00290725" w:rsidP="00A96D94">
            <w:pPr>
              <w:pStyle w:val="Marginlie"/>
              <w:rPr>
                <w:spacing w:val="-4"/>
              </w:rPr>
            </w:pPr>
          </w:p>
        </w:tc>
        <w:tc>
          <w:tcPr>
            <w:tcW w:w="0" w:type="auto"/>
            <w:tcMar>
              <w:left w:w="0" w:type="dxa"/>
            </w:tcMar>
          </w:tcPr>
          <w:p w14:paraId="70EA02DF" w14:textId="77777777" w:rsidR="00290725" w:rsidRDefault="00290725" w:rsidP="00A96D94">
            <w:pPr>
              <w:pStyle w:val="Textpoznpodarou"/>
              <w:jc w:val="both"/>
              <w:rPr>
                <w:spacing w:val="-4"/>
              </w:rPr>
            </w:pPr>
          </w:p>
        </w:tc>
        <w:tc>
          <w:tcPr>
            <w:tcW w:w="7711" w:type="dxa"/>
            <w:tcMar>
              <w:left w:w="0" w:type="dxa"/>
            </w:tcMar>
          </w:tcPr>
          <w:p w14:paraId="5C7D10D5" w14:textId="77777777" w:rsidR="00290725" w:rsidRPr="00E357B4" w:rsidRDefault="00290725" w:rsidP="00A96D94">
            <w:pPr>
              <w:spacing w:after="0"/>
              <w:rPr>
                <w:rFonts w:cs="Arial"/>
                <w:color w:val="0D0D0D" w:themeColor="text1" w:themeTint="F2"/>
                <w:szCs w:val="20"/>
              </w:rPr>
            </w:pPr>
            <w:r w:rsidRPr="00E357B4">
              <w:rPr>
                <w:rFonts w:cs="Arial"/>
                <w:color w:val="0D0D0D" w:themeColor="text1" w:themeTint="F2"/>
                <w:szCs w:val="20"/>
              </w:rPr>
              <w:t>Za celý loňský rok se maloobchodní tržby zvýšily o 3,3 % (a proti roku 2024 tempo lehce zvolnilo). Dominantní vliv si stále udržovala vyšší poptávka po nepotravinářském zboží (růst o 4,2 %, příspěvek k růstu celého maloobchodu +2,2 p. b.), do níž zásadně promlouvaly tržby v oblasti prodeje prostřednictvím internetu nebo zásilkové služby, jež posílily bezmála o desetinu a stejně jako v roce 2024 představovaly nejdynamičtější segment celého maloobchodu. V rámci specializovaných prodejen</w:t>
            </w:r>
            <w:r w:rsidRPr="00E357B4">
              <w:rPr>
                <w:rStyle w:val="Znakapoznpodarou"/>
                <w:color w:val="0D0D0D" w:themeColor="text1" w:themeTint="F2"/>
                <w:szCs w:val="20"/>
              </w:rPr>
              <w:footnoteReference w:id="62"/>
            </w:r>
            <w:r w:rsidRPr="00E357B4">
              <w:rPr>
                <w:rFonts w:cs="Arial"/>
                <w:color w:val="0D0D0D" w:themeColor="text1" w:themeTint="F2"/>
                <w:szCs w:val="20"/>
              </w:rPr>
              <w:t xml:space="preserve"> se nadále nejvíce zvyšovaly tržby za kosmetické a toaletní výrobky (+9,2 %), dařilo se i prodeji farmaceutického a zdravotnického zboží (+5,4 %)</w:t>
            </w:r>
            <w:r w:rsidRPr="00E357B4">
              <w:rPr>
                <w:rStyle w:val="Znakapoznpodarou"/>
                <w:color w:val="0D0D0D" w:themeColor="text1" w:themeTint="F2"/>
                <w:szCs w:val="20"/>
              </w:rPr>
              <w:footnoteReference w:id="63"/>
            </w:r>
            <w:r w:rsidRPr="00E357B4">
              <w:rPr>
                <w:rFonts w:cs="Arial"/>
                <w:color w:val="0D0D0D" w:themeColor="text1" w:themeTint="F2"/>
                <w:szCs w:val="20"/>
              </w:rPr>
              <w:t>. Sílila poptávka po pohonných hmotách, jež pramenila hlavně z jejich příznivého cenového vývoje</w:t>
            </w:r>
            <w:r w:rsidRPr="00E357B4">
              <w:rPr>
                <w:rStyle w:val="Znakapoznpodarou"/>
                <w:color w:val="0D0D0D" w:themeColor="text1" w:themeTint="F2"/>
                <w:szCs w:val="20"/>
              </w:rPr>
              <w:footnoteReference w:id="64"/>
            </w:r>
            <w:r w:rsidRPr="00E357B4">
              <w:rPr>
                <w:rFonts w:cs="Arial"/>
                <w:color w:val="0D0D0D" w:themeColor="text1" w:themeTint="F2"/>
                <w:szCs w:val="20"/>
              </w:rPr>
              <w:t>. Meziroční růst tržeb za jejich prodej dosáhl 8,0 %</w:t>
            </w:r>
            <w:r w:rsidRPr="00E357B4">
              <w:rPr>
                <w:rStyle w:val="Znakapoznpodarou"/>
                <w:color w:val="0D0D0D" w:themeColor="text1" w:themeTint="F2"/>
                <w:szCs w:val="20"/>
              </w:rPr>
              <w:footnoteReference w:id="65"/>
            </w:r>
            <w:r w:rsidRPr="00E357B4">
              <w:rPr>
                <w:rFonts w:cs="Arial"/>
                <w:color w:val="0D0D0D" w:themeColor="text1" w:themeTint="F2"/>
                <w:szCs w:val="20"/>
              </w:rPr>
              <w:t xml:space="preserve"> (nejvyšší tempo po roce 2008) a k růstu celého maloobchodu loni přispěl 1,0 p. b. K pozitivnímu obratu došlo v maloobchodu s výrobky pro kulturu a rekreaci, kde loni tržby po třech letech poklesů vzrostly o 3,2 %, především díky vyšší poptávce po sportovním vybavení. Ke změně poptávky naopak i přes příznivý cenový vývoj nedošlo u oděvů, obuvi a koženého zboží a tržby zde druhý rok v řadě rostly jen mírně (a proti roku 2019 byly stále nižší skoro o čtvrtinu). Tržby v některých sortimentních skupinách obchodů navíc loni nadále klesaly – ve spíše okrajovém segmentu prodejen s počítačovým a komunikačním zařízením o 2,5 %</w:t>
            </w:r>
            <w:r w:rsidRPr="00E357B4">
              <w:rPr>
                <w:rStyle w:val="Znakapoznpodarou"/>
                <w:color w:val="0D0D0D" w:themeColor="text1" w:themeTint="F2"/>
                <w:szCs w:val="20"/>
              </w:rPr>
              <w:footnoteReference w:id="66"/>
            </w:r>
            <w:r w:rsidRPr="00E357B4">
              <w:rPr>
                <w:rFonts w:cs="Arial"/>
                <w:color w:val="0D0D0D" w:themeColor="text1" w:themeTint="F2"/>
                <w:szCs w:val="20"/>
              </w:rPr>
              <w:t>, s výrobky převážně pro domácnost</w:t>
            </w:r>
            <w:r w:rsidRPr="00E357B4">
              <w:rPr>
                <w:rStyle w:val="Znakapoznpodarou"/>
                <w:color w:val="0D0D0D" w:themeColor="text1" w:themeTint="F2"/>
                <w:szCs w:val="20"/>
              </w:rPr>
              <w:footnoteReference w:id="67"/>
            </w:r>
            <w:r w:rsidRPr="00E357B4">
              <w:rPr>
                <w:rFonts w:cs="Arial"/>
                <w:color w:val="0D0D0D" w:themeColor="text1" w:themeTint="F2"/>
                <w:szCs w:val="20"/>
              </w:rPr>
              <w:t xml:space="preserve"> o 0,3 %. V maloobchodu s potravinami se tržby zvýšily jen velmi mírně (+0,4 %, příspěvek k růstu celého maloobchodu +0,2 p. b.), když téměř identickým tempem rostly u velkých řetězců</w:t>
            </w:r>
            <w:r w:rsidRPr="00E357B4">
              <w:rPr>
                <w:rStyle w:val="Znakapoznpodarou"/>
                <w:color w:val="0D0D0D" w:themeColor="text1" w:themeTint="F2"/>
                <w:szCs w:val="20"/>
              </w:rPr>
              <w:footnoteReference w:id="68"/>
            </w:r>
            <w:r>
              <w:rPr>
                <w:rFonts w:cs="Arial"/>
                <w:color w:val="0D0D0D" w:themeColor="text1" w:themeTint="F2"/>
                <w:szCs w:val="20"/>
              </w:rPr>
              <w:t>.</w:t>
            </w:r>
            <w:r w:rsidRPr="00E357B4">
              <w:rPr>
                <w:rFonts w:cs="Arial"/>
                <w:color w:val="0D0D0D" w:themeColor="text1" w:themeTint="F2"/>
                <w:szCs w:val="20"/>
              </w:rPr>
              <w:t xml:space="preserve"> </w:t>
            </w:r>
            <w:r>
              <w:rPr>
                <w:rFonts w:cs="Arial"/>
                <w:color w:val="0D0D0D" w:themeColor="text1" w:themeTint="F2"/>
                <w:szCs w:val="20"/>
              </w:rPr>
              <w:t>U</w:t>
            </w:r>
            <w:r w:rsidRPr="00E357B4">
              <w:rPr>
                <w:rFonts w:cs="Arial"/>
                <w:color w:val="0D0D0D" w:themeColor="text1" w:themeTint="F2"/>
                <w:szCs w:val="20"/>
              </w:rPr>
              <w:t xml:space="preserve"> specializovaných (zpravidla malých) prodejen</w:t>
            </w:r>
            <w:r w:rsidRPr="00E357B4">
              <w:rPr>
                <w:rStyle w:val="Znakapoznpodarou"/>
                <w:color w:val="0D0D0D" w:themeColor="text1" w:themeTint="F2"/>
                <w:szCs w:val="20"/>
              </w:rPr>
              <w:footnoteReference w:id="69"/>
            </w:r>
            <w:r>
              <w:rPr>
                <w:rFonts w:cs="Arial"/>
                <w:color w:val="0D0D0D" w:themeColor="text1" w:themeTint="F2"/>
                <w:szCs w:val="20"/>
              </w:rPr>
              <w:t xml:space="preserve"> neparně klesly</w:t>
            </w:r>
            <w:r w:rsidRPr="00E357B4">
              <w:rPr>
                <w:rFonts w:cs="Arial"/>
                <w:color w:val="0D0D0D" w:themeColor="text1" w:themeTint="F2"/>
                <w:szCs w:val="20"/>
              </w:rPr>
              <w:t>. Zatímco u řetězců loni růst poptávky proti tempu z roku 2024 (+2,8</w:t>
            </w:r>
            <w:r>
              <w:rPr>
                <w:rFonts w:cs="Arial"/>
                <w:color w:val="0D0D0D" w:themeColor="text1" w:themeTint="F2"/>
                <w:szCs w:val="20"/>
              </w:rPr>
              <w:t> </w:t>
            </w:r>
            <w:r w:rsidRPr="00E357B4">
              <w:rPr>
                <w:rFonts w:cs="Arial"/>
                <w:color w:val="0D0D0D" w:themeColor="text1" w:themeTint="F2"/>
                <w:szCs w:val="20"/>
              </w:rPr>
              <w:t xml:space="preserve">%) zmírnil (na +0,5 %), u specializovaných prodejen </w:t>
            </w:r>
            <w:r>
              <w:rPr>
                <w:rFonts w:cs="Arial"/>
                <w:color w:val="0D0D0D" w:themeColor="text1" w:themeTint="F2"/>
                <w:szCs w:val="20"/>
              </w:rPr>
              <w:t xml:space="preserve">s potravinami </w:t>
            </w:r>
            <w:r w:rsidRPr="00E357B4">
              <w:rPr>
                <w:rFonts w:cs="Arial"/>
                <w:color w:val="0D0D0D" w:themeColor="text1" w:themeTint="F2"/>
                <w:szCs w:val="20"/>
              </w:rPr>
              <w:t>pokračoval pokles poptávky sedmým rokem v řadě (</w:t>
            </w:r>
            <w:r w:rsidRPr="00E357B4">
              <w:rPr>
                <w:rFonts w:cs="Arial"/>
                <w:color w:val="0D0D0D" w:themeColor="text1" w:themeTint="F2"/>
              </w:rPr>
              <w:t xml:space="preserve">loni o </w:t>
            </w:r>
            <w:r w:rsidRPr="00E357B4">
              <w:rPr>
                <w:rFonts w:cs="Arial"/>
                <w:color w:val="0D0D0D" w:themeColor="text1" w:themeTint="F2"/>
                <w:szCs w:val="20"/>
              </w:rPr>
              <w:t xml:space="preserve">0,2 %). </w:t>
            </w:r>
          </w:p>
          <w:p w14:paraId="44FBA3E7" w14:textId="77777777" w:rsidR="00290725" w:rsidRPr="00E357B4" w:rsidRDefault="00290725" w:rsidP="00A96D94">
            <w:pPr>
              <w:spacing w:after="0"/>
              <w:rPr>
                <w:rFonts w:cs="Arial"/>
                <w:color w:val="0D0D0D" w:themeColor="text1" w:themeTint="F2"/>
                <w:szCs w:val="20"/>
              </w:rPr>
            </w:pPr>
          </w:p>
        </w:tc>
      </w:tr>
      <w:tr w:rsidR="00290725" w:rsidRPr="009027C4" w14:paraId="0E357384" w14:textId="77777777" w:rsidTr="00A96D94">
        <w:trPr>
          <w:trHeight w:val="155"/>
        </w:trPr>
        <w:tc>
          <w:tcPr>
            <w:tcW w:w="1788" w:type="dxa"/>
            <w:tcMar>
              <w:left w:w="0" w:type="dxa"/>
            </w:tcMar>
          </w:tcPr>
          <w:p w14:paraId="1738206A" w14:textId="77777777" w:rsidR="00290725" w:rsidRDefault="00290725" w:rsidP="00A96D94">
            <w:pPr>
              <w:pStyle w:val="Marginlie"/>
            </w:pPr>
            <w:r>
              <w:rPr>
                <w:spacing w:val="-4"/>
              </w:rPr>
              <w:t>Růst tržeb za prodej motorových vozidel zrychlil. Poptávka po dílech a příslušenství pro vozidla ale dále klesala.</w:t>
            </w:r>
          </w:p>
        </w:tc>
        <w:tc>
          <w:tcPr>
            <w:tcW w:w="0" w:type="auto"/>
            <w:tcMar>
              <w:left w:w="0" w:type="dxa"/>
            </w:tcMar>
          </w:tcPr>
          <w:p w14:paraId="5F404D6F" w14:textId="77777777" w:rsidR="00290725" w:rsidRDefault="00290725" w:rsidP="00A96D94">
            <w:pPr>
              <w:pStyle w:val="Textpoznpodarou"/>
              <w:jc w:val="both"/>
              <w:rPr>
                <w:spacing w:val="-4"/>
              </w:rPr>
            </w:pPr>
          </w:p>
        </w:tc>
        <w:tc>
          <w:tcPr>
            <w:tcW w:w="7711" w:type="dxa"/>
            <w:tcMar>
              <w:left w:w="0" w:type="dxa"/>
            </w:tcMar>
          </w:tcPr>
          <w:p w14:paraId="40E78DBD" w14:textId="77777777" w:rsidR="00290725" w:rsidRPr="00E357B4" w:rsidRDefault="00290725" w:rsidP="00A96D94">
            <w:pPr>
              <w:spacing w:after="0"/>
              <w:rPr>
                <w:rFonts w:cs="Arial"/>
                <w:color w:val="0D0D0D" w:themeColor="text1" w:themeTint="F2"/>
                <w:szCs w:val="20"/>
              </w:rPr>
            </w:pPr>
            <w:r w:rsidRPr="00E357B4">
              <w:rPr>
                <w:rFonts w:cs="Arial"/>
                <w:color w:val="0D0D0D" w:themeColor="text1" w:themeTint="F2"/>
                <w:szCs w:val="20"/>
              </w:rPr>
              <w:t>V motoristickém segmentu obchodu se loni poptávka zvyšovala třetí rok v řadě, když tržby posílily o 2,5 %. Zrychlil růst v klíčovém segmentu obchodu s motorovými vozidly (k</w:t>
            </w:r>
            <w:r>
              <w:rPr>
                <w:rFonts w:cs="Arial"/>
                <w:color w:val="0D0D0D" w:themeColor="text1" w:themeTint="F2"/>
                <w:szCs w:val="20"/>
              </w:rPr>
              <w:t>ro</w:t>
            </w:r>
            <w:r w:rsidRPr="00E357B4">
              <w:rPr>
                <w:rFonts w:cs="Arial"/>
                <w:color w:val="0D0D0D" w:themeColor="text1" w:themeTint="F2"/>
                <w:szCs w:val="20"/>
              </w:rPr>
              <w:t>mě motocyklů), a to na 3,9 %. Projevila se zde především vyšší firemní poptávka, jež je pro tento segment obchodu určující. Mírnějším, ale stabilnějším tempem rostly i</w:t>
            </w:r>
            <w:r>
              <w:rPr>
                <w:rFonts w:cs="Arial"/>
                <w:color w:val="0D0D0D" w:themeColor="text1" w:themeTint="F2"/>
                <w:szCs w:val="20"/>
              </w:rPr>
              <w:t> </w:t>
            </w:r>
            <w:r w:rsidRPr="00E357B4">
              <w:rPr>
                <w:rFonts w:cs="Arial"/>
                <w:color w:val="0D0D0D" w:themeColor="text1" w:themeTint="F2"/>
                <w:szCs w:val="20"/>
              </w:rPr>
              <w:t>tržby za opravy a údržbu motorových vozidel. Oproti tomu v obchodu s díly a</w:t>
            </w:r>
            <w:r>
              <w:rPr>
                <w:rFonts w:cs="Arial"/>
                <w:color w:val="0D0D0D" w:themeColor="text1" w:themeTint="F2"/>
                <w:szCs w:val="20"/>
              </w:rPr>
              <w:t> </w:t>
            </w:r>
            <w:r w:rsidRPr="00E357B4">
              <w:rPr>
                <w:rFonts w:cs="Arial"/>
                <w:color w:val="0D0D0D" w:themeColor="text1" w:themeTint="F2"/>
                <w:szCs w:val="20"/>
              </w:rPr>
              <w:t xml:space="preserve">příslušenstvím pro motorová vozidla se tržby snížily o 1,5 %, poptávka zde mírně klesala čtvrtý rok v řadě a ve srovnání s rokem 2019 byla nižší o </w:t>
            </w:r>
            <w:r>
              <w:rPr>
                <w:rFonts w:cs="Arial"/>
                <w:color w:val="0D0D0D" w:themeColor="text1" w:themeTint="F2"/>
                <w:szCs w:val="20"/>
              </w:rPr>
              <w:t xml:space="preserve">více než </w:t>
            </w:r>
            <w:r w:rsidRPr="00E357B4">
              <w:rPr>
                <w:rFonts w:cs="Arial"/>
                <w:color w:val="0D0D0D" w:themeColor="text1" w:themeTint="F2"/>
                <w:szCs w:val="20"/>
              </w:rPr>
              <w:t xml:space="preserve">15 % (v celém motoristickém segmentu obchodu o </w:t>
            </w:r>
            <w:r>
              <w:rPr>
                <w:rFonts w:cs="Arial"/>
                <w:color w:val="0D0D0D" w:themeColor="text1" w:themeTint="F2"/>
                <w:szCs w:val="20"/>
              </w:rPr>
              <w:t xml:space="preserve">téměř </w:t>
            </w:r>
            <w:r w:rsidRPr="00E357B4">
              <w:rPr>
                <w:rFonts w:cs="Arial"/>
                <w:color w:val="0D0D0D" w:themeColor="text1" w:themeTint="F2"/>
                <w:szCs w:val="20"/>
              </w:rPr>
              <w:t>5 %).</w:t>
            </w:r>
          </w:p>
        </w:tc>
      </w:tr>
      <w:tr w:rsidR="00290725" w:rsidRPr="00832E72" w14:paraId="7D3FFE32" w14:textId="77777777" w:rsidTr="00A96D94">
        <w:trPr>
          <w:trHeight w:val="155"/>
        </w:trPr>
        <w:tc>
          <w:tcPr>
            <w:tcW w:w="1788" w:type="dxa"/>
            <w:vMerge w:val="restart"/>
            <w:tcMar>
              <w:left w:w="0" w:type="dxa"/>
            </w:tcMar>
          </w:tcPr>
          <w:p w14:paraId="339D38FD" w14:textId="77777777" w:rsidR="00290725" w:rsidRDefault="00290725" w:rsidP="00A96D94">
            <w:pPr>
              <w:pStyle w:val="Marginlie"/>
            </w:pPr>
          </w:p>
        </w:tc>
        <w:tc>
          <w:tcPr>
            <w:tcW w:w="0" w:type="auto"/>
            <w:vMerge w:val="restart"/>
            <w:tcMar>
              <w:left w:w="0" w:type="dxa"/>
            </w:tcMar>
          </w:tcPr>
          <w:p w14:paraId="31A017EE" w14:textId="77777777" w:rsidR="00290725" w:rsidRDefault="00290725" w:rsidP="00A96D94">
            <w:pPr>
              <w:pStyle w:val="Textpoznpodarou"/>
              <w:jc w:val="both"/>
              <w:rPr>
                <w:spacing w:val="-4"/>
              </w:rPr>
            </w:pPr>
          </w:p>
        </w:tc>
        <w:tc>
          <w:tcPr>
            <w:tcW w:w="7711" w:type="dxa"/>
            <w:tcMar>
              <w:left w:w="0" w:type="dxa"/>
            </w:tcMar>
          </w:tcPr>
          <w:p w14:paraId="65C2CD04" w14:textId="77777777" w:rsidR="00290725" w:rsidRPr="00832E72" w:rsidRDefault="00290725" w:rsidP="00A96D94">
            <w:pPr>
              <w:spacing w:after="0"/>
              <w:rPr>
                <w:rFonts w:cs="Arial"/>
                <w:color w:val="0D0D0D" w:themeColor="text1" w:themeTint="F2"/>
                <w:spacing w:val="-4"/>
                <w:szCs w:val="20"/>
              </w:rPr>
            </w:pPr>
            <w:r w:rsidRPr="00107EB3">
              <w:rPr>
                <w:b/>
                <w:spacing w:val="-2"/>
              </w:rPr>
              <w:t xml:space="preserve">Graf č. 8 </w:t>
            </w:r>
            <w:r w:rsidRPr="00107EB3">
              <w:rPr>
                <w:rFonts w:cs="Arial"/>
                <w:b/>
                <w:bCs/>
                <w:color w:val="0D0D0D" w:themeColor="text1" w:themeTint="F2"/>
                <w:spacing w:val="-2"/>
              </w:rPr>
              <w:t xml:space="preserve">Příspěvky dílčích odvětví k meziroční změně tržeb v maloobchodu* </w:t>
            </w:r>
            <w:r w:rsidRPr="00107EB3">
              <w:rPr>
                <w:rFonts w:cs="Arial"/>
                <w:color w:val="0D0D0D" w:themeColor="text1" w:themeTint="F2"/>
                <w:spacing w:val="-2"/>
              </w:rPr>
              <w:t>(reálně, v p. b.),</w:t>
            </w:r>
            <w:r w:rsidRPr="004405E2">
              <w:rPr>
                <w:rFonts w:cs="Arial"/>
                <w:color w:val="0D0D0D" w:themeColor="text1" w:themeTint="F2"/>
                <w:spacing w:val="-6"/>
              </w:rPr>
              <w:t xml:space="preserve"> </w:t>
            </w:r>
            <w:r w:rsidRPr="004405E2">
              <w:rPr>
                <w:rFonts w:cs="Arial"/>
                <w:b/>
                <w:bCs/>
                <w:color w:val="0D0D0D" w:themeColor="text1" w:themeTint="F2"/>
                <w:spacing w:val="-6"/>
              </w:rPr>
              <w:t xml:space="preserve">tržby v maloobchodu a v motoristickém segmentu obchodu** </w:t>
            </w:r>
            <w:r w:rsidRPr="004405E2">
              <w:rPr>
                <w:rFonts w:cs="Arial"/>
                <w:color w:val="0D0D0D" w:themeColor="text1" w:themeTint="F2"/>
                <w:spacing w:val="-6"/>
              </w:rPr>
              <w:t>(reálně, ú</w:t>
            </w:r>
            <w:r>
              <w:rPr>
                <w:rFonts w:cs="Arial"/>
                <w:color w:val="0D0D0D" w:themeColor="text1" w:themeTint="F2"/>
                <w:spacing w:val="-6"/>
              </w:rPr>
              <w:t xml:space="preserve">roveň roku </w:t>
            </w:r>
            <w:r w:rsidRPr="00107EB3">
              <w:rPr>
                <w:rFonts w:cs="Arial"/>
                <w:color w:val="0D0D0D" w:themeColor="text1" w:themeTint="F2"/>
                <w:spacing w:val="-2"/>
              </w:rPr>
              <w:t xml:space="preserve">2021=100, pravá osa), </w:t>
            </w:r>
            <w:r w:rsidRPr="00107EB3">
              <w:rPr>
                <w:rFonts w:cs="Arial"/>
                <w:b/>
                <w:bCs/>
                <w:color w:val="0D0D0D" w:themeColor="text1" w:themeTint="F2"/>
                <w:spacing w:val="-2"/>
              </w:rPr>
              <w:t xml:space="preserve">saldo důvěry spotřebitelů i obchodníků*** </w:t>
            </w:r>
            <w:r>
              <w:rPr>
                <w:rFonts w:cs="Arial"/>
                <w:color w:val="0D0D0D" w:themeColor="text1" w:themeTint="F2"/>
                <w:spacing w:val="-2"/>
              </w:rPr>
              <w:t xml:space="preserve">(v p. b., </w:t>
            </w:r>
            <w:proofErr w:type="spellStart"/>
            <w:r>
              <w:rPr>
                <w:rFonts w:cs="Arial"/>
                <w:color w:val="0D0D0D" w:themeColor="text1" w:themeTint="F2"/>
                <w:spacing w:val="-2"/>
              </w:rPr>
              <w:t>pr</w:t>
            </w:r>
            <w:proofErr w:type="spellEnd"/>
            <w:r>
              <w:rPr>
                <w:rFonts w:cs="Arial"/>
                <w:color w:val="0D0D0D" w:themeColor="text1" w:themeTint="F2"/>
                <w:spacing w:val="-2"/>
              </w:rPr>
              <w:t xml:space="preserve">. </w:t>
            </w:r>
            <w:r w:rsidRPr="00107EB3">
              <w:rPr>
                <w:rFonts w:cs="Arial"/>
                <w:color w:val="0D0D0D" w:themeColor="text1" w:themeTint="F2"/>
                <w:spacing w:val="-2"/>
              </w:rPr>
              <w:t>osa)</w:t>
            </w:r>
          </w:p>
        </w:tc>
      </w:tr>
      <w:tr w:rsidR="00290725" w:rsidRPr="00832E72" w14:paraId="6EE5E002" w14:textId="77777777" w:rsidTr="00A96D94">
        <w:tblPrEx>
          <w:tblCellMar>
            <w:left w:w="70" w:type="dxa"/>
            <w:right w:w="70" w:type="dxa"/>
          </w:tblCellMar>
        </w:tblPrEx>
        <w:trPr>
          <w:trHeight w:val="155"/>
        </w:trPr>
        <w:tc>
          <w:tcPr>
            <w:tcW w:w="1788" w:type="dxa"/>
            <w:vMerge/>
          </w:tcPr>
          <w:p w14:paraId="1B07CC03" w14:textId="77777777" w:rsidR="00290725" w:rsidRDefault="00290725" w:rsidP="00A96D94">
            <w:pPr>
              <w:pStyle w:val="Marginlie"/>
            </w:pPr>
          </w:p>
        </w:tc>
        <w:tc>
          <w:tcPr>
            <w:tcW w:w="147" w:type="dxa"/>
            <w:vMerge/>
          </w:tcPr>
          <w:p w14:paraId="152A4EB5" w14:textId="77777777" w:rsidR="00290725" w:rsidRDefault="00290725" w:rsidP="00A96D94">
            <w:pPr>
              <w:pStyle w:val="Textpoznpodarou"/>
              <w:jc w:val="both"/>
              <w:rPr>
                <w:spacing w:val="-4"/>
              </w:rPr>
            </w:pPr>
          </w:p>
        </w:tc>
        <w:tc>
          <w:tcPr>
            <w:tcW w:w="7711" w:type="dxa"/>
          </w:tcPr>
          <w:p w14:paraId="131A3166" w14:textId="77777777" w:rsidR="00290725" w:rsidRPr="00832E72" w:rsidRDefault="00290725" w:rsidP="00A96D94">
            <w:pPr>
              <w:spacing w:before="40" w:after="40"/>
              <w:rPr>
                <w:rFonts w:cs="Arial"/>
                <w:color w:val="0D0D0D" w:themeColor="text1" w:themeTint="F2"/>
                <w:spacing w:val="-4"/>
                <w:szCs w:val="20"/>
              </w:rPr>
            </w:pPr>
            <w:r>
              <w:rPr>
                <w:noProof/>
              </w:rPr>
              <w:drawing>
                <wp:inline distT="0" distB="0" distL="0" distR="0" wp14:anchorId="75AADC45" wp14:editId="36D129F2">
                  <wp:extent cx="4756785" cy="3491865"/>
                  <wp:effectExtent l="0" t="0" r="5715" b="0"/>
                  <wp:docPr id="1823326539" name="Graf 1">
                    <a:extLst xmlns:a="http://schemas.openxmlformats.org/drawingml/2006/main">
                      <a:ext uri="{FF2B5EF4-FFF2-40B4-BE49-F238E27FC236}">
                        <a16:creationId xmlns:a16="http://schemas.microsoft.com/office/drawing/2014/main" id="{00000000-0008-0000-1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r w:rsidR="00290725" w:rsidRPr="00832E72" w14:paraId="113D139B" w14:textId="77777777" w:rsidTr="00A96D94">
        <w:trPr>
          <w:trHeight w:val="155"/>
        </w:trPr>
        <w:tc>
          <w:tcPr>
            <w:tcW w:w="1788" w:type="dxa"/>
            <w:vMerge/>
            <w:tcMar>
              <w:left w:w="0" w:type="dxa"/>
            </w:tcMar>
          </w:tcPr>
          <w:p w14:paraId="03CF9149" w14:textId="77777777" w:rsidR="00290725" w:rsidRDefault="00290725" w:rsidP="00A96D94">
            <w:pPr>
              <w:pStyle w:val="Marginlie"/>
            </w:pPr>
          </w:p>
        </w:tc>
        <w:tc>
          <w:tcPr>
            <w:tcW w:w="0" w:type="auto"/>
            <w:vMerge/>
            <w:tcMar>
              <w:left w:w="0" w:type="dxa"/>
            </w:tcMar>
          </w:tcPr>
          <w:p w14:paraId="4D054801" w14:textId="77777777" w:rsidR="00290725" w:rsidRDefault="00290725" w:rsidP="00A96D94">
            <w:pPr>
              <w:pStyle w:val="Textpoznpodarou"/>
              <w:jc w:val="both"/>
              <w:rPr>
                <w:spacing w:val="-4"/>
              </w:rPr>
            </w:pPr>
          </w:p>
        </w:tc>
        <w:tc>
          <w:tcPr>
            <w:tcW w:w="7711" w:type="dxa"/>
            <w:tcMar>
              <w:left w:w="0" w:type="dxa"/>
            </w:tcMar>
          </w:tcPr>
          <w:p w14:paraId="5EA827D3" w14:textId="77777777" w:rsidR="00290725" w:rsidRPr="00052ADA" w:rsidRDefault="00290725" w:rsidP="00A96D94">
            <w:pPr>
              <w:spacing w:after="0" w:line="240" w:lineRule="auto"/>
              <w:rPr>
                <w:rFonts w:cs="Arial"/>
                <w:sz w:val="14"/>
                <w:szCs w:val="14"/>
              </w:rPr>
            </w:pPr>
            <w:r>
              <w:rPr>
                <w:rFonts w:cs="Arial"/>
                <w:color w:val="0D0D0D" w:themeColor="text1" w:themeTint="F2"/>
                <w:spacing w:val="-6"/>
              </w:rPr>
              <w:t>*</w:t>
            </w:r>
            <w:r w:rsidRPr="00052ADA">
              <w:rPr>
                <w:rFonts w:cs="Arial"/>
                <w:sz w:val="14"/>
                <w:szCs w:val="14"/>
              </w:rPr>
              <w:t xml:space="preserve"> Tržby jsou očištěny o kalendářní vlivy.       ** Tržby jsou sezónně i kalendářně očištěny.</w:t>
            </w:r>
          </w:p>
          <w:p w14:paraId="740CC535" w14:textId="77777777" w:rsidR="00290725" w:rsidRDefault="00290725" w:rsidP="00A96D94">
            <w:pPr>
              <w:spacing w:after="0"/>
              <w:rPr>
                <w:rFonts w:cs="Arial"/>
                <w:color w:val="0D0D0D" w:themeColor="text1" w:themeTint="F2"/>
                <w:spacing w:val="-4"/>
                <w:sz w:val="14"/>
                <w:szCs w:val="14"/>
              </w:rPr>
            </w:pPr>
            <w:r>
              <w:rPr>
                <w:rFonts w:cs="Arial"/>
                <w:color w:val="0D0D0D" w:themeColor="text1" w:themeTint="F2"/>
                <w:spacing w:val="-4"/>
                <w:sz w:val="14"/>
                <w:szCs w:val="14"/>
              </w:rPr>
              <w:t>*** Salda důvěry jsou sezónně očištěna a vyjadřují</w:t>
            </w:r>
            <w:r w:rsidRPr="00052ADA">
              <w:rPr>
                <w:rFonts w:cs="Arial"/>
                <w:color w:val="0D0D0D" w:themeColor="text1" w:themeTint="F2"/>
                <w:spacing w:val="-4"/>
                <w:sz w:val="14"/>
                <w:szCs w:val="14"/>
              </w:rPr>
              <w:t xml:space="preserve"> stav ve druhém měs</w:t>
            </w:r>
            <w:r>
              <w:rPr>
                <w:rFonts w:cs="Arial"/>
                <w:color w:val="0D0D0D" w:themeColor="text1" w:themeTint="F2"/>
                <w:spacing w:val="-4"/>
                <w:sz w:val="14"/>
                <w:szCs w:val="14"/>
              </w:rPr>
              <w:t>íci daného čtvrtletí.</w:t>
            </w:r>
          </w:p>
          <w:p w14:paraId="28F67040" w14:textId="77777777" w:rsidR="00290725" w:rsidRPr="00832E72" w:rsidRDefault="00290725" w:rsidP="00A96D94">
            <w:pPr>
              <w:spacing w:after="0"/>
              <w:rPr>
                <w:rFonts w:cs="Arial"/>
                <w:color w:val="0D0D0D" w:themeColor="text1" w:themeTint="F2"/>
                <w:spacing w:val="-4"/>
                <w:szCs w:val="20"/>
              </w:rPr>
            </w:pPr>
            <w:r w:rsidRPr="00052ADA">
              <w:rPr>
                <w:rFonts w:cs="Arial"/>
                <w:color w:val="0D0D0D" w:themeColor="text1" w:themeTint="F2"/>
                <w:spacing w:val="-4"/>
                <w:sz w:val="14"/>
                <w:szCs w:val="14"/>
              </w:rPr>
              <w:t>Zdroj: ČSÚ</w:t>
            </w:r>
          </w:p>
        </w:tc>
      </w:tr>
    </w:tbl>
    <w:p w14:paraId="6F25D84E" w14:textId="77777777" w:rsidR="00290725" w:rsidRPr="000546C1" w:rsidRDefault="00290725" w:rsidP="00290725">
      <w:pPr>
        <w:spacing w:after="0" w:line="240" w:lineRule="auto"/>
        <w:jc w:val="left"/>
        <w:rPr>
          <w:rFonts w:eastAsia="MS Gothic"/>
          <w:b/>
          <w:bCs/>
          <w:color w:val="86BF5E"/>
          <w:sz w:val="6"/>
          <w:szCs w:val="6"/>
        </w:rPr>
      </w:pPr>
    </w:p>
    <w:p w14:paraId="19E80E9E" w14:textId="77777777" w:rsidR="00290725" w:rsidRPr="000546C1" w:rsidRDefault="00290725" w:rsidP="00290725">
      <w:pPr>
        <w:spacing w:after="0" w:line="240" w:lineRule="auto"/>
        <w:jc w:val="left"/>
        <w:rPr>
          <w:rFonts w:eastAsia="MS Gothic"/>
          <w:b/>
          <w:bCs/>
          <w:color w:val="86BF5E"/>
          <w:sz w:val="6"/>
          <w:szCs w:val="6"/>
        </w:rPr>
      </w:pPr>
    </w:p>
    <w:p w14:paraId="306C1DDE" w14:textId="77777777" w:rsidR="00290725" w:rsidRDefault="00290725">
      <w:pPr>
        <w:spacing w:after="0" w:line="240" w:lineRule="auto"/>
        <w:jc w:val="left"/>
        <w:rPr>
          <w:rFonts w:eastAsia="MS Gothic"/>
          <w:b/>
          <w:bCs/>
          <w:color w:val="86BF5E"/>
          <w:sz w:val="32"/>
          <w:szCs w:val="28"/>
        </w:rPr>
      </w:pPr>
      <w:r>
        <w:br w:type="page"/>
      </w:r>
    </w:p>
    <w:p w14:paraId="6ECF8F72" w14:textId="3E111554" w:rsidR="00605D96" w:rsidRPr="00F204DA" w:rsidRDefault="00605D96" w:rsidP="00605D96">
      <w:pPr>
        <w:pStyle w:val="Nadpis1"/>
      </w:pPr>
      <w:bookmarkStart w:id="20" w:name="_Toc224903148"/>
      <w:r>
        <w:lastRenderedPageBreak/>
        <w:t>4</w:t>
      </w:r>
      <w:bookmarkStart w:id="21" w:name="_Toc19090679"/>
      <w:bookmarkStart w:id="22" w:name="_Toc74643856"/>
      <w:bookmarkStart w:id="23" w:name="_Toc42852411"/>
      <w:bookmarkStart w:id="24" w:name="_Toc74643857"/>
      <w:bookmarkEnd w:id="21"/>
      <w:r>
        <w:t>. Vnější vztahy</w:t>
      </w:r>
      <w:bookmarkEnd w:id="20"/>
    </w:p>
    <w:tbl>
      <w:tblPr>
        <w:tblW w:w="9677" w:type="dxa"/>
        <w:tblInd w:w="-15" w:type="dxa"/>
        <w:tblLayout w:type="fixed"/>
        <w:tblCellMar>
          <w:left w:w="0" w:type="dxa"/>
          <w:right w:w="0" w:type="dxa"/>
        </w:tblCellMar>
        <w:tblLook w:val="00A0" w:firstRow="1" w:lastRow="0" w:firstColumn="1" w:lastColumn="0" w:noHBand="0" w:noVBand="0"/>
      </w:tblPr>
      <w:tblGrid>
        <w:gridCol w:w="1748"/>
        <w:gridCol w:w="252"/>
        <w:gridCol w:w="2811"/>
        <w:gridCol w:w="57"/>
        <w:gridCol w:w="4809"/>
      </w:tblGrid>
      <w:tr w:rsidR="00605D96" w14:paraId="17C4FF81" w14:textId="77777777" w:rsidTr="008B207B">
        <w:trPr>
          <w:trHeight w:val="145"/>
        </w:trPr>
        <w:tc>
          <w:tcPr>
            <w:tcW w:w="1748" w:type="dxa"/>
            <w:hideMark/>
          </w:tcPr>
          <w:p w14:paraId="2BBEFEA7" w14:textId="77777777" w:rsidR="00605D96" w:rsidRDefault="00605D96" w:rsidP="008B207B">
            <w:pPr>
              <w:pStyle w:val="Marginlie"/>
              <w:rPr>
                <w:lang w:eastAsia="en-US"/>
              </w:rPr>
            </w:pPr>
            <w:r>
              <w:rPr>
                <w:lang w:eastAsia="en-US"/>
              </w:rPr>
              <w:t>Vývoz zboží loni vzrostl, ale jeho meziroční dynamika v průběhu roku slábla.</w:t>
            </w:r>
          </w:p>
        </w:tc>
        <w:tc>
          <w:tcPr>
            <w:tcW w:w="252" w:type="dxa"/>
          </w:tcPr>
          <w:p w14:paraId="593C186B" w14:textId="77777777" w:rsidR="00605D96" w:rsidRDefault="00605D96" w:rsidP="008B207B">
            <w:pPr>
              <w:pStyle w:val="Textpoznpodarou"/>
              <w:jc w:val="both"/>
              <w:rPr>
                <w:spacing w:val="-4"/>
                <w:lang w:eastAsia="en-US"/>
              </w:rPr>
            </w:pPr>
          </w:p>
        </w:tc>
        <w:tc>
          <w:tcPr>
            <w:tcW w:w="7677" w:type="dxa"/>
            <w:gridSpan w:val="3"/>
            <w:hideMark/>
          </w:tcPr>
          <w:p w14:paraId="7181B335" w14:textId="77777777" w:rsidR="00605D96" w:rsidRDefault="00605D96" w:rsidP="008B207B">
            <w:pPr>
              <w:spacing w:after="180"/>
              <w:rPr>
                <w:spacing w:val="-4"/>
                <w:lang w:eastAsia="en-US"/>
              </w:rPr>
            </w:pPr>
            <w:r>
              <w:rPr>
                <w:spacing w:val="-4"/>
                <w:lang w:eastAsia="en-US"/>
              </w:rPr>
              <w:t>Hodnota vývozu zboží</w:t>
            </w:r>
            <w:r>
              <w:rPr>
                <w:rStyle w:val="Znakapoznpodarou"/>
                <w:spacing w:val="-4"/>
                <w:lang w:eastAsia="en-US"/>
              </w:rPr>
              <w:footnoteReference w:id="70"/>
            </w:r>
            <w:r>
              <w:rPr>
                <w:spacing w:val="-4"/>
                <w:lang w:eastAsia="en-US"/>
              </w:rPr>
              <w:t xml:space="preserve"> v roce 2025 celkově dosáhla 4 789,5 mld. korun a oproti předchozímu roku se zvýšila o 126,4 mld. (2,7 %). Nominální přírůstek exportu byl mírnější než v roce 2024, zejména vlivem cenového vývoje</w:t>
            </w:r>
            <w:r>
              <w:rPr>
                <w:rStyle w:val="Znakapoznpodarou"/>
                <w:spacing w:val="-4"/>
                <w:lang w:eastAsia="en-US"/>
              </w:rPr>
              <w:footnoteReference w:id="71"/>
            </w:r>
            <w:r>
              <w:rPr>
                <w:spacing w:val="-4"/>
                <w:lang w:eastAsia="en-US"/>
              </w:rPr>
              <w:t>. Globální zahraniční obchod loni ovlivňovalo zavádění cel mezi Spojenými státy americkými a zbytkem světa. Silný impuls dostal export zejména na začátku roku</w:t>
            </w:r>
            <w:r>
              <w:rPr>
                <w:rStyle w:val="Znakapoznpodarou"/>
                <w:spacing w:val="-4"/>
                <w:lang w:eastAsia="en-US"/>
              </w:rPr>
              <w:footnoteReference w:id="72"/>
            </w:r>
            <w:r>
              <w:rPr>
                <w:spacing w:val="-4"/>
                <w:lang w:eastAsia="en-US"/>
              </w:rPr>
              <w:t xml:space="preserve"> a meziroční tempo pak v průběhu loňska sláblo. V samotném 4. čtvrtletí hodnota exportu celkem meziročně vzrostla o 1,7 mld. korun (0,1 %) a dosáhla 1 191,1 mld. Podle sezónně očištěných údajů hodnota exportu ve 4. čtvrtletí mezičtvrtletně stoupla o 1,5 %.</w:t>
            </w:r>
          </w:p>
        </w:tc>
      </w:tr>
      <w:tr w:rsidR="00605D96" w14:paraId="7B959E1A" w14:textId="77777777" w:rsidTr="008B207B">
        <w:trPr>
          <w:trHeight w:val="126"/>
        </w:trPr>
        <w:tc>
          <w:tcPr>
            <w:tcW w:w="1748" w:type="dxa"/>
            <w:vMerge w:val="restart"/>
          </w:tcPr>
          <w:p w14:paraId="7B8AA617" w14:textId="77777777" w:rsidR="00605D96" w:rsidRDefault="00605D96" w:rsidP="008B207B">
            <w:pPr>
              <w:pStyle w:val="Marginlie"/>
              <w:rPr>
                <w:lang w:eastAsia="en-US"/>
              </w:rPr>
            </w:pPr>
          </w:p>
        </w:tc>
        <w:tc>
          <w:tcPr>
            <w:tcW w:w="252" w:type="dxa"/>
            <w:vMerge w:val="restart"/>
          </w:tcPr>
          <w:p w14:paraId="1112C355" w14:textId="77777777" w:rsidR="00605D96" w:rsidRDefault="00605D96" w:rsidP="008B207B">
            <w:pPr>
              <w:pStyle w:val="Textpoznpodarou"/>
              <w:jc w:val="both"/>
              <w:rPr>
                <w:spacing w:val="-4"/>
                <w:lang w:eastAsia="en-US"/>
              </w:rPr>
            </w:pPr>
          </w:p>
        </w:tc>
        <w:tc>
          <w:tcPr>
            <w:tcW w:w="7677" w:type="dxa"/>
            <w:gridSpan w:val="3"/>
          </w:tcPr>
          <w:p w14:paraId="17DC5AD7" w14:textId="68DABC70" w:rsidR="00605D96" w:rsidRDefault="00605D96" w:rsidP="008B207B">
            <w:pPr>
              <w:spacing w:after="0"/>
              <w:rPr>
                <w:spacing w:val="-4"/>
                <w:lang w:eastAsia="en-US"/>
              </w:rPr>
            </w:pPr>
            <w:r>
              <w:rPr>
                <w:rFonts w:cs="Arial"/>
                <w:b/>
                <w:bCs/>
                <w:color w:val="000000"/>
                <w:szCs w:val="20"/>
                <w:lang w:eastAsia="en-US"/>
              </w:rPr>
              <w:t>Graf č. </w:t>
            </w:r>
            <w:r w:rsidR="00281666">
              <w:rPr>
                <w:rFonts w:cs="Arial"/>
                <w:b/>
                <w:bCs/>
                <w:color w:val="000000"/>
                <w:szCs w:val="20"/>
                <w:lang w:eastAsia="en-US"/>
              </w:rPr>
              <w:t>9</w:t>
            </w:r>
            <w:r>
              <w:rPr>
                <w:rFonts w:cs="Arial"/>
                <w:b/>
                <w:bCs/>
                <w:color w:val="000000"/>
                <w:szCs w:val="20"/>
                <w:lang w:eastAsia="en-US"/>
              </w:rPr>
              <w:t xml:space="preserve"> Vývoz a dovoz zboží </w:t>
            </w:r>
            <w:r>
              <w:rPr>
                <w:rFonts w:cs="Arial"/>
                <w:bCs/>
                <w:color w:val="000000"/>
                <w:szCs w:val="20"/>
                <w:lang w:eastAsia="en-US"/>
              </w:rPr>
              <w:t>(meziročně v %)</w:t>
            </w:r>
            <w:r>
              <w:rPr>
                <w:rFonts w:cs="Arial"/>
                <w:b/>
                <w:bCs/>
                <w:color w:val="000000"/>
                <w:szCs w:val="20"/>
                <w:lang w:eastAsia="en-US"/>
              </w:rPr>
              <w:t xml:space="preserve"> a bilance zahraničního obchodu se zbožím </w:t>
            </w:r>
            <w:r>
              <w:rPr>
                <w:rFonts w:cs="Arial"/>
                <w:bCs/>
                <w:color w:val="000000"/>
                <w:szCs w:val="20"/>
                <w:lang w:eastAsia="en-US"/>
              </w:rPr>
              <w:t>(v mld. korun, pravá osa)</w:t>
            </w:r>
            <w:r>
              <w:rPr>
                <w:rFonts w:cs="Arial"/>
                <w:b/>
                <w:bCs/>
                <w:color w:val="000000"/>
                <w:szCs w:val="20"/>
                <w:lang w:eastAsia="en-US"/>
              </w:rPr>
              <w:t xml:space="preserve"> </w:t>
            </w:r>
          </w:p>
        </w:tc>
      </w:tr>
      <w:tr w:rsidR="00605D96" w14:paraId="49AD35D1" w14:textId="77777777" w:rsidTr="008B207B">
        <w:trPr>
          <w:trHeight w:val="125"/>
        </w:trPr>
        <w:tc>
          <w:tcPr>
            <w:tcW w:w="1748" w:type="dxa"/>
            <w:vMerge/>
          </w:tcPr>
          <w:p w14:paraId="35DF4DE5" w14:textId="77777777" w:rsidR="00605D96" w:rsidRDefault="00605D96" w:rsidP="008B207B">
            <w:pPr>
              <w:pStyle w:val="Marginlie"/>
              <w:rPr>
                <w:lang w:eastAsia="en-US"/>
              </w:rPr>
            </w:pPr>
          </w:p>
        </w:tc>
        <w:tc>
          <w:tcPr>
            <w:tcW w:w="252" w:type="dxa"/>
            <w:vMerge/>
          </w:tcPr>
          <w:p w14:paraId="52BC2D2C" w14:textId="77777777" w:rsidR="00605D96" w:rsidRDefault="00605D96" w:rsidP="008B207B">
            <w:pPr>
              <w:pStyle w:val="Textpoznpodarou"/>
              <w:jc w:val="both"/>
              <w:rPr>
                <w:spacing w:val="-4"/>
                <w:lang w:eastAsia="en-US"/>
              </w:rPr>
            </w:pPr>
          </w:p>
        </w:tc>
        <w:tc>
          <w:tcPr>
            <w:tcW w:w="7677" w:type="dxa"/>
            <w:gridSpan w:val="3"/>
          </w:tcPr>
          <w:p w14:paraId="181DC8CE" w14:textId="77777777" w:rsidR="00605D96" w:rsidRDefault="00605D96" w:rsidP="008B207B">
            <w:pPr>
              <w:spacing w:after="0"/>
              <w:rPr>
                <w:spacing w:val="-4"/>
                <w:lang w:eastAsia="en-US"/>
              </w:rPr>
            </w:pPr>
            <w:r>
              <w:rPr>
                <w:noProof/>
              </w:rPr>
              <w:drawing>
                <wp:inline distT="0" distB="0" distL="0" distR="0" wp14:anchorId="5F3492F1" wp14:editId="7EF61EAF">
                  <wp:extent cx="4770000" cy="3540625"/>
                  <wp:effectExtent l="0" t="0" r="0" b="3175"/>
                  <wp:docPr id="1424913566" name="Graf 1">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605D96" w14:paraId="5D849FDE" w14:textId="77777777" w:rsidTr="008B207B">
        <w:trPr>
          <w:trHeight w:val="125"/>
        </w:trPr>
        <w:tc>
          <w:tcPr>
            <w:tcW w:w="1748" w:type="dxa"/>
            <w:vMerge/>
          </w:tcPr>
          <w:p w14:paraId="14F6687F" w14:textId="77777777" w:rsidR="00605D96" w:rsidRDefault="00605D96" w:rsidP="008B207B">
            <w:pPr>
              <w:pStyle w:val="Marginlie"/>
              <w:rPr>
                <w:lang w:eastAsia="en-US"/>
              </w:rPr>
            </w:pPr>
          </w:p>
        </w:tc>
        <w:tc>
          <w:tcPr>
            <w:tcW w:w="252" w:type="dxa"/>
            <w:vMerge/>
          </w:tcPr>
          <w:p w14:paraId="4C13943F" w14:textId="77777777" w:rsidR="00605D96" w:rsidRDefault="00605D96" w:rsidP="008B207B">
            <w:pPr>
              <w:pStyle w:val="Textpoznpodarou"/>
              <w:jc w:val="both"/>
              <w:rPr>
                <w:spacing w:val="-4"/>
                <w:lang w:eastAsia="en-US"/>
              </w:rPr>
            </w:pPr>
          </w:p>
        </w:tc>
        <w:tc>
          <w:tcPr>
            <w:tcW w:w="7677" w:type="dxa"/>
            <w:gridSpan w:val="3"/>
          </w:tcPr>
          <w:p w14:paraId="262B1300" w14:textId="77777777" w:rsidR="00605D96" w:rsidRDefault="00605D96" w:rsidP="008B207B">
            <w:pPr>
              <w:spacing w:after="180"/>
              <w:rPr>
                <w:spacing w:val="-4"/>
                <w:lang w:eastAsia="en-US"/>
              </w:rPr>
            </w:pPr>
            <w:r>
              <w:rPr>
                <w:sz w:val="16"/>
                <w:szCs w:val="16"/>
                <w:lang w:eastAsia="en-US"/>
              </w:rPr>
              <w:t>Zdroj: ČSÚ</w:t>
            </w:r>
          </w:p>
        </w:tc>
      </w:tr>
      <w:tr w:rsidR="00605D96" w14:paraId="2D3A14DE" w14:textId="77777777" w:rsidTr="008B207B">
        <w:trPr>
          <w:trHeight w:val="145"/>
        </w:trPr>
        <w:tc>
          <w:tcPr>
            <w:tcW w:w="1748" w:type="dxa"/>
          </w:tcPr>
          <w:p w14:paraId="43F602AE" w14:textId="77777777" w:rsidR="00605D96" w:rsidRDefault="00605D96" w:rsidP="008B207B">
            <w:pPr>
              <w:pStyle w:val="Marginlie"/>
              <w:rPr>
                <w:lang w:eastAsia="en-US"/>
              </w:rPr>
            </w:pPr>
            <w:r>
              <w:rPr>
                <w:lang w:eastAsia="en-US"/>
              </w:rPr>
              <w:t xml:space="preserve">Zpomalil růst exportu do některých </w:t>
            </w:r>
            <w:proofErr w:type="spellStart"/>
            <w:r>
              <w:rPr>
                <w:lang w:eastAsia="en-US"/>
              </w:rPr>
              <w:t>mimounijních</w:t>
            </w:r>
            <w:proofErr w:type="spellEnd"/>
            <w:r>
              <w:rPr>
                <w:lang w:eastAsia="en-US"/>
              </w:rPr>
              <w:t xml:space="preserve"> zemí.</w:t>
            </w:r>
          </w:p>
        </w:tc>
        <w:tc>
          <w:tcPr>
            <w:tcW w:w="252" w:type="dxa"/>
          </w:tcPr>
          <w:p w14:paraId="4FD1B0CA" w14:textId="77777777" w:rsidR="00605D96" w:rsidRDefault="00605D96" w:rsidP="008B207B">
            <w:pPr>
              <w:pStyle w:val="Textpoznpodarou"/>
              <w:jc w:val="both"/>
              <w:rPr>
                <w:spacing w:val="-4"/>
                <w:lang w:eastAsia="en-US"/>
              </w:rPr>
            </w:pPr>
          </w:p>
        </w:tc>
        <w:tc>
          <w:tcPr>
            <w:tcW w:w="7677" w:type="dxa"/>
            <w:gridSpan w:val="3"/>
          </w:tcPr>
          <w:p w14:paraId="3A781E95" w14:textId="77777777" w:rsidR="00605D96" w:rsidRDefault="00605D96" w:rsidP="008B207B">
            <w:pPr>
              <w:spacing w:after="180"/>
              <w:rPr>
                <w:spacing w:val="-4"/>
                <w:lang w:eastAsia="en-US"/>
              </w:rPr>
            </w:pPr>
            <w:r>
              <w:rPr>
                <w:spacing w:val="-4"/>
                <w:lang w:eastAsia="en-US"/>
              </w:rPr>
              <w:t xml:space="preserve">V loňském roce vzrostla hodnota exportu zboží do EU (+77,7 mld. korun, 2,1 %) i mimo Unii (+48,3 mld., 4,7 %). U </w:t>
            </w:r>
            <w:proofErr w:type="spellStart"/>
            <w:r>
              <w:rPr>
                <w:spacing w:val="-4"/>
                <w:lang w:eastAsia="en-US"/>
              </w:rPr>
              <w:t>mimounijního</w:t>
            </w:r>
            <w:proofErr w:type="spellEnd"/>
            <w:r>
              <w:rPr>
                <w:spacing w:val="-4"/>
                <w:lang w:eastAsia="en-US"/>
              </w:rPr>
              <w:t xml:space="preserve"> vývozu bylo ale patrné výrazné zpomalení přírůstku oproti předchozímu roku. Hlavní podíl na tomto zmírnění měl loni vývoj exportu do Spojených států amerických, Velké Británie a Singapuru. Na mohutná navýšení z roku 2024 zde totiž loni vývoz navázal stagnací</w:t>
            </w:r>
            <w:r>
              <w:rPr>
                <w:rStyle w:val="Znakapoznpodarou"/>
                <w:spacing w:val="-4"/>
                <w:lang w:eastAsia="en-US"/>
              </w:rPr>
              <w:footnoteReference w:id="73"/>
            </w:r>
            <w:r>
              <w:rPr>
                <w:spacing w:val="-4"/>
                <w:lang w:eastAsia="en-US"/>
              </w:rPr>
              <w:t xml:space="preserve">. Nejvíce se loni zvýšil export do Německa </w:t>
            </w:r>
            <w:r>
              <w:rPr>
                <w:spacing w:val="-4"/>
                <w:lang w:eastAsia="en-US"/>
              </w:rPr>
              <w:br/>
              <w:t xml:space="preserve">(+34,8 mld. korun, 2,5 %), na Slovensko (+13,6 mld., 3,2 %) a do Francie (+13,4 mld., </w:t>
            </w:r>
            <w:r>
              <w:rPr>
                <w:spacing w:val="-4"/>
                <w:lang w:eastAsia="en-US"/>
              </w:rPr>
              <w:br/>
              <w:t xml:space="preserve">6,0 %). Významné přírůstky byly zachyceny také u exportu do Turecka (+7,7 mld., 10,0 %), na Ukrajinu (+7,6 mld. korun, 16,9 %), do Dánska (+7,0 mld., 18,8 %), Rakouska (+6,9 mld., 3,9 %), Švédska (+6,2 mld., 9,0 %), Belgie (+6,3 mld., 6,1 %) a Švýcarska (+5,6 mld., </w:t>
            </w:r>
            <w:r>
              <w:rPr>
                <w:spacing w:val="-4"/>
                <w:lang w:eastAsia="en-US"/>
              </w:rPr>
              <w:br/>
            </w:r>
            <w:r>
              <w:rPr>
                <w:spacing w:val="-4"/>
                <w:lang w:eastAsia="en-US"/>
              </w:rPr>
              <w:lastRenderedPageBreak/>
              <w:t xml:space="preserve">7,2 %). K výraznému procentnímu navýšení exportu loni došlo také u Filipín </w:t>
            </w:r>
            <w:r>
              <w:rPr>
                <w:spacing w:val="-4"/>
                <w:lang w:eastAsia="en-US"/>
              </w:rPr>
              <w:br/>
              <w:t>(+1,1 mld. korun, 73,4 %) a Jižní Koreje (+4,8 mld., 38,0 %). Zaznamenané poklesy byly loni vesměs mírné a nejvýrazněji se loni snížil export do Nizozemska (−4,8 mld. korun, −3,2 %), Maďarska (−3,6 mld., −2,5 %) a Ruska (−3,4 mld., −23,3 %). V samotném 4. čtvrtletí meziročně stagnoval export do EU (+2,6 mld. korun, 0,3 %) i mimo Unii (−1,0 mld., −0,4 %). Příznivý vývoj vývozu do Francie, na Slovensko, do Švýcarska nebo Švédska (viz Tabulka č. 2) byl totiž kompenzován poklesy exportu do Polska, Spojených států amerických, Německa či Velké Británie.</w:t>
            </w:r>
          </w:p>
        </w:tc>
      </w:tr>
      <w:tr w:rsidR="00605D96" w14:paraId="5225B47A" w14:textId="77777777" w:rsidTr="008B207B">
        <w:trPr>
          <w:trHeight w:val="170"/>
        </w:trPr>
        <w:tc>
          <w:tcPr>
            <w:tcW w:w="4811" w:type="dxa"/>
            <w:gridSpan w:val="3"/>
            <w:hideMark/>
          </w:tcPr>
          <w:p w14:paraId="283F6137" w14:textId="77777777" w:rsidR="00605D96" w:rsidRDefault="00605D96" w:rsidP="008B207B">
            <w:pPr>
              <w:spacing w:after="0"/>
              <w:rPr>
                <w:rFonts w:cs="Arial"/>
                <w:b/>
                <w:bCs/>
                <w:color w:val="000000"/>
                <w:sz w:val="18"/>
                <w:szCs w:val="18"/>
                <w:lang w:eastAsia="en-US"/>
              </w:rPr>
            </w:pPr>
            <w:r>
              <w:rPr>
                <w:rFonts w:cs="Arial"/>
                <w:b/>
                <w:bCs/>
                <w:color w:val="000000"/>
                <w:sz w:val="18"/>
                <w:szCs w:val="18"/>
                <w:lang w:eastAsia="en-US"/>
              </w:rPr>
              <w:lastRenderedPageBreak/>
              <w:t xml:space="preserve">Tabulka č. 1 Oddíly klasifikace CPA s největším </w:t>
            </w:r>
          </w:p>
          <w:p w14:paraId="22814948" w14:textId="77777777" w:rsidR="00605D96" w:rsidRDefault="00605D96" w:rsidP="008B207B">
            <w:pPr>
              <w:spacing w:after="0"/>
              <w:jc w:val="left"/>
              <w:rPr>
                <w:spacing w:val="-4"/>
                <w:lang w:eastAsia="en-US"/>
              </w:rPr>
            </w:pPr>
            <w:r>
              <w:rPr>
                <w:rFonts w:cs="Arial"/>
                <w:b/>
                <w:bCs/>
                <w:color w:val="000000"/>
                <w:sz w:val="18"/>
                <w:szCs w:val="18"/>
                <w:lang w:eastAsia="en-US"/>
              </w:rPr>
              <w:t xml:space="preserve">vlivem na vývoj vývozu zboží ve 4. čtvrtletí 2025 </w:t>
            </w:r>
            <w:r>
              <w:rPr>
                <w:rFonts w:cs="Arial"/>
                <w:bCs/>
                <w:color w:val="000000"/>
                <w:sz w:val="18"/>
                <w:szCs w:val="18"/>
                <w:lang w:eastAsia="en-US"/>
              </w:rPr>
              <w:t>(meziročně)</w:t>
            </w:r>
          </w:p>
        </w:tc>
        <w:tc>
          <w:tcPr>
            <w:tcW w:w="57" w:type="dxa"/>
          </w:tcPr>
          <w:p w14:paraId="54E521E0" w14:textId="77777777" w:rsidR="00605D96" w:rsidRDefault="00605D96" w:rsidP="008B207B">
            <w:pPr>
              <w:spacing w:after="0"/>
              <w:rPr>
                <w:spacing w:val="-4"/>
                <w:lang w:eastAsia="en-US"/>
              </w:rPr>
            </w:pPr>
          </w:p>
        </w:tc>
        <w:tc>
          <w:tcPr>
            <w:tcW w:w="4809" w:type="dxa"/>
            <w:hideMark/>
          </w:tcPr>
          <w:p w14:paraId="75517C97" w14:textId="77777777" w:rsidR="00605D96" w:rsidRDefault="00605D96" w:rsidP="008B207B">
            <w:pPr>
              <w:spacing w:after="0"/>
              <w:jc w:val="left"/>
              <w:rPr>
                <w:spacing w:val="-4"/>
                <w:sz w:val="18"/>
                <w:szCs w:val="18"/>
                <w:lang w:eastAsia="en-US"/>
              </w:rPr>
            </w:pPr>
            <w:r>
              <w:rPr>
                <w:rFonts w:cs="Arial"/>
                <w:b/>
                <w:bCs/>
                <w:color w:val="000000"/>
                <w:sz w:val="18"/>
                <w:szCs w:val="18"/>
                <w:lang w:eastAsia="en-US"/>
              </w:rPr>
              <w:t xml:space="preserve">Tabulka č. 2 Země s největším vlivem na vývoj vývozu zboží ve 4. čtvrtletí 2025 </w:t>
            </w:r>
            <w:r>
              <w:rPr>
                <w:rFonts w:cs="Arial"/>
                <w:bCs/>
                <w:color w:val="000000"/>
                <w:sz w:val="18"/>
                <w:szCs w:val="18"/>
                <w:lang w:eastAsia="en-US"/>
              </w:rPr>
              <w:t>(meziročně)</w:t>
            </w:r>
          </w:p>
        </w:tc>
      </w:tr>
      <w:tr w:rsidR="00605D96" w14:paraId="5C069F6E" w14:textId="77777777" w:rsidTr="008B207B">
        <w:trPr>
          <w:trHeight w:val="170"/>
        </w:trPr>
        <w:tc>
          <w:tcPr>
            <w:tcW w:w="4811" w:type="dxa"/>
            <w:gridSpan w:val="3"/>
            <w:hideMark/>
          </w:tcPr>
          <w:tbl>
            <w:tblPr>
              <w:tblW w:w="4817" w:type="dxa"/>
              <w:tblLayout w:type="fixed"/>
              <w:tblCellMar>
                <w:left w:w="70" w:type="dxa"/>
                <w:right w:w="70" w:type="dxa"/>
              </w:tblCellMar>
              <w:tblLook w:val="04A0" w:firstRow="1" w:lastRow="0" w:firstColumn="1" w:lastColumn="0" w:noHBand="0" w:noVBand="1"/>
            </w:tblPr>
            <w:tblGrid>
              <w:gridCol w:w="3417"/>
              <w:gridCol w:w="700"/>
              <w:gridCol w:w="700"/>
            </w:tblGrid>
            <w:tr w:rsidR="00605D96" w:rsidRPr="00134180" w14:paraId="01E38AE2" w14:textId="77777777" w:rsidTr="008B207B">
              <w:trPr>
                <w:trHeight w:val="255"/>
              </w:trPr>
              <w:tc>
                <w:tcPr>
                  <w:tcW w:w="3417" w:type="dxa"/>
                  <w:tcBorders>
                    <w:top w:val="nil"/>
                    <w:left w:val="nil"/>
                    <w:bottom w:val="nil"/>
                    <w:right w:val="nil"/>
                  </w:tcBorders>
                  <w:noWrap/>
                  <w:vAlign w:val="bottom"/>
                  <w:hideMark/>
                </w:tcPr>
                <w:p w14:paraId="0B897D79" w14:textId="77777777" w:rsidR="00605D96" w:rsidRPr="00134180" w:rsidRDefault="00605D96" w:rsidP="008B207B">
                  <w:pPr>
                    <w:spacing w:after="0" w:line="240" w:lineRule="auto"/>
                    <w:jc w:val="left"/>
                    <w:rPr>
                      <w:rFonts w:ascii="Times New Roman" w:hAnsi="Times New Roman"/>
                      <w:sz w:val="24"/>
                      <w:szCs w:val="20"/>
                    </w:rPr>
                  </w:pPr>
                </w:p>
              </w:tc>
              <w:tc>
                <w:tcPr>
                  <w:tcW w:w="700" w:type="dxa"/>
                  <w:tcBorders>
                    <w:top w:val="nil"/>
                    <w:left w:val="nil"/>
                    <w:bottom w:val="nil"/>
                    <w:right w:val="nil"/>
                  </w:tcBorders>
                  <w:noWrap/>
                  <w:vAlign w:val="bottom"/>
                  <w:hideMark/>
                </w:tcPr>
                <w:p w14:paraId="349F3392" w14:textId="77777777" w:rsidR="00605D96" w:rsidRPr="00134180" w:rsidRDefault="00605D96" w:rsidP="008B207B">
                  <w:pPr>
                    <w:spacing w:after="0" w:line="240" w:lineRule="auto"/>
                    <w:jc w:val="right"/>
                    <w:rPr>
                      <w:rFonts w:cs="Arial"/>
                      <w:color w:val="000000"/>
                      <w:sz w:val="16"/>
                      <w:szCs w:val="16"/>
                    </w:rPr>
                  </w:pPr>
                  <w:r w:rsidRPr="00134180">
                    <w:rPr>
                      <w:rFonts w:cs="Arial"/>
                      <w:color w:val="000000"/>
                      <w:sz w:val="16"/>
                      <w:szCs w:val="16"/>
                    </w:rPr>
                    <w:t>mld. Kč</w:t>
                  </w:r>
                </w:p>
              </w:tc>
              <w:tc>
                <w:tcPr>
                  <w:tcW w:w="700" w:type="dxa"/>
                  <w:tcBorders>
                    <w:top w:val="nil"/>
                    <w:left w:val="nil"/>
                    <w:bottom w:val="nil"/>
                    <w:right w:val="nil"/>
                  </w:tcBorders>
                  <w:noWrap/>
                  <w:vAlign w:val="bottom"/>
                  <w:hideMark/>
                </w:tcPr>
                <w:p w14:paraId="5A8A2CBF" w14:textId="77777777" w:rsidR="00605D96" w:rsidRPr="00134180" w:rsidRDefault="00605D96" w:rsidP="008B207B">
                  <w:pPr>
                    <w:spacing w:after="0" w:line="240" w:lineRule="auto"/>
                    <w:jc w:val="right"/>
                    <w:rPr>
                      <w:rFonts w:cs="Arial"/>
                      <w:color w:val="000000"/>
                      <w:sz w:val="16"/>
                      <w:szCs w:val="16"/>
                    </w:rPr>
                  </w:pPr>
                  <w:r w:rsidRPr="00134180">
                    <w:rPr>
                      <w:rFonts w:cs="Arial"/>
                      <w:color w:val="000000"/>
                      <w:sz w:val="16"/>
                      <w:szCs w:val="16"/>
                    </w:rPr>
                    <w:t>%</w:t>
                  </w:r>
                </w:p>
              </w:tc>
            </w:tr>
            <w:tr w:rsidR="00605D96" w:rsidRPr="00134180" w14:paraId="6276F2FC" w14:textId="77777777" w:rsidTr="008B207B">
              <w:trPr>
                <w:trHeight w:val="255"/>
              </w:trPr>
              <w:tc>
                <w:tcPr>
                  <w:tcW w:w="3417" w:type="dxa"/>
                  <w:tcBorders>
                    <w:top w:val="single" w:sz="4" w:space="0" w:color="auto"/>
                    <w:left w:val="nil"/>
                    <w:bottom w:val="nil"/>
                    <w:right w:val="nil"/>
                  </w:tcBorders>
                  <w:vAlign w:val="bottom"/>
                  <w:hideMark/>
                </w:tcPr>
                <w:p w14:paraId="1153BE5F" w14:textId="77777777" w:rsidR="00605D96" w:rsidRPr="00134180" w:rsidRDefault="00605D96" w:rsidP="008B207B">
                  <w:pPr>
                    <w:spacing w:after="0" w:line="240" w:lineRule="auto"/>
                    <w:jc w:val="left"/>
                    <w:rPr>
                      <w:rFonts w:cs="Arial"/>
                      <w:color w:val="000000"/>
                      <w:sz w:val="16"/>
                      <w:szCs w:val="16"/>
                    </w:rPr>
                  </w:pPr>
                  <w:r w:rsidRPr="00134180">
                    <w:rPr>
                      <w:rFonts w:cs="Arial"/>
                      <w:color w:val="000000"/>
                      <w:sz w:val="16"/>
                      <w:szCs w:val="16"/>
                    </w:rPr>
                    <w:t>Stroje a zařízení j. n.</w:t>
                  </w:r>
                </w:p>
              </w:tc>
              <w:tc>
                <w:tcPr>
                  <w:tcW w:w="700" w:type="dxa"/>
                  <w:tcBorders>
                    <w:top w:val="single" w:sz="4" w:space="0" w:color="auto"/>
                    <w:left w:val="nil"/>
                    <w:bottom w:val="nil"/>
                    <w:right w:val="nil"/>
                  </w:tcBorders>
                  <w:noWrap/>
                  <w:vAlign w:val="bottom"/>
                  <w:hideMark/>
                </w:tcPr>
                <w:p w14:paraId="54BAF3D1" w14:textId="77777777" w:rsidR="00605D96" w:rsidRPr="00134180" w:rsidRDefault="00605D96" w:rsidP="008B207B">
                  <w:pPr>
                    <w:spacing w:after="0" w:line="240" w:lineRule="auto"/>
                    <w:jc w:val="right"/>
                    <w:rPr>
                      <w:rFonts w:cs="Arial"/>
                      <w:color w:val="000000"/>
                      <w:sz w:val="16"/>
                      <w:szCs w:val="16"/>
                    </w:rPr>
                  </w:pPr>
                  <w:r w:rsidRPr="00134180">
                    <w:rPr>
                      <w:rFonts w:cs="Arial"/>
                      <w:color w:val="000000"/>
                      <w:sz w:val="16"/>
                      <w:szCs w:val="16"/>
                    </w:rPr>
                    <w:t>+6,2</w:t>
                  </w:r>
                </w:p>
              </w:tc>
              <w:tc>
                <w:tcPr>
                  <w:tcW w:w="700" w:type="dxa"/>
                  <w:tcBorders>
                    <w:top w:val="single" w:sz="4" w:space="0" w:color="auto"/>
                    <w:left w:val="nil"/>
                    <w:bottom w:val="nil"/>
                    <w:right w:val="nil"/>
                  </w:tcBorders>
                  <w:noWrap/>
                  <w:vAlign w:val="bottom"/>
                  <w:hideMark/>
                </w:tcPr>
                <w:p w14:paraId="23287756" w14:textId="77777777" w:rsidR="00605D96" w:rsidRPr="00134180" w:rsidRDefault="00605D96" w:rsidP="008B207B">
                  <w:pPr>
                    <w:spacing w:after="0" w:line="240" w:lineRule="auto"/>
                    <w:jc w:val="right"/>
                    <w:rPr>
                      <w:rFonts w:cs="Arial"/>
                      <w:color w:val="000000"/>
                      <w:sz w:val="16"/>
                      <w:szCs w:val="16"/>
                    </w:rPr>
                  </w:pPr>
                  <w:r w:rsidRPr="00134180">
                    <w:rPr>
                      <w:rFonts w:cs="Arial"/>
                      <w:color w:val="000000"/>
                      <w:sz w:val="16"/>
                      <w:szCs w:val="16"/>
                    </w:rPr>
                    <w:t>+4,9</w:t>
                  </w:r>
                </w:p>
              </w:tc>
            </w:tr>
            <w:tr w:rsidR="00605D96" w:rsidRPr="00134180" w14:paraId="23AC15C1" w14:textId="77777777" w:rsidTr="008B207B">
              <w:trPr>
                <w:trHeight w:val="255"/>
              </w:trPr>
              <w:tc>
                <w:tcPr>
                  <w:tcW w:w="3417" w:type="dxa"/>
                  <w:tcBorders>
                    <w:top w:val="nil"/>
                    <w:left w:val="nil"/>
                    <w:bottom w:val="nil"/>
                    <w:right w:val="nil"/>
                  </w:tcBorders>
                  <w:vAlign w:val="bottom"/>
                  <w:hideMark/>
                </w:tcPr>
                <w:p w14:paraId="08549819" w14:textId="77777777" w:rsidR="00605D96" w:rsidRPr="00134180" w:rsidRDefault="00605D96" w:rsidP="008B207B">
                  <w:pPr>
                    <w:spacing w:after="0" w:line="240" w:lineRule="auto"/>
                    <w:jc w:val="left"/>
                    <w:rPr>
                      <w:rFonts w:cs="Arial"/>
                      <w:color w:val="000000"/>
                      <w:sz w:val="16"/>
                      <w:szCs w:val="16"/>
                    </w:rPr>
                  </w:pPr>
                  <w:r w:rsidRPr="00134180">
                    <w:rPr>
                      <w:rFonts w:cs="Arial"/>
                      <w:color w:val="000000"/>
                      <w:sz w:val="16"/>
                      <w:szCs w:val="16"/>
                    </w:rPr>
                    <w:t>Motorová vozidla (kromě motocyklů) a díly</w:t>
                  </w:r>
                </w:p>
              </w:tc>
              <w:tc>
                <w:tcPr>
                  <w:tcW w:w="700" w:type="dxa"/>
                  <w:tcBorders>
                    <w:top w:val="nil"/>
                    <w:left w:val="nil"/>
                    <w:bottom w:val="nil"/>
                    <w:right w:val="nil"/>
                  </w:tcBorders>
                  <w:noWrap/>
                  <w:vAlign w:val="bottom"/>
                  <w:hideMark/>
                </w:tcPr>
                <w:p w14:paraId="305BB5CC" w14:textId="77777777" w:rsidR="00605D96" w:rsidRPr="00134180" w:rsidRDefault="00605D96" w:rsidP="008B207B">
                  <w:pPr>
                    <w:spacing w:after="0" w:line="240" w:lineRule="auto"/>
                    <w:jc w:val="right"/>
                    <w:rPr>
                      <w:rFonts w:cs="Arial"/>
                      <w:color w:val="000000"/>
                      <w:sz w:val="16"/>
                      <w:szCs w:val="16"/>
                    </w:rPr>
                  </w:pPr>
                  <w:r w:rsidRPr="00134180">
                    <w:rPr>
                      <w:rFonts w:cs="Arial"/>
                      <w:color w:val="000000"/>
                      <w:sz w:val="16"/>
                      <w:szCs w:val="16"/>
                    </w:rPr>
                    <w:t>+5,1</w:t>
                  </w:r>
                </w:p>
              </w:tc>
              <w:tc>
                <w:tcPr>
                  <w:tcW w:w="700" w:type="dxa"/>
                  <w:tcBorders>
                    <w:top w:val="nil"/>
                    <w:left w:val="nil"/>
                    <w:bottom w:val="nil"/>
                    <w:right w:val="nil"/>
                  </w:tcBorders>
                  <w:noWrap/>
                  <w:vAlign w:val="bottom"/>
                  <w:hideMark/>
                </w:tcPr>
                <w:p w14:paraId="495A2E39" w14:textId="77777777" w:rsidR="00605D96" w:rsidRPr="00134180" w:rsidRDefault="00605D96" w:rsidP="008B207B">
                  <w:pPr>
                    <w:spacing w:after="0" w:line="240" w:lineRule="auto"/>
                    <w:jc w:val="right"/>
                    <w:rPr>
                      <w:rFonts w:cs="Arial"/>
                      <w:color w:val="000000"/>
                      <w:sz w:val="16"/>
                      <w:szCs w:val="16"/>
                    </w:rPr>
                  </w:pPr>
                  <w:r w:rsidRPr="00134180">
                    <w:rPr>
                      <w:rFonts w:cs="Arial"/>
                      <w:color w:val="000000"/>
                      <w:sz w:val="16"/>
                      <w:szCs w:val="16"/>
                    </w:rPr>
                    <w:t>+1,6</w:t>
                  </w:r>
                </w:p>
              </w:tc>
            </w:tr>
            <w:tr w:rsidR="00605D96" w:rsidRPr="00134180" w14:paraId="0DCE7762" w14:textId="77777777" w:rsidTr="008B207B">
              <w:trPr>
                <w:trHeight w:val="255"/>
              </w:trPr>
              <w:tc>
                <w:tcPr>
                  <w:tcW w:w="3417" w:type="dxa"/>
                  <w:tcBorders>
                    <w:top w:val="nil"/>
                    <w:left w:val="nil"/>
                    <w:bottom w:val="nil"/>
                    <w:right w:val="nil"/>
                  </w:tcBorders>
                  <w:vAlign w:val="bottom"/>
                  <w:hideMark/>
                </w:tcPr>
                <w:p w14:paraId="1BCB46D0" w14:textId="77777777" w:rsidR="00605D96" w:rsidRPr="00134180" w:rsidRDefault="00605D96" w:rsidP="008B207B">
                  <w:pPr>
                    <w:spacing w:after="0" w:line="240" w:lineRule="auto"/>
                    <w:jc w:val="left"/>
                    <w:rPr>
                      <w:rFonts w:cs="Arial"/>
                      <w:color w:val="000000"/>
                      <w:sz w:val="16"/>
                      <w:szCs w:val="16"/>
                    </w:rPr>
                  </w:pPr>
                  <w:r w:rsidRPr="00134180">
                    <w:rPr>
                      <w:rFonts w:cs="Arial"/>
                      <w:color w:val="000000"/>
                      <w:sz w:val="16"/>
                      <w:szCs w:val="16"/>
                    </w:rPr>
                    <w:t>Ropa a zemní plyn</w:t>
                  </w:r>
                </w:p>
              </w:tc>
              <w:tc>
                <w:tcPr>
                  <w:tcW w:w="700" w:type="dxa"/>
                  <w:tcBorders>
                    <w:top w:val="nil"/>
                    <w:left w:val="nil"/>
                    <w:bottom w:val="nil"/>
                    <w:right w:val="nil"/>
                  </w:tcBorders>
                  <w:noWrap/>
                  <w:vAlign w:val="bottom"/>
                  <w:hideMark/>
                </w:tcPr>
                <w:p w14:paraId="606847CB" w14:textId="77777777" w:rsidR="00605D96" w:rsidRPr="00134180" w:rsidRDefault="00605D96" w:rsidP="008B207B">
                  <w:pPr>
                    <w:spacing w:after="0" w:line="240" w:lineRule="auto"/>
                    <w:jc w:val="right"/>
                    <w:rPr>
                      <w:rFonts w:cs="Arial"/>
                      <w:color w:val="000000"/>
                      <w:sz w:val="16"/>
                      <w:szCs w:val="16"/>
                    </w:rPr>
                  </w:pPr>
                  <w:r w:rsidRPr="00134180">
                    <w:rPr>
                      <w:rFonts w:cs="Arial"/>
                      <w:color w:val="000000"/>
                      <w:sz w:val="16"/>
                      <w:szCs w:val="16"/>
                    </w:rPr>
                    <w:t>+2,5</w:t>
                  </w:r>
                </w:p>
              </w:tc>
              <w:tc>
                <w:tcPr>
                  <w:tcW w:w="700" w:type="dxa"/>
                  <w:tcBorders>
                    <w:top w:val="nil"/>
                    <w:left w:val="nil"/>
                    <w:bottom w:val="nil"/>
                    <w:right w:val="nil"/>
                  </w:tcBorders>
                  <w:noWrap/>
                  <w:vAlign w:val="bottom"/>
                  <w:hideMark/>
                </w:tcPr>
                <w:p w14:paraId="1B97135C" w14:textId="77777777" w:rsidR="00605D96" w:rsidRPr="00134180" w:rsidRDefault="00605D96" w:rsidP="008B207B">
                  <w:pPr>
                    <w:spacing w:after="0" w:line="240" w:lineRule="auto"/>
                    <w:jc w:val="right"/>
                    <w:rPr>
                      <w:rFonts w:cs="Arial"/>
                      <w:color w:val="000000"/>
                      <w:sz w:val="16"/>
                      <w:szCs w:val="16"/>
                    </w:rPr>
                  </w:pPr>
                  <w:r w:rsidRPr="00134180">
                    <w:rPr>
                      <w:rFonts w:cs="Arial"/>
                      <w:color w:val="000000"/>
                      <w:sz w:val="16"/>
                      <w:szCs w:val="16"/>
                    </w:rPr>
                    <w:t>+943,7</w:t>
                  </w:r>
                </w:p>
              </w:tc>
            </w:tr>
            <w:tr w:rsidR="00605D96" w:rsidRPr="00134180" w14:paraId="2B202369" w14:textId="77777777" w:rsidTr="008B207B">
              <w:trPr>
                <w:trHeight w:val="255"/>
              </w:trPr>
              <w:tc>
                <w:tcPr>
                  <w:tcW w:w="3417" w:type="dxa"/>
                  <w:tcBorders>
                    <w:top w:val="nil"/>
                    <w:left w:val="nil"/>
                    <w:bottom w:val="nil"/>
                    <w:right w:val="nil"/>
                  </w:tcBorders>
                  <w:vAlign w:val="bottom"/>
                  <w:hideMark/>
                </w:tcPr>
                <w:p w14:paraId="44C69E9A" w14:textId="77777777" w:rsidR="00605D96" w:rsidRPr="00134180" w:rsidRDefault="00605D96" w:rsidP="008B207B">
                  <w:pPr>
                    <w:spacing w:after="0" w:line="240" w:lineRule="auto"/>
                    <w:jc w:val="left"/>
                    <w:rPr>
                      <w:rFonts w:cs="Arial"/>
                      <w:color w:val="000000"/>
                      <w:sz w:val="16"/>
                      <w:szCs w:val="16"/>
                    </w:rPr>
                  </w:pPr>
                  <w:r w:rsidRPr="00134180">
                    <w:rPr>
                      <w:rFonts w:cs="Arial"/>
                      <w:color w:val="000000"/>
                      <w:sz w:val="16"/>
                      <w:szCs w:val="16"/>
                    </w:rPr>
                    <w:t>Základní farmaceutické výrobky a přípravky</w:t>
                  </w:r>
                </w:p>
              </w:tc>
              <w:tc>
                <w:tcPr>
                  <w:tcW w:w="700" w:type="dxa"/>
                  <w:tcBorders>
                    <w:top w:val="nil"/>
                    <w:left w:val="nil"/>
                    <w:bottom w:val="nil"/>
                    <w:right w:val="nil"/>
                  </w:tcBorders>
                  <w:noWrap/>
                  <w:vAlign w:val="bottom"/>
                  <w:hideMark/>
                </w:tcPr>
                <w:p w14:paraId="12BF5609" w14:textId="77777777" w:rsidR="00605D96" w:rsidRPr="00134180" w:rsidRDefault="00605D96" w:rsidP="008B207B">
                  <w:pPr>
                    <w:spacing w:after="0" w:line="240" w:lineRule="auto"/>
                    <w:jc w:val="right"/>
                    <w:rPr>
                      <w:rFonts w:cs="Arial"/>
                      <w:color w:val="000000"/>
                      <w:sz w:val="16"/>
                      <w:szCs w:val="16"/>
                    </w:rPr>
                  </w:pPr>
                  <w:r w:rsidRPr="00134180">
                    <w:rPr>
                      <w:rFonts w:cs="Arial"/>
                      <w:color w:val="000000"/>
                      <w:sz w:val="16"/>
                      <w:szCs w:val="16"/>
                    </w:rPr>
                    <w:t>+1,8</w:t>
                  </w:r>
                </w:p>
              </w:tc>
              <w:tc>
                <w:tcPr>
                  <w:tcW w:w="700" w:type="dxa"/>
                  <w:tcBorders>
                    <w:top w:val="nil"/>
                    <w:left w:val="nil"/>
                    <w:bottom w:val="nil"/>
                    <w:right w:val="nil"/>
                  </w:tcBorders>
                  <w:noWrap/>
                  <w:vAlign w:val="bottom"/>
                  <w:hideMark/>
                </w:tcPr>
                <w:p w14:paraId="515453D0" w14:textId="77777777" w:rsidR="00605D96" w:rsidRPr="00134180" w:rsidRDefault="00605D96" w:rsidP="008B207B">
                  <w:pPr>
                    <w:spacing w:after="0" w:line="240" w:lineRule="auto"/>
                    <w:jc w:val="right"/>
                    <w:rPr>
                      <w:rFonts w:cs="Arial"/>
                      <w:color w:val="000000"/>
                      <w:sz w:val="16"/>
                      <w:szCs w:val="16"/>
                    </w:rPr>
                  </w:pPr>
                  <w:r w:rsidRPr="00134180">
                    <w:rPr>
                      <w:rFonts w:cs="Arial"/>
                      <w:color w:val="000000"/>
                      <w:sz w:val="16"/>
                      <w:szCs w:val="16"/>
                    </w:rPr>
                    <w:t>+10,4</w:t>
                  </w:r>
                </w:p>
              </w:tc>
            </w:tr>
            <w:tr w:rsidR="00605D96" w:rsidRPr="00134180" w14:paraId="14710B83" w14:textId="77777777" w:rsidTr="008B207B">
              <w:trPr>
                <w:trHeight w:val="255"/>
              </w:trPr>
              <w:tc>
                <w:tcPr>
                  <w:tcW w:w="3417" w:type="dxa"/>
                  <w:tcBorders>
                    <w:top w:val="nil"/>
                    <w:left w:val="nil"/>
                    <w:bottom w:val="nil"/>
                    <w:right w:val="nil"/>
                  </w:tcBorders>
                  <w:vAlign w:val="bottom"/>
                  <w:hideMark/>
                </w:tcPr>
                <w:p w14:paraId="0AFB4C9D" w14:textId="77777777" w:rsidR="00605D96" w:rsidRPr="00134180" w:rsidRDefault="00605D96" w:rsidP="008B207B">
                  <w:pPr>
                    <w:spacing w:after="0" w:line="240" w:lineRule="auto"/>
                    <w:jc w:val="left"/>
                    <w:rPr>
                      <w:rFonts w:cs="Arial"/>
                      <w:color w:val="000000"/>
                      <w:sz w:val="16"/>
                      <w:szCs w:val="16"/>
                    </w:rPr>
                  </w:pPr>
                  <w:r w:rsidRPr="00134180">
                    <w:rPr>
                      <w:rFonts w:cs="Arial"/>
                      <w:color w:val="000000"/>
                      <w:sz w:val="16"/>
                      <w:szCs w:val="16"/>
                    </w:rPr>
                    <w:t>Ostatní dopravní prostředky a zařízení</w:t>
                  </w:r>
                </w:p>
              </w:tc>
              <w:tc>
                <w:tcPr>
                  <w:tcW w:w="700" w:type="dxa"/>
                  <w:tcBorders>
                    <w:top w:val="nil"/>
                    <w:left w:val="nil"/>
                    <w:bottom w:val="nil"/>
                    <w:right w:val="nil"/>
                  </w:tcBorders>
                  <w:noWrap/>
                  <w:vAlign w:val="bottom"/>
                  <w:hideMark/>
                </w:tcPr>
                <w:p w14:paraId="65B6D1DD" w14:textId="77777777" w:rsidR="00605D96" w:rsidRPr="00134180" w:rsidRDefault="00605D96" w:rsidP="008B207B">
                  <w:pPr>
                    <w:spacing w:after="0" w:line="240" w:lineRule="auto"/>
                    <w:jc w:val="right"/>
                    <w:rPr>
                      <w:rFonts w:cs="Arial"/>
                      <w:color w:val="000000"/>
                      <w:sz w:val="16"/>
                      <w:szCs w:val="16"/>
                    </w:rPr>
                  </w:pPr>
                  <w:r w:rsidRPr="00134180">
                    <w:rPr>
                      <w:rFonts w:cs="Arial"/>
                      <w:color w:val="000000"/>
                      <w:sz w:val="16"/>
                      <w:szCs w:val="16"/>
                    </w:rPr>
                    <w:t>+1,4</w:t>
                  </w:r>
                </w:p>
              </w:tc>
              <w:tc>
                <w:tcPr>
                  <w:tcW w:w="700" w:type="dxa"/>
                  <w:tcBorders>
                    <w:top w:val="nil"/>
                    <w:left w:val="nil"/>
                    <w:bottom w:val="nil"/>
                    <w:right w:val="nil"/>
                  </w:tcBorders>
                  <w:noWrap/>
                  <w:vAlign w:val="bottom"/>
                  <w:hideMark/>
                </w:tcPr>
                <w:p w14:paraId="319DF948" w14:textId="77777777" w:rsidR="00605D96" w:rsidRPr="00134180" w:rsidRDefault="00605D96" w:rsidP="008B207B">
                  <w:pPr>
                    <w:spacing w:after="0" w:line="240" w:lineRule="auto"/>
                    <w:jc w:val="right"/>
                    <w:rPr>
                      <w:rFonts w:cs="Arial"/>
                      <w:color w:val="000000"/>
                      <w:sz w:val="16"/>
                      <w:szCs w:val="16"/>
                    </w:rPr>
                  </w:pPr>
                  <w:r w:rsidRPr="00134180">
                    <w:rPr>
                      <w:rFonts w:cs="Arial"/>
                      <w:color w:val="000000"/>
                      <w:sz w:val="16"/>
                      <w:szCs w:val="16"/>
                    </w:rPr>
                    <w:t>+6,4</w:t>
                  </w:r>
                </w:p>
              </w:tc>
            </w:tr>
            <w:tr w:rsidR="00605D96" w:rsidRPr="00134180" w14:paraId="3000E177" w14:textId="77777777" w:rsidTr="008B207B">
              <w:trPr>
                <w:trHeight w:val="255"/>
              </w:trPr>
              <w:tc>
                <w:tcPr>
                  <w:tcW w:w="3417" w:type="dxa"/>
                  <w:tcBorders>
                    <w:top w:val="nil"/>
                    <w:left w:val="nil"/>
                    <w:bottom w:val="nil"/>
                    <w:right w:val="nil"/>
                  </w:tcBorders>
                  <w:vAlign w:val="bottom"/>
                  <w:hideMark/>
                </w:tcPr>
                <w:p w14:paraId="4FD35796" w14:textId="77777777" w:rsidR="00605D96" w:rsidRPr="00134180" w:rsidRDefault="00605D96" w:rsidP="008B207B">
                  <w:pPr>
                    <w:spacing w:after="0" w:line="240" w:lineRule="auto"/>
                    <w:jc w:val="left"/>
                    <w:rPr>
                      <w:rFonts w:cs="Arial"/>
                      <w:color w:val="000000"/>
                      <w:sz w:val="16"/>
                      <w:szCs w:val="16"/>
                    </w:rPr>
                  </w:pPr>
                  <w:r w:rsidRPr="00134180">
                    <w:rPr>
                      <w:rFonts w:cs="Arial"/>
                      <w:color w:val="000000"/>
                      <w:sz w:val="16"/>
                      <w:szCs w:val="16"/>
                    </w:rPr>
                    <w:t>Základní kovy</w:t>
                  </w:r>
                </w:p>
              </w:tc>
              <w:tc>
                <w:tcPr>
                  <w:tcW w:w="700" w:type="dxa"/>
                  <w:tcBorders>
                    <w:top w:val="nil"/>
                    <w:left w:val="nil"/>
                    <w:bottom w:val="nil"/>
                    <w:right w:val="nil"/>
                  </w:tcBorders>
                  <w:noWrap/>
                  <w:vAlign w:val="bottom"/>
                  <w:hideMark/>
                </w:tcPr>
                <w:p w14:paraId="79D3FBC4" w14:textId="77777777" w:rsidR="00605D96" w:rsidRPr="00134180" w:rsidRDefault="00605D96" w:rsidP="008B207B">
                  <w:pPr>
                    <w:spacing w:after="0" w:line="240" w:lineRule="auto"/>
                    <w:jc w:val="right"/>
                    <w:rPr>
                      <w:rFonts w:cs="Arial"/>
                      <w:color w:val="000000"/>
                      <w:sz w:val="16"/>
                      <w:szCs w:val="16"/>
                    </w:rPr>
                  </w:pPr>
                  <w:r w:rsidRPr="00134180">
                    <w:rPr>
                      <w:rFonts w:cs="Arial"/>
                      <w:color w:val="000000"/>
                      <w:sz w:val="16"/>
                      <w:szCs w:val="16"/>
                    </w:rPr>
                    <w:t>+1,2</w:t>
                  </w:r>
                </w:p>
              </w:tc>
              <w:tc>
                <w:tcPr>
                  <w:tcW w:w="700" w:type="dxa"/>
                  <w:tcBorders>
                    <w:top w:val="nil"/>
                    <w:left w:val="nil"/>
                    <w:bottom w:val="nil"/>
                    <w:right w:val="nil"/>
                  </w:tcBorders>
                  <w:noWrap/>
                  <w:vAlign w:val="bottom"/>
                  <w:hideMark/>
                </w:tcPr>
                <w:p w14:paraId="546E8C15" w14:textId="77777777" w:rsidR="00605D96" w:rsidRPr="00134180" w:rsidRDefault="00605D96" w:rsidP="008B207B">
                  <w:pPr>
                    <w:spacing w:after="0" w:line="240" w:lineRule="auto"/>
                    <w:jc w:val="right"/>
                    <w:rPr>
                      <w:rFonts w:cs="Arial"/>
                      <w:color w:val="000000"/>
                      <w:sz w:val="16"/>
                      <w:szCs w:val="16"/>
                    </w:rPr>
                  </w:pPr>
                  <w:r w:rsidRPr="00134180">
                    <w:rPr>
                      <w:rFonts w:cs="Arial"/>
                      <w:color w:val="000000"/>
                      <w:sz w:val="16"/>
                      <w:szCs w:val="16"/>
                    </w:rPr>
                    <w:t>+3,6</w:t>
                  </w:r>
                </w:p>
              </w:tc>
            </w:tr>
            <w:tr w:rsidR="00605D96" w:rsidRPr="00134180" w14:paraId="26981130" w14:textId="77777777" w:rsidTr="008B207B">
              <w:trPr>
                <w:trHeight w:val="255"/>
              </w:trPr>
              <w:tc>
                <w:tcPr>
                  <w:tcW w:w="3417" w:type="dxa"/>
                  <w:tcBorders>
                    <w:top w:val="nil"/>
                    <w:left w:val="nil"/>
                    <w:bottom w:val="nil"/>
                    <w:right w:val="nil"/>
                  </w:tcBorders>
                  <w:vAlign w:val="bottom"/>
                  <w:hideMark/>
                </w:tcPr>
                <w:p w14:paraId="2CD651EC" w14:textId="77777777" w:rsidR="00605D96" w:rsidRPr="00134180" w:rsidRDefault="00605D96" w:rsidP="008B207B">
                  <w:pPr>
                    <w:spacing w:after="0" w:line="240" w:lineRule="auto"/>
                    <w:jc w:val="left"/>
                    <w:rPr>
                      <w:rFonts w:cs="Arial"/>
                      <w:color w:val="000000"/>
                      <w:sz w:val="16"/>
                      <w:szCs w:val="16"/>
                    </w:rPr>
                  </w:pPr>
                  <w:r w:rsidRPr="00134180">
                    <w:rPr>
                      <w:rFonts w:cs="Arial"/>
                      <w:color w:val="000000"/>
                      <w:sz w:val="16"/>
                      <w:szCs w:val="16"/>
                    </w:rPr>
                    <w:t>Potravinářské výrobky</w:t>
                  </w:r>
                </w:p>
              </w:tc>
              <w:tc>
                <w:tcPr>
                  <w:tcW w:w="700" w:type="dxa"/>
                  <w:tcBorders>
                    <w:top w:val="nil"/>
                    <w:left w:val="nil"/>
                    <w:bottom w:val="nil"/>
                    <w:right w:val="nil"/>
                  </w:tcBorders>
                  <w:noWrap/>
                  <w:vAlign w:val="bottom"/>
                  <w:hideMark/>
                </w:tcPr>
                <w:p w14:paraId="35118D59" w14:textId="77777777" w:rsidR="00605D96" w:rsidRPr="00134180" w:rsidRDefault="00605D96" w:rsidP="008B207B">
                  <w:pPr>
                    <w:spacing w:after="0" w:line="240" w:lineRule="auto"/>
                    <w:jc w:val="right"/>
                    <w:rPr>
                      <w:rFonts w:cs="Arial"/>
                      <w:color w:val="000000"/>
                      <w:sz w:val="16"/>
                      <w:szCs w:val="16"/>
                    </w:rPr>
                  </w:pPr>
                  <w:r w:rsidRPr="00134180">
                    <w:rPr>
                      <w:rFonts w:cs="Arial"/>
                      <w:color w:val="000000"/>
                      <w:sz w:val="16"/>
                      <w:szCs w:val="16"/>
                    </w:rPr>
                    <w:t>+1,1</w:t>
                  </w:r>
                </w:p>
              </w:tc>
              <w:tc>
                <w:tcPr>
                  <w:tcW w:w="700" w:type="dxa"/>
                  <w:tcBorders>
                    <w:top w:val="nil"/>
                    <w:left w:val="nil"/>
                    <w:bottom w:val="nil"/>
                    <w:right w:val="nil"/>
                  </w:tcBorders>
                  <w:noWrap/>
                  <w:vAlign w:val="bottom"/>
                  <w:hideMark/>
                </w:tcPr>
                <w:p w14:paraId="7D685529" w14:textId="77777777" w:rsidR="00605D96" w:rsidRPr="00134180" w:rsidRDefault="00605D96" w:rsidP="008B207B">
                  <w:pPr>
                    <w:spacing w:after="0" w:line="240" w:lineRule="auto"/>
                    <w:jc w:val="right"/>
                    <w:rPr>
                      <w:rFonts w:cs="Arial"/>
                      <w:color w:val="000000"/>
                      <w:sz w:val="16"/>
                      <w:szCs w:val="16"/>
                    </w:rPr>
                  </w:pPr>
                  <w:r w:rsidRPr="00134180">
                    <w:rPr>
                      <w:rFonts w:cs="Arial"/>
                      <w:color w:val="000000"/>
                      <w:sz w:val="16"/>
                      <w:szCs w:val="16"/>
                    </w:rPr>
                    <w:t>+2,2</w:t>
                  </w:r>
                </w:p>
              </w:tc>
            </w:tr>
            <w:tr w:rsidR="00605D96" w:rsidRPr="00134180" w14:paraId="4CCE2AEC" w14:textId="77777777" w:rsidTr="008B207B">
              <w:trPr>
                <w:trHeight w:val="255"/>
              </w:trPr>
              <w:tc>
                <w:tcPr>
                  <w:tcW w:w="3417" w:type="dxa"/>
                  <w:tcBorders>
                    <w:top w:val="nil"/>
                    <w:left w:val="nil"/>
                    <w:bottom w:val="nil"/>
                    <w:right w:val="nil"/>
                  </w:tcBorders>
                  <w:vAlign w:val="bottom"/>
                  <w:hideMark/>
                </w:tcPr>
                <w:p w14:paraId="32D82BB1" w14:textId="77777777" w:rsidR="00605D96" w:rsidRPr="00134180" w:rsidRDefault="00605D96" w:rsidP="008B207B">
                  <w:pPr>
                    <w:spacing w:after="0" w:line="240" w:lineRule="auto"/>
                    <w:jc w:val="left"/>
                    <w:rPr>
                      <w:rFonts w:cs="Arial"/>
                      <w:color w:val="000000"/>
                      <w:sz w:val="16"/>
                      <w:szCs w:val="16"/>
                    </w:rPr>
                  </w:pPr>
                  <w:r w:rsidRPr="00134180">
                    <w:rPr>
                      <w:rFonts w:cs="Arial"/>
                      <w:color w:val="000000"/>
                      <w:sz w:val="16"/>
                      <w:szCs w:val="16"/>
                    </w:rPr>
                    <w:t xml:space="preserve">Počítače, elektron. a </w:t>
                  </w:r>
                  <w:proofErr w:type="spellStart"/>
                  <w:r w:rsidRPr="00134180">
                    <w:rPr>
                      <w:rFonts w:cs="Arial"/>
                      <w:color w:val="000000"/>
                      <w:sz w:val="16"/>
                      <w:szCs w:val="16"/>
                    </w:rPr>
                    <w:t>opt</w:t>
                  </w:r>
                  <w:proofErr w:type="spellEnd"/>
                  <w:r w:rsidRPr="00134180">
                    <w:rPr>
                      <w:rFonts w:cs="Arial"/>
                      <w:color w:val="000000"/>
                      <w:sz w:val="16"/>
                      <w:szCs w:val="16"/>
                    </w:rPr>
                    <w:t>. přístroje a zařízení</w:t>
                  </w:r>
                </w:p>
              </w:tc>
              <w:tc>
                <w:tcPr>
                  <w:tcW w:w="700" w:type="dxa"/>
                  <w:tcBorders>
                    <w:top w:val="nil"/>
                    <w:left w:val="nil"/>
                    <w:bottom w:val="nil"/>
                    <w:right w:val="nil"/>
                  </w:tcBorders>
                  <w:noWrap/>
                  <w:vAlign w:val="bottom"/>
                  <w:hideMark/>
                </w:tcPr>
                <w:p w14:paraId="2A10E331" w14:textId="77777777" w:rsidR="00605D96" w:rsidRPr="00134180" w:rsidRDefault="00605D96" w:rsidP="008B207B">
                  <w:pPr>
                    <w:spacing w:after="0" w:line="240" w:lineRule="auto"/>
                    <w:jc w:val="right"/>
                    <w:rPr>
                      <w:rFonts w:cs="Arial"/>
                      <w:color w:val="000000"/>
                      <w:sz w:val="16"/>
                      <w:szCs w:val="16"/>
                    </w:rPr>
                  </w:pPr>
                  <w:r w:rsidRPr="00134180">
                    <w:rPr>
                      <w:rFonts w:cs="Arial"/>
                      <w:color w:val="000000"/>
                      <w:sz w:val="16"/>
                      <w:szCs w:val="16"/>
                    </w:rPr>
                    <w:t>+1,0</w:t>
                  </w:r>
                </w:p>
              </w:tc>
              <w:tc>
                <w:tcPr>
                  <w:tcW w:w="700" w:type="dxa"/>
                  <w:tcBorders>
                    <w:top w:val="nil"/>
                    <w:left w:val="nil"/>
                    <w:bottom w:val="nil"/>
                    <w:right w:val="nil"/>
                  </w:tcBorders>
                  <w:noWrap/>
                  <w:vAlign w:val="bottom"/>
                  <w:hideMark/>
                </w:tcPr>
                <w:p w14:paraId="64E8A9FD" w14:textId="77777777" w:rsidR="00605D96" w:rsidRPr="00134180" w:rsidRDefault="00605D96" w:rsidP="008B207B">
                  <w:pPr>
                    <w:spacing w:after="0" w:line="240" w:lineRule="auto"/>
                    <w:jc w:val="right"/>
                    <w:rPr>
                      <w:rFonts w:cs="Arial"/>
                      <w:color w:val="000000"/>
                      <w:sz w:val="16"/>
                      <w:szCs w:val="16"/>
                    </w:rPr>
                  </w:pPr>
                  <w:r w:rsidRPr="00134180">
                    <w:rPr>
                      <w:rFonts w:cs="Arial"/>
                      <w:color w:val="000000"/>
                      <w:sz w:val="16"/>
                      <w:szCs w:val="16"/>
                    </w:rPr>
                    <w:t>+0,8</w:t>
                  </w:r>
                </w:p>
              </w:tc>
            </w:tr>
            <w:tr w:rsidR="00605D96" w:rsidRPr="00134180" w14:paraId="7F413938" w14:textId="77777777" w:rsidTr="008B207B">
              <w:trPr>
                <w:trHeight w:val="255"/>
              </w:trPr>
              <w:tc>
                <w:tcPr>
                  <w:tcW w:w="3417" w:type="dxa"/>
                  <w:tcBorders>
                    <w:top w:val="nil"/>
                    <w:left w:val="nil"/>
                    <w:bottom w:val="nil"/>
                    <w:right w:val="nil"/>
                  </w:tcBorders>
                  <w:vAlign w:val="bottom"/>
                  <w:hideMark/>
                </w:tcPr>
                <w:p w14:paraId="1C517BAD" w14:textId="77777777" w:rsidR="00605D96" w:rsidRPr="00134180" w:rsidRDefault="00605D96" w:rsidP="008B207B">
                  <w:pPr>
                    <w:spacing w:after="0" w:line="240" w:lineRule="auto"/>
                    <w:jc w:val="left"/>
                    <w:rPr>
                      <w:rFonts w:cs="Arial"/>
                      <w:color w:val="000000"/>
                      <w:sz w:val="16"/>
                      <w:szCs w:val="16"/>
                    </w:rPr>
                  </w:pPr>
                  <w:r w:rsidRPr="00134180">
                    <w:rPr>
                      <w:rFonts w:cs="Arial"/>
                      <w:color w:val="000000"/>
                      <w:sz w:val="16"/>
                      <w:szCs w:val="16"/>
                    </w:rPr>
                    <w:t>Nábytek</w:t>
                  </w:r>
                </w:p>
              </w:tc>
              <w:tc>
                <w:tcPr>
                  <w:tcW w:w="700" w:type="dxa"/>
                  <w:tcBorders>
                    <w:top w:val="nil"/>
                    <w:left w:val="nil"/>
                    <w:bottom w:val="nil"/>
                    <w:right w:val="nil"/>
                  </w:tcBorders>
                  <w:noWrap/>
                  <w:vAlign w:val="bottom"/>
                  <w:hideMark/>
                </w:tcPr>
                <w:p w14:paraId="7D024A73" w14:textId="77777777" w:rsidR="00605D96" w:rsidRPr="00134180" w:rsidRDefault="00605D96" w:rsidP="008B207B">
                  <w:pPr>
                    <w:spacing w:after="0" w:line="240" w:lineRule="auto"/>
                    <w:jc w:val="right"/>
                    <w:rPr>
                      <w:rFonts w:cs="Arial"/>
                      <w:color w:val="000000"/>
                      <w:sz w:val="16"/>
                      <w:szCs w:val="16"/>
                    </w:rPr>
                  </w:pPr>
                  <w:r>
                    <w:rPr>
                      <w:rFonts w:cs="Arial"/>
                      <w:color w:val="000000"/>
                      <w:sz w:val="16"/>
                      <w:szCs w:val="16"/>
                    </w:rPr>
                    <w:t>−</w:t>
                  </w:r>
                  <w:r w:rsidRPr="00134180">
                    <w:rPr>
                      <w:rFonts w:cs="Arial"/>
                      <w:color w:val="000000"/>
                      <w:sz w:val="16"/>
                      <w:szCs w:val="16"/>
                    </w:rPr>
                    <w:t>1,1</w:t>
                  </w:r>
                </w:p>
              </w:tc>
              <w:tc>
                <w:tcPr>
                  <w:tcW w:w="700" w:type="dxa"/>
                  <w:tcBorders>
                    <w:top w:val="nil"/>
                    <w:left w:val="nil"/>
                    <w:bottom w:val="nil"/>
                    <w:right w:val="nil"/>
                  </w:tcBorders>
                  <w:noWrap/>
                  <w:vAlign w:val="bottom"/>
                  <w:hideMark/>
                </w:tcPr>
                <w:p w14:paraId="5BEF1D3B" w14:textId="77777777" w:rsidR="00605D96" w:rsidRPr="00134180" w:rsidRDefault="00605D96" w:rsidP="008B207B">
                  <w:pPr>
                    <w:spacing w:after="0" w:line="240" w:lineRule="auto"/>
                    <w:jc w:val="right"/>
                    <w:rPr>
                      <w:rFonts w:cs="Arial"/>
                      <w:color w:val="000000"/>
                      <w:sz w:val="16"/>
                      <w:szCs w:val="16"/>
                    </w:rPr>
                  </w:pPr>
                  <w:r>
                    <w:rPr>
                      <w:rFonts w:cs="Arial"/>
                      <w:color w:val="000000"/>
                      <w:sz w:val="16"/>
                      <w:szCs w:val="16"/>
                    </w:rPr>
                    <w:t>−</w:t>
                  </w:r>
                  <w:r w:rsidRPr="00134180">
                    <w:rPr>
                      <w:rFonts w:cs="Arial"/>
                      <w:color w:val="000000"/>
                      <w:sz w:val="16"/>
                      <w:szCs w:val="16"/>
                    </w:rPr>
                    <w:t>12,8</w:t>
                  </w:r>
                </w:p>
              </w:tc>
            </w:tr>
            <w:tr w:rsidR="00605D96" w:rsidRPr="00134180" w14:paraId="61FB44AE" w14:textId="77777777" w:rsidTr="008B207B">
              <w:trPr>
                <w:trHeight w:val="255"/>
              </w:trPr>
              <w:tc>
                <w:tcPr>
                  <w:tcW w:w="3417" w:type="dxa"/>
                  <w:tcBorders>
                    <w:top w:val="nil"/>
                    <w:left w:val="nil"/>
                    <w:bottom w:val="nil"/>
                    <w:right w:val="nil"/>
                  </w:tcBorders>
                  <w:vAlign w:val="bottom"/>
                  <w:hideMark/>
                </w:tcPr>
                <w:p w14:paraId="043D22EB" w14:textId="77777777" w:rsidR="00605D96" w:rsidRPr="00134180" w:rsidRDefault="00605D96" w:rsidP="008B207B">
                  <w:pPr>
                    <w:spacing w:after="0" w:line="240" w:lineRule="auto"/>
                    <w:jc w:val="left"/>
                    <w:rPr>
                      <w:rFonts w:cs="Arial"/>
                      <w:color w:val="000000"/>
                      <w:sz w:val="16"/>
                      <w:szCs w:val="16"/>
                    </w:rPr>
                  </w:pPr>
                  <w:r w:rsidRPr="00134180">
                    <w:rPr>
                      <w:rFonts w:cs="Arial"/>
                      <w:color w:val="000000"/>
                      <w:sz w:val="16"/>
                      <w:szCs w:val="16"/>
                    </w:rPr>
                    <w:t>Ostatní nekovové minerální výrobky</w:t>
                  </w:r>
                </w:p>
              </w:tc>
              <w:tc>
                <w:tcPr>
                  <w:tcW w:w="700" w:type="dxa"/>
                  <w:tcBorders>
                    <w:top w:val="nil"/>
                    <w:left w:val="nil"/>
                    <w:bottom w:val="nil"/>
                    <w:right w:val="nil"/>
                  </w:tcBorders>
                  <w:noWrap/>
                  <w:vAlign w:val="bottom"/>
                  <w:hideMark/>
                </w:tcPr>
                <w:p w14:paraId="3871315E" w14:textId="77777777" w:rsidR="00605D96" w:rsidRPr="00134180" w:rsidRDefault="00605D96" w:rsidP="008B207B">
                  <w:pPr>
                    <w:spacing w:after="0" w:line="240" w:lineRule="auto"/>
                    <w:jc w:val="right"/>
                    <w:rPr>
                      <w:rFonts w:cs="Arial"/>
                      <w:color w:val="000000"/>
                      <w:sz w:val="16"/>
                      <w:szCs w:val="16"/>
                    </w:rPr>
                  </w:pPr>
                  <w:r>
                    <w:rPr>
                      <w:rFonts w:cs="Arial"/>
                      <w:color w:val="000000"/>
                      <w:sz w:val="16"/>
                      <w:szCs w:val="16"/>
                    </w:rPr>
                    <w:t>−</w:t>
                  </w:r>
                  <w:r w:rsidRPr="00134180">
                    <w:rPr>
                      <w:rFonts w:cs="Arial"/>
                      <w:color w:val="000000"/>
                      <w:sz w:val="16"/>
                      <w:szCs w:val="16"/>
                    </w:rPr>
                    <w:t>1,1</w:t>
                  </w:r>
                </w:p>
              </w:tc>
              <w:tc>
                <w:tcPr>
                  <w:tcW w:w="700" w:type="dxa"/>
                  <w:tcBorders>
                    <w:top w:val="nil"/>
                    <w:left w:val="nil"/>
                    <w:bottom w:val="nil"/>
                    <w:right w:val="nil"/>
                  </w:tcBorders>
                  <w:noWrap/>
                  <w:vAlign w:val="bottom"/>
                  <w:hideMark/>
                </w:tcPr>
                <w:p w14:paraId="697FAC20" w14:textId="77777777" w:rsidR="00605D96" w:rsidRPr="00134180" w:rsidRDefault="00605D96" w:rsidP="008B207B">
                  <w:pPr>
                    <w:spacing w:after="0" w:line="240" w:lineRule="auto"/>
                    <w:jc w:val="right"/>
                    <w:rPr>
                      <w:rFonts w:cs="Arial"/>
                      <w:color w:val="000000"/>
                      <w:sz w:val="16"/>
                      <w:szCs w:val="16"/>
                    </w:rPr>
                  </w:pPr>
                  <w:r>
                    <w:rPr>
                      <w:rFonts w:cs="Arial"/>
                      <w:color w:val="000000"/>
                      <w:sz w:val="16"/>
                      <w:szCs w:val="16"/>
                    </w:rPr>
                    <w:t>−</w:t>
                  </w:r>
                  <w:r w:rsidRPr="00134180">
                    <w:rPr>
                      <w:rFonts w:cs="Arial"/>
                      <w:color w:val="000000"/>
                      <w:sz w:val="16"/>
                      <w:szCs w:val="16"/>
                    </w:rPr>
                    <w:t>5,6</w:t>
                  </w:r>
                </w:p>
              </w:tc>
            </w:tr>
            <w:tr w:rsidR="00605D96" w:rsidRPr="00134180" w14:paraId="667FC939" w14:textId="77777777" w:rsidTr="008B207B">
              <w:trPr>
                <w:trHeight w:val="255"/>
              </w:trPr>
              <w:tc>
                <w:tcPr>
                  <w:tcW w:w="3417" w:type="dxa"/>
                  <w:tcBorders>
                    <w:top w:val="nil"/>
                    <w:left w:val="nil"/>
                    <w:bottom w:val="nil"/>
                    <w:right w:val="nil"/>
                  </w:tcBorders>
                  <w:vAlign w:val="bottom"/>
                  <w:hideMark/>
                </w:tcPr>
                <w:p w14:paraId="7F86A71E" w14:textId="77777777" w:rsidR="00605D96" w:rsidRPr="00134180" w:rsidRDefault="00605D96" w:rsidP="008B207B">
                  <w:pPr>
                    <w:spacing w:after="0" w:line="240" w:lineRule="auto"/>
                    <w:jc w:val="left"/>
                    <w:rPr>
                      <w:rFonts w:cs="Arial"/>
                      <w:color w:val="000000"/>
                      <w:sz w:val="16"/>
                      <w:szCs w:val="16"/>
                    </w:rPr>
                  </w:pPr>
                  <w:r w:rsidRPr="00134180">
                    <w:rPr>
                      <w:rFonts w:cs="Arial"/>
                      <w:color w:val="000000"/>
                      <w:sz w:val="16"/>
                      <w:szCs w:val="16"/>
                    </w:rPr>
                    <w:t>Kovodělné výrobky kromě strojů a zařízení</w:t>
                  </w:r>
                </w:p>
              </w:tc>
              <w:tc>
                <w:tcPr>
                  <w:tcW w:w="700" w:type="dxa"/>
                  <w:tcBorders>
                    <w:top w:val="nil"/>
                    <w:left w:val="nil"/>
                    <w:bottom w:val="nil"/>
                    <w:right w:val="nil"/>
                  </w:tcBorders>
                  <w:noWrap/>
                  <w:vAlign w:val="bottom"/>
                  <w:hideMark/>
                </w:tcPr>
                <w:p w14:paraId="6BC616EB" w14:textId="77777777" w:rsidR="00605D96" w:rsidRPr="00134180" w:rsidRDefault="00605D96" w:rsidP="008B207B">
                  <w:pPr>
                    <w:spacing w:after="0" w:line="240" w:lineRule="auto"/>
                    <w:jc w:val="right"/>
                    <w:rPr>
                      <w:rFonts w:cs="Arial"/>
                      <w:color w:val="000000"/>
                      <w:sz w:val="16"/>
                      <w:szCs w:val="16"/>
                    </w:rPr>
                  </w:pPr>
                  <w:r>
                    <w:rPr>
                      <w:rFonts w:cs="Arial"/>
                      <w:color w:val="000000"/>
                      <w:sz w:val="16"/>
                      <w:szCs w:val="16"/>
                    </w:rPr>
                    <w:t>−</w:t>
                  </w:r>
                  <w:r w:rsidRPr="00134180">
                    <w:rPr>
                      <w:rFonts w:cs="Arial"/>
                      <w:color w:val="000000"/>
                      <w:sz w:val="16"/>
                      <w:szCs w:val="16"/>
                    </w:rPr>
                    <w:t>1,3</w:t>
                  </w:r>
                </w:p>
              </w:tc>
              <w:tc>
                <w:tcPr>
                  <w:tcW w:w="700" w:type="dxa"/>
                  <w:tcBorders>
                    <w:top w:val="nil"/>
                    <w:left w:val="nil"/>
                    <w:bottom w:val="nil"/>
                    <w:right w:val="nil"/>
                  </w:tcBorders>
                  <w:noWrap/>
                  <w:vAlign w:val="bottom"/>
                  <w:hideMark/>
                </w:tcPr>
                <w:p w14:paraId="296A1A4D" w14:textId="77777777" w:rsidR="00605D96" w:rsidRPr="00134180" w:rsidRDefault="00605D96" w:rsidP="008B207B">
                  <w:pPr>
                    <w:spacing w:after="0" w:line="240" w:lineRule="auto"/>
                    <w:jc w:val="right"/>
                    <w:rPr>
                      <w:rFonts w:cs="Arial"/>
                      <w:color w:val="000000"/>
                      <w:sz w:val="16"/>
                      <w:szCs w:val="16"/>
                    </w:rPr>
                  </w:pPr>
                  <w:r>
                    <w:rPr>
                      <w:rFonts w:cs="Arial"/>
                      <w:color w:val="000000"/>
                      <w:sz w:val="16"/>
                      <w:szCs w:val="16"/>
                    </w:rPr>
                    <w:t>−</w:t>
                  </w:r>
                  <w:r w:rsidRPr="00134180">
                    <w:rPr>
                      <w:rFonts w:cs="Arial"/>
                      <w:color w:val="000000"/>
                      <w:sz w:val="16"/>
                      <w:szCs w:val="16"/>
                    </w:rPr>
                    <w:t>1,9</w:t>
                  </w:r>
                </w:p>
              </w:tc>
            </w:tr>
            <w:tr w:rsidR="00605D96" w:rsidRPr="00134180" w14:paraId="062B3786" w14:textId="77777777" w:rsidTr="008B207B">
              <w:trPr>
                <w:trHeight w:val="255"/>
              </w:trPr>
              <w:tc>
                <w:tcPr>
                  <w:tcW w:w="3417" w:type="dxa"/>
                  <w:tcBorders>
                    <w:top w:val="nil"/>
                    <w:left w:val="nil"/>
                    <w:bottom w:val="nil"/>
                    <w:right w:val="nil"/>
                  </w:tcBorders>
                  <w:vAlign w:val="bottom"/>
                  <w:hideMark/>
                </w:tcPr>
                <w:p w14:paraId="4F5773F6" w14:textId="77777777" w:rsidR="00605D96" w:rsidRPr="00134180" w:rsidRDefault="00605D96" w:rsidP="008B207B">
                  <w:pPr>
                    <w:spacing w:after="0" w:line="240" w:lineRule="auto"/>
                    <w:jc w:val="left"/>
                    <w:rPr>
                      <w:rFonts w:cs="Arial"/>
                      <w:color w:val="000000"/>
                      <w:sz w:val="16"/>
                      <w:szCs w:val="16"/>
                    </w:rPr>
                  </w:pPr>
                  <w:r w:rsidRPr="00134180">
                    <w:rPr>
                      <w:rFonts w:cs="Arial"/>
                      <w:color w:val="000000"/>
                      <w:sz w:val="16"/>
                      <w:szCs w:val="16"/>
                    </w:rPr>
                    <w:t>Papír a výrobky z papíru</w:t>
                  </w:r>
                </w:p>
              </w:tc>
              <w:tc>
                <w:tcPr>
                  <w:tcW w:w="700" w:type="dxa"/>
                  <w:tcBorders>
                    <w:top w:val="nil"/>
                    <w:left w:val="nil"/>
                    <w:bottom w:val="nil"/>
                    <w:right w:val="nil"/>
                  </w:tcBorders>
                  <w:noWrap/>
                  <w:vAlign w:val="bottom"/>
                  <w:hideMark/>
                </w:tcPr>
                <w:p w14:paraId="69087F8E" w14:textId="77777777" w:rsidR="00605D96" w:rsidRPr="00134180" w:rsidRDefault="00605D96" w:rsidP="008B207B">
                  <w:pPr>
                    <w:spacing w:after="0" w:line="240" w:lineRule="auto"/>
                    <w:jc w:val="right"/>
                    <w:rPr>
                      <w:rFonts w:cs="Arial"/>
                      <w:color w:val="000000"/>
                      <w:sz w:val="16"/>
                      <w:szCs w:val="16"/>
                    </w:rPr>
                  </w:pPr>
                  <w:r>
                    <w:rPr>
                      <w:rFonts w:cs="Arial"/>
                      <w:color w:val="000000"/>
                      <w:sz w:val="16"/>
                      <w:szCs w:val="16"/>
                    </w:rPr>
                    <w:t>−</w:t>
                  </w:r>
                  <w:r w:rsidRPr="00134180">
                    <w:rPr>
                      <w:rFonts w:cs="Arial"/>
                      <w:color w:val="000000"/>
                      <w:sz w:val="16"/>
                      <w:szCs w:val="16"/>
                    </w:rPr>
                    <w:t>1,3</w:t>
                  </w:r>
                </w:p>
              </w:tc>
              <w:tc>
                <w:tcPr>
                  <w:tcW w:w="700" w:type="dxa"/>
                  <w:tcBorders>
                    <w:top w:val="nil"/>
                    <w:left w:val="nil"/>
                    <w:bottom w:val="nil"/>
                    <w:right w:val="nil"/>
                  </w:tcBorders>
                  <w:noWrap/>
                  <w:vAlign w:val="bottom"/>
                  <w:hideMark/>
                </w:tcPr>
                <w:p w14:paraId="0612469A" w14:textId="77777777" w:rsidR="00605D96" w:rsidRPr="00134180" w:rsidRDefault="00605D96" w:rsidP="008B207B">
                  <w:pPr>
                    <w:spacing w:after="0" w:line="240" w:lineRule="auto"/>
                    <w:jc w:val="right"/>
                    <w:rPr>
                      <w:rFonts w:cs="Arial"/>
                      <w:color w:val="000000"/>
                      <w:sz w:val="16"/>
                      <w:szCs w:val="16"/>
                    </w:rPr>
                  </w:pPr>
                  <w:r>
                    <w:rPr>
                      <w:rFonts w:cs="Arial"/>
                      <w:color w:val="000000"/>
                      <w:sz w:val="16"/>
                      <w:szCs w:val="16"/>
                    </w:rPr>
                    <w:t>−</w:t>
                  </w:r>
                  <w:r w:rsidRPr="00134180">
                    <w:rPr>
                      <w:rFonts w:cs="Arial"/>
                      <w:color w:val="000000"/>
                      <w:sz w:val="16"/>
                      <w:szCs w:val="16"/>
                    </w:rPr>
                    <w:t>6,5</w:t>
                  </w:r>
                </w:p>
              </w:tc>
            </w:tr>
            <w:tr w:rsidR="00605D96" w:rsidRPr="00134180" w14:paraId="4930EE34" w14:textId="77777777" w:rsidTr="008B207B">
              <w:trPr>
                <w:trHeight w:val="255"/>
              </w:trPr>
              <w:tc>
                <w:tcPr>
                  <w:tcW w:w="3417" w:type="dxa"/>
                  <w:tcBorders>
                    <w:top w:val="nil"/>
                    <w:left w:val="nil"/>
                    <w:bottom w:val="nil"/>
                    <w:right w:val="nil"/>
                  </w:tcBorders>
                  <w:vAlign w:val="bottom"/>
                  <w:hideMark/>
                </w:tcPr>
                <w:p w14:paraId="42FDBE49" w14:textId="77777777" w:rsidR="00605D96" w:rsidRPr="00134180" w:rsidRDefault="00605D96" w:rsidP="008B207B">
                  <w:pPr>
                    <w:spacing w:after="0" w:line="240" w:lineRule="auto"/>
                    <w:jc w:val="left"/>
                    <w:rPr>
                      <w:rFonts w:cs="Arial"/>
                      <w:color w:val="000000"/>
                      <w:sz w:val="16"/>
                      <w:szCs w:val="16"/>
                    </w:rPr>
                  </w:pPr>
                  <w:r w:rsidRPr="00134180">
                    <w:rPr>
                      <w:rFonts w:cs="Arial"/>
                      <w:color w:val="000000"/>
                      <w:sz w:val="16"/>
                      <w:szCs w:val="16"/>
                    </w:rPr>
                    <w:t>Elektřina, plyn, pára a klimatizovaný vzduch</w:t>
                  </w:r>
                </w:p>
              </w:tc>
              <w:tc>
                <w:tcPr>
                  <w:tcW w:w="700" w:type="dxa"/>
                  <w:tcBorders>
                    <w:top w:val="nil"/>
                    <w:left w:val="nil"/>
                    <w:bottom w:val="nil"/>
                    <w:right w:val="nil"/>
                  </w:tcBorders>
                  <w:noWrap/>
                  <w:vAlign w:val="bottom"/>
                  <w:hideMark/>
                </w:tcPr>
                <w:p w14:paraId="1B79CF9D" w14:textId="77777777" w:rsidR="00605D96" w:rsidRPr="00134180" w:rsidRDefault="00605D96" w:rsidP="008B207B">
                  <w:pPr>
                    <w:spacing w:after="0" w:line="240" w:lineRule="auto"/>
                    <w:jc w:val="right"/>
                    <w:rPr>
                      <w:rFonts w:cs="Arial"/>
                      <w:color w:val="000000"/>
                      <w:sz w:val="16"/>
                      <w:szCs w:val="16"/>
                    </w:rPr>
                  </w:pPr>
                  <w:r>
                    <w:rPr>
                      <w:rFonts w:cs="Arial"/>
                      <w:color w:val="000000"/>
                      <w:sz w:val="16"/>
                      <w:szCs w:val="16"/>
                    </w:rPr>
                    <w:t>−</w:t>
                  </w:r>
                  <w:r w:rsidRPr="00134180">
                    <w:rPr>
                      <w:rFonts w:cs="Arial"/>
                      <w:color w:val="000000"/>
                      <w:sz w:val="16"/>
                      <w:szCs w:val="16"/>
                    </w:rPr>
                    <w:t>4,1</w:t>
                  </w:r>
                </w:p>
              </w:tc>
              <w:tc>
                <w:tcPr>
                  <w:tcW w:w="700" w:type="dxa"/>
                  <w:tcBorders>
                    <w:top w:val="nil"/>
                    <w:left w:val="nil"/>
                    <w:bottom w:val="nil"/>
                    <w:right w:val="nil"/>
                  </w:tcBorders>
                  <w:noWrap/>
                  <w:vAlign w:val="bottom"/>
                  <w:hideMark/>
                </w:tcPr>
                <w:p w14:paraId="2B1E6C63" w14:textId="77777777" w:rsidR="00605D96" w:rsidRPr="00134180" w:rsidRDefault="00605D96" w:rsidP="008B207B">
                  <w:pPr>
                    <w:spacing w:after="0" w:line="240" w:lineRule="auto"/>
                    <w:jc w:val="right"/>
                    <w:rPr>
                      <w:rFonts w:cs="Arial"/>
                      <w:color w:val="000000"/>
                      <w:sz w:val="16"/>
                      <w:szCs w:val="16"/>
                    </w:rPr>
                  </w:pPr>
                  <w:r>
                    <w:rPr>
                      <w:rFonts w:cs="Arial"/>
                      <w:color w:val="000000"/>
                      <w:sz w:val="16"/>
                      <w:szCs w:val="16"/>
                    </w:rPr>
                    <w:t>−</w:t>
                  </w:r>
                  <w:r w:rsidRPr="00134180">
                    <w:rPr>
                      <w:rFonts w:cs="Arial"/>
                      <w:color w:val="000000"/>
                      <w:sz w:val="16"/>
                      <w:szCs w:val="16"/>
                    </w:rPr>
                    <w:t>20,9</w:t>
                  </w:r>
                </w:p>
              </w:tc>
            </w:tr>
            <w:tr w:rsidR="00605D96" w:rsidRPr="00134180" w14:paraId="15027F8F" w14:textId="77777777" w:rsidTr="008B207B">
              <w:trPr>
                <w:trHeight w:val="255"/>
              </w:trPr>
              <w:tc>
                <w:tcPr>
                  <w:tcW w:w="3417" w:type="dxa"/>
                  <w:tcBorders>
                    <w:top w:val="nil"/>
                    <w:left w:val="nil"/>
                    <w:bottom w:val="nil"/>
                    <w:right w:val="nil"/>
                  </w:tcBorders>
                  <w:vAlign w:val="bottom"/>
                  <w:hideMark/>
                </w:tcPr>
                <w:p w14:paraId="752F0B5E" w14:textId="77777777" w:rsidR="00605D96" w:rsidRPr="00134180" w:rsidRDefault="00605D96" w:rsidP="008B207B">
                  <w:pPr>
                    <w:spacing w:after="0" w:line="240" w:lineRule="auto"/>
                    <w:jc w:val="left"/>
                    <w:rPr>
                      <w:rFonts w:cs="Arial"/>
                      <w:color w:val="000000"/>
                      <w:sz w:val="16"/>
                      <w:szCs w:val="16"/>
                    </w:rPr>
                  </w:pPr>
                  <w:r w:rsidRPr="00134180">
                    <w:rPr>
                      <w:rFonts w:cs="Arial"/>
                      <w:color w:val="000000"/>
                      <w:sz w:val="16"/>
                      <w:szCs w:val="16"/>
                    </w:rPr>
                    <w:t>Chemické látky a přípravky</w:t>
                  </w:r>
                </w:p>
              </w:tc>
              <w:tc>
                <w:tcPr>
                  <w:tcW w:w="700" w:type="dxa"/>
                  <w:tcBorders>
                    <w:top w:val="nil"/>
                    <w:left w:val="nil"/>
                    <w:bottom w:val="nil"/>
                    <w:right w:val="nil"/>
                  </w:tcBorders>
                  <w:noWrap/>
                  <w:vAlign w:val="bottom"/>
                  <w:hideMark/>
                </w:tcPr>
                <w:p w14:paraId="28D4041E" w14:textId="77777777" w:rsidR="00605D96" w:rsidRPr="00134180" w:rsidRDefault="00605D96" w:rsidP="008B207B">
                  <w:pPr>
                    <w:spacing w:after="0" w:line="240" w:lineRule="auto"/>
                    <w:jc w:val="right"/>
                    <w:rPr>
                      <w:rFonts w:cs="Arial"/>
                      <w:color w:val="000000"/>
                      <w:sz w:val="16"/>
                      <w:szCs w:val="16"/>
                    </w:rPr>
                  </w:pPr>
                  <w:r>
                    <w:rPr>
                      <w:rFonts w:cs="Arial"/>
                      <w:color w:val="000000"/>
                      <w:sz w:val="16"/>
                      <w:szCs w:val="16"/>
                    </w:rPr>
                    <w:t>−</w:t>
                  </w:r>
                  <w:r w:rsidRPr="00134180">
                    <w:rPr>
                      <w:rFonts w:cs="Arial"/>
                      <w:color w:val="000000"/>
                      <w:sz w:val="16"/>
                      <w:szCs w:val="16"/>
                    </w:rPr>
                    <w:t>4,8</w:t>
                  </w:r>
                </w:p>
              </w:tc>
              <w:tc>
                <w:tcPr>
                  <w:tcW w:w="700" w:type="dxa"/>
                  <w:tcBorders>
                    <w:top w:val="nil"/>
                    <w:left w:val="nil"/>
                    <w:bottom w:val="nil"/>
                    <w:right w:val="nil"/>
                  </w:tcBorders>
                  <w:noWrap/>
                  <w:vAlign w:val="bottom"/>
                  <w:hideMark/>
                </w:tcPr>
                <w:p w14:paraId="68AECD2F" w14:textId="77777777" w:rsidR="00605D96" w:rsidRPr="00134180" w:rsidRDefault="00605D96" w:rsidP="008B207B">
                  <w:pPr>
                    <w:spacing w:after="0" w:line="240" w:lineRule="auto"/>
                    <w:jc w:val="right"/>
                    <w:rPr>
                      <w:rFonts w:cs="Arial"/>
                      <w:color w:val="000000"/>
                      <w:sz w:val="16"/>
                      <w:szCs w:val="16"/>
                    </w:rPr>
                  </w:pPr>
                  <w:r>
                    <w:rPr>
                      <w:rFonts w:cs="Arial"/>
                      <w:color w:val="000000"/>
                      <w:sz w:val="16"/>
                      <w:szCs w:val="16"/>
                    </w:rPr>
                    <w:t>−</w:t>
                  </w:r>
                  <w:r w:rsidRPr="00134180">
                    <w:rPr>
                      <w:rFonts w:cs="Arial"/>
                      <w:color w:val="000000"/>
                      <w:sz w:val="16"/>
                      <w:szCs w:val="16"/>
                    </w:rPr>
                    <w:t>8,3</w:t>
                  </w:r>
                </w:p>
              </w:tc>
            </w:tr>
            <w:tr w:rsidR="00605D96" w:rsidRPr="00134180" w14:paraId="7D65DD6A" w14:textId="77777777" w:rsidTr="008B207B">
              <w:trPr>
                <w:trHeight w:val="255"/>
              </w:trPr>
              <w:tc>
                <w:tcPr>
                  <w:tcW w:w="3417" w:type="dxa"/>
                  <w:tcBorders>
                    <w:top w:val="nil"/>
                    <w:left w:val="nil"/>
                    <w:bottom w:val="nil"/>
                    <w:right w:val="nil"/>
                  </w:tcBorders>
                  <w:vAlign w:val="bottom"/>
                  <w:hideMark/>
                </w:tcPr>
                <w:p w14:paraId="1BE4519D" w14:textId="77777777" w:rsidR="00605D96" w:rsidRPr="00134180" w:rsidRDefault="00605D96" w:rsidP="008B207B">
                  <w:pPr>
                    <w:spacing w:after="0" w:line="240" w:lineRule="auto"/>
                    <w:jc w:val="left"/>
                    <w:rPr>
                      <w:rFonts w:cs="Arial"/>
                      <w:color w:val="000000"/>
                      <w:sz w:val="16"/>
                      <w:szCs w:val="16"/>
                    </w:rPr>
                  </w:pPr>
                  <w:r w:rsidRPr="00134180">
                    <w:rPr>
                      <w:rFonts w:cs="Arial"/>
                      <w:color w:val="000000"/>
                      <w:sz w:val="16"/>
                      <w:szCs w:val="16"/>
                    </w:rPr>
                    <w:t>Elektrická zařízení</w:t>
                  </w:r>
                </w:p>
              </w:tc>
              <w:tc>
                <w:tcPr>
                  <w:tcW w:w="700" w:type="dxa"/>
                  <w:tcBorders>
                    <w:top w:val="nil"/>
                    <w:left w:val="nil"/>
                    <w:bottom w:val="nil"/>
                    <w:right w:val="nil"/>
                  </w:tcBorders>
                  <w:noWrap/>
                  <w:vAlign w:val="bottom"/>
                  <w:hideMark/>
                </w:tcPr>
                <w:p w14:paraId="211BC483" w14:textId="77777777" w:rsidR="00605D96" w:rsidRPr="00134180" w:rsidRDefault="00605D96" w:rsidP="008B207B">
                  <w:pPr>
                    <w:spacing w:after="0" w:line="240" w:lineRule="auto"/>
                    <w:jc w:val="right"/>
                    <w:rPr>
                      <w:rFonts w:cs="Arial"/>
                      <w:color w:val="000000"/>
                      <w:sz w:val="16"/>
                      <w:szCs w:val="16"/>
                    </w:rPr>
                  </w:pPr>
                  <w:r>
                    <w:rPr>
                      <w:rFonts w:cs="Arial"/>
                      <w:color w:val="000000"/>
                      <w:sz w:val="16"/>
                      <w:szCs w:val="16"/>
                    </w:rPr>
                    <w:t>−</w:t>
                  </w:r>
                  <w:r w:rsidRPr="00134180">
                    <w:rPr>
                      <w:rFonts w:cs="Arial"/>
                      <w:color w:val="000000"/>
                      <w:sz w:val="16"/>
                      <w:szCs w:val="16"/>
                    </w:rPr>
                    <w:t>6,4</w:t>
                  </w:r>
                </w:p>
              </w:tc>
              <w:tc>
                <w:tcPr>
                  <w:tcW w:w="700" w:type="dxa"/>
                  <w:tcBorders>
                    <w:top w:val="nil"/>
                    <w:left w:val="nil"/>
                    <w:bottom w:val="nil"/>
                    <w:right w:val="nil"/>
                  </w:tcBorders>
                  <w:noWrap/>
                  <w:vAlign w:val="bottom"/>
                  <w:hideMark/>
                </w:tcPr>
                <w:p w14:paraId="414E8C36" w14:textId="77777777" w:rsidR="00605D96" w:rsidRPr="00134180" w:rsidRDefault="00605D96" w:rsidP="008B207B">
                  <w:pPr>
                    <w:spacing w:after="0" w:line="240" w:lineRule="auto"/>
                    <w:jc w:val="right"/>
                    <w:rPr>
                      <w:rFonts w:cs="Arial"/>
                      <w:color w:val="000000"/>
                      <w:sz w:val="16"/>
                      <w:szCs w:val="16"/>
                    </w:rPr>
                  </w:pPr>
                  <w:r>
                    <w:rPr>
                      <w:rFonts w:cs="Arial"/>
                      <w:color w:val="000000"/>
                      <w:sz w:val="16"/>
                      <w:szCs w:val="16"/>
                    </w:rPr>
                    <w:t>−</w:t>
                  </w:r>
                  <w:r w:rsidRPr="00134180">
                    <w:rPr>
                      <w:rFonts w:cs="Arial"/>
                      <w:color w:val="000000"/>
                      <w:sz w:val="16"/>
                      <w:szCs w:val="16"/>
                    </w:rPr>
                    <w:t>5,4</w:t>
                  </w:r>
                </w:p>
              </w:tc>
            </w:tr>
          </w:tbl>
          <w:p w14:paraId="47EC17A1" w14:textId="77777777" w:rsidR="00605D96" w:rsidRDefault="00605D96" w:rsidP="008B207B">
            <w:pPr>
              <w:spacing w:after="0"/>
              <w:rPr>
                <w:spacing w:val="-4"/>
                <w:lang w:eastAsia="en-US"/>
              </w:rPr>
            </w:pPr>
          </w:p>
        </w:tc>
        <w:tc>
          <w:tcPr>
            <w:tcW w:w="57" w:type="dxa"/>
          </w:tcPr>
          <w:p w14:paraId="47535986" w14:textId="77777777" w:rsidR="00605D96" w:rsidRDefault="00605D96" w:rsidP="008B207B">
            <w:pPr>
              <w:spacing w:after="0"/>
              <w:rPr>
                <w:spacing w:val="-4"/>
                <w:lang w:eastAsia="en-US"/>
              </w:rPr>
            </w:pPr>
          </w:p>
        </w:tc>
        <w:tc>
          <w:tcPr>
            <w:tcW w:w="4809" w:type="dxa"/>
            <w:hideMark/>
          </w:tcPr>
          <w:tbl>
            <w:tblPr>
              <w:tblW w:w="4762" w:type="dxa"/>
              <w:tblLayout w:type="fixed"/>
              <w:tblCellMar>
                <w:left w:w="70" w:type="dxa"/>
                <w:right w:w="70" w:type="dxa"/>
              </w:tblCellMar>
              <w:tblLook w:val="04A0" w:firstRow="1" w:lastRow="0" w:firstColumn="1" w:lastColumn="0" w:noHBand="0" w:noVBand="1"/>
            </w:tblPr>
            <w:tblGrid>
              <w:gridCol w:w="3362"/>
              <w:gridCol w:w="700"/>
              <w:gridCol w:w="700"/>
            </w:tblGrid>
            <w:tr w:rsidR="00605D96" w:rsidRPr="00134180" w14:paraId="0A60E0F1" w14:textId="77777777" w:rsidTr="008B207B">
              <w:trPr>
                <w:trHeight w:val="255"/>
              </w:trPr>
              <w:tc>
                <w:tcPr>
                  <w:tcW w:w="3362" w:type="dxa"/>
                  <w:tcBorders>
                    <w:top w:val="nil"/>
                    <w:left w:val="nil"/>
                    <w:bottom w:val="nil"/>
                    <w:right w:val="nil"/>
                  </w:tcBorders>
                  <w:noWrap/>
                  <w:vAlign w:val="bottom"/>
                  <w:hideMark/>
                </w:tcPr>
                <w:p w14:paraId="639E41F2" w14:textId="77777777" w:rsidR="00605D96" w:rsidRPr="00134180" w:rsidRDefault="00605D96" w:rsidP="008B207B">
                  <w:pPr>
                    <w:spacing w:after="0" w:line="240" w:lineRule="auto"/>
                    <w:jc w:val="left"/>
                    <w:rPr>
                      <w:rFonts w:cs="Arial"/>
                      <w:sz w:val="22"/>
                      <w:szCs w:val="22"/>
                    </w:rPr>
                  </w:pPr>
                </w:p>
              </w:tc>
              <w:tc>
                <w:tcPr>
                  <w:tcW w:w="700" w:type="dxa"/>
                  <w:tcBorders>
                    <w:top w:val="nil"/>
                    <w:left w:val="nil"/>
                    <w:bottom w:val="nil"/>
                    <w:right w:val="nil"/>
                  </w:tcBorders>
                  <w:noWrap/>
                  <w:vAlign w:val="bottom"/>
                  <w:hideMark/>
                </w:tcPr>
                <w:p w14:paraId="4954B9B4" w14:textId="77777777" w:rsidR="00605D96" w:rsidRPr="00134180" w:rsidRDefault="00605D96" w:rsidP="008B207B">
                  <w:pPr>
                    <w:spacing w:after="0" w:line="240" w:lineRule="auto"/>
                    <w:jc w:val="right"/>
                    <w:rPr>
                      <w:rFonts w:cs="Arial"/>
                      <w:color w:val="000000"/>
                      <w:sz w:val="16"/>
                      <w:szCs w:val="16"/>
                    </w:rPr>
                  </w:pPr>
                  <w:r w:rsidRPr="00134180">
                    <w:rPr>
                      <w:rFonts w:cs="Arial"/>
                      <w:color w:val="000000"/>
                      <w:sz w:val="16"/>
                      <w:szCs w:val="16"/>
                    </w:rPr>
                    <w:t>mld. Kč</w:t>
                  </w:r>
                </w:p>
              </w:tc>
              <w:tc>
                <w:tcPr>
                  <w:tcW w:w="700" w:type="dxa"/>
                  <w:tcBorders>
                    <w:top w:val="nil"/>
                    <w:left w:val="nil"/>
                    <w:bottom w:val="nil"/>
                    <w:right w:val="nil"/>
                  </w:tcBorders>
                  <w:noWrap/>
                  <w:vAlign w:val="bottom"/>
                  <w:hideMark/>
                </w:tcPr>
                <w:p w14:paraId="52651198" w14:textId="77777777" w:rsidR="00605D96" w:rsidRPr="00134180" w:rsidRDefault="00605D96" w:rsidP="008B207B">
                  <w:pPr>
                    <w:spacing w:after="0" w:line="240" w:lineRule="auto"/>
                    <w:jc w:val="right"/>
                    <w:rPr>
                      <w:rFonts w:cs="Arial"/>
                      <w:color w:val="000000"/>
                      <w:sz w:val="16"/>
                      <w:szCs w:val="16"/>
                    </w:rPr>
                  </w:pPr>
                  <w:r w:rsidRPr="00134180">
                    <w:rPr>
                      <w:rFonts w:cs="Arial"/>
                      <w:color w:val="000000"/>
                      <w:sz w:val="16"/>
                      <w:szCs w:val="16"/>
                    </w:rPr>
                    <w:t>%</w:t>
                  </w:r>
                </w:p>
              </w:tc>
            </w:tr>
            <w:tr w:rsidR="00605D96" w:rsidRPr="00134180" w14:paraId="43F892EE" w14:textId="77777777" w:rsidTr="008B207B">
              <w:trPr>
                <w:trHeight w:val="255"/>
              </w:trPr>
              <w:tc>
                <w:tcPr>
                  <w:tcW w:w="3362" w:type="dxa"/>
                  <w:tcBorders>
                    <w:top w:val="single" w:sz="4" w:space="0" w:color="auto"/>
                    <w:left w:val="nil"/>
                    <w:bottom w:val="nil"/>
                    <w:right w:val="nil"/>
                  </w:tcBorders>
                  <w:noWrap/>
                  <w:vAlign w:val="bottom"/>
                  <w:hideMark/>
                </w:tcPr>
                <w:p w14:paraId="41A24688" w14:textId="77777777" w:rsidR="00605D96" w:rsidRPr="00134180" w:rsidRDefault="00605D96" w:rsidP="008B207B">
                  <w:pPr>
                    <w:spacing w:after="0" w:line="240" w:lineRule="auto"/>
                    <w:jc w:val="left"/>
                    <w:rPr>
                      <w:rFonts w:cs="Arial"/>
                      <w:color w:val="000000"/>
                      <w:sz w:val="16"/>
                      <w:szCs w:val="16"/>
                    </w:rPr>
                  </w:pPr>
                  <w:r w:rsidRPr="00134180">
                    <w:rPr>
                      <w:rFonts w:cs="Arial"/>
                      <w:color w:val="000000"/>
                      <w:sz w:val="16"/>
                      <w:szCs w:val="16"/>
                    </w:rPr>
                    <w:t>Francie</w:t>
                  </w:r>
                </w:p>
              </w:tc>
              <w:tc>
                <w:tcPr>
                  <w:tcW w:w="700" w:type="dxa"/>
                  <w:tcBorders>
                    <w:top w:val="single" w:sz="4" w:space="0" w:color="auto"/>
                    <w:left w:val="nil"/>
                    <w:bottom w:val="nil"/>
                    <w:right w:val="nil"/>
                  </w:tcBorders>
                  <w:noWrap/>
                  <w:vAlign w:val="bottom"/>
                  <w:hideMark/>
                </w:tcPr>
                <w:p w14:paraId="0978A61A" w14:textId="77777777" w:rsidR="00605D96" w:rsidRPr="00134180" w:rsidRDefault="00605D96" w:rsidP="008B207B">
                  <w:pPr>
                    <w:spacing w:after="0" w:line="240" w:lineRule="auto"/>
                    <w:jc w:val="right"/>
                    <w:rPr>
                      <w:rFonts w:cs="Arial"/>
                      <w:color w:val="000000"/>
                      <w:sz w:val="16"/>
                      <w:szCs w:val="16"/>
                    </w:rPr>
                  </w:pPr>
                  <w:r w:rsidRPr="00134180">
                    <w:rPr>
                      <w:rFonts w:cs="Arial"/>
                      <w:color w:val="000000"/>
                      <w:sz w:val="16"/>
                      <w:szCs w:val="16"/>
                    </w:rPr>
                    <w:t>+6,4</w:t>
                  </w:r>
                </w:p>
              </w:tc>
              <w:tc>
                <w:tcPr>
                  <w:tcW w:w="700" w:type="dxa"/>
                  <w:tcBorders>
                    <w:top w:val="single" w:sz="4" w:space="0" w:color="auto"/>
                    <w:left w:val="nil"/>
                    <w:bottom w:val="nil"/>
                    <w:right w:val="nil"/>
                  </w:tcBorders>
                  <w:noWrap/>
                  <w:vAlign w:val="bottom"/>
                  <w:hideMark/>
                </w:tcPr>
                <w:p w14:paraId="7488ECFD" w14:textId="77777777" w:rsidR="00605D96" w:rsidRPr="00134180" w:rsidRDefault="00605D96" w:rsidP="008B207B">
                  <w:pPr>
                    <w:spacing w:after="0" w:line="240" w:lineRule="auto"/>
                    <w:jc w:val="right"/>
                    <w:rPr>
                      <w:rFonts w:cs="Arial"/>
                      <w:color w:val="000000"/>
                      <w:sz w:val="16"/>
                      <w:szCs w:val="16"/>
                    </w:rPr>
                  </w:pPr>
                  <w:r w:rsidRPr="00134180">
                    <w:rPr>
                      <w:rFonts w:cs="Arial"/>
                      <w:color w:val="000000"/>
                      <w:sz w:val="16"/>
                      <w:szCs w:val="16"/>
                    </w:rPr>
                    <w:t>+11,8</w:t>
                  </w:r>
                </w:p>
              </w:tc>
            </w:tr>
            <w:tr w:rsidR="00605D96" w:rsidRPr="00134180" w14:paraId="15BE891E" w14:textId="77777777" w:rsidTr="008B207B">
              <w:trPr>
                <w:trHeight w:val="255"/>
              </w:trPr>
              <w:tc>
                <w:tcPr>
                  <w:tcW w:w="3362" w:type="dxa"/>
                  <w:tcBorders>
                    <w:top w:val="nil"/>
                    <w:left w:val="nil"/>
                    <w:bottom w:val="nil"/>
                    <w:right w:val="nil"/>
                  </w:tcBorders>
                  <w:noWrap/>
                  <w:vAlign w:val="bottom"/>
                  <w:hideMark/>
                </w:tcPr>
                <w:p w14:paraId="32299964" w14:textId="77777777" w:rsidR="00605D96" w:rsidRPr="00134180" w:rsidRDefault="00605D96" w:rsidP="008B207B">
                  <w:pPr>
                    <w:spacing w:after="0" w:line="240" w:lineRule="auto"/>
                    <w:jc w:val="left"/>
                    <w:rPr>
                      <w:rFonts w:cs="Arial"/>
                      <w:color w:val="000000"/>
                      <w:sz w:val="16"/>
                      <w:szCs w:val="16"/>
                    </w:rPr>
                  </w:pPr>
                  <w:r w:rsidRPr="00134180">
                    <w:rPr>
                      <w:rFonts w:cs="Arial"/>
                      <w:color w:val="000000"/>
                      <w:sz w:val="16"/>
                      <w:szCs w:val="16"/>
                    </w:rPr>
                    <w:t>Slovensko</w:t>
                  </w:r>
                </w:p>
              </w:tc>
              <w:tc>
                <w:tcPr>
                  <w:tcW w:w="700" w:type="dxa"/>
                  <w:tcBorders>
                    <w:top w:val="nil"/>
                    <w:left w:val="nil"/>
                    <w:bottom w:val="nil"/>
                    <w:right w:val="nil"/>
                  </w:tcBorders>
                  <w:noWrap/>
                  <w:vAlign w:val="bottom"/>
                  <w:hideMark/>
                </w:tcPr>
                <w:p w14:paraId="00EE5E82" w14:textId="77777777" w:rsidR="00605D96" w:rsidRPr="00134180" w:rsidRDefault="00605D96" w:rsidP="008B207B">
                  <w:pPr>
                    <w:spacing w:after="0" w:line="240" w:lineRule="auto"/>
                    <w:jc w:val="right"/>
                    <w:rPr>
                      <w:rFonts w:cs="Arial"/>
                      <w:color w:val="000000"/>
                      <w:sz w:val="16"/>
                      <w:szCs w:val="16"/>
                    </w:rPr>
                  </w:pPr>
                  <w:r w:rsidRPr="00134180">
                    <w:rPr>
                      <w:rFonts w:cs="Arial"/>
                      <w:color w:val="000000"/>
                      <w:sz w:val="16"/>
                      <w:szCs w:val="16"/>
                    </w:rPr>
                    <w:t>+5,4</w:t>
                  </w:r>
                </w:p>
              </w:tc>
              <w:tc>
                <w:tcPr>
                  <w:tcW w:w="700" w:type="dxa"/>
                  <w:tcBorders>
                    <w:top w:val="nil"/>
                    <w:left w:val="nil"/>
                    <w:bottom w:val="nil"/>
                    <w:right w:val="nil"/>
                  </w:tcBorders>
                  <w:noWrap/>
                  <w:vAlign w:val="bottom"/>
                  <w:hideMark/>
                </w:tcPr>
                <w:p w14:paraId="53AC5826" w14:textId="77777777" w:rsidR="00605D96" w:rsidRPr="00134180" w:rsidRDefault="00605D96" w:rsidP="008B207B">
                  <w:pPr>
                    <w:spacing w:after="0" w:line="240" w:lineRule="auto"/>
                    <w:jc w:val="right"/>
                    <w:rPr>
                      <w:rFonts w:cs="Arial"/>
                      <w:color w:val="000000"/>
                      <w:sz w:val="16"/>
                      <w:szCs w:val="16"/>
                    </w:rPr>
                  </w:pPr>
                  <w:r w:rsidRPr="00134180">
                    <w:rPr>
                      <w:rFonts w:cs="Arial"/>
                      <w:color w:val="000000"/>
                      <w:sz w:val="16"/>
                      <w:szCs w:val="16"/>
                    </w:rPr>
                    <w:t>+4,7</w:t>
                  </w:r>
                </w:p>
              </w:tc>
            </w:tr>
            <w:tr w:rsidR="00605D96" w:rsidRPr="00134180" w14:paraId="236E8484" w14:textId="77777777" w:rsidTr="008B207B">
              <w:trPr>
                <w:trHeight w:val="255"/>
              </w:trPr>
              <w:tc>
                <w:tcPr>
                  <w:tcW w:w="3362" w:type="dxa"/>
                  <w:tcBorders>
                    <w:top w:val="nil"/>
                    <w:left w:val="nil"/>
                    <w:bottom w:val="nil"/>
                    <w:right w:val="nil"/>
                  </w:tcBorders>
                  <w:noWrap/>
                  <w:vAlign w:val="bottom"/>
                  <w:hideMark/>
                </w:tcPr>
                <w:p w14:paraId="499F04A3" w14:textId="77777777" w:rsidR="00605D96" w:rsidRPr="00134180" w:rsidRDefault="00605D96" w:rsidP="008B207B">
                  <w:pPr>
                    <w:spacing w:after="0" w:line="240" w:lineRule="auto"/>
                    <w:jc w:val="left"/>
                    <w:rPr>
                      <w:rFonts w:cs="Arial"/>
                      <w:color w:val="000000"/>
                      <w:sz w:val="16"/>
                      <w:szCs w:val="16"/>
                    </w:rPr>
                  </w:pPr>
                  <w:r w:rsidRPr="00134180">
                    <w:rPr>
                      <w:rFonts w:cs="Arial"/>
                      <w:color w:val="000000"/>
                      <w:sz w:val="16"/>
                      <w:szCs w:val="16"/>
                    </w:rPr>
                    <w:t>Švýcarsko</w:t>
                  </w:r>
                </w:p>
              </w:tc>
              <w:tc>
                <w:tcPr>
                  <w:tcW w:w="700" w:type="dxa"/>
                  <w:tcBorders>
                    <w:top w:val="nil"/>
                    <w:left w:val="nil"/>
                    <w:bottom w:val="nil"/>
                    <w:right w:val="nil"/>
                  </w:tcBorders>
                  <w:noWrap/>
                  <w:vAlign w:val="bottom"/>
                  <w:hideMark/>
                </w:tcPr>
                <w:p w14:paraId="7481B8A7" w14:textId="77777777" w:rsidR="00605D96" w:rsidRPr="00134180" w:rsidRDefault="00605D96" w:rsidP="008B207B">
                  <w:pPr>
                    <w:spacing w:after="0" w:line="240" w:lineRule="auto"/>
                    <w:jc w:val="right"/>
                    <w:rPr>
                      <w:rFonts w:cs="Arial"/>
                      <w:color w:val="000000"/>
                      <w:sz w:val="16"/>
                      <w:szCs w:val="16"/>
                    </w:rPr>
                  </w:pPr>
                  <w:r w:rsidRPr="00134180">
                    <w:rPr>
                      <w:rFonts w:cs="Arial"/>
                      <w:color w:val="000000"/>
                      <w:sz w:val="16"/>
                      <w:szCs w:val="16"/>
                    </w:rPr>
                    <w:t>+3,1</w:t>
                  </w:r>
                </w:p>
              </w:tc>
              <w:tc>
                <w:tcPr>
                  <w:tcW w:w="700" w:type="dxa"/>
                  <w:tcBorders>
                    <w:top w:val="nil"/>
                    <w:left w:val="nil"/>
                    <w:bottom w:val="nil"/>
                    <w:right w:val="nil"/>
                  </w:tcBorders>
                  <w:noWrap/>
                  <w:vAlign w:val="bottom"/>
                  <w:hideMark/>
                </w:tcPr>
                <w:p w14:paraId="2F95DDE6" w14:textId="77777777" w:rsidR="00605D96" w:rsidRPr="00134180" w:rsidRDefault="00605D96" w:rsidP="008B207B">
                  <w:pPr>
                    <w:spacing w:after="0" w:line="240" w:lineRule="auto"/>
                    <w:jc w:val="right"/>
                    <w:rPr>
                      <w:rFonts w:cs="Arial"/>
                      <w:color w:val="000000"/>
                      <w:sz w:val="16"/>
                      <w:szCs w:val="16"/>
                    </w:rPr>
                  </w:pPr>
                  <w:r w:rsidRPr="00134180">
                    <w:rPr>
                      <w:rFonts w:cs="Arial"/>
                      <w:color w:val="000000"/>
                      <w:sz w:val="16"/>
                      <w:szCs w:val="16"/>
                    </w:rPr>
                    <w:t>+16,1</w:t>
                  </w:r>
                </w:p>
              </w:tc>
            </w:tr>
            <w:tr w:rsidR="00605D96" w:rsidRPr="00134180" w14:paraId="75695668" w14:textId="77777777" w:rsidTr="008B207B">
              <w:trPr>
                <w:trHeight w:val="255"/>
              </w:trPr>
              <w:tc>
                <w:tcPr>
                  <w:tcW w:w="3362" w:type="dxa"/>
                  <w:tcBorders>
                    <w:top w:val="nil"/>
                    <w:left w:val="nil"/>
                    <w:bottom w:val="nil"/>
                    <w:right w:val="nil"/>
                  </w:tcBorders>
                  <w:noWrap/>
                  <w:vAlign w:val="bottom"/>
                  <w:hideMark/>
                </w:tcPr>
                <w:p w14:paraId="61DE8C20" w14:textId="77777777" w:rsidR="00605D96" w:rsidRPr="00134180" w:rsidRDefault="00605D96" w:rsidP="008B207B">
                  <w:pPr>
                    <w:spacing w:after="0" w:line="240" w:lineRule="auto"/>
                    <w:jc w:val="left"/>
                    <w:rPr>
                      <w:rFonts w:cs="Arial"/>
                      <w:color w:val="000000"/>
                      <w:sz w:val="16"/>
                      <w:szCs w:val="16"/>
                    </w:rPr>
                  </w:pPr>
                  <w:r w:rsidRPr="00134180">
                    <w:rPr>
                      <w:rFonts w:cs="Arial"/>
                      <w:color w:val="000000"/>
                      <w:sz w:val="16"/>
                      <w:szCs w:val="16"/>
                    </w:rPr>
                    <w:t>Švédsko</w:t>
                  </w:r>
                </w:p>
              </w:tc>
              <w:tc>
                <w:tcPr>
                  <w:tcW w:w="700" w:type="dxa"/>
                  <w:tcBorders>
                    <w:top w:val="nil"/>
                    <w:left w:val="nil"/>
                    <w:bottom w:val="nil"/>
                    <w:right w:val="nil"/>
                  </w:tcBorders>
                  <w:noWrap/>
                  <w:vAlign w:val="bottom"/>
                  <w:hideMark/>
                </w:tcPr>
                <w:p w14:paraId="31B28F1A" w14:textId="77777777" w:rsidR="00605D96" w:rsidRPr="00134180" w:rsidRDefault="00605D96" w:rsidP="008B207B">
                  <w:pPr>
                    <w:spacing w:after="0" w:line="240" w:lineRule="auto"/>
                    <w:jc w:val="right"/>
                    <w:rPr>
                      <w:rFonts w:cs="Arial"/>
                      <w:color w:val="000000"/>
                      <w:sz w:val="16"/>
                      <w:szCs w:val="16"/>
                    </w:rPr>
                  </w:pPr>
                  <w:r w:rsidRPr="00134180">
                    <w:rPr>
                      <w:rFonts w:cs="Arial"/>
                      <w:color w:val="000000"/>
                      <w:sz w:val="16"/>
                      <w:szCs w:val="16"/>
                    </w:rPr>
                    <w:t>+2,1</w:t>
                  </w:r>
                </w:p>
              </w:tc>
              <w:tc>
                <w:tcPr>
                  <w:tcW w:w="700" w:type="dxa"/>
                  <w:tcBorders>
                    <w:top w:val="nil"/>
                    <w:left w:val="nil"/>
                    <w:bottom w:val="nil"/>
                    <w:right w:val="nil"/>
                  </w:tcBorders>
                  <w:noWrap/>
                  <w:vAlign w:val="bottom"/>
                  <w:hideMark/>
                </w:tcPr>
                <w:p w14:paraId="2A28AC5E" w14:textId="77777777" w:rsidR="00605D96" w:rsidRPr="00134180" w:rsidRDefault="00605D96" w:rsidP="008B207B">
                  <w:pPr>
                    <w:spacing w:after="0" w:line="240" w:lineRule="auto"/>
                    <w:jc w:val="right"/>
                    <w:rPr>
                      <w:rFonts w:cs="Arial"/>
                      <w:color w:val="000000"/>
                      <w:sz w:val="16"/>
                      <w:szCs w:val="16"/>
                    </w:rPr>
                  </w:pPr>
                  <w:r w:rsidRPr="00134180">
                    <w:rPr>
                      <w:rFonts w:cs="Arial"/>
                      <w:color w:val="000000"/>
                      <w:sz w:val="16"/>
                      <w:szCs w:val="16"/>
                    </w:rPr>
                    <w:t>+12,5</w:t>
                  </w:r>
                </w:p>
              </w:tc>
            </w:tr>
            <w:tr w:rsidR="00605D96" w:rsidRPr="00134180" w14:paraId="0392CCC3" w14:textId="77777777" w:rsidTr="008B207B">
              <w:trPr>
                <w:trHeight w:val="255"/>
              </w:trPr>
              <w:tc>
                <w:tcPr>
                  <w:tcW w:w="3362" w:type="dxa"/>
                  <w:tcBorders>
                    <w:top w:val="nil"/>
                    <w:left w:val="nil"/>
                    <w:bottom w:val="nil"/>
                    <w:right w:val="nil"/>
                  </w:tcBorders>
                  <w:noWrap/>
                  <w:vAlign w:val="bottom"/>
                  <w:hideMark/>
                </w:tcPr>
                <w:p w14:paraId="6524BFD3" w14:textId="77777777" w:rsidR="00605D96" w:rsidRPr="00134180" w:rsidRDefault="00605D96" w:rsidP="008B207B">
                  <w:pPr>
                    <w:spacing w:after="0" w:line="240" w:lineRule="auto"/>
                    <w:jc w:val="left"/>
                    <w:rPr>
                      <w:rFonts w:cs="Arial"/>
                      <w:color w:val="000000"/>
                      <w:sz w:val="16"/>
                      <w:szCs w:val="16"/>
                    </w:rPr>
                  </w:pPr>
                  <w:r w:rsidRPr="00134180">
                    <w:rPr>
                      <w:rFonts w:cs="Arial"/>
                      <w:color w:val="000000"/>
                      <w:sz w:val="16"/>
                      <w:szCs w:val="16"/>
                    </w:rPr>
                    <w:t>Rakousko</w:t>
                  </w:r>
                </w:p>
              </w:tc>
              <w:tc>
                <w:tcPr>
                  <w:tcW w:w="700" w:type="dxa"/>
                  <w:tcBorders>
                    <w:top w:val="nil"/>
                    <w:left w:val="nil"/>
                    <w:bottom w:val="nil"/>
                    <w:right w:val="nil"/>
                  </w:tcBorders>
                  <w:noWrap/>
                  <w:vAlign w:val="bottom"/>
                  <w:hideMark/>
                </w:tcPr>
                <w:p w14:paraId="4DDFFF28" w14:textId="77777777" w:rsidR="00605D96" w:rsidRPr="00134180" w:rsidRDefault="00605D96" w:rsidP="008B207B">
                  <w:pPr>
                    <w:spacing w:after="0" w:line="240" w:lineRule="auto"/>
                    <w:jc w:val="right"/>
                    <w:rPr>
                      <w:rFonts w:cs="Arial"/>
                      <w:color w:val="000000"/>
                      <w:sz w:val="16"/>
                      <w:szCs w:val="16"/>
                    </w:rPr>
                  </w:pPr>
                  <w:r w:rsidRPr="00134180">
                    <w:rPr>
                      <w:rFonts w:cs="Arial"/>
                      <w:color w:val="000000"/>
                      <w:sz w:val="16"/>
                      <w:szCs w:val="16"/>
                    </w:rPr>
                    <w:t>+1,8</w:t>
                  </w:r>
                </w:p>
              </w:tc>
              <w:tc>
                <w:tcPr>
                  <w:tcW w:w="700" w:type="dxa"/>
                  <w:tcBorders>
                    <w:top w:val="nil"/>
                    <w:left w:val="nil"/>
                    <w:bottom w:val="nil"/>
                    <w:right w:val="nil"/>
                  </w:tcBorders>
                  <w:noWrap/>
                  <w:vAlign w:val="bottom"/>
                  <w:hideMark/>
                </w:tcPr>
                <w:p w14:paraId="254C84E3" w14:textId="77777777" w:rsidR="00605D96" w:rsidRPr="00134180" w:rsidRDefault="00605D96" w:rsidP="008B207B">
                  <w:pPr>
                    <w:spacing w:after="0" w:line="240" w:lineRule="auto"/>
                    <w:jc w:val="right"/>
                    <w:rPr>
                      <w:rFonts w:cs="Arial"/>
                      <w:color w:val="000000"/>
                      <w:sz w:val="16"/>
                      <w:szCs w:val="16"/>
                    </w:rPr>
                  </w:pPr>
                  <w:r w:rsidRPr="00134180">
                    <w:rPr>
                      <w:rFonts w:cs="Arial"/>
                      <w:color w:val="000000"/>
                      <w:sz w:val="16"/>
                      <w:szCs w:val="16"/>
                    </w:rPr>
                    <w:t>+4,1</w:t>
                  </w:r>
                </w:p>
              </w:tc>
            </w:tr>
            <w:tr w:rsidR="00605D96" w:rsidRPr="00134180" w14:paraId="74112112" w14:textId="77777777" w:rsidTr="008B207B">
              <w:trPr>
                <w:trHeight w:val="255"/>
              </w:trPr>
              <w:tc>
                <w:tcPr>
                  <w:tcW w:w="3362" w:type="dxa"/>
                  <w:tcBorders>
                    <w:top w:val="nil"/>
                    <w:left w:val="nil"/>
                    <w:bottom w:val="nil"/>
                    <w:right w:val="nil"/>
                  </w:tcBorders>
                  <w:noWrap/>
                  <w:vAlign w:val="bottom"/>
                  <w:hideMark/>
                </w:tcPr>
                <w:p w14:paraId="31C61594" w14:textId="77777777" w:rsidR="00605D96" w:rsidRPr="00134180" w:rsidRDefault="00605D96" w:rsidP="008B207B">
                  <w:pPr>
                    <w:spacing w:after="0" w:line="240" w:lineRule="auto"/>
                    <w:jc w:val="left"/>
                    <w:rPr>
                      <w:rFonts w:cs="Arial"/>
                      <w:color w:val="000000"/>
                      <w:sz w:val="16"/>
                      <w:szCs w:val="16"/>
                    </w:rPr>
                  </w:pPr>
                  <w:r w:rsidRPr="00134180">
                    <w:rPr>
                      <w:rFonts w:cs="Arial"/>
                      <w:color w:val="000000"/>
                      <w:sz w:val="16"/>
                      <w:szCs w:val="16"/>
                    </w:rPr>
                    <w:t>Norsko</w:t>
                  </w:r>
                </w:p>
              </w:tc>
              <w:tc>
                <w:tcPr>
                  <w:tcW w:w="700" w:type="dxa"/>
                  <w:tcBorders>
                    <w:top w:val="nil"/>
                    <w:left w:val="nil"/>
                    <w:bottom w:val="nil"/>
                    <w:right w:val="nil"/>
                  </w:tcBorders>
                  <w:noWrap/>
                  <w:vAlign w:val="bottom"/>
                  <w:hideMark/>
                </w:tcPr>
                <w:p w14:paraId="1736A636" w14:textId="77777777" w:rsidR="00605D96" w:rsidRPr="00134180" w:rsidRDefault="00605D96" w:rsidP="008B207B">
                  <w:pPr>
                    <w:spacing w:after="0" w:line="240" w:lineRule="auto"/>
                    <w:jc w:val="right"/>
                    <w:rPr>
                      <w:rFonts w:cs="Arial"/>
                      <w:color w:val="000000"/>
                      <w:sz w:val="16"/>
                      <w:szCs w:val="16"/>
                    </w:rPr>
                  </w:pPr>
                  <w:r w:rsidRPr="00134180">
                    <w:rPr>
                      <w:rFonts w:cs="Arial"/>
                      <w:color w:val="000000"/>
                      <w:sz w:val="16"/>
                      <w:szCs w:val="16"/>
                    </w:rPr>
                    <w:t>+1,4</w:t>
                  </w:r>
                </w:p>
              </w:tc>
              <w:tc>
                <w:tcPr>
                  <w:tcW w:w="700" w:type="dxa"/>
                  <w:tcBorders>
                    <w:top w:val="nil"/>
                    <w:left w:val="nil"/>
                    <w:bottom w:val="nil"/>
                    <w:right w:val="nil"/>
                  </w:tcBorders>
                  <w:noWrap/>
                  <w:vAlign w:val="bottom"/>
                  <w:hideMark/>
                </w:tcPr>
                <w:p w14:paraId="2693181F" w14:textId="77777777" w:rsidR="00605D96" w:rsidRPr="00134180" w:rsidRDefault="00605D96" w:rsidP="008B207B">
                  <w:pPr>
                    <w:spacing w:after="0" w:line="240" w:lineRule="auto"/>
                    <w:jc w:val="right"/>
                    <w:rPr>
                      <w:rFonts w:cs="Arial"/>
                      <w:color w:val="000000"/>
                      <w:sz w:val="16"/>
                      <w:szCs w:val="16"/>
                    </w:rPr>
                  </w:pPr>
                  <w:r w:rsidRPr="00134180">
                    <w:rPr>
                      <w:rFonts w:cs="Arial"/>
                      <w:color w:val="000000"/>
                      <w:sz w:val="16"/>
                      <w:szCs w:val="16"/>
                    </w:rPr>
                    <w:t>+26,6</w:t>
                  </w:r>
                </w:p>
              </w:tc>
            </w:tr>
            <w:tr w:rsidR="00605D96" w:rsidRPr="00134180" w14:paraId="13166A71" w14:textId="77777777" w:rsidTr="008B207B">
              <w:trPr>
                <w:trHeight w:val="255"/>
              </w:trPr>
              <w:tc>
                <w:tcPr>
                  <w:tcW w:w="3362" w:type="dxa"/>
                  <w:tcBorders>
                    <w:top w:val="nil"/>
                    <w:left w:val="nil"/>
                    <w:bottom w:val="nil"/>
                    <w:right w:val="nil"/>
                  </w:tcBorders>
                  <w:noWrap/>
                  <w:vAlign w:val="bottom"/>
                  <w:hideMark/>
                </w:tcPr>
                <w:p w14:paraId="502E9823" w14:textId="77777777" w:rsidR="00605D96" w:rsidRPr="00134180" w:rsidRDefault="00605D96" w:rsidP="008B207B">
                  <w:pPr>
                    <w:spacing w:after="0" w:line="240" w:lineRule="auto"/>
                    <w:jc w:val="left"/>
                    <w:rPr>
                      <w:rFonts w:cs="Arial"/>
                      <w:color w:val="000000"/>
                      <w:sz w:val="16"/>
                      <w:szCs w:val="16"/>
                    </w:rPr>
                  </w:pPr>
                  <w:r w:rsidRPr="00134180">
                    <w:rPr>
                      <w:rFonts w:cs="Arial"/>
                      <w:color w:val="000000"/>
                      <w:sz w:val="16"/>
                      <w:szCs w:val="16"/>
                    </w:rPr>
                    <w:t>Jižní Korea</w:t>
                  </w:r>
                </w:p>
              </w:tc>
              <w:tc>
                <w:tcPr>
                  <w:tcW w:w="700" w:type="dxa"/>
                  <w:tcBorders>
                    <w:top w:val="nil"/>
                    <w:left w:val="nil"/>
                    <w:bottom w:val="nil"/>
                    <w:right w:val="nil"/>
                  </w:tcBorders>
                  <w:noWrap/>
                  <w:vAlign w:val="bottom"/>
                  <w:hideMark/>
                </w:tcPr>
                <w:p w14:paraId="268F666F" w14:textId="77777777" w:rsidR="00605D96" w:rsidRPr="00134180" w:rsidRDefault="00605D96" w:rsidP="008B207B">
                  <w:pPr>
                    <w:spacing w:after="0" w:line="240" w:lineRule="auto"/>
                    <w:jc w:val="right"/>
                    <w:rPr>
                      <w:rFonts w:cs="Arial"/>
                      <w:color w:val="000000"/>
                      <w:sz w:val="16"/>
                      <w:szCs w:val="16"/>
                    </w:rPr>
                  </w:pPr>
                  <w:r w:rsidRPr="00134180">
                    <w:rPr>
                      <w:rFonts w:cs="Arial"/>
                      <w:color w:val="000000"/>
                      <w:sz w:val="16"/>
                      <w:szCs w:val="16"/>
                    </w:rPr>
                    <w:t>+1,2</w:t>
                  </w:r>
                </w:p>
              </w:tc>
              <w:tc>
                <w:tcPr>
                  <w:tcW w:w="700" w:type="dxa"/>
                  <w:tcBorders>
                    <w:top w:val="nil"/>
                    <w:left w:val="nil"/>
                    <w:bottom w:val="nil"/>
                    <w:right w:val="nil"/>
                  </w:tcBorders>
                  <w:noWrap/>
                  <w:vAlign w:val="bottom"/>
                  <w:hideMark/>
                </w:tcPr>
                <w:p w14:paraId="6659837E" w14:textId="77777777" w:rsidR="00605D96" w:rsidRPr="00134180" w:rsidRDefault="00605D96" w:rsidP="008B207B">
                  <w:pPr>
                    <w:spacing w:after="0" w:line="240" w:lineRule="auto"/>
                    <w:jc w:val="right"/>
                    <w:rPr>
                      <w:rFonts w:cs="Arial"/>
                      <w:color w:val="000000"/>
                      <w:sz w:val="16"/>
                      <w:szCs w:val="16"/>
                    </w:rPr>
                  </w:pPr>
                  <w:r w:rsidRPr="00134180">
                    <w:rPr>
                      <w:rFonts w:cs="Arial"/>
                      <w:color w:val="000000"/>
                      <w:sz w:val="16"/>
                      <w:szCs w:val="16"/>
                    </w:rPr>
                    <w:t>+29,6</w:t>
                  </w:r>
                </w:p>
              </w:tc>
            </w:tr>
            <w:tr w:rsidR="00605D96" w:rsidRPr="00134180" w14:paraId="46B6735D" w14:textId="77777777" w:rsidTr="008B207B">
              <w:trPr>
                <w:trHeight w:val="255"/>
              </w:trPr>
              <w:tc>
                <w:tcPr>
                  <w:tcW w:w="3362" w:type="dxa"/>
                  <w:tcBorders>
                    <w:top w:val="nil"/>
                    <w:left w:val="nil"/>
                    <w:bottom w:val="nil"/>
                    <w:right w:val="nil"/>
                  </w:tcBorders>
                  <w:noWrap/>
                  <w:vAlign w:val="bottom"/>
                  <w:hideMark/>
                </w:tcPr>
                <w:p w14:paraId="5DFE3994" w14:textId="77777777" w:rsidR="00605D96" w:rsidRPr="00134180" w:rsidRDefault="00605D96" w:rsidP="008B207B">
                  <w:pPr>
                    <w:spacing w:after="0" w:line="240" w:lineRule="auto"/>
                    <w:jc w:val="left"/>
                    <w:rPr>
                      <w:rFonts w:cs="Arial"/>
                      <w:color w:val="000000"/>
                      <w:sz w:val="16"/>
                      <w:szCs w:val="16"/>
                    </w:rPr>
                  </w:pPr>
                  <w:r w:rsidRPr="00134180">
                    <w:rPr>
                      <w:rFonts w:cs="Arial"/>
                      <w:color w:val="000000"/>
                      <w:sz w:val="16"/>
                      <w:szCs w:val="16"/>
                    </w:rPr>
                    <w:t>Singapur</w:t>
                  </w:r>
                </w:p>
              </w:tc>
              <w:tc>
                <w:tcPr>
                  <w:tcW w:w="700" w:type="dxa"/>
                  <w:tcBorders>
                    <w:top w:val="nil"/>
                    <w:left w:val="nil"/>
                    <w:bottom w:val="nil"/>
                    <w:right w:val="nil"/>
                  </w:tcBorders>
                  <w:noWrap/>
                  <w:vAlign w:val="bottom"/>
                  <w:hideMark/>
                </w:tcPr>
                <w:p w14:paraId="7CF3DC5F" w14:textId="77777777" w:rsidR="00605D96" w:rsidRPr="00134180" w:rsidRDefault="00605D96" w:rsidP="008B207B">
                  <w:pPr>
                    <w:spacing w:after="0" w:line="240" w:lineRule="auto"/>
                    <w:jc w:val="right"/>
                    <w:rPr>
                      <w:rFonts w:cs="Arial"/>
                      <w:color w:val="000000"/>
                      <w:sz w:val="16"/>
                      <w:szCs w:val="16"/>
                    </w:rPr>
                  </w:pPr>
                  <w:r w:rsidRPr="00134180">
                    <w:rPr>
                      <w:rFonts w:cs="Arial"/>
                      <w:color w:val="000000"/>
                      <w:sz w:val="16"/>
                      <w:szCs w:val="16"/>
                    </w:rPr>
                    <w:t>+1,1</w:t>
                  </w:r>
                </w:p>
              </w:tc>
              <w:tc>
                <w:tcPr>
                  <w:tcW w:w="700" w:type="dxa"/>
                  <w:tcBorders>
                    <w:top w:val="nil"/>
                    <w:left w:val="nil"/>
                    <w:bottom w:val="nil"/>
                    <w:right w:val="nil"/>
                  </w:tcBorders>
                  <w:noWrap/>
                  <w:vAlign w:val="bottom"/>
                  <w:hideMark/>
                </w:tcPr>
                <w:p w14:paraId="325A2126" w14:textId="77777777" w:rsidR="00605D96" w:rsidRPr="00134180" w:rsidRDefault="00605D96" w:rsidP="008B207B">
                  <w:pPr>
                    <w:spacing w:after="0" w:line="240" w:lineRule="auto"/>
                    <w:jc w:val="right"/>
                    <w:rPr>
                      <w:rFonts w:cs="Arial"/>
                      <w:color w:val="000000"/>
                      <w:sz w:val="16"/>
                      <w:szCs w:val="16"/>
                    </w:rPr>
                  </w:pPr>
                  <w:r w:rsidRPr="00134180">
                    <w:rPr>
                      <w:rFonts w:cs="Arial"/>
                      <w:color w:val="000000"/>
                      <w:sz w:val="16"/>
                      <w:szCs w:val="16"/>
                    </w:rPr>
                    <w:t>+30,0</w:t>
                  </w:r>
                </w:p>
              </w:tc>
            </w:tr>
            <w:tr w:rsidR="00605D96" w:rsidRPr="00134180" w14:paraId="5105539C" w14:textId="77777777" w:rsidTr="008B207B">
              <w:trPr>
                <w:trHeight w:val="255"/>
              </w:trPr>
              <w:tc>
                <w:tcPr>
                  <w:tcW w:w="3362" w:type="dxa"/>
                  <w:tcBorders>
                    <w:top w:val="nil"/>
                    <w:left w:val="nil"/>
                    <w:bottom w:val="nil"/>
                    <w:right w:val="nil"/>
                  </w:tcBorders>
                  <w:noWrap/>
                  <w:vAlign w:val="bottom"/>
                  <w:hideMark/>
                </w:tcPr>
                <w:p w14:paraId="60749857" w14:textId="77777777" w:rsidR="00605D96" w:rsidRPr="00134180" w:rsidRDefault="00605D96" w:rsidP="008B207B">
                  <w:pPr>
                    <w:spacing w:after="0" w:line="240" w:lineRule="auto"/>
                    <w:jc w:val="left"/>
                    <w:rPr>
                      <w:rFonts w:cs="Arial"/>
                      <w:color w:val="000000"/>
                      <w:sz w:val="16"/>
                      <w:szCs w:val="16"/>
                    </w:rPr>
                  </w:pPr>
                  <w:r w:rsidRPr="00134180">
                    <w:rPr>
                      <w:rFonts w:cs="Arial"/>
                      <w:color w:val="000000"/>
                      <w:sz w:val="16"/>
                      <w:szCs w:val="16"/>
                    </w:rPr>
                    <w:t>Belgie</w:t>
                  </w:r>
                </w:p>
              </w:tc>
              <w:tc>
                <w:tcPr>
                  <w:tcW w:w="700" w:type="dxa"/>
                  <w:tcBorders>
                    <w:top w:val="nil"/>
                    <w:left w:val="nil"/>
                    <w:bottom w:val="nil"/>
                    <w:right w:val="nil"/>
                  </w:tcBorders>
                  <w:noWrap/>
                  <w:vAlign w:val="bottom"/>
                  <w:hideMark/>
                </w:tcPr>
                <w:p w14:paraId="74052E79" w14:textId="77777777" w:rsidR="00605D96" w:rsidRPr="00134180" w:rsidRDefault="00605D96" w:rsidP="008B207B">
                  <w:pPr>
                    <w:spacing w:after="0" w:line="240" w:lineRule="auto"/>
                    <w:jc w:val="right"/>
                    <w:rPr>
                      <w:rFonts w:cs="Arial"/>
                      <w:color w:val="000000"/>
                      <w:sz w:val="16"/>
                      <w:szCs w:val="16"/>
                    </w:rPr>
                  </w:pPr>
                  <w:r>
                    <w:rPr>
                      <w:rFonts w:cs="Arial"/>
                      <w:color w:val="000000"/>
                      <w:sz w:val="16"/>
                      <w:szCs w:val="16"/>
                    </w:rPr>
                    <w:t>−</w:t>
                  </w:r>
                  <w:r w:rsidRPr="00134180">
                    <w:rPr>
                      <w:rFonts w:cs="Arial"/>
                      <w:color w:val="000000"/>
                      <w:sz w:val="16"/>
                      <w:szCs w:val="16"/>
                    </w:rPr>
                    <w:t>1,1</w:t>
                  </w:r>
                </w:p>
              </w:tc>
              <w:tc>
                <w:tcPr>
                  <w:tcW w:w="700" w:type="dxa"/>
                  <w:tcBorders>
                    <w:top w:val="nil"/>
                    <w:left w:val="nil"/>
                    <w:bottom w:val="nil"/>
                    <w:right w:val="nil"/>
                  </w:tcBorders>
                  <w:noWrap/>
                  <w:vAlign w:val="bottom"/>
                  <w:hideMark/>
                </w:tcPr>
                <w:p w14:paraId="05D4D53E" w14:textId="77777777" w:rsidR="00605D96" w:rsidRPr="00134180" w:rsidRDefault="00605D96" w:rsidP="008B207B">
                  <w:pPr>
                    <w:spacing w:after="0" w:line="240" w:lineRule="auto"/>
                    <w:jc w:val="right"/>
                    <w:rPr>
                      <w:rFonts w:cs="Arial"/>
                      <w:color w:val="000000"/>
                      <w:sz w:val="16"/>
                      <w:szCs w:val="16"/>
                    </w:rPr>
                  </w:pPr>
                  <w:r>
                    <w:rPr>
                      <w:rFonts w:cs="Arial"/>
                      <w:color w:val="000000"/>
                      <w:sz w:val="16"/>
                      <w:szCs w:val="16"/>
                    </w:rPr>
                    <w:t>−</w:t>
                  </w:r>
                  <w:r w:rsidRPr="00134180">
                    <w:rPr>
                      <w:rFonts w:cs="Arial"/>
                      <w:color w:val="000000"/>
                      <w:sz w:val="16"/>
                      <w:szCs w:val="16"/>
                    </w:rPr>
                    <w:t>4,0</w:t>
                  </w:r>
                </w:p>
              </w:tc>
            </w:tr>
            <w:tr w:rsidR="00605D96" w:rsidRPr="00134180" w14:paraId="5F6FFD9C" w14:textId="77777777" w:rsidTr="008B207B">
              <w:trPr>
                <w:trHeight w:val="255"/>
              </w:trPr>
              <w:tc>
                <w:tcPr>
                  <w:tcW w:w="3362" w:type="dxa"/>
                  <w:tcBorders>
                    <w:top w:val="nil"/>
                    <w:left w:val="nil"/>
                    <w:bottom w:val="nil"/>
                    <w:right w:val="nil"/>
                  </w:tcBorders>
                  <w:noWrap/>
                  <w:vAlign w:val="bottom"/>
                  <w:hideMark/>
                </w:tcPr>
                <w:p w14:paraId="54656854" w14:textId="77777777" w:rsidR="00605D96" w:rsidRPr="00134180" w:rsidRDefault="00605D96" w:rsidP="008B207B">
                  <w:pPr>
                    <w:spacing w:after="0" w:line="240" w:lineRule="auto"/>
                    <w:jc w:val="left"/>
                    <w:rPr>
                      <w:rFonts w:cs="Arial"/>
                      <w:color w:val="000000"/>
                      <w:sz w:val="16"/>
                      <w:szCs w:val="16"/>
                    </w:rPr>
                  </w:pPr>
                  <w:r w:rsidRPr="00134180">
                    <w:rPr>
                      <w:rFonts w:cs="Arial"/>
                      <w:color w:val="000000"/>
                      <w:sz w:val="16"/>
                      <w:szCs w:val="16"/>
                    </w:rPr>
                    <w:t>Izrael</w:t>
                  </w:r>
                </w:p>
              </w:tc>
              <w:tc>
                <w:tcPr>
                  <w:tcW w:w="700" w:type="dxa"/>
                  <w:tcBorders>
                    <w:top w:val="nil"/>
                    <w:left w:val="nil"/>
                    <w:bottom w:val="nil"/>
                    <w:right w:val="nil"/>
                  </w:tcBorders>
                  <w:noWrap/>
                  <w:vAlign w:val="bottom"/>
                  <w:hideMark/>
                </w:tcPr>
                <w:p w14:paraId="5160447E" w14:textId="77777777" w:rsidR="00605D96" w:rsidRPr="00134180" w:rsidRDefault="00605D96" w:rsidP="008B207B">
                  <w:pPr>
                    <w:spacing w:after="0" w:line="240" w:lineRule="auto"/>
                    <w:jc w:val="right"/>
                    <w:rPr>
                      <w:rFonts w:cs="Arial"/>
                      <w:color w:val="000000"/>
                      <w:sz w:val="16"/>
                      <w:szCs w:val="16"/>
                    </w:rPr>
                  </w:pPr>
                  <w:r>
                    <w:rPr>
                      <w:rFonts w:cs="Arial"/>
                      <w:color w:val="000000"/>
                      <w:sz w:val="16"/>
                      <w:szCs w:val="16"/>
                    </w:rPr>
                    <w:t>−</w:t>
                  </w:r>
                  <w:r w:rsidRPr="00134180">
                    <w:rPr>
                      <w:rFonts w:cs="Arial"/>
                      <w:color w:val="000000"/>
                      <w:sz w:val="16"/>
                      <w:szCs w:val="16"/>
                    </w:rPr>
                    <w:t>1,4</w:t>
                  </w:r>
                </w:p>
              </w:tc>
              <w:tc>
                <w:tcPr>
                  <w:tcW w:w="700" w:type="dxa"/>
                  <w:tcBorders>
                    <w:top w:val="nil"/>
                    <w:left w:val="nil"/>
                    <w:bottom w:val="nil"/>
                    <w:right w:val="nil"/>
                  </w:tcBorders>
                  <w:noWrap/>
                  <w:vAlign w:val="bottom"/>
                  <w:hideMark/>
                </w:tcPr>
                <w:p w14:paraId="753077C7" w14:textId="77777777" w:rsidR="00605D96" w:rsidRPr="00134180" w:rsidRDefault="00605D96" w:rsidP="008B207B">
                  <w:pPr>
                    <w:spacing w:after="0" w:line="240" w:lineRule="auto"/>
                    <w:jc w:val="right"/>
                    <w:rPr>
                      <w:rFonts w:cs="Arial"/>
                      <w:color w:val="000000"/>
                      <w:sz w:val="16"/>
                      <w:szCs w:val="16"/>
                    </w:rPr>
                  </w:pPr>
                  <w:r>
                    <w:rPr>
                      <w:rFonts w:cs="Arial"/>
                      <w:color w:val="000000"/>
                      <w:sz w:val="16"/>
                      <w:szCs w:val="16"/>
                    </w:rPr>
                    <w:t>−</w:t>
                  </w:r>
                  <w:r w:rsidRPr="00134180">
                    <w:rPr>
                      <w:rFonts w:cs="Arial"/>
                      <w:color w:val="000000"/>
                      <w:sz w:val="16"/>
                      <w:szCs w:val="16"/>
                    </w:rPr>
                    <w:t>18,4</w:t>
                  </w:r>
                </w:p>
              </w:tc>
            </w:tr>
            <w:tr w:rsidR="00605D96" w:rsidRPr="00134180" w14:paraId="7DB7625B" w14:textId="77777777" w:rsidTr="008B207B">
              <w:trPr>
                <w:trHeight w:val="255"/>
              </w:trPr>
              <w:tc>
                <w:tcPr>
                  <w:tcW w:w="3362" w:type="dxa"/>
                  <w:tcBorders>
                    <w:top w:val="nil"/>
                    <w:left w:val="nil"/>
                    <w:bottom w:val="nil"/>
                    <w:right w:val="nil"/>
                  </w:tcBorders>
                  <w:noWrap/>
                  <w:vAlign w:val="bottom"/>
                  <w:hideMark/>
                </w:tcPr>
                <w:p w14:paraId="66612E4C" w14:textId="77777777" w:rsidR="00605D96" w:rsidRPr="00134180" w:rsidRDefault="00605D96" w:rsidP="008B207B">
                  <w:pPr>
                    <w:spacing w:after="0" w:line="240" w:lineRule="auto"/>
                    <w:jc w:val="left"/>
                    <w:rPr>
                      <w:rFonts w:cs="Arial"/>
                      <w:color w:val="000000"/>
                      <w:sz w:val="16"/>
                      <w:szCs w:val="16"/>
                    </w:rPr>
                  </w:pPr>
                  <w:r w:rsidRPr="00134180">
                    <w:rPr>
                      <w:rFonts w:cs="Arial"/>
                      <w:color w:val="000000"/>
                      <w:sz w:val="16"/>
                      <w:szCs w:val="16"/>
                    </w:rPr>
                    <w:t>Nizozemsko</w:t>
                  </w:r>
                </w:p>
              </w:tc>
              <w:tc>
                <w:tcPr>
                  <w:tcW w:w="700" w:type="dxa"/>
                  <w:tcBorders>
                    <w:top w:val="nil"/>
                    <w:left w:val="nil"/>
                    <w:bottom w:val="nil"/>
                    <w:right w:val="nil"/>
                  </w:tcBorders>
                  <w:noWrap/>
                  <w:vAlign w:val="bottom"/>
                  <w:hideMark/>
                </w:tcPr>
                <w:p w14:paraId="393A17A4" w14:textId="77777777" w:rsidR="00605D96" w:rsidRPr="00134180" w:rsidRDefault="00605D96" w:rsidP="008B207B">
                  <w:pPr>
                    <w:spacing w:after="0" w:line="240" w:lineRule="auto"/>
                    <w:jc w:val="right"/>
                    <w:rPr>
                      <w:rFonts w:cs="Arial"/>
                      <w:color w:val="000000"/>
                      <w:sz w:val="16"/>
                      <w:szCs w:val="16"/>
                    </w:rPr>
                  </w:pPr>
                  <w:r>
                    <w:rPr>
                      <w:rFonts w:cs="Arial"/>
                      <w:color w:val="000000"/>
                      <w:sz w:val="16"/>
                      <w:szCs w:val="16"/>
                    </w:rPr>
                    <w:t>−</w:t>
                  </w:r>
                  <w:r w:rsidRPr="00134180">
                    <w:rPr>
                      <w:rFonts w:cs="Arial"/>
                      <w:color w:val="000000"/>
                      <w:sz w:val="16"/>
                      <w:szCs w:val="16"/>
                    </w:rPr>
                    <w:t>1,5</w:t>
                  </w:r>
                </w:p>
              </w:tc>
              <w:tc>
                <w:tcPr>
                  <w:tcW w:w="700" w:type="dxa"/>
                  <w:tcBorders>
                    <w:top w:val="nil"/>
                    <w:left w:val="nil"/>
                    <w:bottom w:val="nil"/>
                    <w:right w:val="nil"/>
                  </w:tcBorders>
                  <w:noWrap/>
                  <w:vAlign w:val="bottom"/>
                  <w:hideMark/>
                </w:tcPr>
                <w:p w14:paraId="04A9B5FD" w14:textId="77777777" w:rsidR="00605D96" w:rsidRPr="00134180" w:rsidRDefault="00605D96" w:rsidP="008B207B">
                  <w:pPr>
                    <w:spacing w:after="0" w:line="240" w:lineRule="auto"/>
                    <w:jc w:val="right"/>
                    <w:rPr>
                      <w:rFonts w:cs="Arial"/>
                      <w:color w:val="000000"/>
                      <w:sz w:val="16"/>
                      <w:szCs w:val="16"/>
                    </w:rPr>
                  </w:pPr>
                  <w:r>
                    <w:rPr>
                      <w:rFonts w:cs="Arial"/>
                      <w:color w:val="000000"/>
                      <w:sz w:val="16"/>
                      <w:szCs w:val="16"/>
                    </w:rPr>
                    <w:t>−</w:t>
                  </w:r>
                  <w:r w:rsidRPr="00134180">
                    <w:rPr>
                      <w:rFonts w:cs="Arial"/>
                      <w:color w:val="000000"/>
                      <w:sz w:val="16"/>
                      <w:szCs w:val="16"/>
                    </w:rPr>
                    <w:t>3,9</w:t>
                  </w:r>
                </w:p>
              </w:tc>
            </w:tr>
            <w:tr w:rsidR="00605D96" w:rsidRPr="00134180" w14:paraId="1D7812D8" w14:textId="77777777" w:rsidTr="008B207B">
              <w:trPr>
                <w:trHeight w:val="255"/>
              </w:trPr>
              <w:tc>
                <w:tcPr>
                  <w:tcW w:w="3362" w:type="dxa"/>
                  <w:tcBorders>
                    <w:top w:val="nil"/>
                    <w:left w:val="nil"/>
                    <w:bottom w:val="nil"/>
                    <w:right w:val="nil"/>
                  </w:tcBorders>
                  <w:noWrap/>
                  <w:vAlign w:val="bottom"/>
                  <w:hideMark/>
                </w:tcPr>
                <w:p w14:paraId="7F4526C7" w14:textId="77777777" w:rsidR="00605D96" w:rsidRPr="00134180" w:rsidRDefault="00605D96" w:rsidP="008B207B">
                  <w:pPr>
                    <w:spacing w:after="0" w:line="240" w:lineRule="auto"/>
                    <w:jc w:val="left"/>
                    <w:rPr>
                      <w:rFonts w:cs="Arial"/>
                      <w:color w:val="000000"/>
                      <w:sz w:val="16"/>
                      <w:szCs w:val="16"/>
                    </w:rPr>
                  </w:pPr>
                  <w:r w:rsidRPr="00134180">
                    <w:rPr>
                      <w:rFonts w:cs="Arial"/>
                      <w:color w:val="000000"/>
                      <w:sz w:val="16"/>
                      <w:szCs w:val="16"/>
                    </w:rPr>
                    <w:t>Velká Británie</w:t>
                  </w:r>
                </w:p>
              </w:tc>
              <w:tc>
                <w:tcPr>
                  <w:tcW w:w="700" w:type="dxa"/>
                  <w:tcBorders>
                    <w:top w:val="nil"/>
                    <w:left w:val="nil"/>
                    <w:bottom w:val="nil"/>
                    <w:right w:val="nil"/>
                  </w:tcBorders>
                  <w:noWrap/>
                  <w:vAlign w:val="bottom"/>
                  <w:hideMark/>
                </w:tcPr>
                <w:p w14:paraId="1AEDABE3" w14:textId="77777777" w:rsidR="00605D96" w:rsidRPr="00134180" w:rsidRDefault="00605D96" w:rsidP="008B207B">
                  <w:pPr>
                    <w:spacing w:after="0" w:line="240" w:lineRule="auto"/>
                    <w:jc w:val="right"/>
                    <w:rPr>
                      <w:rFonts w:cs="Arial"/>
                      <w:color w:val="000000"/>
                      <w:sz w:val="16"/>
                      <w:szCs w:val="16"/>
                    </w:rPr>
                  </w:pPr>
                  <w:r>
                    <w:rPr>
                      <w:rFonts w:cs="Arial"/>
                      <w:color w:val="000000"/>
                      <w:sz w:val="16"/>
                      <w:szCs w:val="16"/>
                    </w:rPr>
                    <w:t>−</w:t>
                  </w:r>
                  <w:r w:rsidRPr="00134180">
                    <w:rPr>
                      <w:rFonts w:cs="Arial"/>
                      <w:color w:val="000000"/>
                      <w:sz w:val="16"/>
                      <w:szCs w:val="16"/>
                    </w:rPr>
                    <w:t>2,3</w:t>
                  </w:r>
                </w:p>
              </w:tc>
              <w:tc>
                <w:tcPr>
                  <w:tcW w:w="700" w:type="dxa"/>
                  <w:tcBorders>
                    <w:top w:val="nil"/>
                    <w:left w:val="nil"/>
                    <w:bottom w:val="nil"/>
                    <w:right w:val="nil"/>
                  </w:tcBorders>
                  <w:noWrap/>
                  <w:vAlign w:val="bottom"/>
                  <w:hideMark/>
                </w:tcPr>
                <w:p w14:paraId="2AE7E63A" w14:textId="77777777" w:rsidR="00605D96" w:rsidRPr="00134180" w:rsidRDefault="00605D96" w:rsidP="008B207B">
                  <w:pPr>
                    <w:spacing w:after="0" w:line="240" w:lineRule="auto"/>
                    <w:jc w:val="right"/>
                    <w:rPr>
                      <w:rFonts w:cs="Arial"/>
                      <w:color w:val="000000"/>
                      <w:sz w:val="16"/>
                      <w:szCs w:val="16"/>
                    </w:rPr>
                  </w:pPr>
                  <w:r>
                    <w:rPr>
                      <w:rFonts w:cs="Arial"/>
                      <w:color w:val="000000"/>
                      <w:sz w:val="16"/>
                      <w:szCs w:val="16"/>
                    </w:rPr>
                    <w:t>−</w:t>
                  </w:r>
                  <w:r w:rsidRPr="00134180">
                    <w:rPr>
                      <w:rFonts w:cs="Arial"/>
                      <w:color w:val="000000"/>
                      <w:sz w:val="16"/>
                      <w:szCs w:val="16"/>
                    </w:rPr>
                    <w:t>4,5</w:t>
                  </w:r>
                </w:p>
              </w:tc>
            </w:tr>
            <w:tr w:rsidR="00605D96" w:rsidRPr="00134180" w14:paraId="52223F08" w14:textId="77777777" w:rsidTr="008B207B">
              <w:trPr>
                <w:trHeight w:val="255"/>
              </w:trPr>
              <w:tc>
                <w:tcPr>
                  <w:tcW w:w="3362" w:type="dxa"/>
                  <w:tcBorders>
                    <w:top w:val="nil"/>
                    <w:left w:val="nil"/>
                    <w:bottom w:val="nil"/>
                    <w:right w:val="nil"/>
                  </w:tcBorders>
                  <w:noWrap/>
                  <w:vAlign w:val="bottom"/>
                  <w:hideMark/>
                </w:tcPr>
                <w:p w14:paraId="22779ECB" w14:textId="77777777" w:rsidR="00605D96" w:rsidRPr="00134180" w:rsidRDefault="00605D96" w:rsidP="008B207B">
                  <w:pPr>
                    <w:spacing w:after="0" w:line="240" w:lineRule="auto"/>
                    <w:jc w:val="left"/>
                    <w:rPr>
                      <w:rFonts w:cs="Arial"/>
                      <w:color w:val="000000"/>
                      <w:sz w:val="16"/>
                      <w:szCs w:val="16"/>
                    </w:rPr>
                  </w:pPr>
                  <w:r w:rsidRPr="00134180">
                    <w:rPr>
                      <w:rFonts w:cs="Arial"/>
                      <w:color w:val="000000"/>
                      <w:sz w:val="16"/>
                      <w:szCs w:val="16"/>
                    </w:rPr>
                    <w:t>Německo</w:t>
                  </w:r>
                </w:p>
              </w:tc>
              <w:tc>
                <w:tcPr>
                  <w:tcW w:w="700" w:type="dxa"/>
                  <w:tcBorders>
                    <w:top w:val="nil"/>
                    <w:left w:val="nil"/>
                    <w:bottom w:val="nil"/>
                    <w:right w:val="nil"/>
                  </w:tcBorders>
                  <w:noWrap/>
                  <w:vAlign w:val="bottom"/>
                  <w:hideMark/>
                </w:tcPr>
                <w:p w14:paraId="62139FAB" w14:textId="77777777" w:rsidR="00605D96" w:rsidRPr="00134180" w:rsidRDefault="00605D96" w:rsidP="008B207B">
                  <w:pPr>
                    <w:spacing w:after="0" w:line="240" w:lineRule="auto"/>
                    <w:jc w:val="right"/>
                    <w:rPr>
                      <w:rFonts w:cs="Arial"/>
                      <w:color w:val="000000"/>
                      <w:sz w:val="16"/>
                      <w:szCs w:val="16"/>
                    </w:rPr>
                  </w:pPr>
                  <w:r>
                    <w:rPr>
                      <w:rFonts w:cs="Arial"/>
                      <w:color w:val="000000"/>
                      <w:sz w:val="16"/>
                      <w:szCs w:val="16"/>
                    </w:rPr>
                    <w:t>−</w:t>
                  </w:r>
                  <w:r w:rsidRPr="00134180">
                    <w:rPr>
                      <w:rFonts w:cs="Arial"/>
                      <w:color w:val="000000"/>
                      <w:sz w:val="16"/>
                      <w:szCs w:val="16"/>
                    </w:rPr>
                    <w:t>2,6</w:t>
                  </w:r>
                </w:p>
              </w:tc>
              <w:tc>
                <w:tcPr>
                  <w:tcW w:w="700" w:type="dxa"/>
                  <w:tcBorders>
                    <w:top w:val="nil"/>
                    <w:left w:val="nil"/>
                    <w:bottom w:val="nil"/>
                    <w:right w:val="nil"/>
                  </w:tcBorders>
                  <w:noWrap/>
                  <w:vAlign w:val="bottom"/>
                  <w:hideMark/>
                </w:tcPr>
                <w:p w14:paraId="25E15FBB" w14:textId="77777777" w:rsidR="00605D96" w:rsidRPr="00134180" w:rsidRDefault="00605D96" w:rsidP="008B207B">
                  <w:pPr>
                    <w:spacing w:after="0" w:line="240" w:lineRule="auto"/>
                    <w:jc w:val="right"/>
                    <w:rPr>
                      <w:rFonts w:cs="Arial"/>
                      <w:color w:val="000000"/>
                      <w:sz w:val="16"/>
                      <w:szCs w:val="16"/>
                    </w:rPr>
                  </w:pPr>
                  <w:r>
                    <w:rPr>
                      <w:rFonts w:cs="Arial"/>
                      <w:color w:val="000000"/>
                      <w:sz w:val="16"/>
                      <w:szCs w:val="16"/>
                    </w:rPr>
                    <w:t>−</w:t>
                  </w:r>
                  <w:r w:rsidRPr="00134180">
                    <w:rPr>
                      <w:rFonts w:cs="Arial"/>
                      <w:color w:val="000000"/>
                      <w:sz w:val="16"/>
                      <w:szCs w:val="16"/>
                    </w:rPr>
                    <w:t>0,8</w:t>
                  </w:r>
                </w:p>
              </w:tc>
            </w:tr>
            <w:tr w:rsidR="00605D96" w:rsidRPr="00134180" w14:paraId="76335155" w14:textId="77777777" w:rsidTr="008B207B">
              <w:trPr>
                <w:trHeight w:val="255"/>
              </w:trPr>
              <w:tc>
                <w:tcPr>
                  <w:tcW w:w="3362" w:type="dxa"/>
                  <w:tcBorders>
                    <w:top w:val="nil"/>
                    <w:left w:val="nil"/>
                    <w:bottom w:val="nil"/>
                    <w:right w:val="nil"/>
                  </w:tcBorders>
                  <w:noWrap/>
                  <w:vAlign w:val="bottom"/>
                  <w:hideMark/>
                </w:tcPr>
                <w:p w14:paraId="06D8F54B" w14:textId="77777777" w:rsidR="00605D96" w:rsidRPr="00134180" w:rsidRDefault="00605D96" w:rsidP="008B207B">
                  <w:pPr>
                    <w:spacing w:after="0" w:line="240" w:lineRule="auto"/>
                    <w:jc w:val="left"/>
                    <w:rPr>
                      <w:rFonts w:cs="Arial"/>
                      <w:color w:val="000000"/>
                      <w:sz w:val="16"/>
                      <w:szCs w:val="16"/>
                    </w:rPr>
                  </w:pPr>
                  <w:r w:rsidRPr="00134180">
                    <w:rPr>
                      <w:rFonts w:cs="Arial"/>
                      <w:color w:val="000000"/>
                      <w:sz w:val="16"/>
                      <w:szCs w:val="16"/>
                    </w:rPr>
                    <w:t>Spojené státy</w:t>
                  </w:r>
                  <w:r>
                    <w:rPr>
                      <w:rFonts w:cs="Arial"/>
                      <w:color w:val="000000"/>
                      <w:sz w:val="16"/>
                      <w:szCs w:val="16"/>
                    </w:rPr>
                    <w:t xml:space="preserve"> americké</w:t>
                  </w:r>
                </w:p>
              </w:tc>
              <w:tc>
                <w:tcPr>
                  <w:tcW w:w="700" w:type="dxa"/>
                  <w:tcBorders>
                    <w:top w:val="nil"/>
                    <w:left w:val="nil"/>
                    <w:bottom w:val="nil"/>
                    <w:right w:val="nil"/>
                  </w:tcBorders>
                  <w:noWrap/>
                  <w:vAlign w:val="bottom"/>
                  <w:hideMark/>
                </w:tcPr>
                <w:p w14:paraId="4C46FA7D" w14:textId="77777777" w:rsidR="00605D96" w:rsidRPr="00134180" w:rsidRDefault="00605D96" w:rsidP="008B207B">
                  <w:pPr>
                    <w:spacing w:after="0" w:line="240" w:lineRule="auto"/>
                    <w:jc w:val="right"/>
                    <w:rPr>
                      <w:rFonts w:cs="Arial"/>
                      <w:color w:val="000000"/>
                      <w:sz w:val="16"/>
                      <w:szCs w:val="16"/>
                    </w:rPr>
                  </w:pPr>
                  <w:r>
                    <w:rPr>
                      <w:rFonts w:cs="Arial"/>
                      <w:color w:val="000000"/>
                      <w:sz w:val="16"/>
                      <w:szCs w:val="16"/>
                    </w:rPr>
                    <w:t>−</w:t>
                  </w:r>
                  <w:r w:rsidRPr="00134180">
                    <w:rPr>
                      <w:rFonts w:cs="Arial"/>
                      <w:color w:val="000000"/>
                      <w:sz w:val="16"/>
                      <w:szCs w:val="16"/>
                    </w:rPr>
                    <w:t>3,0</w:t>
                  </w:r>
                </w:p>
              </w:tc>
              <w:tc>
                <w:tcPr>
                  <w:tcW w:w="700" w:type="dxa"/>
                  <w:tcBorders>
                    <w:top w:val="nil"/>
                    <w:left w:val="nil"/>
                    <w:bottom w:val="nil"/>
                    <w:right w:val="nil"/>
                  </w:tcBorders>
                  <w:noWrap/>
                  <w:vAlign w:val="bottom"/>
                  <w:hideMark/>
                </w:tcPr>
                <w:p w14:paraId="5A0468BF" w14:textId="77777777" w:rsidR="00605D96" w:rsidRPr="00134180" w:rsidRDefault="00605D96" w:rsidP="008B207B">
                  <w:pPr>
                    <w:spacing w:after="0" w:line="240" w:lineRule="auto"/>
                    <w:jc w:val="right"/>
                    <w:rPr>
                      <w:rFonts w:cs="Arial"/>
                      <w:color w:val="000000"/>
                      <w:sz w:val="16"/>
                      <w:szCs w:val="16"/>
                    </w:rPr>
                  </w:pPr>
                  <w:r>
                    <w:rPr>
                      <w:rFonts w:cs="Arial"/>
                      <w:color w:val="000000"/>
                      <w:sz w:val="16"/>
                      <w:szCs w:val="16"/>
                    </w:rPr>
                    <w:t>−</w:t>
                  </w:r>
                  <w:r w:rsidRPr="00134180">
                    <w:rPr>
                      <w:rFonts w:cs="Arial"/>
                      <w:color w:val="000000"/>
                      <w:sz w:val="16"/>
                      <w:szCs w:val="16"/>
                    </w:rPr>
                    <w:t>8,7</w:t>
                  </w:r>
                </w:p>
              </w:tc>
            </w:tr>
            <w:tr w:rsidR="00605D96" w:rsidRPr="00134180" w14:paraId="73062F45" w14:textId="77777777" w:rsidTr="008B207B">
              <w:trPr>
                <w:trHeight w:val="255"/>
              </w:trPr>
              <w:tc>
                <w:tcPr>
                  <w:tcW w:w="3362" w:type="dxa"/>
                  <w:tcBorders>
                    <w:top w:val="nil"/>
                    <w:left w:val="nil"/>
                    <w:bottom w:val="nil"/>
                    <w:right w:val="nil"/>
                  </w:tcBorders>
                  <w:noWrap/>
                  <w:vAlign w:val="bottom"/>
                  <w:hideMark/>
                </w:tcPr>
                <w:p w14:paraId="29C423F0" w14:textId="77777777" w:rsidR="00605D96" w:rsidRPr="00134180" w:rsidRDefault="00605D96" w:rsidP="008B207B">
                  <w:pPr>
                    <w:spacing w:after="0" w:line="240" w:lineRule="auto"/>
                    <w:jc w:val="left"/>
                    <w:rPr>
                      <w:rFonts w:cs="Arial"/>
                      <w:color w:val="000000"/>
                      <w:sz w:val="16"/>
                      <w:szCs w:val="16"/>
                    </w:rPr>
                  </w:pPr>
                  <w:r w:rsidRPr="00134180">
                    <w:rPr>
                      <w:rFonts w:cs="Arial"/>
                      <w:color w:val="000000"/>
                      <w:sz w:val="16"/>
                      <w:szCs w:val="16"/>
                    </w:rPr>
                    <w:t>Polsko</w:t>
                  </w:r>
                </w:p>
              </w:tc>
              <w:tc>
                <w:tcPr>
                  <w:tcW w:w="700" w:type="dxa"/>
                  <w:tcBorders>
                    <w:top w:val="nil"/>
                    <w:left w:val="nil"/>
                    <w:bottom w:val="nil"/>
                    <w:right w:val="nil"/>
                  </w:tcBorders>
                  <w:noWrap/>
                  <w:vAlign w:val="bottom"/>
                  <w:hideMark/>
                </w:tcPr>
                <w:p w14:paraId="64A383FA" w14:textId="77777777" w:rsidR="00605D96" w:rsidRPr="00134180" w:rsidRDefault="00605D96" w:rsidP="008B207B">
                  <w:pPr>
                    <w:spacing w:after="0" w:line="240" w:lineRule="auto"/>
                    <w:jc w:val="right"/>
                    <w:rPr>
                      <w:rFonts w:cs="Arial"/>
                      <w:color w:val="000000"/>
                      <w:sz w:val="16"/>
                      <w:szCs w:val="16"/>
                    </w:rPr>
                  </w:pPr>
                  <w:r>
                    <w:rPr>
                      <w:rFonts w:cs="Arial"/>
                      <w:color w:val="000000"/>
                      <w:sz w:val="16"/>
                      <w:szCs w:val="16"/>
                    </w:rPr>
                    <w:t>−</w:t>
                  </w:r>
                  <w:r w:rsidRPr="00134180">
                    <w:rPr>
                      <w:rFonts w:cs="Arial"/>
                      <w:color w:val="000000"/>
                      <w:sz w:val="16"/>
                      <w:szCs w:val="16"/>
                    </w:rPr>
                    <w:t>6,7</w:t>
                  </w:r>
                </w:p>
              </w:tc>
              <w:tc>
                <w:tcPr>
                  <w:tcW w:w="700" w:type="dxa"/>
                  <w:tcBorders>
                    <w:top w:val="nil"/>
                    <w:left w:val="nil"/>
                    <w:bottom w:val="nil"/>
                    <w:right w:val="nil"/>
                  </w:tcBorders>
                  <w:noWrap/>
                  <w:vAlign w:val="bottom"/>
                  <w:hideMark/>
                </w:tcPr>
                <w:p w14:paraId="700B0D32" w14:textId="77777777" w:rsidR="00605D96" w:rsidRPr="00134180" w:rsidRDefault="00605D96" w:rsidP="008B207B">
                  <w:pPr>
                    <w:spacing w:after="0" w:line="240" w:lineRule="auto"/>
                    <w:jc w:val="right"/>
                    <w:rPr>
                      <w:rFonts w:cs="Arial"/>
                      <w:color w:val="000000"/>
                      <w:sz w:val="16"/>
                      <w:szCs w:val="16"/>
                    </w:rPr>
                  </w:pPr>
                  <w:r>
                    <w:rPr>
                      <w:rFonts w:cs="Arial"/>
                      <w:color w:val="000000"/>
                      <w:sz w:val="16"/>
                      <w:szCs w:val="16"/>
                    </w:rPr>
                    <w:t>−</w:t>
                  </w:r>
                  <w:r w:rsidRPr="00134180">
                    <w:rPr>
                      <w:rFonts w:cs="Arial"/>
                      <w:color w:val="000000"/>
                      <w:sz w:val="16"/>
                      <w:szCs w:val="16"/>
                    </w:rPr>
                    <w:t>7,3</w:t>
                  </w:r>
                </w:p>
              </w:tc>
            </w:tr>
          </w:tbl>
          <w:p w14:paraId="4F5070DD" w14:textId="77777777" w:rsidR="00605D96" w:rsidRDefault="00605D96" w:rsidP="008B207B">
            <w:pPr>
              <w:spacing w:after="0"/>
              <w:rPr>
                <w:spacing w:val="-4"/>
                <w:lang w:eastAsia="en-US"/>
              </w:rPr>
            </w:pPr>
          </w:p>
        </w:tc>
      </w:tr>
      <w:tr w:rsidR="00605D96" w14:paraId="0286DA06" w14:textId="77777777" w:rsidTr="008B207B">
        <w:trPr>
          <w:trHeight w:val="170"/>
        </w:trPr>
        <w:tc>
          <w:tcPr>
            <w:tcW w:w="4811" w:type="dxa"/>
            <w:gridSpan w:val="3"/>
            <w:hideMark/>
          </w:tcPr>
          <w:p w14:paraId="051F344D" w14:textId="77777777" w:rsidR="00605D96" w:rsidRDefault="00605D96" w:rsidP="008B207B">
            <w:pPr>
              <w:jc w:val="left"/>
              <w:rPr>
                <w:spacing w:val="-4"/>
                <w:sz w:val="16"/>
                <w:szCs w:val="16"/>
                <w:lang w:eastAsia="en-US"/>
              </w:rPr>
            </w:pPr>
            <w:r>
              <w:rPr>
                <w:spacing w:val="-4"/>
                <w:sz w:val="16"/>
                <w:szCs w:val="16"/>
                <w:lang w:eastAsia="en-US"/>
              </w:rPr>
              <w:t>Zdroj: ČSÚ</w:t>
            </w:r>
          </w:p>
        </w:tc>
        <w:tc>
          <w:tcPr>
            <w:tcW w:w="57" w:type="dxa"/>
          </w:tcPr>
          <w:p w14:paraId="192632AF" w14:textId="77777777" w:rsidR="00605D96" w:rsidRDefault="00605D96" w:rsidP="008B207B">
            <w:pPr>
              <w:spacing w:after="0"/>
              <w:rPr>
                <w:spacing w:val="-4"/>
                <w:lang w:eastAsia="en-US"/>
              </w:rPr>
            </w:pPr>
          </w:p>
        </w:tc>
        <w:tc>
          <w:tcPr>
            <w:tcW w:w="4809" w:type="dxa"/>
            <w:hideMark/>
          </w:tcPr>
          <w:p w14:paraId="69732CB4" w14:textId="77777777" w:rsidR="00605D96" w:rsidRDefault="00605D96" w:rsidP="008B207B">
            <w:pPr>
              <w:spacing w:after="0"/>
              <w:ind w:right="21"/>
              <w:jc w:val="left"/>
              <w:rPr>
                <w:spacing w:val="-4"/>
                <w:lang w:eastAsia="en-US"/>
              </w:rPr>
            </w:pPr>
            <w:r>
              <w:rPr>
                <w:spacing w:val="-4"/>
                <w:sz w:val="16"/>
                <w:szCs w:val="16"/>
                <w:lang w:eastAsia="en-US"/>
              </w:rPr>
              <w:t>Zdroj: ČSÚ</w:t>
            </w:r>
          </w:p>
        </w:tc>
      </w:tr>
      <w:tr w:rsidR="00605D96" w14:paraId="388F7C53" w14:textId="77777777" w:rsidTr="008B207B">
        <w:trPr>
          <w:trHeight w:val="145"/>
        </w:trPr>
        <w:tc>
          <w:tcPr>
            <w:tcW w:w="1748" w:type="dxa"/>
          </w:tcPr>
          <w:p w14:paraId="0A66C97C" w14:textId="77777777" w:rsidR="00605D96" w:rsidRDefault="00605D96" w:rsidP="008B207B">
            <w:pPr>
              <w:pStyle w:val="Marginlie"/>
              <w:rPr>
                <w:lang w:eastAsia="en-US"/>
              </w:rPr>
            </w:pPr>
            <w:r>
              <w:rPr>
                <w:lang w:eastAsia="en-US"/>
              </w:rPr>
              <w:t>Motorová vozidla klíčově přispívala k loňskému nárůstu exportu.</w:t>
            </w:r>
          </w:p>
        </w:tc>
        <w:tc>
          <w:tcPr>
            <w:tcW w:w="252" w:type="dxa"/>
          </w:tcPr>
          <w:p w14:paraId="244C6175" w14:textId="77777777" w:rsidR="00605D96" w:rsidRDefault="00605D96" w:rsidP="008B207B">
            <w:pPr>
              <w:pStyle w:val="Textpoznpodarou"/>
              <w:jc w:val="both"/>
              <w:rPr>
                <w:spacing w:val="-4"/>
                <w:lang w:eastAsia="en-US"/>
              </w:rPr>
            </w:pPr>
          </w:p>
        </w:tc>
        <w:tc>
          <w:tcPr>
            <w:tcW w:w="7677" w:type="dxa"/>
            <w:gridSpan w:val="3"/>
          </w:tcPr>
          <w:p w14:paraId="214393F2" w14:textId="77777777" w:rsidR="00605D96" w:rsidRDefault="00605D96" w:rsidP="008B207B">
            <w:pPr>
              <w:spacing w:after="180"/>
              <w:rPr>
                <w:spacing w:val="-4"/>
                <w:lang w:eastAsia="en-US"/>
              </w:rPr>
            </w:pPr>
            <w:r>
              <w:rPr>
                <w:spacing w:val="-4"/>
                <w:lang w:eastAsia="en-US"/>
              </w:rPr>
              <w:t>K navýšení hodnoty vývozu v roce 2025 jednoznačně nejvíce přispěl export motorových vozidel (+57,8 mld. korun, 4,4 %). S odstupem pak následovaly ostatní oblasti domácí výroby – stroje a zařízení (+17,2 mld. korun, 3,4 %), které se částečně zotavily po poklesu z předchozího roku, a v posledních letech výrazně rostoucí ostatní dopravní prostředky (+13,1 mld. korun, 15,9 %) a potravinářské výrobky (+11,8 mld., 6,2 %). Významný byl rovněž přírůstek vývozu základních farmaceutických výrobků a přípravků (+8,0 mld., 11,3 %), elektřiny, plynu, páry a klimatizovaného vzduchu (+7,8 mld. korun, 16,2 %), pryžových a plastových výrobků (+6,6 mld., 3,0 %), počítačů, elektronických a optických přístrojů (+6,0 mld., 1,4 %) a koksu a rafinovaných ropných výrobků (+5,5 mld., 13,0 %). Pokles hodnoty vývozu byl loni soustředěn zejména do oblasti chemických látek a přípravků (−10,7 mld. korun, −4,8 %). Ve 4. čtvrtletí byla meziroční dynamika exportu napříč různými artikly jen velmi mírná, včetně obvyklých tahounů vývozu, jakými byla jen slabě rostoucí motorová vozidla (viz Tabulka č. 1). Naopak poměrně silný kvartál vykázal export strojů a zařízení, který byl v posledních letech utlumen. K celkovému meziročnímu růstu vývozu přispíval významněji také export ropy a zemního plynu. Naopak se prohloubil pokles, do kterého se v předcházejícím kvartálu dostal vývoz elektrických zařízení, trval propad u chemických látek a přípravků a výrazně se snížil export elektřiny, plynu, páry a klimatizovaného vzduchu.</w:t>
            </w:r>
          </w:p>
        </w:tc>
      </w:tr>
      <w:tr w:rsidR="00605D96" w14:paraId="7BB77D4E" w14:textId="77777777" w:rsidTr="008B207B">
        <w:trPr>
          <w:trHeight w:val="145"/>
        </w:trPr>
        <w:tc>
          <w:tcPr>
            <w:tcW w:w="1748" w:type="dxa"/>
            <w:hideMark/>
          </w:tcPr>
          <w:p w14:paraId="73A15055" w14:textId="77777777" w:rsidR="00605D96" w:rsidRDefault="00605D96" w:rsidP="008B207B">
            <w:pPr>
              <w:pStyle w:val="Marginlie"/>
              <w:rPr>
                <w:lang w:eastAsia="en-US"/>
              </w:rPr>
            </w:pPr>
            <w:r>
              <w:rPr>
                <w:lang w:eastAsia="en-US"/>
              </w:rPr>
              <w:t>Dovoz loni rostl mírně.</w:t>
            </w:r>
          </w:p>
        </w:tc>
        <w:tc>
          <w:tcPr>
            <w:tcW w:w="252" w:type="dxa"/>
          </w:tcPr>
          <w:p w14:paraId="0E93BCAD" w14:textId="77777777" w:rsidR="00605D96" w:rsidRDefault="00605D96" w:rsidP="008B207B">
            <w:pPr>
              <w:pStyle w:val="Textpoznpodarou"/>
              <w:jc w:val="both"/>
              <w:rPr>
                <w:spacing w:val="-4"/>
                <w:lang w:eastAsia="en-US"/>
              </w:rPr>
            </w:pPr>
          </w:p>
        </w:tc>
        <w:tc>
          <w:tcPr>
            <w:tcW w:w="7677" w:type="dxa"/>
            <w:gridSpan w:val="3"/>
            <w:hideMark/>
          </w:tcPr>
          <w:p w14:paraId="54B9EC9F" w14:textId="77777777" w:rsidR="00605D96" w:rsidRDefault="00605D96" w:rsidP="008B207B">
            <w:pPr>
              <w:rPr>
                <w:spacing w:val="-4"/>
                <w:lang w:eastAsia="en-US"/>
              </w:rPr>
            </w:pPr>
            <w:r>
              <w:rPr>
                <w:spacing w:val="-4"/>
                <w:lang w:eastAsia="en-US"/>
              </w:rPr>
              <w:t>Dovoz zboží v roce 2025 dosáhl 4 576,7 mld. korun a zvýšil se o 134,0 mld. (3,0 %). Nominální přírůstek posílil oproti roku 2024, ačkoli cenový vývoj</w:t>
            </w:r>
            <w:r w:rsidRPr="00C11451">
              <w:rPr>
                <w:rStyle w:val="Znakapoznpodarou"/>
                <w:spacing w:val="-4"/>
                <w:lang w:eastAsia="en-US"/>
              </w:rPr>
              <w:footnoteReference w:id="74"/>
            </w:r>
            <w:r>
              <w:rPr>
                <w:spacing w:val="-4"/>
                <w:lang w:eastAsia="en-US"/>
              </w:rPr>
              <w:t xml:space="preserve"> působil ve směru poklesu. Rovněž v případě dovozu byla meziroční dynamika nejsilnější na počátku roku a postupně </w:t>
            </w:r>
            <w:r>
              <w:rPr>
                <w:spacing w:val="-4"/>
                <w:lang w:eastAsia="en-US"/>
              </w:rPr>
              <w:lastRenderedPageBreak/>
              <w:t xml:space="preserve">slábla. Ve 4. čtvrtletí poklesla hodnota dovozu o 10,8 mld. korun (−0,9 %) na 1 138,7 mld. Mezičtvrtletně se dovoz ve 4. kvartálu zvýšil o 1,3 %.  </w:t>
            </w:r>
          </w:p>
        </w:tc>
      </w:tr>
      <w:tr w:rsidR="00605D96" w14:paraId="1A52275D" w14:textId="77777777" w:rsidTr="008B207B">
        <w:trPr>
          <w:trHeight w:val="145"/>
        </w:trPr>
        <w:tc>
          <w:tcPr>
            <w:tcW w:w="1748" w:type="dxa"/>
          </w:tcPr>
          <w:p w14:paraId="494F089B" w14:textId="77777777" w:rsidR="00605D96" w:rsidRDefault="00605D96" w:rsidP="008B207B">
            <w:pPr>
              <w:pStyle w:val="Marginlie"/>
              <w:rPr>
                <w:lang w:eastAsia="en-US"/>
              </w:rPr>
            </w:pPr>
            <w:r>
              <w:rPr>
                <w:lang w:eastAsia="en-US"/>
              </w:rPr>
              <w:lastRenderedPageBreak/>
              <w:t xml:space="preserve">Rostl dovoz z EU </w:t>
            </w:r>
            <w:r>
              <w:rPr>
                <w:lang w:eastAsia="en-US"/>
              </w:rPr>
              <w:br/>
              <w:t>i z </w:t>
            </w:r>
            <w:proofErr w:type="spellStart"/>
            <w:r>
              <w:rPr>
                <w:lang w:eastAsia="en-US"/>
              </w:rPr>
              <w:t>mimounijních</w:t>
            </w:r>
            <w:proofErr w:type="spellEnd"/>
            <w:r>
              <w:rPr>
                <w:lang w:eastAsia="en-US"/>
              </w:rPr>
              <w:t xml:space="preserve"> zemí.</w:t>
            </w:r>
          </w:p>
        </w:tc>
        <w:tc>
          <w:tcPr>
            <w:tcW w:w="252" w:type="dxa"/>
          </w:tcPr>
          <w:p w14:paraId="7809F21B" w14:textId="77777777" w:rsidR="00605D96" w:rsidRDefault="00605D96" w:rsidP="008B207B">
            <w:pPr>
              <w:pStyle w:val="Textpoznpodarou"/>
              <w:jc w:val="both"/>
              <w:rPr>
                <w:spacing w:val="-4"/>
                <w:lang w:eastAsia="en-US"/>
              </w:rPr>
            </w:pPr>
          </w:p>
        </w:tc>
        <w:tc>
          <w:tcPr>
            <w:tcW w:w="7677" w:type="dxa"/>
            <w:gridSpan w:val="3"/>
          </w:tcPr>
          <w:p w14:paraId="3099E0CF" w14:textId="77777777" w:rsidR="00605D96" w:rsidRDefault="00605D96" w:rsidP="008B207B">
            <w:pPr>
              <w:spacing w:after="180"/>
              <w:rPr>
                <w:spacing w:val="-4"/>
                <w:lang w:eastAsia="en-US"/>
              </w:rPr>
            </w:pPr>
            <w:r>
              <w:rPr>
                <w:spacing w:val="-4"/>
                <w:lang w:eastAsia="en-US"/>
              </w:rPr>
              <w:t xml:space="preserve">Import ze zemí EU se loni zvýšil o 62,6 mld. korun (2,3 %). V případě dovozu mimo EU byl přírůstek relativně silnější (+48,5 mld., 3,0 %). K největšímu nárůstu loni došlo u dovozu z Norska (+24,2 mld. korun, 44,0 %) a Číny (+19,6 mld., 3,6 %). Významná navýšení byla zachycena u importu z Německa (+11,4 mld. korun, 1,1 %), Rakouska (+9,1 mld., 7,5 %), Turecka (+8,9 mld., 16,0 %), Maďarska (+6,1 mld., 6,1 %) a Švýcarska (+5,6 mld., 11,8 %). Silné procentní nárůsty byly zaznamenány u dovozu ze Singapuru (+5,1 mld., 102,2 %) a Spojených arabských emirátů (+1,4 mld., 32,6 %). Jen u menšiny zemí došlo k poklesu importu, významný propad měl jen dovoz z Ruska (−53,0 mld. korun, −67,5 %) a Tchaj-wanu (−8,0 mld., −17,8 %). Na celkovém poklesu dovozu ve 4. čtvrtletí měly větší podíl </w:t>
            </w:r>
            <w:proofErr w:type="spellStart"/>
            <w:r>
              <w:rPr>
                <w:spacing w:val="-4"/>
                <w:lang w:eastAsia="en-US"/>
              </w:rPr>
              <w:t>mimounijní</w:t>
            </w:r>
            <w:proofErr w:type="spellEnd"/>
            <w:r>
              <w:rPr>
                <w:spacing w:val="-4"/>
                <w:lang w:eastAsia="en-US"/>
              </w:rPr>
              <w:t xml:space="preserve"> země (−8,6 mld., −2,0 %) než import z EU (−5,7 mld. korun, −0,8 %). Ve směru meziročního poklesu dovozu působil zejména vývoj u Ruska a Číny (viz Tabulka č. 4) a výrazná snížení byla zachycena také u importu ze Slovenska, Polska či Německa. Naopak rostl dovoz z Norska, Maďarska nebo Tchaj-wanu.</w:t>
            </w:r>
          </w:p>
        </w:tc>
      </w:tr>
      <w:tr w:rsidR="00605D96" w14:paraId="5C8CF342" w14:textId="77777777" w:rsidTr="008B207B">
        <w:trPr>
          <w:trHeight w:val="145"/>
        </w:trPr>
        <w:tc>
          <w:tcPr>
            <w:tcW w:w="1748" w:type="dxa"/>
          </w:tcPr>
          <w:p w14:paraId="5CBCDD2C" w14:textId="77777777" w:rsidR="00605D96" w:rsidRDefault="00605D96" w:rsidP="008B207B">
            <w:pPr>
              <w:pStyle w:val="Marginlie"/>
              <w:rPr>
                <w:lang w:eastAsia="en-US"/>
              </w:rPr>
            </w:pPr>
            <w:r>
              <w:rPr>
                <w:lang w:eastAsia="en-US"/>
              </w:rPr>
              <w:t>Značně loni rostl import kovodělných výrobků.</w:t>
            </w:r>
          </w:p>
        </w:tc>
        <w:tc>
          <w:tcPr>
            <w:tcW w:w="252" w:type="dxa"/>
          </w:tcPr>
          <w:p w14:paraId="547DB846" w14:textId="77777777" w:rsidR="00605D96" w:rsidRDefault="00605D96" w:rsidP="008B207B">
            <w:pPr>
              <w:pStyle w:val="Textpoznpodarou"/>
              <w:jc w:val="both"/>
              <w:rPr>
                <w:spacing w:val="-4"/>
                <w:lang w:eastAsia="en-US"/>
              </w:rPr>
            </w:pPr>
          </w:p>
        </w:tc>
        <w:tc>
          <w:tcPr>
            <w:tcW w:w="7677" w:type="dxa"/>
            <w:gridSpan w:val="3"/>
          </w:tcPr>
          <w:p w14:paraId="761346B8" w14:textId="77777777" w:rsidR="00605D96" w:rsidRDefault="00605D96" w:rsidP="008B207B">
            <w:pPr>
              <w:spacing w:after="180"/>
              <w:rPr>
                <w:spacing w:val="-4"/>
                <w:lang w:eastAsia="en-US"/>
              </w:rPr>
            </w:pPr>
            <w:r>
              <w:rPr>
                <w:spacing w:val="-4"/>
                <w:szCs w:val="20"/>
                <w:lang w:eastAsia="en-US"/>
              </w:rPr>
              <w:t>Nejvíce se loni zvýšil dovoz kovodělných výrobků</w:t>
            </w:r>
            <w:r>
              <w:rPr>
                <w:rStyle w:val="Znakapoznpodarou"/>
                <w:spacing w:val="-4"/>
                <w:szCs w:val="20"/>
                <w:lang w:eastAsia="en-US"/>
              </w:rPr>
              <w:footnoteReference w:id="75"/>
            </w:r>
            <w:r>
              <w:rPr>
                <w:spacing w:val="-4"/>
                <w:szCs w:val="20"/>
                <w:lang w:eastAsia="en-US"/>
              </w:rPr>
              <w:t xml:space="preserve"> (+40,1 mld. korun, 18,4 %) a elektrických zařízení</w:t>
            </w:r>
            <w:r>
              <w:rPr>
                <w:rStyle w:val="Znakapoznpodarou"/>
                <w:spacing w:val="-4"/>
                <w:lang w:eastAsia="en-US"/>
              </w:rPr>
              <w:footnoteReference w:id="76"/>
            </w:r>
            <w:r>
              <w:rPr>
                <w:spacing w:val="-4"/>
                <w:szCs w:val="20"/>
                <w:lang w:eastAsia="en-US"/>
              </w:rPr>
              <w:t xml:space="preserve"> (+31,4 mld., 7,2 %). Výrazný nárůst byl zachycen také u importu motorových vozidel (+16,7 mld. korun, 2,5 %), potravinářských výrobků (+15,3 mld., 6,2 %), elektřiny, plynu, páry a klimatizovaného vzduchu (+10,7 mld., 54,8 %), ostatních výrobků zpracovatelského průmyslu (+9,2 mld., 9,6 %) a ostatních dopravních prostředků (+9,1 mld., 14,5 %). Výrazně se snížila zejména hodnota dovozu koksu a rafinovaných ropných výrobků (−7,5 mld. korun, −7,5 %). Celkové meziroční snížení importu zboží ve 4. čtvrtletí ovlivnil především pokles u dovozu ropy a zemního plynu (viz Tabulka č. 3). Nižší byl také dovoz chemických látek a přípravků, strojů a zařízení, elektrických zařízení nebo koksu a rafinovaných ropných výrobků. Rostl naopak import ostatních dopravních prostředků a zařízení nebo ostatních výrobků zpracovatelského průmyslu.</w:t>
            </w:r>
          </w:p>
        </w:tc>
      </w:tr>
      <w:tr w:rsidR="00605D96" w14:paraId="720F81CD" w14:textId="77777777" w:rsidTr="008B207B">
        <w:trPr>
          <w:trHeight w:val="170"/>
        </w:trPr>
        <w:tc>
          <w:tcPr>
            <w:tcW w:w="4811" w:type="dxa"/>
            <w:gridSpan w:val="3"/>
            <w:hideMark/>
          </w:tcPr>
          <w:p w14:paraId="265D12E7" w14:textId="77777777" w:rsidR="00605D96" w:rsidRDefault="00605D96" w:rsidP="008B207B">
            <w:pPr>
              <w:spacing w:after="0"/>
              <w:jc w:val="left"/>
              <w:rPr>
                <w:spacing w:val="-4"/>
                <w:lang w:eastAsia="en-US"/>
              </w:rPr>
            </w:pPr>
            <w:r>
              <w:rPr>
                <w:rFonts w:cs="Arial"/>
                <w:b/>
                <w:bCs/>
                <w:color w:val="000000"/>
                <w:sz w:val="18"/>
                <w:szCs w:val="18"/>
                <w:lang w:eastAsia="en-US"/>
              </w:rPr>
              <w:t xml:space="preserve">Tabulka č. 3 Oddíly klasifikace CPA s největším vlivem na vývoj dovozu zboží ve 4. čtvrtletí 2025 </w:t>
            </w:r>
            <w:r>
              <w:rPr>
                <w:rFonts w:cs="Arial"/>
                <w:bCs/>
                <w:color w:val="000000"/>
                <w:sz w:val="18"/>
                <w:szCs w:val="18"/>
                <w:lang w:eastAsia="en-US"/>
              </w:rPr>
              <w:t>(meziročně)</w:t>
            </w:r>
          </w:p>
        </w:tc>
        <w:tc>
          <w:tcPr>
            <w:tcW w:w="57" w:type="dxa"/>
          </w:tcPr>
          <w:p w14:paraId="5BAAFF48" w14:textId="77777777" w:rsidR="00605D96" w:rsidRDefault="00605D96" w:rsidP="008B207B">
            <w:pPr>
              <w:spacing w:after="0"/>
              <w:rPr>
                <w:spacing w:val="-4"/>
                <w:lang w:eastAsia="en-US"/>
              </w:rPr>
            </w:pPr>
          </w:p>
        </w:tc>
        <w:tc>
          <w:tcPr>
            <w:tcW w:w="4809" w:type="dxa"/>
            <w:hideMark/>
          </w:tcPr>
          <w:p w14:paraId="4A10656A" w14:textId="77777777" w:rsidR="00605D96" w:rsidRDefault="00605D96" w:rsidP="008B207B">
            <w:pPr>
              <w:spacing w:after="0"/>
              <w:jc w:val="left"/>
              <w:rPr>
                <w:spacing w:val="-4"/>
                <w:sz w:val="18"/>
                <w:szCs w:val="18"/>
                <w:lang w:eastAsia="en-US"/>
              </w:rPr>
            </w:pPr>
            <w:r>
              <w:rPr>
                <w:rFonts w:cs="Arial"/>
                <w:b/>
                <w:bCs/>
                <w:color w:val="000000"/>
                <w:sz w:val="18"/>
                <w:szCs w:val="18"/>
                <w:lang w:eastAsia="en-US"/>
              </w:rPr>
              <w:t xml:space="preserve">Tabulka č. 4 Země s největším vlivem na vývoj dovozu zboží ve 4. čtvrtletí 2025 </w:t>
            </w:r>
            <w:r>
              <w:rPr>
                <w:rFonts w:cs="Arial"/>
                <w:bCs/>
                <w:color w:val="000000"/>
                <w:sz w:val="18"/>
                <w:szCs w:val="18"/>
                <w:lang w:eastAsia="en-US"/>
              </w:rPr>
              <w:t>(meziročně)</w:t>
            </w:r>
          </w:p>
        </w:tc>
      </w:tr>
      <w:tr w:rsidR="00605D96" w:rsidRPr="005A40B7" w14:paraId="34C52A63" w14:textId="77777777" w:rsidTr="008B207B">
        <w:trPr>
          <w:trHeight w:val="170"/>
        </w:trPr>
        <w:tc>
          <w:tcPr>
            <w:tcW w:w="4811" w:type="dxa"/>
            <w:gridSpan w:val="3"/>
            <w:hideMark/>
          </w:tcPr>
          <w:tbl>
            <w:tblPr>
              <w:tblW w:w="4817" w:type="dxa"/>
              <w:tblLayout w:type="fixed"/>
              <w:tblCellMar>
                <w:left w:w="70" w:type="dxa"/>
                <w:right w:w="70" w:type="dxa"/>
              </w:tblCellMar>
              <w:tblLook w:val="04A0" w:firstRow="1" w:lastRow="0" w:firstColumn="1" w:lastColumn="0" w:noHBand="0" w:noVBand="1"/>
            </w:tblPr>
            <w:tblGrid>
              <w:gridCol w:w="3417"/>
              <w:gridCol w:w="700"/>
              <w:gridCol w:w="700"/>
            </w:tblGrid>
            <w:tr w:rsidR="00605D96" w:rsidRPr="005747D1" w14:paraId="235778FD" w14:textId="77777777" w:rsidTr="008B207B">
              <w:trPr>
                <w:trHeight w:val="252"/>
              </w:trPr>
              <w:tc>
                <w:tcPr>
                  <w:tcW w:w="3417" w:type="dxa"/>
                  <w:tcBorders>
                    <w:top w:val="nil"/>
                    <w:left w:val="nil"/>
                    <w:bottom w:val="single" w:sz="4" w:space="0" w:color="auto"/>
                    <w:right w:val="nil"/>
                  </w:tcBorders>
                  <w:noWrap/>
                  <w:vAlign w:val="bottom"/>
                  <w:hideMark/>
                </w:tcPr>
                <w:p w14:paraId="57F37DB2" w14:textId="77777777" w:rsidR="00605D96" w:rsidRPr="005747D1" w:rsidRDefault="00605D96" w:rsidP="008B207B">
                  <w:pPr>
                    <w:spacing w:after="0" w:line="240" w:lineRule="auto"/>
                    <w:jc w:val="left"/>
                    <w:rPr>
                      <w:rFonts w:cs="Arial"/>
                      <w:color w:val="000000"/>
                      <w:sz w:val="16"/>
                      <w:szCs w:val="16"/>
                    </w:rPr>
                  </w:pPr>
                  <w:r w:rsidRPr="005747D1">
                    <w:rPr>
                      <w:rFonts w:cs="Arial"/>
                      <w:color w:val="000000"/>
                      <w:sz w:val="16"/>
                      <w:szCs w:val="16"/>
                    </w:rPr>
                    <w:t> </w:t>
                  </w:r>
                </w:p>
              </w:tc>
              <w:tc>
                <w:tcPr>
                  <w:tcW w:w="700" w:type="dxa"/>
                  <w:tcBorders>
                    <w:top w:val="nil"/>
                    <w:left w:val="nil"/>
                    <w:bottom w:val="single" w:sz="4" w:space="0" w:color="auto"/>
                    <w:right w:val="nil"/>
                  </w:tcBorders>
                  <w:noWrap/>
                  <w:vAlign w:val="bottom"/>
                  <w:hideMark/>
                </w:tcPr>
                <w:p w14:paraId="332A08FB" w14:textId="77777777" w:rsidR="00605D96" w:rsidRPr="005747D1" w:rsidRDefault="00605D96" w:rsidP="008B207B">
                  <w:pPr>
                    <w:spacing w:after="0" w:line="240" w:lineRule="auto"/>
                    <w:jc w:val="right"/>
                    <w:rPr>
                      <w:rFonts w:cs="Arial"/>
                      <w:color w:val="000000"/>
                      <w:sz w:val="16"/>
                      <w:szCs w:val="16"/>
                    </w:rPr>
                  </w:pPr>
                  <w:r w:rsidRPr="005747D1">
                    <w:rPr>
                      <w:rFonts w:cs="Arial"/>
                      <w:color w:val="000000"/>
                      <w:sz w:val="16"/>
                      <w:szCs w:val="16"/>
                    </w:rPr>
                    <w:t>mld. Kč</w:t>
                  </w:r>
                </w:p>
              </w:tc>
              <w:tc>
                <w:tcPr>
                  <w:tcW w:w="700" w:type="dxa"/>
                  <w:tcBorders>
                    <w:top w:val="nil"/>
                    <w:left w:val="nil"/>
                    <w:bottom w:val="single" w:sz="4" w:space="0" w:color="auto"/>
                    <w:right w:val="nil"/>
                  </w:tcBorders>
                  <w:noWrap/>
                  <w:vAlign w:val="bottom"/>
                  <w:hideMark/>
                </w:tcPr>
                <w:p w14:paraId="6EA74D90" w14:textId="77777777" w:rsidR="00605D96" w:rsidRPr="005747D1" w:rsidRDefault="00605D96" w:rsidP="008B207B">
                  <w:pPr>
                    <w:spacing w:after="0" w:line="240" w:lineRule="auto"/>
                    <w:jc w:val="right"/>
                    <w:rPr>
                      <w:rFonts w:cs="Arial"/>
                      <w:color w:val="000000"/>
                      <w:sz w:val="16"/>
                      <w:szCs w:val="16"/>
                    </w:rPr>
                  </w:pPr>
                  <w:r w:rsidRPr="005747D1">
                    <w:rPr>
                      <w:rFonts w:cs="Arial"/>
                      <w:color w:val="000000"/>
                      <w:sz w:val="16"/>
                      <w:szCs w:val="16"/>
                    </w:rPr>
                    <w:t>%</w:t>
                  </w:r>
                </w:p>
              </w:tc>
            </w:tr>
            <w:tr w:rsidR="00605D96" w:rsidRPr="005747D1" w14:paraId="7264C08F" w14:textId="77777777" w:rsidTr="008B207B">
              <w:trPr>
                <w:trHeight w:val="252"/>
              </w:trPr>
              <w:tc>
                <w:tcPr>
                  <w:tcW w:w="3417" w:type="dxa"/>
                  <w:tcBorders>
                    <w:top w:val="nil"/>
                    <w:left w:val="nil"/>
                    <w:bottom w:val="nil"/>
                    <w:right w:val="nil"/>
                  </w:tcBorders>
                  <w:noWrap/>
                  <w:vAlign w:val="bottom"/>
                  <w:hideMark/>
                </w:tcPr>
                <w:p w14:paraId="6DC93622" w14:textId="77777777" w:rsidR="00605D96" w:rsidRPr="005747D1" w:rsidRDefault="00605D96" w:rsidP="008B207B">
                  <w:pPr>
                    <w:spacing w:after="0" w:line="240" w:lineRule="auto"/>
                    <w:jc w:val="left"/>
                    <w:rPr>
                      <w:rFonts w:cs="Arial"/>
                      <w:color w:val="000000"/>
                      <w:sz w:val="16"/>
                      <w:szCs w:val="16"/>
                    </w:rPr>
                  </w:pPr>
                  <w:r w:rsidRPr="005747D1">
                    <w:rPr>
                      <w:rFonts w:cs="Arial"/>
                      <w:color w:val="000000"/>
                      <w:sz w:val="16"/>
                      <w:szCs w:val="16"/>
                    </w:rPr>
                    <w:t>Ostatní dopravní prostředky a zařízení</w:t>
                  </w:r>
                </w:p>
              </w:tc>
              <w:tc>
                <w:tcPr>
                  <w:tcW w:w="700" w:type="dxa"/>
                  <w:tcBorders>
                    <w:top w:val="nil"/>
                    <w:left w:val="nil"/>
                    <w:bottom w:val="nil"/>
                    <w:right w:val="nil"/>
                  </w:tcBorders>
                  <w:noWrap/>
                  <w:vAlign w:val="bottom"/>
                  <w:hideMark/>
                </w:tcPr>
                <w:p w14:paraId="5B2EA758" w14:textId="77777777" w:rsidR="00605D96" w:rsidRPr="005747D1" w:rsidRDefault="00605D96" w:rsidP="008B207B">
                  <w:pPr>
                    <w:spacing w:after="0" w:line="240" w:lineRule="auto"/>
                    <w:jc w:val="right"/>
                    <w:rPr>
                      <w:rFonts w:cs="Arial"/>
                      <w:color w:val="000000"/>
                      <w:sz w:val="16"/>
                      <w:szCs w:val="16"/>
                    </w:rPr>
                  </w:pPr>
                  <w:r w:rsidRPr="005747D1">
                    <w:rPr>
                      <w:rFonts w:cs="Arial"/>
                      <w:color w:val="000000"/>
                      <w:sz w:val="16"/>
                      <w:szCs w:val="16"/>
                    </w:rPr>
                    <w:t>+3,6</w:t>
                  </w:r>
                </w:p>
              </w:tc>
              <w:tc>
                <w:tcPr>
                  <w:tcW w:w="700" w:type="dxa"/>
                  <w:tcBorders>
                    <w:top w:val="nil"/>
                    <w:left w:val="nil"/>
                    <w:bottom w:val="nil"/>
                    <w:right w:val="nil"/>
                  </w:tcBorders>
                  <w:noWrap/>
                  <w:vAlign w:val="bottom"/>
                  <w:hideMark/>
                </w:tcPr>
                <w:p w14:paraId="27D6B183" w14:textId="77777777" w:rsidR="00605D96" w:rsidRPr="005747D1" w:rsidRDefault="00605D96" w:rsidP="008B207B">
                  <w:pPr>
                    <w:spacing w:after="0" w:line="240" w:lineRule="auto"/>
                    <w:jc w:val="right"/>
                    <w:rPr>
                      <w:rFonts w:cs="Arial"/>
                      <w:color w:val="000000"/>
                      <w:sz w:val="16"/>
                      <w:szCs w:val="16"/>
                    </w:rPr>
                  </w:pPr>
                  <w:r w:rsidRPr="005747D1">
                    <w:rPr>
                      <w:rFonts w:cs="Arial"/>
                      <w:color w:val="000000"/>
                      <w:sz w:val="16"/>
                      <w:szCs w:val="16"/>
                    </w:rPr>
                    <w:t>+24,9</w:t>
                  </w:r>
                </w:p>
              </w:tc>
            </w:tr>
            <w:tr w:rsidR="00605D96" w:rsidRPr="005747D1" w14:paraId="5C4E46A6" w14:textId="77777777" w:rsidTr="008B207B">
              <w:trPr>
                <w:trHeight w:val="252"/>
              </w:trPr>
              <w:tc>
                <w:tcPr>
                  <w:tcW w:w="3417" w:type="dxa"/>
                  <w:tcBorders>
                    <w:top w:val="nil"/>
                    <w:left w:val="nil"/>
                    <w:bottom w:val="nil"/>
                    <w:right w:val="nil"/>
                  </w:tcBorders>
                  <w:noWrap/>
                  <w:vAlign w:val="bottom"/>
                  <w:hideMark/>
                </w:tcPr>
                <w:p w14:paraId="1E3C2337" w14:textId="77777777" w:rsidR="00605D96" w:rsidRPr="005747D1" w:rsidRDefault="00605D96" w:rsidP="008B207B">
                  <w:pPr>
                    <w:spacing w:after="0" w:line="240" w:lineRule="auto"/>
                    <w:jc w:val="left"/>
                    <w:rPr>
                      <w:rFonts w:cs="Arial"/>
                      <w:color w:val="000000"/>
                      <w:sz w:val="16"/>
                      <w:szCs w:val="16"/>
                    </w:rPr>
                  </w:pPr>
                  <w:r w:rsidRPr="005747D1">
                    <w:rPr>
                      <w:rFonts w:cs="Arial"/>
                      <w:color w:val="000000"/>
                      <w:sz w:val="16"/>
                      <w:szCs w:val="16"/>
                    </w:rPr>
                    <w:t>Ostatní výrobky zpracovatelského průmyslu</w:t>
                  </w:r>
                </w:p>
              </w:tc>
              <w:tc>
                <w:tcPr>
                  <w:tcW w:w="700" w:type="dxa"/>
                  <w:tcBorders>
                    <w:top w:val="nil"/>
                    <w:left w:val="nil"/>
                    <w:bottom w:val="nil"/>
                    <w:right w:val="nil"/>
                  </w:tcBorders>
                  <w:noWrap/>
                  <w:vAlign w:val="bottom"/>
                  <w:hideMark/>
                </w:tcPr>
                <w:p w14:paraId="041FB2CD" w14:textId="77777777" w:rsidR="00605D96" w:rsidRPr="005747D1" w:rsidRDefault="00605D96" w:rsidP="008B207B">
                  <w:pPr>
                    <w:spacing w:after="0" w:line="240" w:lineRule="auto"/>
                    <w:jc w:val="right"/>
                    <w:rPr>
                      <w:rFonts w:cs="Arial"/>
                      <w:color w:val="000000"/>
                      <w:sz w:val="16"/>
                      <w:szCs w:val="16"/>
                    </w:rPr>
                  </w:pPr>
                  <w:r w:rsidRPr="005747D1">
                    <w:rPr>
                      <w:rFonts w:cs="Arial"/>
                      <w:color w:val="000000"/>
                      <w:sz w:val="16"/>
                      <w:szCs w:val="16"/>
                    </w:rPr>
                    <w:t>+1,6</w:t>
                  </w:r>
                </w:p>
              </w:tc>
              <w:tc>
                <w:tcPr>
                  <w:tcW w:w="700" w:type="dxa"/>
                  <w:tcBorders>
                    <w:top w:val="nil"/>
                    <w:left w:val="nil"/>
                    <w:bottom w:val="nil"/>
                    <w:right w:val="nil"/>
                  </w:tcBorders>
                  <w:noWrap/>
                  <w:vAlign w:val="bottom"/>
                  <w:hideMark/>
                </w:tcPr>
                <w:p w14:paraId="4F1B1054" w14:textId="77777777" w:rsidR="00605D96" w:rsidRPr="005747D1" w:rsidRDefault="00605D96" w:rsidP="008B207B">
                  <w:pPr>
                    <w:spacing w:after="0" w:line="240" w:lineRule="auto"/>
                    <w:jc w:val="right"/>
                    <w:rPr>
                      <w:rFonts w:cs="Arial"/>
                      <w:color w:val="000000"/>
                      <w:sz w:val="16"/>
                      <w:szCs w:val="16"/>
                    </w:rPr>
                  </w:pPr>
                  <w:r w:rsidRPr="005747D1">
                    <w:rPr>
                      <w:rFonts w:cs="Arial"/>
                      <w:color w:val="000000"/>
                      <w:sz w:val="16"/>
                      <w:szCs w:val="16"/>
                    </w:rPr>
                    <w:t>+5,7</w:t>
                  </w:r>
                </w:p>
              </w:tc>
            </w:tr>
            <w:tr w:rsidR="00605D96" w:rsidRPr="005747D1" w14:paraId="65C220FC" w14:textId="77777777" w:rsidTr="008B207B">
              <w:trPr>
                <w:trHeight w:val="252"/>
              </w:trPr>
              <w:tc>
                <w:tcPr>
                  <w:tcW w:w="3417" w:type="dxa"/>
                  <w:tcBorders>
                    <w:top w:val="nil"/>
                    <w:left w:val="nil"/>
                    <w:bottom w:val="nil"/>
                    <w:right w:val="nil"/>
                  </w:tcBorders>
                  <w:noWrap/>
                  <w:vAlign w:val="bottom"/>
                  <w:hideMark/>
                </w:tcPr>
                <w:p w14:paraId="41F929DE" w14:textId="77777777" w:rsidR="00605D96" w:rsidRPr="005747D1" w:rsidRDefault="00605D96" w:rsidP="008B207B">
                  <w:pPr>
                    <w:spacing w:after="0" w:line="240" w:lineRule="auto"/>
                    <w:jc w:val="left"/>
                    <w:rPr>
                      <w:rFonts w:cs="Arial"/>
                      <w:color w:val="000000"/>
                      <w:sz w:val="16"/>
                      <w:szCs w:val="16"/>
                    </w:rPr>
                  </w:pPr>
                  <w:r w:rsidRPr="005747D1">
                    <w:rPr>
                      <w:rFonts w:cs="Arial"/>
                      <w:color w:val="000000"/>
                      <w:sz w:val="16"/>
                      <w:szCs w:val="16"/>
                    </w:rPr>
                    <w:t>Kovodělné výrobky kromě strojů a zařízení</w:t>
                  </w:r>
                </w:p>
              </w:tc>
              <w:tc>
                <w:tcPr>
                  <w:tcW w:w="700" w:type="dxa"/>
                  <w:tcBorders>
                    <w:top w:val="nil"/>
                    <w:left w:val="nil"/>
                    <w:bottom w:val="nil"/>
                    <w:right w:val="nil"/>
                  </w:tcBorders>
                  <w:noWrap/>
                  <w:vAlign w:val="bottom"/>
                  <w:hideMark/>
                </w:tcPr>
                <w:p w14:paraId="0EC80224" w14:textId="77777777" w:rsidR="00605D96" w:rsidRPr="005747D1" w:rsidRDefault="00605D96" w:rsidP="008B207B">
                  <w:pPr>
                    <w:spacing w:after="0" w:line="240" w:lineRule="auto"/>
                    <w:jc w:val="right"/>
                    <w:rPr>
                      <w:rFonts w:cs="Arial"/>
                      <w:color w:val="000000"/>
                      <w:sz w:val="16"/>
                      <w:szCs w:val="16"/>
                    </w:rPr>
                  </w:pPr>
                  <w:r w:rsidRPr="005747D1">
                    <w:rPr>
                      <w:rFonts w:cs="Arial"/>
                      <w:color w:val="000000"/>
                      <w:sz w:val="16"/>
                      <w:szCs w:val="16"/>
                    </w:rPr>
                    <w:t>+1,4</w:t>
                  </w:r>
                </w:p>
              </w:tc>
              <w:tc>
                <w:tcPr>
                  <w:tcW w:w="700" w:type="dxa"/>
                  <w:tcBorders>
                    <w:top w:val="nil"/>
                    <w:left w:val="nil"/>
                    <w:bottom w:val="nil"/>
                    <w:right w:val="nil"/>
                  </w:tcBorders>
                  <w:noWrap/>
                  <w:vAlign w:val="bottom"/>
                  <w:hideMark/>
                </w:tcPr>
                <w:p w14:paraId="2A06E669" w14:textId="77777777" w:rsidR="00605D96" w:rsidRPr="005747D1" w:rsidRDefault="00605D96" w:rsidP="008B207B">
                  <w:pPr>
                    <w:spacing w:after="0" w:line="240" w:lineRule="auto"/>
                    <w:jc w:val="right"/>
                    <w:rPr>
                      <w:rFonts w:cs="Arial"/>
                      <w:color w:val="000000"/>
                      <w:sz w:val="16"/>
                      <w:szCs w:val="16"/>
                    </w:rPr>
                  </w:pPr>
                  <w:r w:rsidRPr="005747D1">
                    <w:rPr>
                      <w:rFonts w:cs="Arial"/>
                      <w:color w:val="000000"/>
                      <w:sz w:val="16"/>
                      <w:szCs w:val="16"/>
                    </w:rPr>
                    <w:t>+2,1</w:t>
                  </w:r>
                </w:p>
              </w:tc>
            </w:tr>
            <w:tr w:rsidR="00605D96" w:rsidRPr="005747D1" w14:paraId="64AC6CAC" w14:textId="77777777" w:rsidTr="008B207B">
              <w:trPr>
                <w:trHeight w:val="252"/>
              </w:trPr>
              <w:tc>
                <w:tcPr>
                  <w:tcW w:w="3417" w:type="dxa"/>
                  <w:tcBorders>
                    <w:top w:val="nil"/>
                    <w:left w:val="nil"/>
                    <w:bottom w:val="nil"/>
                    <w:right w:val="nil"/>
                  </w:tcBorders>
                  <w:noWrap/>
                  <w:vAlign w:val="bottom"/>
                  <w:hideMark/>
                </w:tcPr>
                <w:p w14:paraId="63785164" w14:textId="77777777" w:rsidR="00605D96" w:rsidRPr="005747D1" w:rsidRDefault="00605D96" w:rsidP="008B207B">
                  <w:pPr>
                    <w:spacing w:after="0" w:line="240" w:lineRule="auto"/>
                    <w:jc w:val="left"/>
                    <w:rPr>
                      <w:rFonts w:cs="Arial"/>
                      <w:color w:val="000000"/>
                      <w:sz w:val="16"/>
                      <w:szCs w:val="16"/>
                    </w:rPr>
                  </w:pPr>
                  <w:r w:rsidRPr="005747D1">
                    <w:rPr>
                      <w:rFonts w:cs="Arial"/>
                      <w:color w:val="000000"/>
                      <w:sz w:val="16"/>
                      <w:szCs w:val="16"/>
                    </w:rPr>
                    <w:t>Základní farmaceutické výrobky a přípravky</w:t>
                  </w:r>
                </w:p>
              </w:tc>
              <w:tc>
                <w:tcPr>
                  <w:tcW w:w="700" w:type="dxa"/>
                  <w:tcBorders>
                    <w:top w:val="nil"/>
                    <w:left w:val="nil"/>
                    <w:bottom w:val="nil"/>
                    <w:right w:val="nil"/>
                  </w:tcBorders>
                  <w:noWrap/>
                  <w:vAlign w:val="bottom"/>
                  <w:hideMark/>
                </w:tcPr>
                <w:p w14:paraId="19D74E1C" w14:textId="77777777" w:rsidR="00605D96" w:rsidRPr="005747D1" w:rsidRDefault="00605D96" w:rsidP="008B207B">
                  <w:pPr>
                    <w:spacing w:after="0" w:line="240" w:lineRule="auto"/>
                    <w:jc w:val="right"/>
                    <w:rPr>
                      <w:rFonts w:cs="Arial"/>
                      <w:color w:val="000000"/>
                      <w:sz w:val="16"/>
                      <w:szCs w:val="16"/>
                    </w:rPr>
                  </w:pPr>
                  <w:r w:rsidRPr="005747D1">
                    <w:rPr>
                      <w:rFonts w:cs="Arial"/>
                      <w:color w:val="000000"/>
                      <w:sz w:val="16"/>
                      <w:szCs w:val="16"/>
                    </w:rPr>
                    <w:t>+1,0</w:t>
                  </w:r>
                </w:p>
              </w:tc>
              <w:tc>
                <w:tcPr>
                  <w:tcW w:w="700" w:type="dxa"/>
                  <w:tcBorders>
                    <w:top w:val="nil"/>
                    <w:left w:val="nil"/>
                    <w:bottom w:val="nil"/>
                    <w:right w:val="nil"/>
                  </w:tcBorders>
                  <w:noWrap/>
                  <w:vAlign w:val="bottom"/>
                  <w:hideMark/>
                </w:tcPr>
                <w:p w14:paraId="73DC4769" w14:textId="77777777" w:rsidR="00605D96" w:rsidRPr="005747D1" w:rsidRDefault="00605D96" w:rsidP="008B207B">
                  <w:pPr>
                    <w:spacing w:after="0" w:line="240" w:lineRule="auto"/>
                    <w:jc w:val="right"/>
                    <w:rPr>
                      <w:rFonts w:cs="Arial"/>
                      <w:color w:val="000000"/>
                      <w:sz w:val="16"/>
                      <w:szCs w:val="16"/>
                    </w:rPr>
                  </w:pPr>
                  <w:r w:rsidRPr="005747D1">
                    <w:rPr>
                      <w:rFonts w:cs="Arial"/>
                      <w:color w:val="000000"/>
                      <w:sz w:val="16"/>
                      <w:szCs w:val="16"/>
                    </w:rPr>
                    <w:t>+3,1</w:t>
                  </w:r>
                </w:p>
              </w:tc>
            </w:tr>
            <w:tr w:rsidR="00605D96" w:rsidRPr="005747D1" w14:paraId="76E46E32" w14:textId="77777777" w:rsidTr="008B207B">
              <w:trPr>
                <w:trHeight w:val="252"/>
              </w:trPr>
              <w:tc>
                <w:tcPr>
                  <w:tcW w:w="3417" w:type="dxa"/>
                  <w:tcBorders>
                    <w:top w:val="nil"/>
                    <w:left w:val="nil"/>
                    <w:bottom w:val="nil"/>
                    <w:right w:val="nil"/>
                  </w:tcBorders>
                  <w:noWrap/>
                  <w:vAlign w:val="bottom"/>
                  <w:hideMark/>
                </w:tcPr>
                <w:p w14:paraId="45D1E11E" w14:textId="77777777" w:rsidR="00605D96" w:rsidRPr="005747D1" w:rsidRDefault="00605D96" w:rsidP="008B207B">
                  <w:pPr>
                    <w:spacing w:after="0" w:line="240" w:lineRule="auto"/>
                    <w:jc w:val="left"/>
                    <w:rPr>
                      <w:rFonts w:cs="Arial"/>
                      <w:color w:val="000000"/>
                      <w:sz w:val="16"/>
                      <w:szCs w:val="16"/>
                    </w:rPr>
                  </w:pPr>
                  <w:r w:rsidRPr="005747D1">
                    <w:rPr>
                      <w:rFonts w:cs="Arial"/>
                      <w:color w:val="000000"/>
                      <w:sz w:val="16"/>
                      <w:szCs w:val="16"/>
                    </w:rPr>
                    <w:t>Motorová vozidla (kromě motocyklů) a díly</w:t>
                  </w:r>
                </w:p>
              </w:tc>
              <w:tc>
                <w:tcPr>
                  <w:tcW w:w="700" w:type="dxa"/>
                  <w:tcBorders>
                    <w:top w:val="nil"/>
                    <w:left w:val="nil"/>
                    <w:bottom w:val="nil"/>
                    <w:right w:val="nil"/>
                  </w:tcBorders>
                  <w:noWrap/>
                  <w:vAlign w:val="bottom"/>
                  <w:hideMark/>
                </w:tcPr>
                <w:p w14:paraId="1FB6258D" w14:textId="77777777" w:rsidR="00605D96" w:rsidRPr="005747D1" w:rsidRDefault="00605D96" w:rsidP="008B207B">
                  <w:pPr>
                    <w:spacing w:after="0" w:line="240" w:lineRule="auto"/>
                    <w:jc w:val="right"/>
                    <w:rPr>
                      <w:rFonts w:cs="Arial"/>
                      <w:color w:val="000000"/>
                      <w:sz w:val="16"/>
                      <w:szCs w:val="16"/>
                    </w:rPr>
                  </w:pPr>
                  <w:r w:rsidRPr="005747D1">
                    <w:rPr>
                      <w:rFonts w:cs="Arial"/>
                      <w:color w:val="000000"/>
                      <w:sz w:val="16"/>
                      <w:szCs w:val="16"/>
                    </w:rPr>
                    <w:t>+1,0</w:t>
                  </w:r>
                </w:p>
              </w:tc>
              <w:tc>
                <w:tcPr>
                  <w:tcW w:w="700" w:type="dxa"/>
                  <w:tcBorders>
                    <w:top w:val="nil"/>
                    <w:left w:val="nil"/>
                    <w:bottom w:val="nil"/>
                    <w:right w:val="nil"/>
                  </w:tcBorders>
                  <w:noWrap/>
                  <w:vAlign w:val="bottom"/>
                  <w:hideMark/>
                </w:tcPr>
                <w:p w14:paraId="29CB4A0C" w14:textId="77777777" w:rsidR="00605D96" w:rsidRPr="005747D1" w:rsidRDefault="00605D96" w:rsidP="008B207B">
                  <w:pPr>
                    <w:spacing w:after="0" w:line="240" w:lineRule="auto"/>
                    <w:jc w:val="right"/>
                    <w:rPr>
                      <w:rFonts w:cs="Arial"/>
                      <w:color w:val="000000"/>
                      <w:sz w:val="16"/>
                      <w:szCs w:val="16"/>
                    </w:rPr>
                  </w:pPr>
                  <w:r w:rsidRPr="005747D1">
                    <w:rPr>
                      <w:rFonts w:cs="Arial"/>
                      <w:color w:val="000000"/>
                      <w:sz w:val="16"/>
                      <w:szCs w:val="16"/>
                    </w:rPr>
                    <w:t>+0,6</w:t>
                  </w:r>
                </w:p>
              </w:tc>
            </w:tr>
            <w:tr w:rsidR="00605D96" w:rsidRPr="005747D1" w14:paraId="7DD6822E" w14:textId="77777777" w:rsidTr="008B207B">
              <w:trPr>
                <w:trHeight w:val="252"/>
              </w:trPr>
              <w:tc>
                <w:tcPr>
                  <w:tcW w:w="3417" w:type="dxa"/>
                  <w:tcBorders>
                    <w:top w:val="nil"/>
                    <w:left w:val="nil"/>
                    <w:bottom w:val="nil"/>
                    <w:right w:val="nil"/>
                  </w:tcBorders>
                  <w:noWrap/>
                  <w:vAlign w:val="bottom"/>
                  <w:hideMark/>
                </w:tcPr>
                <w:p w14:paraId="34646B14" w14:textId="77777777" w:rsidR="00605D96" w:rsidRPr="005747D1" w:rsidRDefault="00605D96" w:rsidP="008B207B">
                  <w:pPr>
                    <w:spacing w:after="0" w:line="240" w:lineRule="auto"/>
                    <w:jc w:val="left"/>
                    <w:rPr>
                      <w:rFonts w:cs="Arial"/>
                      <w:color w:val="000000"/>
                      <w:sz w:val="16"/>
                      <w:szCs w:val="16"/>
                    </w:rPr>
                  </w:pPr>
                  <w:r w:rsidRPr="005747D1">
                    <w:rPr>
                      <w:rFonts w:cs="Arial"/>
                      <w:color w:val="000000"/>
                      <w:sz w:val="16"/>
                      <w:szCs w:val="16"/>
                    </w:rPr>
                    <w:t>Dřevo a dřevěné výrobky kromě nábytku</w:t>
                  </w:r>
                </w:p>
              </w:tc>
              <w:tc>
                <w:tcPr>
                  <w:tcW w:w="700" w:type="dxa"/>
                  <w:tcBorders>
                    <w:top w:val="nil"/>
                    <w:left w:val="nil"/>
                    <w:bottom w:val="nil"/>
                    <w:right w:val="nil"/>
                  </w:tcBorders>
                  <w:noWrap/>
                  <w:vAlign w:val="bottom"/>
                  <w:hideMark/>
                </w:tcPr>
                <w:p w14:paraId="0B6C9BEF" w14:textId="77777777" w:rsidR="00605D96" w:rsidRPr="005747D1" w:rsidRDefault="00605D96" w:rsidP="008B207B">
                  <w:pPr>
                    <w:spacing w:after="0" w:line="240" w:lineRule="auto"/>
                    <w:jc w:val="right"/>
                    <w:rPr>
                      <w:rFonts w:cs="Arial"/>
                      <w:color w:val="000000"/>
                      <w:sz w:val="16"/>
                      <w:szCs w:val="16"/>
                    </w:rPr>
                  </w:pPr>
                  <w:r w:rsidRPr="005747D1">
                    <w:rPr>
                      <w:rFonts w:cs="Arial"/>
                      <w:color w:val="000000"/>
                      <w:sz w:val="16"/>
                      <w:szCs w:val="16"/>
                    </w:rPr>
                    <w:t>+0,8</w:t>
                  </w:r>
                </w:p>
              </w:tc>
              <w:tc>
                <w:tcPr>
                  <w:tcW w:w="700" w:type="dxa"/>
                  <w:tcBorders>
                    <w:top w:val="nil"/>
                    <w:left w:val="nil"/>
                    <w:bottom w:val="nil"/>
                    <w:right w:val="nil"/>
                  </w:tcBorders>
                  <w:noWrap/>
                  <w:vAlign w:val="bottom"/>
                  <w:hideMark/>
                </w:tcPr>
                <w:p w14:paraId="60A6E61B" w14:textId="77777777" w:rsidR="00605D96" w:rsidRPr="005747D1" w:rsidRDefault="00605D96" w:rsidP="008B207B">
                  <w:pPr>
                    <w:spacing w:after="0" w:line="240" w:lineRule="auto"/>
                    <w:jc w:val="right"/>
                    <w:rPr>
                      <w:rFonts w:cs="Arial"/>
                      <w:color w:val="000000"/>
                      <w:sz w:val="16"/>
                      <w:szCs w:val="16"/>
                    </w:rPr>
                  </w:pPr>
                  <w:r w:rsidRPr="005747D1">
                    <w:rPr>
                      <w:rFonts w:cs="Arial"/>
                      <w:color w:val="000000"/>
                      <w:sz w:val="16"/>
                      <w:szCs w:val="16"/>
                    </w:rPr>
                    <w:t>+13,7</w:t>
                  </w:r>
                </w:p>
              </w:tc>
            </w:tr>
            <w:tr w:rsidR="00605D96" w:rsidRPr="005747D1" w14:paraId="0293B8CF" w14:textId="77777777" w:rsidTr="008B207B">
              <w:trPr>
                <w:trHeight w:val="252"/>
              </w:trPr>
              <w:tc>
                <w:tcPr>
                  <w:tcW w:w="3417" w:type="dxa"/>
                  <w:tcBorders>
                    <w:top w:val="nil"/>
                    <w:left w:val="nil"/>
                    <w:bottom w:val="nil"/>
                    <w:right w:val="nil"/>
                  </w:tcBorders>
                  <w:noWrap/>
                  <w:vAlign w:val="bottom"/>
                  <w:hideMark/>
                </w:tcPr>
                <w:p w14:paraId="294D1FE4" w14:textId="77777777" w:rsidR="00605D96" w:rsidRPr="005747D1" w:rsidRDefault="00605D96" w:rsidP="008B207B">
                  <w:pPr>
                    <w:spacing w:after="0" w:line="240" w:lineRule="auto"/>
                    <w:jc w:val="left"/>
                    <w:rPr>
                      <w:rFonts w:cs="Arial"/>
                      <w:color w:val="000000"/>
                      <w:sz w:val="16"/>
                      <w:szCs w:val="16"/>
                    </w:rPr>
                  </w:pPr>
                  <w:r w:rsidRPr="005747D1">
                    <w:rPr>
                      <w:rFonts w:cs="Arial"/>
                      <w:color w:val="000000"/>
                      <w:sz w:val="16"/>
                      <w:szCs w:val="16"/>
                    </w:rPr>
                    <w:t>Černé a hnědé uhlí a lignit</w:t>
                  </w:r>
                </w:p>
              </w:tc>
              <w:tc>
                <w:tcPr>
                  <w:tcW w:w="700" w:type="dxa"/>
                  <w:tcBorders>
                    <w:top w:val="nil"/>
                    <w:left w:val="nil"/>
                    <w:bottom w:val="nil"/>
                    <w:right w:val="nil"/>
                  </w:tcBorders>
                  <w:noWrap/>
                  <w:vAlign w:val="bottom"/>
                  <w:hideMark/>
                </w:tcPr>
                <w:p w14:paraId="0ECD2700" w14:textId="77777777" w:rsidR="00605D96" w:rsidRPr="005747D1" w:rsidRDefault="00605D96" w:rsidP="008B207B">
                  <w:pPr>
                    <w:spacing w:after="0" w:line="240" w:lineRule="auto"/>
                    <w:jc w:val="right"/>
                    <w:rPr>
                      <w:rFonts w:cs="Arial"/>
                      <w:color w:val="000000"/>
                      <w:sz w:val="16"/>
                      <w:szCs w:val="16"/>
                    </w:rPr>
                  </w:pPr>
                  <w:r>
                    <w:rPr>
                      <w:rFonts w:cs="Arial"/>
                      <w:color w:val="000000"/>
                      <w:sz w:val="16"/>
                      <w:szCs w:val="16"/>
                    </w:rPr>
                    <w:t>−</w:t>
                  </w:r>
                  <w:r w:rsidRPr="005747D1">
                    <w:rPr>
                      <w:rFonts w:cs="Arial"/>
                      <w:color w:val="000000"/>
                      <w:sz w:val="16"/>
                      <w:szCs w:val="16"/>
                    </w:rPr>
                    <w:t>0,8</w:t>
                  </w:r>
                </w:p>
              </w:tc>
              <w:tc>
                <w:tcPr>
                  <w:tcW w:w="700" w:type="dxa"/>
                  <w:tcBorders>
                    <w:top w:val="nil"/>
                    <w:left w:val="nil"/>
                    <w:bottom w:val="nil"/>
                    <w:right w:val="nil"/>
                  </w:tcBorders>
                  <w:noWrap/>
                  <w:vAlign w:val="bottom"/>
                  <w:hideMark/>
                </w:tcPr>
                <w:p w14:paraId="6F5DF52D" w14:textId="77777777" w:rsidR="00605D96" w:rsidRPr="005747D1" w:rsidRDefault="00605D96" w:rsidP="008B207B">
                  <w:pPr>
                    <w:spacing w:after="0" w:line="240" w:lineRule="auto"/>
                    <w:jc w:val="right"/>
                    <w:rPr>
                      <w:rFonts w:cs="Arial"/>
                      <w:color w:val="000000"/>
                      <w:sz w:val="16"/>
                      <w:szCs w:val="16"/>
                    </w:rPr>
                  </w:pPr>
                  <w:r>
                    <w:rPr>
                      <w:rFonts w:cs="Arial"/>
                      <w:color w:val="000000"/>
                      <w:sz w:val="16"/>
                      <w:szCs w:val="16"/>
                    </w:rPr>
                    <w:t>−</w:t>
                  </w:r>
                  <w:r w:rsidRPr="005747D1">
                    <w:rPr>
                      <w:rFonts w:cs="Arial"/>
                      <w:color w:val="000000"/>
                      <w:sz w:val="16"/>
                      <w:szCs w:val="16"/>
                    </w:rPr>
                    <w:t>28,0</w:t>
                  </w:r>
                </w:p>
              </w:tc>
            </w:tr>
            <w:tr w:rsidR="00605D96" w:rsidRPr="005747D1" w14:paraId="4F5B5CF9" w14:textId="77777777" w:rsidTr="008B207B">
              <w:trPr>
                <w:trHeight w:val="252"/>
              </w:trPr>
              <w:tc>
                <w:tcPr>
                  <w:tcW w:w="3417" w:type="dxa"/>
                  <w:tcBorders>
                    <w:top w:val="nil"/>
                    <w:left w:val="nil"/>
                    <w:bottom w:val="nil"/>
                    <w:right w:val="nil"/>
                  </w:tcBorders>
                  <w:noWrap/>
                  <w:vAlign w:val="bottom"/>
                  <w:hideMark/>
                </w:tcPr>
                <w:p w14:paraId="7825A19B" w14:textId="77777777" w:rsidR="00605D96" w:rsidRPr="005747D1" w:rsidRDefault="00605D96" w:rsidP="008B207B">
                  <w:pPr>
                    <w:spacing w:after="0" w:line="240" w:lineRule="auto"/>
                    <w:jc w:val="left"/>
                    <w:rPr>
                      <w:rFonts w:cs="Arial"/>
                      <w:color w:val="000000"/>
                      <w:sz w:val="16"/>
                      <w:szCs w:val="16"/>
                    </w:rPr>
                  </w:pPr>
                  <w:r w:rsidRPr="005747D1">
                    <w:rPr>
                      <w:rFonts w:cs="Arial"/>
                      <w:color w:val="000000"/>
                      <w:sz w:val="16"/>
                      <w:szCs w:val="16"/>
                    </w:rPr>
                    <w:t>Papír a výrobky z papíru</w:t>
                  </w:r>
                </w:p>
              </w:tc>
              <w:tc>
                <w:tcPr>
                  <w:tcW w:w="700" w:type="dxa"/>
                  <w:tcBorders>
                    <w:top w:val="nil"/>
                    <w:left w:val="nil"/>
                    <w:bottom w:val="nil"/>
                    <w:right w:val="nil"/>
                  </w:tcBorders>
                  <w:noWrap/>
                  <w:vAlign w:val="bottom"/>
                  <w:hideMark/>
                </w:tcPr>
                <w:p w14:paraId="56B5B14B" w14:textId="77777777" w:rsidR="00605D96" w:rsidRPr="005747D1" w:rsidRDefault="00605D96" w:rsidP="008B207B">
                  <w:pPr>
                    <w:spacing w:after="0" w:line="240" w:lineRule="auto"/>
                    <w:jc w:val="right"/>
                    <w:rPr>
                      <w:rFonts w:cs="Arial"/>
                      <w:color w:val="000000"/>
                      <w:sz w:val="16"/>
                      <w:szCs w:val="16"/>
                    </w:rPr>
                  </w:pPr>
                  <w:r>
                    <w:rPr>
                      <w:rFonts w:cs="Arial"/>
                      <w:color w:val="000000"/>
                      <w:sz w:val="16"/>
                      <w:szCs w:val="16"/>
                    </w:rPr>
                    <w:t>−</w:t>
                  </w:r>
                  <w:r w:rsidRPr="005747D1">
                    <w:rPr>
                      <w:rFonts w:cs="Arial"/>
                      <w:color w:val="000000"/>
                      <w:sz w:val="16"/>
                      <w:szCs w:val="16"/>
                    </w:rPr>
                    <w:t>0,9</w:t>
                  </w:r>
                </w:p>
              </w:tc>
              <w:tc>
                <w:tcPr>
                  <w:tcW w:w="700" w:type="dxa"/>
                  <w:tcBorders>
                    <w:top w:val="nil"/>
                    <w:left w:val="nil"/>
                    <w:bottom w:val="nil"/>
                    <w:right w:val="nil"/>
                  </w:tcBorders>
                  <w:noWrap/>
                  <w:vAlign w:val="bottom"/>
                  <w:hideMark/>
                </w:tcPr>
                <w:p w14:paraId="135F7014" w14:textId="77777777" w:rsidR="00605D96" w:rsidRPr="005747D1" w:rsidRDefault="00605D96" w:rsidP="008B207B">
                  <w:pPr>
                    <w:spacing w:after="0" w:line="240" w:lineRule="auto"/>
                    <w:jc w:val="right"/>
                    <w:rPr>
                      <w:rFonts w:cs="Arial"/>
                      <w:color w:val="000000"/>
                      <w:sz w:val="16"/>
                      <w:szCs w:val="16"/>
                    </w:rPr>
                  </w:pPr>
                  <w:r>
                    <w:rPr>
                      <w:rFonts w:cs="Arial"/>
                      <w:color w:val="000000"/>
                      <w:sz w:val="16"/>
                      <w:szCs w:val="16"/>
                    </w:rPr>
                    <w:t>−</w:t>
                  </w:r>
                  <w:r w:rsidRPr="005747D1">
                    <w:rPr>
                      <w:rFonts w:cs="Arial"/>
                      <w:color w:val="000000"/>
                      <w:sz w:val="16"/>
                      <w:szCs w:val="16"/>
                    </w:rPr>
                    <w:t>5,1</w:t>
                  </w:r>
                </w:p>
              </w:tc>
            </w:tr>
            <w:tr w:rsidR="00605D96" w:rsidRPr="005747D1" w14:paraId="37099667" w14:textId="77777777" w:rsidTr="008B207B">
              <w:trPr>
                <w:trHeight w:val="252"/>
              </w:trPr>
              <w:tc>
                <w:tcPr>
                  <w:tcW w:w="3417" w:type="dxa"/>
                  <w:tcBorders>
                    <w:top w:val="nil"/>
                    <w:left w:val="nil"/>
                    <w:bottom w:val="nil"/>
                    <w:right w:val="nil"/>
                  </w:tcBorders>
                  <w:noWrap/>
                  <w:vAlign w:val="bottom"/>
                  <w:hideMark/>
                </w:tcPr>
                <w:p w14:paraId="7F0A8EA6" w14:textId="77777777" w:rsidR="00605D96" w:rsidRPr="005747D1" w:rsidRDefault="00605D96" w:rsidP="008B207B">
                  <w:pPr>
                    <w:spacing w:after="0" w:line="240" w:lineRule="auto"/>
                    <w:jc w:val="left"/>
                    <w:rPr>
                      <w:rFonts w:cs="Arial"/>
                      <w:color w:val="000000"/>
                      <w:sz w:val="16"/>
                      <w:szCs w:val="16"/>
                    </w:rPr>
                  </w:pPr>
                  <w:r w:rsidRPr="005747D1">
                    <w:rPr>
                      <w:rFonts w:cs="Arial"/>
                      <w:color w:val="000000"/>
                      <w:sz w:val="16"/>
                      <w:szCs w:val="16"/>
                    </w:rPr>
                    <w:t>Pryžové a plastové výrobky</w:t>
                  </w:r>
                </w:p>
              </w:tc>
              <w:tc>
                <w:tcPr>
                  <w:tcW w:w="700" w:type="dxa"/>
                  <w:tcBorders>
                    <w:top w:val="nil"/>
                    <w:left w:val="nil"/>
                    <w:bottom w:val="nil"/>
                    <w:right w:val="nil"/>
                  </w:tcBorders>
                  <w:noWrap/>
                  <w:vAlign w:val="bottom"/>
                  <w:hideMark/>
                </w:tcPr>
                <w:p w14:paraId="530F8079" w14:textId="77777777" w:rsidR="00605D96" w:rsidRPr="005747D1" w:rsidRDefault="00605D96" w:rsidP="008B207B">
                  <w:pPr>
                    <w:spacing w:after="0" w:line="240" w:lineRule="auto"/>
                    <w:jc w:val="right"/>
                    <w:rPr>
                      <w:rFonts w:cs="Arial"/>
                      <w:color w:val="000000"/>
                      <w:sz w:val="16"/>
                      <w:szCs w:val="16"/>
                    </w:rPr>
                  </w:pPr>
                  <w:r>
                    <w:rPr>
                      <w:rFonts w:cs="Arial"/>
                      <w:color w:val="000000"/>
                      <w:sz w:val="16"/>
                      <w:szCs w:val="16"/>
                    </w:rPr>
                    <w:t>−</w:t>
                  </w:r>
                  <w:r w:rsidRPr="005747D1">
                    <w:rPr>
                      <w:rFonts w:cs="Arial"/>
                      <w:color w:val="000000"/>
                      <w:sz w:val="16"/>
                      <w:szCs w:val="16"/>
                    </w:rPr>
                    <w:t>0,9</w:t>
                  </w:r>
                </w:p>
              </w:tc>
              <w:tc>
                <w:tcPr>
                  <w:tcW w:w="700" w:type="dxa"/>
                  <w:tcBorders>
                    <w:top w:val="nil"/>
                    <w:left w:val="nil"/>
                    <w:bottom w:val="nil"/>
                    <w:right w:val="nil"/>
                  </w:tcBorders>
                  <w:noWrap/>
                  <w:vAlign w:val="bottom"/>
                  <w:hideMark/>
                </w:tcPr>
                <w:p w14:paraId="14C079B3" w14:textId="77777777" w:rsidR="00605D96" w:rsidRPr="005747D1" w:rsidRDefault="00605D96" w:rsidP="008B207B">
                  <w:pPr>
                    <w:spacing w:after="0" w:line="240" w:lineRule="auto"/>
                    <w:jc w:val="right"/>
                    <w:rPr>
                      <w:rFonts w:cs="Arial"/>
                      <w:color w:val="000000"/>
                      <w:sz w:val="16"/>
                      <w:szCs w:val="16"/>
                    </w:rPr>
                  </w:pPr>
                  <w:r>
                    <w:rPr>
                      <w:rFonts w:cs="Arial"/>
                      <w:color w:val="000000"/>
                      <w:sz w:val="16"/>
                      <w:szCs w:val="16"/>
                    </w:rPr>
                    <w:t>−</w:t>
                  </w:r>
                  <w:r w:rsidRPr="005747D1">
                    <w:rPr>
                      <w:rFonts w:cs="Arial"/>
                      <w:color w:val="000000"/>
                      <w:sz w:val="16"/>
                      <w:szCs w:val="16"/>
                    </w:rPr>
                    <w:t>1,8</w:t>
                  </w:r>
                </w:p>
              </w:tc>
            </w:tr>
            <w:tr w:rsidR="00605D96" w:rsidRPr="005747D1" w14:paraId="73F10F7B" w14:textId="77777777" w:rsidTr="008B207B">
              <w:trPr>
                <w:trHeight w:val="252"/>
              </w:trPr>
              <w:tc>
                <w:tcPr>
                  <w:tcW w:w="3417" w:type="dxa"/>
                  <w:tcBorders>
                    <w:top w:val="nil"/>
                    <w:left w:val="nil"/>
                    <w:bottom w:val="nil"/>
                    <w:right w:val="nil"/>
                  </w:tcBorders>
                  <w:noWrap/>
                  <w:vAlign w:val="bottom"/>
                  <w:hideMark/>
                </w:tcPr>
                <w:p w14:paraId="05DBC71C" w14:textId="77777777" w:rsidR="00605D96" w:rsidRPr="005747D1" w:rsidRDefault="00605D96" w:rsidP="008B207B">
                  <w:pPr>
                    <w:spacing w:after="0" w:line="240" w:lineRule="auto"/>
                    <w:jc w:val="left"/>
                    <w:rPr>
                      <w:rFonts w:cs="Arial"/>
                      <w:color w:val="000000"/>
                      <w:sz w:val="16"/>
                      <w:szCs w:val="16"/>
                    </w:rPr>
                  </w:pPr>
                  <w:r w:rsidRPr="005747D1">
                    <w:rPr>
                      <w:rFonts w:cs="Arial"/>
                      <w:color w:val="000000"/>
                      <w:sz w:val="16"/>
                      <w:szCs w:val="16"/>
                    </w:rPr>
                    <w:t>Usně a související výrobky</w:t>
                  </w:r>
                </w:p>
              </w:tc>
              <w:tc>
                <w:tcPr>
                  <w:tcW w:w="700" w:type="dxa"/>
                  <w:tcBorders>
                    <w:top w:val="nil"/>
                    <w:left w:val="nil"/>
                    <w:bottom w:val="nil"/>
                    <w:right w:val="nil"/>
                  </w:tcBorders>
                  <w:noWrap/>
                  <w:vAlign w:val="bottom"/>
                  <w:hideMark/>
                </w:tcPr>
                <w:p w14:paraId="5B7240E8" w14:textId="77777777" w:rsidR="00605D96" w:rsidRPr="005747D1" w:rsidRDefault="00605D96" w:rsidP="008B207B">
                  <w:pPr>
                    <w:spacing w:after="0" w:line="240" w:lineRule="auto"/>
                    <w:jc w:val="right"/>
                    <w:rPr>
                      <w:rFonts w:cs="Arial"/>
                      <w:color w:val="000000"/>
                      <w:sz w:val="16"/>
                      <w:szCs w:val="16"/>
                    </w:rPr>
                  </w:pPr>
                  <w:r>
                    <w:rPr>
                      <w:rFonts w:cs="Arial"/>
                      <w:color w:val="000000"/>
                      <w:sz w:val="16"/>
                      <w:szCs w:val="16"/>
                    </w:rPr>
                    <w:t>−</w:t>
                  </w:r>
                  <w:r w:rsidRPr="005747D1">
                    <w:rPr>
                      <w:rFonts w:cs="Arial"/>
                      <w:color w:val="000000"/>
                      <w:sz w:val="16"/>
                      <w:szCs w:val="16"/>
                    </w:rPr>
                    <w:t>0,9</w:t>
                  </w:r>
                </w:p>
              </w:tc>
              <w:tc>
                <w:tcPr>
                  <w:tcW w:w="700" w:type="dxa"/>
                  <w:tcBorders>
                    <w:top w:val="nil"/>
                    <w:left w:val="nil"/>
                    <w:bottom w:val="nil"/>
                    <w:right w:val="nil"/>
                  </w:tcBorders>
                  <w:noWrap/>
                  <w:vAlign w:val="bottom"/>
                  <w:hideMark/>
                </w:tcPr>
                <w:p w14:paraId="4930E5EA" w14:textId="77777777" w:rsidR="00605D96" w:rsidRPr="005747D1" w:rsidRDefault="00605D96" w:rsidP="008B207B">
                  <w:pPr>
                    <w:spacing w:after="0" w:line="240" w:lineRule="auto"/>
                    <w:jc w:val="right"/>
                    <w:rPr>
                      <w:rFonts w:cs="Arial"/>
                      <w:color w:val="000000"/>
                      <w:sz w:val="16"/>
                      <w:szCs w:val="16"/>
                    </w:rPr>
                  </w:pPr>
                  <w:r>
                    <w:rPr>
                      <w:rFonts w:cs="Arial"/>
                      <w:color w:val="000000"/>
                      <w:sz w:val="16"/>
                      <w:szCs w:val="16"/>
                    </w:rPr>
                    <w:t>−</w:t>
                  </w:r>
                  <w:r w:rsidRPr="005747D1">
                    <w:rPr>
                      <w:rFonts w:cs="Arial"/>
                      <w:color w:val="000000"/>
                      <w:sz w:val="16"/>
                      <w:szCs w:val="16"/>
                    </w:rPr>
                    <w:t>11,6</w:t>
                  </w:r>
                </w:p>
              </w:tc>
            </w:tr>
            <w:tr w:rsidR="00605D96" w:rsidRPr="005747D1" w14:paraId="329C0ADE" w14:textId="77777777" w:rsidTr="008B207B">
              <w:trPr>
                <w:trHeight w:val="252"/>
              </w:trPr>
              <w:tc>
                <w:tcPr>
                  <w:tcW w:w="3417" w:type="dxa"/>
                  <w:tcBorders>
                    <w:top w:val="nil"/>
                    <w:left w:val="nil"/>
                    <w:bottom w:val="nil"/>
                    <w:right w:val="nil"/>
                  </w:tcBorders>
                  <w:noWrap/>
                  <w:vAlign w:val="bottom"/>
                  <w:hideMark/>
                </w:tcPr>
                <w:p w14:paraId="01EBDAD9" w14:textId="77777777" w:rsidR="00605D96" w:rsidRPr="005747D1" w:rsidRDefault="00605D96" w:rsidP="008B207B">
                  <w:pPr>
                    <w:spacing w:after="0" w:line="240" w:lineRule="auto"/>
                    <w:jc w:val="left"/>
                    <w:rPr>
                      <w:rFonts w:cs="Arial"/>
                      <w:color w:val="000000"/>
                      <w:sz w:val="16"/>
                      <w:szCs w:val="16"/>
                    </w:rPr>
                  </w:pPr>
                  <w:r w:rsidRPr="005747D1">
                    <w:rPr>
                      <w:rFonts w:cs="Arial"/>
                      <w:color w:val="000000"/>
                      <w:sz w:val="16"/>
                      <w:szCs w:val="16"/>
                    </w:rPr>
                    <w:t>Koks a rafinované ropné produkty</w:t>
                  </w:r>
                </w:p>
              </w:tc>
              <w:tc>
                <w:tcPr>
                  <w:tcW w:w="700" w:type="dxa"/>
                  <w:tcBorders>
                    <w:top w:val="nil"/>
                    <w:left w:val="nil"/>
                    <w:bottom w:val="nil"/>
                    <w:right w:val="nil"/>
                  </w:tcBorders>
                  <w:noWrap/>
                  <w:vAlign w:val="bottom"/>
                  <w:hideMark/>
                </w:tcPr>
                <w:p w14:paraId="50375F5E" w14:textId="77777777" w:rsidR="00605D96" w:rsidRPr="005747D1" w:rsidRDefault="00605D96" w:rsidP="008B207B">
                  <w:pPr>
                    <w:spacing w:after="0" w:line="240" w:lineRule="auto"/>
                    <w:jc w:val="right"/>
                    <w:rPr>
                      <w:rFonts w:cs="Arial"/>
                      <w:color w:val="000000"/>
                      <w:sz w:val="16"/>
                      <w:szCs w:val="16"/>
                    </w:rPr>
                  </w:pPr>
                  <w:r>
                    <w:rPr>
                      <w:rFonts w:cs="Arial"/>
                      <w:color w:val="000000"/>
                      <w:sz w:val="16"/>
                      <w:szCs w:val="16"/>
                    </w:rPr>
                    <w:t>−</w:t>
                  </w:r>
                  <w:r w:rsidRPr="005747D1">
                    <w:rPr>
                      <w:rFonts w:cs="Arial"/>
                      <w:color w:val="000000"/>
                      <w:sz w:val="16"/>
                      <w:szCs w:val="16"/>
                    </w:rPr>
                    <w:t>1,5</w:t>
                  </w:r>
                </w:p>
              </w:tc>
              <w:tc>
                <w:tcPr>
                  <w:tcW w:w="700" w:type="dxa"/>
                  <w:tcBorders>
                    <w:top w:val="nil"/>
                    <w:left w:val="nil"/>
                    <w:bottom w:val="nil"/>
                    <w:right w:val="nil"/>
                  </w:tcBorders>
                  <w:noWrap/>
                  <w:vAlign w:val="bottom"/>
                  <w:hideMark/>
                </w:tcPr>
                <w:p w14:paraId="77527D40" w14:textId="77777777" w:rsidR="00605D96" w:rsidRPr="005747D1" w:rsidRDefault="00605D96" w:rsidP="008B207B">
                  <w:pPr>
                    <w:spacing w:after="0" w:line="240" w:lineRule="auto"/>
                    <w:jc w:val="right"/>
                    <w:rPr>
                      <w:rFonts w:cs="Arial"/>
                      <w:color w:val="000000"/>
                      <w:sz w:val="16"/>
                      <w:szCs w:val="16"/>
                    </w:rPr>
                  </w:pPr>
                  <w:r>
                    <w:rPr>
                      <w:rFonts w:cs="Arial"/>
                      <w:color w:val="000000"/>
                      <w:sz w:val="16"/>
                      <w:szCs w:val="16"/>
                    </w:rPr>
                    <w:t>−</w:t>
                  </w:r>
                  <w:r w:rsidRPr="005747D1">
                    <w:rPr>
                      <w:rFonts w:cs="Arial"/>
                      <w:color w:val="000000"/>
                      <w:sz w:val="16"/>
                      <w:szCs w:val="16"/>
                    </w:rPr>
                    <w:t>6,8</w:t>
                  </w:r>
                </w:p>
              </w:tc>
            </w:tr>
            <w:tr w:rsidR="00605D96" w:rsidRPr="005747D1" w14:paraId="7E4CEA18" w14:textId="77777777" w:rsidTr="008B207B">
              <w:trPr>
                <w:trHeight w:val="252"/>
              </w:trPr>
              <w:tc>
                <w:tcPr>
                  <w:tcW w:w="3417" w:type="dxa"/>
                  <w:tcBorders>
                    <w:top w:val="nil"/>
                    <w:left w:val="nil"/>
                    <w:bottom w:val="nil"/>
                    <w:right w:val="nil"/>
                  </w:tcBorders>
                  <w:noWrap/>
                  <w:vAlign w:val="bottom"/>
                  <w:hideMark/>
                </w:tcPr>
                <w:p w14:paraId="2759C1FD" w14:textId="77777777" w:rsidR="00605D96" w:rsidRPr="005747D1" w:rsidRDefault="00605D96" w:rsidP="008B207B">
                  <w:pPr>
                    <w:spacing w:after="0" w:line="240" w:lineRule="auto"/>
                    <w:jc w:val="left"/>
                    <w:rPr>
                      <w:rFonts w:cs="Arial"/>
                      <w:color w:val="000000"/>
                      <w:sz w:val="16"/>
                      <w:szCs w:val="16"/>
                    </w:rPr>
                  </w:pPr>
                  <w:r w:rsidRPr="005747D1">
                    <w:rPr>
                      <w:rFonts w:cs="Arial"/>
                      <w:color w:val="000000"/>
                      <w:sz w:val="16"/>
                      <w:szCs w:val="16"/>
                    </w:rPr>
                    <w:t>Elektrická zařízení</w:t>
                  </w:r>
                </w:p>
              </w:tc>
              <w:tc>
                <w:tcPr>
                  <w:tcW w:w="700" w:type="dxa"/>
                  <w:tcBorders>
                    <w:top w:val="nil"/>
                    <w:left w:val="nil"/>
                    <w:bottom w:val="nil"/>
                    <w:right w:val="nil"/>
                  </w:tcBorders>
                  <w:noWrap/>
                  <w:vAlign w:val="bottom"/>
                  <w:hideMark/>
                </w:tcPr>
                <w:p w14:paraId="3973CA7F" w14:textId="77777777" w:rsidR="00605D96" w:rsidRPr="005747D1" w:rsidRDefault="00605D96" w:rsidP="008B207B">
                  <w:pPr>
                    <w:spacing w:after="0" w:line="240" w:lineRule="auto"/>
                    <w:jc w:val="right"/>
                    <w:rPr>
                      <w:rFonts w:cs="Arial"/>
                      <w:color w:val="000000"/>
                      <w:sz w:val="16"/>
                      <w:szCs w:val="16"/>
                    </w:rPr>
                  </w:pPr>
                  <w:r>
                    <w:rPr>
                      <w:rFonts w:cs="Arial"/>
                      <w:color w:val="000000"/>
                      <w:sz w:val="16"/>
                      <w:szCs w:val="16"/>
                    </w:rPr>
                    <w:t>−</w:t>
                  </w:r>
                  <w:r w:rsidRPr="005747D1">
                    <w:rPr>
                      <w:rFonts w:cs="Arial"/>
                      <w:color w:val="000000"/>
                      <w:sz w:val="16"/>
                      <w:szCs w:val="16"/>
                    </w:rPr>
                    <w:t>1,8</w:t>
                  </w:r>
                </w:p>
              </w:tc>
              <w:tc>
                <w:tcPr>
                  <w:tcW w:w="700" w:type="dxa"/>
                  <w:tcBorders>
                    <w:top w:val="nil"/>
                    <w:left w:val="nil"/>
                    <w:bottom w:val="nil"/>
                    <w:right w:val="nil"/>
                  </w:tcBorders>
                  <w:noWrap/>
                  <w:vAlign w:val="bottom"/>
                  <w:hideMark/>
                </w:tcPr>
                <w:p w14:paraId="2A2C3DD5" w14:textId="77777777" w:rsidR="00605D96" w:rsidRPr="005747D1" w:rsidRDefault="00605D96" w:rsidP="008B207B">
                  <w:pPr>
                    <w:spacing w:after="0" w:line="240" w:lineRule="auto"/>
                    <w:jc w:val="right"/>
                    <w:rPr>
                      <w:rFonts w:cs="Arial"/>
                      <w:color w:val="000000"/>
                      <w:sz w:val="16"/>
                      <w:szCs w:val="16"/>
                    </w:rPr>
                  </w:pPr>
                  <w:r>
                    <w:rPr>
                      <w:rFonts w:cs="Arial"/>
                      <w:color w:val="000000"/>
                      <w:sz w:val="16"/>
                      <w:szCs w:val="16"/>
                    </w:rPr>
                    <w:t>−</w:t>
                  </w:r>
                  <w:r w:rsidRPr="005747D1">
                    <w:rPr>
                      <w:rFonts w:cs="Arial"/>
                      <w:color w:val="000000"/>
                      <w:sz w:val="16"/>
                      <w:szCs w:val="16"/>
                    </w:rPr>
                    <w:t>1,5</w:t>
                  </w:r>
                </w:p>
              </w:tc>
            </w:tr>
            <w:tr w:rsidR="00605D96" w:rsidRPr="005747D1" w14:paraId="55B37729" w14:textId="77777777" w:rsidTr="008B207B">
              <w:trPr>
                <w:trHeight w:val="252"/>
              </w:trPr>
              <w:tc>
                <w:tcPr>
                  <w:tcW w:w="3417" w:type="dxa"/>
                  <w:tcBorders>
                    <w:top w:val="nil"/>
                    <w:left w:val="nil"/>
                    <w:bottom w:val="nil"/>
                    <w:right w:val="nil"/>
                  </w:tcBorders>
                  <w:noWrap/>
                  <w:vAlign w:val="bottom"/>
                  <w:hideMark/>
                </w:tcPr>
                <w:p w14:paraId="67BD9320" w14:textId="77777777" w:rsidR="00605D96" w:rsidRPr="005747D1" w:rsidRDefault="00605D96" w:rsidP="008B207B">
                  <w:pPr>
                    <w:spacing w:after="0" w:line="240" w:lineRule="auto"/>
                    <w:jc w:val="left"/>
                    <w:rPr>
                      <w:rFonts w:cs="Arial"/>
                      <w:color w:val="000000"/>
                      <w:sz w:val="16"/>
                      <w:szCs w:val="16"/>
                    </w:rPr>
                  </w:pPr>
                  <w:r w:rsidRPr="005747D1">
                    <w:rPr>
                      <w:rFonts w:cs="Arial"/>
                      <w:color w:val="000000"/>
                      <w:sz w:val="16"/>
                      <w:szCs w:val="16"/>
                    </w:rPr>
                    <w:t>Stroje a zařízení j. n.</w:t>
                  </w:r>
                </w:p>
              </w:tc>
              <w:tc>
                <w:tcPr>
                  <w:tcW w:w="700" w:type="dxa"/>
                  <w:tcBorders>
                    <w:top w:val="nil"/>
                    <w:left w:val="nil"/>
                    <w:bottom w:val="nil"/>
                    <w:right w:val="nil"/>
                  </w:tcBorders>
                  <w:noWrap/>
                  <w:vAlign w:val="bottom"/>
                  <w:hideMark/>
                </w:tcPr>
                <w:p w14:paraId="6EC22EEE" w14:textId="77777777" w:rsidR="00605D96" w:rsidRPr="005747D1" w:rsidRDefault="00605D96" w:rsidP="008B207B">
                  <w:pPr>
                    <w:spacing w:after="0" w:line="240" w:lineRule="auto"/>
                    <w:jc w:val="right"/>
                    <w:rPr>
                      <w:rFonts w:cs="Arial"/>
                      <w:color w:val="000000"/>
                      <w:sz w:val="16"/>
                      <w:szCs w:val="16"/>
                    </w:rPr>
                  </w:pPr>
                  <w:r>
                    <w:rPr>
                      <w:rFonts w:cs="Arial"/>
                      <w:color w:val="000000"/>
                      <w:sz w:val="16"/>
                      <w:szCs w:val="16"/>
                    </w:rPr>
                    <w:t>−</w:t>
                  </w:r>
                  <w:r w:rsidRPr="005747D1">
                    <w:rPr>
                      <w:rFonts w:cs="Arial"/>
                      <w:color w:val="000000"/>
                      <w:sz w:val="16"/>
                      <w:szCs w:val="16"/>
                    </w:rPr>
                    <w:t>2,1</w:t>
                  </w:r>
                </w:p>
              </w:tc>
              <w:tc>
                <w:tcPr>
                  <w:tcW w:w="700" w:type="dxa"/>
                  <w:tcBorders>
                    <w:top w:val="nil"/>
                    <w:left w:val="nil"/>
                    <w:bottom w:val="nil"/>
                    <w:right w:val="nil"/>
                  </w:tcBorders>
                  <w:noWrap/>
                  <w:vAlign w:val="bottom"/>
                  <w:hideMark/>
                </w:tcPr>
                <w:p w14:paraId="2A8F476A" w14:textId="77777777" w:rsidR="00605D96" w:rsidRPr="005747D1" w:rsidRDefault="00605D96" w:rsidP="008B207B">
                  <w:pPr>
                    <w:spacing w:after="0" w:line="240" w:lineRule="auto"/>
                    <w:jc w:val="right"/>
                    <w:rPr>
                      <w:rFonts w:cs="Arial"/>
                      <w:color w:val="000000"/>
                      <w:sz w:val="16"/>
                      <w:szCs w:val="16"/>
                    </w:rPr>
                  </w:pPr>
                  <w:r>
                    <w:rPr>
                      <w:rFonts w:cs="Arial"/>
                      <w:color w:val="000000"/>
                      <w:sz w:val="16"/>
                      <w:szCs w:val="16"/>
                    </w:rPr>
                    <w:t>−</w:t>
                  </w:r>
                  <w:r w:rsidRPr="005747D1">
                    <w:rPr>
                      <w:rFonts w:cs="Arial"/>
                      <w:color w:val="000000"/>
                      <w:sz w:val="16"/>
                      <w:szCs w:val="16"/>
                    </w:rPr>
                    <w:t>2,1</w:t>
                  </w:r>
                </w:p>
              </w:tc>
            </w:tr>
            <w:tr w:rsidR="00605D96" w:rsidRPr="005747D1" w14:paraId="2B44E5A8" w14:textId="77777777" w:rsidTr="008B207B">
              <w:trPr>
                <w:trHeight w:val="252"/>
              </w:trPr>
              <w:tc>
                <w:tcPr>
                  <w:tcW w:w="3417" w:type="dxa"/>
                  <w:tcBorders>
                    <w:top w:val="nil"/>
                    <w:left w:val="nil"/>
                    <w:bottom w:val="nil"/>
                    <w:right w:val="nil"/>
                  </w:tcBorders>
                  <w:noWrap/>
                  <w:vAlign w:val="bottom"/>
                  <w:hideMark/>
                </w:tcPr>
                <w:p w14:paraId="60EF4EF0" w14:textId="77777777" w:rsidR="00605D96" w:rsidRPr="005747D1" w:rsidRDefault="00605D96" w:rsidP="008B207B">
                  <w:pPr>
                    <w:spacing w:after="0" w:line="240" w:lineRule="auto"/>
                    <w:jc w:val="left"/>
                    <w:rPr>
                      <w:rFonts w:cs="Arial"/>
                      <w:color w:val="000000"/>
                      <w:sz w:val="16"/>
                      <w:szCs w:val="16"/>
                    </w:rPr>
                  </w:pPr>
                  <w:r w:rsidRPr="005747D1">
                    <w:rPr>
                      <w:rFonts w:cs="Arial"/>
                      <w:color w:val="000000"/>
                      <w:sz w:val="16"/>
                      <w:szCs w:val="16"/>
                    </w:rPr>
                    <w:t>Chemické látky a přípravky</w:t>
                  </w:r>
                </w:p>
              </w:tc>
              <w:tc>
                <w:tcPr>
                  <w:tcW w:w="700" w:type="dxa"/>
                  <w:tcBorders>
                    <w:top w:val="nil"/>
                    <w:left w:val="nil"/>
                    <w:bottom w:val="nil"/>
                    <w:right w:val="nil"/>
                  </w:tcBorders>
                  <w:noWrap/>
                  <w:vAlign w:val="bottom"/>
                  <w:hideMark/>
                </w:tcPr>
                <w:p w14:paraId="57B42E5E" w14:textId="77777777" w:rsidR="00605D96" w:rsidRPr="005747D1" w:rsidRDefault="00605D96" w:rsidP="008B207B">
                  <w:pPr>
                    <w:spacing w:after="0" w:line="240" w:lineRule="auto"/>
                    <w:jc w:val="right"/>
                    <w:rPr>
                      <w:rFonts w:cs="Arial"/>
                      <w:color w:val="000000"/>
                      <w:sz w:val="16"/>
                      <w:szCs w:val="16"/>
                    </w:rPr>
                  </w:pPr>
                  <w:r>
                    <w:rPr>
                      <w:rFonts w:cs="Arial"/>
                      <w:color w:val="000000"/>
                      <w:sz w:val="16"/>
                      <w:szCs w:val="16"/>
                    </w:rPr>
                    <w:t>−</w:t>
                  </w:r>
                  <w:r w:rsidRPr="005747D1">
                    <w:rPr>
                      <w:rFonts w:cs="Arial"/>
                      <w:color w:val="000000"/>
                      <w:sz w:val="16"/>
                      <w:szCs w:val="16"/>
                    </w:rPr>
                    <w:t>2,6</w:t>
                  </w:r>
                </w:p>
              </w:tc>
              <w:tc>
                <w:tcPr>
                  <w:tcW w:w="700" w:type="dxa"/>
                  <w:tcBorders>
                    <w:top w:val="nil"/>
                    <w:left w:val="nil"/>
                    <w:bottom w:val="nil"/>
                    <w:right w:val="nil"/>
                  </w:tcBorders>
                  <w:noWrap/>
                  <w:vAlign w:val="bottom"/>
                  <w:hideMark/>
                </w:tcPr>
                <w:p w14:paraId="3663BC8B" w14:textId="77777777" w:rsidR="00605D96" w:rsidRPr="005747D1" w:rsidRDefault="00605D96" w:rsidP="008B207B">
                  <w:pPr>
                    <w:spacing w:after="0" w:line="240" w:lineRule="auto"/>
                    <w:jc w:val="right"/>
                    <w:rPr>
                      <w:rFonts w:cs="Arial"/>
                      <w:color w:val="000000"/>
                      <w:sz w:val="16"/>
                      <w:szCs w:val="16"/>
                    </w:rPr>
                  </w:pPr>
                  <w:r>
                    <w:rPr>
                      <w:rFonts w:cs="Arial"/>
                      <w:color w:val="000000"/>
                      <w:sz w:val="16"/>
                      <w:szCs w:val="16"/>
                    </w:rPr>
                    <w:t>−</w:t>
                  </w:r>
                  <w:r w:rsidRPr="005747D1">
                    <w:rPr>
                      <w:rFonts w:cs="Arial"/>
                      <w:color w:val="000000"/>
                      <w:sz w:val="16"/>
                      <w:szCs w:val="16"/>
                    </w:rPr>
                    <w:t>2,9</w:t>
                  </w:r>
                </w:p>
              </w:tc>
            </w:tr>
            <w:tr w:rsidR="00605D96" w:rsidRPr="005747D1" w14:paraId="14B51712" w14:textId="77777777" w:rsidTr="008B207B">
              <w:trPr>
                <w:trHeight w:val="252"/>
              </w:trPr>
              <w:tc>
                <w:tcPr>
                  <w:tcW w:w="3417" w:type="dxa"/>
                  <w:tcBorders>
                    <w:top w:val="nil"/>
                    <w:left w:val="nil"/>
                    <w:bottom w:val="nil"/>
                    <w:right w:val="nil"/>
                  </w:tcBorders>
                  <w:noWrap/>
                  <w:vAlign w:val="bottom"/>
                  <w:hideMark/>
                </w:tcPr>
                <w:p w14:paraId="0D2B2A9D" w14:textId="77777777" w:rsidR="00605D96" w:rsidRPr="005747D1" w:rsidRDefault="00605D96" w:rsidP="008B207B">
                  <w:pPr>
                    <w:spacing w:after="0" w:line="240" w:lineRule="auto"/>
                    <w:jc w:val="left"/>
                    <w:rPr>
                      <w:rFonts w:cs="Arial"/>
                      <w:color w:val="000000"/>
                      <w:sz w:val="16"/>
                      <w:szCs w:val="16"/>
                    </w:rPr>
                  </w:pPr>
                  <w:r w:rsidRPr="005747D1">
                    <w:rPr>
                      <w:rFonts w:cs="Arial"/>
                      <w:color w:val="000000"/>
                      <w:sz w:val="16"/>
                      <w:szCs w:val="16"/>
                    </w:rPr>
                    <w:t>Ropa a zemní plyn</w:t>
                  </w:r>
                </w:p>
              </w:tc>
              <w:tc>
                <w:tcPr>
                  <w:tcW w:w="700" w:type="dxa"/>
                  <w:tcBorders>
                    <w:top w:val="nil"/>
                    <w:left w:val="nil"/>
                    <w:bottom w:val="nil"/>
                    <w:right w:val="nil"/>
                  </w:tcBorders>
                  <w:noWrap/>
                  <w:vAlign w:val="bottom"/>
                  <w:hideMark/>
                </w:tcPr>
                <w:p w14:paraId="4C0E6E93" w14:textId="77777777" w:rsidR="00605D96" w:rsidRPr="005747D1" w:rsidRDefault="00605D96" w:rsidP="008B207B">
                  <w:pPr>
                    <w:spacing w:after="0" w:line="240" w:lineRule="auto"/>
                    <w:jc w:val="right"/>
                    <w:rPr>
                      <w:rFonts w:cs="Arial"/>
                      <w:color w:val="000000"/>
                      <w:sz w:val="16"/>
                      <w:szCs w:val="16"/>
                    </w:rPr>
                  </w:pPr>
                  <w:r>
                    <w:rPr>
                      <w:rFonts w:cs="Arial"/>
                      <w:color w:val="000000"/>
                      <w:sz w:val="16"/>
                      <w:szCs w:val="16"/>
                    </w:rPr>
                    <w:t>−</w:t>
                  </w:r>
                  <w:r w:rsidRPr="005747D1">
                    <w:rPr>
                      <w:rFonts w:cs="Arial"/>
                      <w:color w:val="000000"/>
                      <w:sz w:val="16"/>
                      <w:szCs w:val="16"/>
                    </w:rPr>
                    <w:t>6,7</w:t>
                  </w:r>
                </w:p>
              </w:tc>
              <w:tc>
                <w:tcPr>
                  <w:tcW w:w="700" w:type="dxa"/>
                  <w:tcBorders>
                    <w:top w:val="nil"/>
                    <w:left w:val="nil"/>
                    <w:bottom w:val="nil"/>
                    <w:right w:val="nil"/>
                  </w:tcBorders>
                  <w:noWrap/>
                  <w:vAlign w:val="bottom"/>
                  <w:hideMark/>
                </w:tcPr>
                <w:p w14:paraId="60B4D751" w14:textId="77777777" w:rsidR="00605D96" w:rsidRPr="005747D1" w:rsidRDefault="00605D96" w:rsidP="008B207B">
                  <w:pPr>
                    <w:spacing w:after="0" w:line="240" w:lineRule="auto"/>
                    <w:jc w:val="right"/>
                    <w:rPr>
                      <w:rFonts w:cs="Arial"/>
                      <w:color w:val="000000"/>
                      <w:sz w:val="16"/>
                      <w:szCs w:val="16"/>
                    </w:rPr>
                  </w:pPr>
                  <w:r>
                    <w:rPr>
                      <w:rFonts w:cs="Arial"/>
                      <w:color w:val="000000"/>
                      <w:sz w:val="16"/>
                      <w:szCs w:val="16"/>
                    </w:rPr>
                    <w:t>−</w:t>
                  </w:r>
                  <w:r w:rsidRPr="005747D1">
                    <w:rPr>
                      <w:rFonts w:cs="Arial"/>
                      <w:color w:val="000000"/>
                      <w:sz w:val="16"/>
                      <w:szCs w:val="16"/>
                    </w:rPr>
                    <w:t>16,4</w:t>
                  </w:r>
                </w:p>
              </w:tc>
            </w:tr>
          </w:tbl>
          <w:p w14:paraId="0242BC73" w14:textId="77777777" w:rsidR="00605D96" w:rsidRPr="005A40B7" w:rsidRDefault="00605D96" w:rsidP="008B207B">
            <w:pPr>
              <w:spacing w:after="0"/>
              <w:rPr>
                <w:spacing w:val="-4"/>
                <w:sz w:val="16"/>
                <w:szCs w:val="16"/>
                <w:lang w:eastAsia="en-US"/>
              </w:rPr>
            </w:pPr>
          </w:p>
        </w:tc>
        <w:tc>
          <w:tcPr>
            <w:tcW w:w="57" w:type="dxa"/>
          </w:tcPr>
          <w:p w14:paraId="55443003" w14:textId="77777777" w:rsidR="00605D96" w:rsidRPr="005A40B7" w:rsidRDefault="00605D96" w:rsidP="008B207B">
            <w:pPr>
              <w:spacing w:after="0"/>
              <w:rPr>
                <w:spacing w:val="-4"/>
                <w:sz w:val="16"/>
                <w:szCs w:val="16"/>
                <w:lang w:eastAsia="en-US"/>
              </w:rPr>
            </w:pPr>
          </w:p>
        </w:tc>
        <w:tc>
          <w:tcPr>
            <w:tcW w:w="4809" w:type="dxa"/>
            <w:hideMark/>
          </w:tcPr>
          <w:tbl>
            <w:tblPr>
              <w:tblW w:w="4762" w:type="dxa"/>
              <w:tblLayout w:type="fixed"/>
              <w:tblCellMar>
                <w:left w:w="70" w:type="dxa"/>
                <w:right w:w="70" w:type="dxa"/>
              </w:tblCellMar>
              <w:tblLook w:val="04A0" w:firstRow="1" w:lastRow="0" w:firstColumn="1" w:lastColumn="0" w:noHBand="0" w:noVBand="1"/>
            </w:tblPr>
            <w:tblGrid>
              <w:gridCol w:w="3362"/>
              <w:gridCol w:w="700"/>
              <w:gridCol w:w="700"/>
            </w:tblGrid>
            <w:tr w:rsidR="00605D96" w:rsidRPr="005747D1" w14:paraId="2DB2A0DA" w14:textId="77777777" w:rsidTr="008B207B">
              <w:trPr>
                <w:trHeight w:val="252"/>
              </w:trPr>
              <w:tc>
                <w:tcPr>
                  <w:tcW w:w="3362" w:type="dxa"/>
                  <w:tcBorders>
                    <w:top w:val="nil"/>
                    <w:left w:val="nil"/>
                    <w:bottom w:val="single" w:sz="4" w:space="0" w:color="auto"/>
                    <w:right w:val="nil"/>
                  </w:tcBorders>
                  <w:noWrap/>
                  <w:vAlign w:val="bottom"/>
                  <w:hideMark/>
                </w:tcPr>
                <w:p w14:paraId="33F2D1B0" w14:textId="77777777" w:rsidR="00605D96" w:rsidRPr="005747D1" w:rsidRDefault="00605D96" w:rsidP="008B207B">
                  <w:pPr>
                    <w:spacing w:after="0" w:line="240" w:lineRule="auto"/>
                    <w:jc w:val="left"/>
                    <w:rPr>
                      <w:rFonts w:cs="Arial"/>
                      <w:color w:val="000000"/>
                      <w:sz w:val="22"/>
                      <w:szCs w:val="22"/>
                    </w:rPr>
                  </w:pPr>
                </w:p>
              </w:tc>
              <w:tc>
                <w:tcPr>
                  <w:tcW w:w="700" w:type="dxa"/>
                  <w:tcBorders>
                    <w:top w:val="nil"/>
                    <w:left w:val="nil"/>
                    <w:bottom w:val="single" w:sz="4" w:space="0" w:color="auto"/>
                    <w:right w:val="nil"/>
                  </w:tcBorders>
                  <w:noWrap/>
                  <w:vAlign w:val="bottom"/>
                  <w:hideMark/>
                </w:tcPr>
                <w:p w14:paraId="05631B51" w14:textId="77777777" w:rsidR="00605D96" w:rsidRPr="005747D1" w:rsidRDefault="00605D96" w:rsidP="008B207B">
                  <w:pPr>
                    <w:spacing w:after="0" w:line="240" w:lineRule="auto"/>
                    <w:jc w:val="right"/>
                    <w:rPr>
                      <w:rFonts w:cs="Arial"/>
                      <w:color w:val="000000"/>
                      <w:sz w:val="16"/>
                      <w:szCs w:val="16"/>
                    </w:rPr>
                  </w:pPr>
                  <w:r w:rsidRPr="005747D1">
                    <w:rPr>
                      <w:rFonts w:cs="Arial"/>
                      <w:color w:val="000000"/>
                      <w:sz w:val="16"/>
                      <w:szCs w:val="16"/>
                    </w:rPr>
                    <w:t>mld. Kč</w:t>
                  </w:r>
                </w:p>
              </w:tc>
              <w:tc>
                <w:tcPr>
                  <w:tcW w:w="700" w:type="dxa"/>
                  <w:tcBorders>
                    <w:top w:val="nil"/>
                    <w:left w:val="nil"/>
                    <w:bottom w:val="single" w:sz="4" w:space="0" w:color="auto"/>
                    <w:right w:val="nil"/>
                  </w:tcBorders>
                  <w:noWrap/>
                  <w:vAlign w:val="bottom"/>
                  <w:hideMark/>
                </w:tcPr>
                <w:p w14:paraId="461BA5C0" w14:textId="77777777" w:rsidR="00605D96" w:rsidRPr="005747D1" w:rsidRDefault="00605D96" w:rsidP="008B207B">
                  <w:pPr>
                    <w:spacing w:after="0" w:line="240" w:lineRule="auto"/>
                    <w:jc w:val="right"/>
                    <w:rPr>
                      <w:rFonts w:cs="Arial"/>
                      <w:color w:val="000000"/>
                      <w:sz w:val="16"/>
                      <w:szCs w:val="16"/>
                    </w:rPr>
                  </w:pPr>
                  <w:r w:rsidRPr="005747D1">
                    <w:rPr>
                      <w:rFonts w:cs="Arial"/>
                      <w:color w:val="000000"/>
                      <w:sz w:val="16"/>
                      <w:szCs w:val="16"/>
                    </w:rPr>
                    <w:t>%</w:t>
                  </w:r>
                </w:p>
              </w:tc>
            </w:tr>
            <w:tr w:rsidR="00605D96" w:rsidRPr="005747D1" w14:paraId="6BFFAA0B" w14:textId="77777777" w:rsidTr="008B207B">
              <w:trPr>
                <w:trHeight w:val="252"/>
              </w:trPr>
              <w:tc>
                <w:tcPr>
                  <w:tcW w:w="3362" w:type="dxa"/>
                  <w:tcBorders>
                    <w:top w:val="nil"/>
                    <w:left w:val="nil"/>
                    <w:bottom w:val="nil"/>
                    <w:right w:val="nil"/>
                  </w:tcBorders>
                  <w:noWrap/>
                  <w:vAlign w:val="bottom"/>
                  <w:hideMark/>
                </w:tcPr>
                <w:p w14:paraId="38D18677" w14:textId="77777777" w:rsidR="00605D96" w:rsidRPr="005747D1" w:rsidRDefault="00605D96" w:rsidP="008B207B">
                  <w:pPr>
                    <w:spacing w:after="0" w:line="240" w:lineRule="auto"/>
                    <w:jc w:val="left"/>
                    <w:rPr>
                      <w:rFonts w:cs="Arial"/>
                      <w:color w:val="000000"/>
                      <w:sz w:val="16"/>
                      <w:szCs w:val="16"/>
                    </w:rPr>
                  </w:pPr>
                  <w:r w:rsidRPr="005747D1">
                    <w:rPr>
                      <w:rFonts w:cs="Arial"/>
                      <w:color w:val="000000"/>
                      <w:sz w:val="16"/>
                      <w:szCs w:val="16"/>
                    </w:rPr>
                    <w:t>Norsko</w:t>
                  </w:r>
                </w:p>
              </w:tc>
              <w:tc>
                <w:tcPr>
                  <w:tcW w:w="700" w:type="dxa"/>
                  <w:tcBorders>
                    <w:top w:val="nil"/>
                    <w:left w:val="nil"/>
                    <w:bottom w:val="nil"/>
                    <w:right w:val="nil"/>
                  </w:tcBorders>
                  <w:noWrap/>
                  <w:vAlign w:val="bottom"/>
                  <w:hideMark/>
                </w:tcPr>
                <w:p w14:paraId="592050B5" w14:textId="77777777" w:rsidR="00605D96" w:rsidRPr="005747D1" w:rsidRDefault="00605D96" w:rsidP="008B207B">
                  <w:pPr>
                    <w:spacing w:after="0" w:line="240" w:lineRule="auto"/>
                    <w:jc w:val="right"/>
                    <w:rPr>
                      <w:rFonts w:cs="Arial"/>
                      <w:color w:val="000000"/>
                      <w:sz w:val="16"/>
                      <w:szCs w:val="16"/>
                    </w:rPr>
                  </w:pPr>
                  <w:r w:rsidRPr="005747D1">
                    <w:rPr>
                      <w:rFonts w:cs="Arial"/>
                      <w:color w:val="000000"/>
                      <w:sz w:val="16"/>
                      <w:szCs w:val="16"/>
                    </w:rPr>
                    <w:t>+7,1</w:t>
                  </w:r>
                </w:p>
              </w:tc>
              <w:tc>
                <w:tcPr>
                  <w:tcW w:w="700" w:type="dxa"/>
                  <w:tcBorders>
                    <w:top w:val="nil"/>
                    <w:left w:val="nil"/>
                    <w:bottom w:val="nil"/>
                    <w:right w:val="nil"/>
                  </w:tcBorders>
                  <w:noWrap/>
                  <w:vAlign w:val="bottom"/>
                  <w:hideMark/>
                </w:tcPr>
                <w:p w14:paraId="47C5028D" w14:textId="77777777" w:rsidR="00605D96" w:rsidRPr="005747D1" w:rsidRDefault="00605D96" w:rsidP="008B207B">
                  <w:pPr>
                    <w:spacing w:after="0" w:line="240" w:lineRule="auto"/>
                    <w:jc w:val="right"/>
                    <w:rPr>
                      <w:rFonts w:cs="Arial"/>
                      <w:color w:val="000000"/>
                      <w:sz w:val="16"/>
                      <w:szCs w:val="16"/>
                    </w:rPr>
                  </w:pPr>
                  <w:r w:rsidRPr="005747D1">
                    <w:rPr>
                      <w:rFonts w:cs="Arial"/>
                      <w:color w:val="000000"/>
                      <w:sz w:val="16"/>
                      <w:szCs w:val="16"/>
                    </w:rPr>
                    <w:t>+75,8</w:t>
                  </w:r>
                </w:p>
              </w:tc>
            </w:tr>
            <w:tr w:rsidR="00605D96" w:rsidRPr="005747D1" w14:paraId="77DB4F8E" w14:textId="77777777" w:rsidTr="008B207B">
              <w:trPr>
                <w:trHeight w:val="252"/>
              </w:trPr>
              <w:tc>
                <w:tcPr>
                  <w:tcW w:w="3362" w:type="dxa"/>
                  <w:tcBorders>
                    <w:top w:val="nil"/>
                    <w:left w:val="nil"/>
                    <w:bottom w:val="nil"/>
                    <w:right w:val="nil"/>
                  </w:tcBorders>
                  <w:noWrap/>
                  <w:vAlign w:val="bottom"/>
                  <w:hideMark/>
                </w:tcPr>
                <w:p w14:paraId="4A2B6B7F" w14:textId="77777777" w:rsidR="00605D96" w:rsidRPr="005747D1" w:rsidRDefault="00605D96" w:rsidP="008B207B">
                  <w:pPr>
                    <w:spacing w:after="0" w:line="240" w:lineRule="auto"/>
                    <w:jc w:val="left"/>
                    <w:rPr>
                      <w:rFonts w:cs="Arial"/>
                      <w:color w:val="000000"/>
                      <w:sz w:val="16"/>
                      <w:szCs w:val="16"/>
                    </w:rPr>
                  </w:pPr>
                  <w:r w:rsidRPr="005747D1">
                    <w:rPr>
                      <w:rFonts w:cs="Arial"/>
                      <w:color w:val="000000"/>
                      <w:sz w:val="16"/>
                      <w:szCs w:val="16"/>
                    </w:rPr>
                    <w:t>Maďarsko</w:t>
                  </w:r>
                </w:p>
              </w:tc>
              <w:tc>
                <w:tcPr>
                  <w:tcW w:w="700" w:type="dxa"/>
                  <w:tcBorders>
                    <w:top w:val="nil"/>
                    <w:left w:val="nil"/>
                    <w:bottom w:val="nil"/>
                    <w:right w:val="nil"/>
                  </w:tcBorders>
                  <w:noWrap/>
                  <w:vAlign w:val="bottom"/>
                  <w:hideMark/>
                </w:tcPr>
                <w:p w14:paraId="7EC7B895" w14:textId="77777777" w:rsidR="00605D96" w:rsidRPr="005747D1" w:rsidRDefault="00605D96" w:rsidP="008B207B">
                  <w:pPr>
                    <w:spacing w:after="0" w:line="240" w:lineRule="auto"/>
                    <w:jc w:val="right"/>
                    <w:rPr>
                      <w:rFonts w:cs="Arial"/>
                      <w:color w:val="000000"/>
                      <w:sz w:val="16"/>
                      <w:szCs w:val="16"/>
                    </w:rPr>
                  </w:pPr>
                  <w:r w:rsidRPr="005747D1">
                    <w:rPr>
                      <w:rFonts w:cs="Arial"/>
                      <w:color w:val="000000"/>
                      <w:sz w:val="16"/>
                      <w:szCs w:val="16"/>
                    </w:rPr>
                    <w:t>+4,5</w:t>
                  </w:r>
                </w:p>
              </w:tc>
              <w:tc>
                <w:tcPr>
                  <w:tcW w:w="700" w:type="dxa"/>
                  <w:tcBorders>
                    <w:top w:val="nil"/>
                    <w:left w:val="nil"/>
                    <w:bottom w:val="nil"/>
                    <w:right w:val="nil"/>
                  </w:tcBorders>
                  <w:noWrap/>
                  <w:vAlign w:val="bottom"/>
                  <w:hideMark/>
                </w:tcPr>
                <w:p w14:paraId="4F0116FA" w14:textId="77777777" w:rsidR="00605D96" w:rsidRPr="005747D1" w:rsidRDefault="00605D96" w:rsidP="008B207B">
                  <w:pPr>
                    <w:spacing w:after="0" w:line="240" w:lineRule="auto"/>
                    <w:jc w:val="right"/>
                    <w:rPr>
                      <w:rFonts w:cs="Arial"/>
                      <w:color w:val="000000"/>
                      <w:sz w:val="16"/>
                      <w:szCs w:val="16"/>
                    </w:rPr>
                  </w:pPr>
                  <w:r w:rsidRPr="005747D1">
                    <w:rPr>
                      <w:rFonts w:cs="Arial"/>
                      <w:color w:val="000000"/>
                      <w:sz w:val="16"/>
                      <w:szCs w:val="16"/>
                    </w:rPr>
                    <w:t>+18,7</w:t>
                  </w:r>
                </w:p>
              </w:tc>
            </w:tr>
            <w:tr w:rsidR="00605D96" w:rsidRPr="005747D1" w14:paraId="64BC71E1" w14:textId="77777777" w:rsidTr="008B207B">
              <w:trPr>
                <w:trHeight w:val="252"/>
              </w:trPr>
              <w:tc>
                <w:tcPr>
                  <w:tcW w:w="3362" w:type="dxa"/>
                  <w:tcBorders>
                    <w:top w:val="nil"/>
                    <w:left w:val="nil"/>
                    <w:bottom w:val="nil"/>
                    <w:right w:val="nil"/>
                  </w:tcBorders>
                  <w:noWrap/>
                  <w:vAlign w:val="bottom"/>
                  <w:hideMark/>
                </w:tcPr>
                <w:p w14:paraId="3387F984" w14:textId="77777777" w:rsidR="00605D96" w:rsidRPr="005747D1" w:rsidRDefault="00605D96" w:rsidP="008B207B">
                  <w:pPr>
                    <w:spacing w:after="0" w:line="240" w:lineRule="auto"/>
                    <w:jc w:val="left"/>
                    <w:rPr>
                      <w:rFonts w:cs="Arial"/>
                      <w:color w:val="000000"/>
                      <w:sz w:val="16"/>
                      <w:szCs w:val="16"/>
                    </w:rPr>
                  </w:pPr>
                  <w:r w:rsidRPr="005747D1">
                    <w:rPr>
                      <w:rFonts w:cs="Arial"/>
                      <w:color w:val="000000"/>
                      <w:sz w:val="16"/>
                      <w:szCs w:val="16"/>
                    </w:rPr>
                    <w:t>Tchaj-wan</w:t>
                  </w:r>
                </w:p>
              </w:tc>
              <w:tc>
                <w:tcPr>
                  <w:tcW w:w="700" w:type="dxa"/>
                  <w:tcBorders>
                    <w:top w:val="nil"/>
                    <w:left w:val="nil"/>
                    <w:bottom w:val="nil"/>
                    <w:right w:val="nil"/>
                  </w:tcBorders>
                  <w:noWrap/>
                  <w:vAlign w:val="bottom"/>
                  <w:hideMark/>
                </w:tcPr>
                <w:p w14:paraId="027C0B68" w14:textId="77777777" w:rsidR="00605D96" w:rsidRPr="005747D1" w:rsidRDefault="00605D96" w:rsidP="008B207B">
                  <w:pPr>
                    <w:spacing w:after="0" w:line="240" w:lineRule="auto"/>
                    <w:jc w:val="right"/>
                    <w:rPr>
                      <w:rFonts w:cs="Arial"/>
                      <w:color w:val="000000"/>
                      <w:sz w:val="16"/>
                      <w:szCs w:val="16"/>
                    </w:rPr>
                  </w:pPr>
                  <w:r w:rsidRPr="005747D1">
                    <w:rPr>
                      <w:rFonts w:cs="Arial"/>
                      <w:color w:val="000000"/>
                      <w:sz w:val="16"/>
                      <w:szCs w:val="16"/>
                    </w:rPr>
                    <w:t>+2,5</w:t>
                  </w:r>
                </w:p>
              </w:tc>
              <w:tc>
                <w:tcPr>
                  <w:tcW w:w="700" w:type="dxa"/>
                  <w:tcBorders>
                    <w:top w:val="nil"/>
                    <w:left w:val="nil"/>
                    <w:bottom w:val="nil"/>
                    <w:right w:val="nil"/>
                  </w:tcBorders>
                  <w:noWrap/>
                  <w:vAlign w:val="bottom"/>
                  <w:hideMark/>
                </w:tcPr>
                <w:p w14:paraId="6BCE4F13" w14:textId="77777777" w:rsidR="00605D96" w:rsidRPr="005747D1" w:rsidRDefault="00605D96" w:rsidP="008B207B">
                  <w:pPr>
                    <w:spacing w:after="0" w:line="240" w:lineRule="auto"/>
                    <w:jc w:val="right"/>
                    <w:rPr>
                      <w:rFonts w:cs="Arial"/>
                      <w:color w:val="000000"/>
                      <w:sz w:val="16"/>
                      <w:szCs w:val="16"/>
                    </w:rPr>
                  </w:pPr>
                  <w:r w:rsidRPr="005747D1">
                    <w:rPr>
                      <w:rFonts w:cs="Arial"/>
                      <w:color w:val="000000"/>
                      <w:sz w:val="16"/>
                      <w:szCs w:val="16"/>
                    </w:rPr>
                    <w:t>+27,9</w:t>
                  </w:r>
                </w:p>
              </w:tc>
            </w:tr>
            <w:tr w:rsidR="00605D96" w:rsidRPr="005747D1" w14:paraId="381F48EB" w14:textId="77777777" w:rsidTr="008B207B">
              <w:trPr>
                <w:trHeight w:val="252"/>
              </w:trPr>
              <w:tc>
                <w:tcPr>
                  <w:tcW w:w="3362" w:type="dxa"/>
                  <w:tcBorders>
                    <w:top w:val="nil"/>
                    <w:left w:val="nil"/>
                    <w:bottom w:val="nil"/>
                    <w:right w:val="nil"/>
                  </w:tcBorders>
                  <w:noWrap/>
                  <w:vAlign w:val="bottom"/>
                  <w:hideMark/>
                </w:tcPr>
                <w:p w14:paraId="2C69BDC0" w14:textId="77777777" w:rsidR="00605D96" w:rsidRPr="005747D1" w:rsidRDefault="00605D96" w:rsidP="008B207B">
                  <w:pPr>
                    <w:spacing w:after="0" w:line="240" w:lineRule="auto"/>
                    <w:jc w:val="left"/>
                    <w:rPr>
                      <w:rFonts w:cs="Arial"/>
                      <w:color w:val="000000"/>
                      <w:sz w:val="16"/>
                      <w:szCs w:val="16"/>
                    </w:rPr>
                  </w:pPr>
                  <w:r w:rsidRPr="005747D1">
                    <w:rPr>
                      <w:rFonts w:cs="Arial"/>
                      <w:color w:val="000000"/>
                      <w:sz w:val="16"/>
                      <w:szCs w:val="16"/>
                    </w:rPr>
                    <w:t>Rakousko</w:t>
                  </w:r>
                </w:p>
              </w:tc>
              <w:tc>
                <w:tcPr>
                  <w:tcW w:w="700" w:type="dxa"/>
                  <w:tcBorders>
                    <w:top w:val="nil"/>
                    <w:left w:val="nil"/>
                    <w:bottom w:val="nil"/>
                    <w:right w:val="nil"/>
                  </w:tcBorders>
                  <w:noWrap/>
                  <w:vAlign w:val="bottom"/>
                  <w:hideMark/>
                </w:tcPr>
                <w:p w14:paraId="6FA12FA3" w14:textId="77777777" w:rsidR="00605D96" w:rsidRPr="005747D1" w:rsidRDefault="00605D96" w:rsidP="008B207B">
                  <w:pPr>
                    <w:spacing w:after="0" w:line="240" w:lineRule="auto"/>
                    <w:jc w:val="right"/>
                    <w:rPr>
                      <w:rFonts w:cs="Arial"/>
                      <w:color w:val="000000"/>
                      <w:sz w:val="16"/>
                      <w:szCs w:val="16"/>
                    </w:rPr>
                  </w:pPr>
                  <w:r w:rsidRPr="005747D1">
                    <w:rPr>
                      <w:rFonts w:cs="Arial"/>
                      <w:color w:val="000000"/>
                      <w:sz w:val="16"/>
                      <w:szCs w:val="16"/>
                    </w:rPr>
                    <w:t>+2,1</w:t>
                  </w:r>
                </w:p>
              </w:tc>
              <w:tc>
                <w:tcPr>
                  <w:tcW w:w="700" w:type="dxa"/>
                  <w:tcBorders>
                    <w:top w:val="nil"/>
                    <w:left w:val="nil"/>
                    <w:bottom w:val="nil"/>
                    <w:right w:val="nil"/>
                  </w:tcBorders>
                  <w:noWrap/>
                  <w:vAlign w:val="bottom"/>
                  <w:hideMark/>
                </w:tcPr>
                <w:p w14:paraId="15AD6599" w14:textId="77777777" w:rsidR="00605D96" w:rsidRPr="005747D1" w:rsidRDefault="00605D96" w:rsidP="008B207B">
                  <w:pPr>
                    <w:spacing w:after="0" w:line="240" w:lineRule="auto"/>
                    <w:jc w:val="right"/>
                    <w:rPr>
                      <w:rFonts w:cs="Arial"/>
                      <w:color w:val="000000"/>
                      <w:sz w:val="16"/>
                      <w:szCs w:val="16"/>
                    </w:rPr>
                  </w:pPr>
                  <w:r w:rsidRPr="005747D1">
                    <w:rPr>
                      <w:rFonts w:cs="Arial"/>
                      <w:color w:val="000000"/>
                      <w:sz w:val="16"/>
                      <w:szCs w:val="16"/>
                    </w:rPr>
                    <w:t>+6,6</w:t>
                  </w:r>
                </w:p>
              </w:tc>
            </w:tr>
            <w:tr w:rsidR="00605D96" w:rsidRPr="005747D1" w14:paraId="14A3B314" w14:textId="77777777" w:rsidTr="008B207B">
              <w:trPr>
                <w:trHeight w:val="252"/>
              </w:trPr>
              <w:tc>
                <w:tcPr>
                  <w:tcW w:w="3362" w:type="dxa"/>
                  <w:tcBorders>
                    <w:top w:val="nil"/>
                    <w:left w:val="nil"/>
                    <w:bottom w:val="nil"/>
                    <w:right w:val="nil"/>
                  </w:tcBorders>
                  <w:noWrap/>
                  <w:vAlign w:val="bottom"/>
                  <w:hideMark/>
                </w:tcPr>
                <w:p w14:paraId="233D2AE7" w14:textId="77777777" w:rsidR="00605D96" w:rsidRPr="005747D1" w:rsidRDefault="00605D96" w:rsidP="008B207B">
                  <w:pPr>
                    <w:spacing w:after="0" w:line="240" w:lineRule="auto"/>
                    <w:jc w:val="left"/>
                    <w:rPr>
                      <w:rFonts w:cs="Arial"/>
                      <w:color w:val="000000"/>
                      <w:sz w:val="16"/>
                      <w:szCs w:val="16"/>
                    </w:rPr>
                  </w:pPr>
                  <w:r w:rsidRPr="005747D1">
                    <w:rPr>
                      <w:rFonts w:cs="Arial"/>
                      <w:color w:val="000000"/>
                      <w:sz w:val="16"/>
                      <w:szCs w:val="16"/>
                    </w:rPr>
                    <w:t>Singapur</w:t>
                  </w:r>
                </w:p>
              </w:tc>
              <w:tc>
                <w:tcPr>
                  <w:tcW w:w="700" w:type="dxa"/>
                  <w:tcBorders>
                    <w:top w:val="nil"/>
                    <w:left w:val="nil"/>
                    <w:bottom w:val="nil"/>
                    <w:right w:val="nil"/>
                  </w:tcBorders>
                  <w:noWrap/>
                  <w:vAlign w:val="bottom"/>
                  <w:hideMark/>
                </w:tcPr>
                <w:p w14:paraId="7CA396FD" w14:textId="77777777" w:rsidR="00605D96" w:rsidRPr="005747D1" w:rsidRDefault="00605D96" w:rsidP="008B207B">
                  <w:pPr>
                    <w:spacing w:after="0" w:line="240" w:lineRule="auto"/>
                    <w:jc w:val="right"/>
                    <w:rPr>
                      <w:rFonts w:cs="Arial"/>
                      <w:color w:val="000000"/>
                      <w:sz w:val="16"/>
                      <w:szCs w:val="16"/>
                    </w:rPr>
                  </w:pPr>
                  <w:r w:rsidRPr="005747D1">
                    <w:rPr>
                      <w:rFonts w:cs="Arial"/>
                      <w:color w:val="000000"/>
                      <w:sz w:val="16"/>
                      <w:szCs w:val="16"/>
                    </w:rPr>
                    <w:t>+1,9</w:t>
                  </w:r>
                </w:p>
              </w:tc>
              <w:tc>
                <w:tcPr>
                  <w:tcW w:w="700" w:type="dxa"/>
                  <w:tcBorders>
                    <w:top w:val="nil"/>
                    <w:left w:val="nil"/>
                    <w:bottom w:val="nil"/>
                    <w:right w:val="nil"/>
                  </w:tcBorders>
                  <w:noWrap/>
                  <w:vAlign w:val="bottom"/>
                  <w:hideMark/>
                </w:tcPr>
                <w:p w14:paraId="2AE45528" w14:textId="77777777" w:rsidR="00605D96" w:rsidRPr="005747D1" w:rsidRDefault="00605D96" w:rsidP="008B207B">
                  <w:pPr>
                    <w:spacing w:after="0" w:line="240" w:lineRule="auto"/>
                    <w:jc w:val="right"/>
                    <w:rPr>
                      <w:rFonts w:cs="Arial"/>
                      <w:color w:val="000000"/>
                      <w:sz w:val="16"/>
                      <w:szCs w:val="16"/>
                    </w:rPr>
                  </w:pPr>
                  <w:r w:rsidRPr="005747D1">
                    <w:rPr>
                      <w:rFonts w:cs="Arial"/>
                      <w:color w:val="000000"/>
                      <w:sz w:val="16"/>
                      <w:szCs w:val="16"/>
                    </w:rPr>
                    <w:t>+145,7</w:t>
                  </w:r>
                </w:p>
              </w:tc>
            </w:tr>
            <w:tr w:rsidR="00605D96" w:rsidRPr="005747D1" w14:paraId="702D3342" w14:textId="77777777" w:rsidTr="008B207B">
              <w:trPr>
                <w:trHeight w:val="252"/>
              </w:trPr>
              <w:tc>
                <w:tcPr>
                  <w:tcW w:w="3362" w:type="dxa"/>
                  <w:tcBorders>
                    <w:top w:val="nil"/>
                    <w:left w:val="nil"/>
                    <w:bottom w:val="nil"/>
                    <w:right w:val="nil"/>
                  </w:tcBorders>
                  <w:noWrap/>
                  <w:vAlign w:val="bottom"/>
                  <w:hideMark/>
                </w:tcPr>
                <w:p w14:paraId="6719CE0B" w14:textId="77777777" w:rsidR="00605D96" w:rsidRPr="005747D1" w:rsidRDefault="00605D96" w:rsidP="008B207B">
                  <w:pPr>
                    <w:spacing w:after="0" w:line="240" w:lineRule="auto"/>
                    <w:jc w:val="left"/>
                    <w:rPr>
                      <w:rFonts w:cs="Arial"/>
                      <w:color w:val="000000"/>
                      <w:sz w:val="16"/>
                      <w:szCs w:val="16"/>
                    </w:rPr>
                  </w:pPr>
                  <w:r w:rsidRPr="005747D1">
                    <w:rPr>
                      <w:rFonts w:cs="Arial"/>
                      <w:color w:val="000000"/>
                      <w:sz w:val="16"/>
                      <w:szCs w:val="16"/>
                    </w:rPr>
                    <w:t>Švýcarsko</w:t>
                  </w:r>
                </w:p>
              </w:tc>
              <w:tc>
                <w:tcPr>
                  <w:tcW w:w="700" w:type="dxa"/>
                  <w:tcBorders>
                    <w:top w:val="nil"/>
                    <w:left w:val="nil"/>
                    <w:bottom w:val="nil"/>
                    <w:right w:val="nil"/>
                  </w:tcBorders>
                  <w:noWrap/>
                  <w:vAlign w:val="bottom"/>
                  <w:hideMark/>
                </w:tcPr>
                <w:p w14:paraId="64027CA5" w14:textId="77777777" w:rsidR="00605D96" w:rsidRPr="005747D1" w:rsidRDefault="00605D96" w:rsidP="008B207B">
                  <w:pPr>
                    <w:spacing w:after="0" w:line="240" w:lineRule="auto"/>
                    <w:jc w:val="right"/>
                    <w:rPr>
                      <w:rFonts w:cs="Arial"/>
                      <w:color w:val="000000"/>
                      <w:sz w:val="16"/>
                      <w:szCs w:val="16"/>
                    </w:rPr>
                  </w:pPr>
                  <w:r w:rsidRPr="005747D1">
                    <w:rPr>
                      <w:rFonts w:cs="Arial"/>
                      <w:color w:val="000000"/>
                      <w:sz w:val="16"/>
                      <w:szCs w:val="16"/>
                    </w:rPr>
                    <w:t>+1,7</w:t>
                  </w:r>
                </w:p>
              </w:tc>
              <w:tc>
                <w:tcPr>
                  <w:tcW w:w="700" w:type="dxa"/>
                  <w:tcBorders>
                    <w:top w:val="nil"/>
                    <w:left w:val="nil"/>
                    <w:bottom w:val="nil"/>
                    <w:right w:val="nil"/>
                  </w:tcBorders>
                  <w:noWrap/>
                  <w:vAlign w:val="bottom"/>
                  <w:hideMark/>
                </w:tcPr>
                <w:p w14:paraId="4E74C16C" w14:textId="77777777" w:rsidR="00605D96" w:rsidRPr="005747D1" w:rsidRDefault="00605D96" w:rsidP="008B207B">
                  <w:pPr>
                    <w:spacing w:after="0" w:line="240" w:lineRule="auto"/>
                    <w:jc w:val="right"/>
                    <w:rPr>
                      <w:rFonts w:cs="Arial"/>
                      <w:color w:val="000000"/>
                      <w:sz w:val="16"/>
                      <w:szCs w:val="16"/>
                    </w:rPr>
                  </w:pPr>
                  <w:r w:rsidRPr="005747D1">
                    <w:rPr>
                      <w:rFonts w:cs="Arial"/>
                      <w:color w:val="000000"/>
                      <w:sz w:val="16"/>
                      <w:szCs w:val="16"/>
                    </w:rPr>
                    <w:t>+15,3</w:t>
                  </w:r>
                </w:p>
              </w:tc>
            </w:tr>
            <w:tr w:rsidR="00605D96" w:rsidRPr="005747D1" w14:paraId="5E82EDEF" w14:textId="77777777" w:rsidTr="008B207B">
              <w:trPr>
                <w:trHeight w:val="252"/>
              </w:trPr>
              <w:tc>
                <w:tcPr>
                  <w:tcW w:w="3362" w:type="dxa"/>
                  <w:tcBorders>
                    <w:top w:val="nil"/>
                    <w:left w:val="nil"/>
                    <w:bottom w:val="nil"/>
                    <w:right w:val="nil"/>
                  </w:tcBorders>
                  <w:noWrap/>
                  <w:vAlign w:val="bottom"/>
                  <w:hideMark/>
                </w:tcPr>
                <w:p w14:paraId="111461D1" w14:textId="77777777" w:rsidR="00605D96" w:rsidRPr="005747D1" w:rsidRDefault="00605D96" w:rsidP="008B207B">
                  <w:pPr>
                    <w:spacing w:after="0" w:line="240" w:lineRule="auto"/>
                    <w:jc w:val="left"/>
                    <w:rPr>
                      <w:rFonts w:cs="Arial"/>
                      <w:color w:val="000000"/>
                      <w:sz w:val="16"/>
                      <w:szCs w:val="16"/>
                    </w:rPr>
                  </w:pPr>
                  <w:r w:rsidRPr="005747D1">
                    <w:rPr>
                      <w:rFonts w:cs="Arial"/>
                      <w:color w:val="000000"/>
                      <w:sz w:val="16"/>
                      <w:szCs w:val="16"/>
                    </w:rPr>
                    <w:t>Japonsko</w:t>
                  </w:r>
                </w:p>
              </w:tc>
              <w:tc>
                <w:tcPr>
                  <w:tcW w:w="700" w:type="dxa"/>
                  <w:tcBorders>
                    <w:top w:val="nil"/>
                    <w:left w:val="nil"/>
                    <w:bottom w:val="nil"/>
                    <w:right w:val="nil"/>
                  </w:tcBorders>
                  <w:noWrap/>
                  <w:vAlign w:val="bottom"/>
                  <w:hideMark/>
                </w:tcPr>
                <w:p w14:paraId="55F945B3" w14:textId="77777777" w:rsidR="00605D96" w:rsidRPr="005747D1" w:rsidRDefault="00605D96" w:rsidP="008B207B">
                  <w:pPr>
                    <w:spacing w:after="0" w:line="240" w:lineRule="auto"/>
                    <w:jc w:val="right"/>
                    <w:rPr>
                      <w:rFonts w:cs="Arial"/>
                      <w:color w:val="000000"/>
                      <w:sz w:val="16"/>
                      <w:szCs w:val="16"/>
                    </w:rPr>
                  </w:pPr>
                  <w:r w:rsidRPr="005747D1">
                    <w:rPr>
                      <w:rFonts w:cs="Arial"/>
                      <w:color w:val="000000"/>
                      <w:sz w:val="16"/>
                      <w:szCs w:val="16"/>
                    </w:rPr>
                    <w:t>+1,6</w:t>
                  </w:r>
                </w:p>
              </w:tc>
              <w:tc>
                <w:tcPr>
                  <w:tcW w:w="700" w:type="dxa"/>
                  <w:tcBorders>
                    <w:top w:val="nil"/>
                    <w:left w:val="nil"/>
                    <w:bottom w:val="nil"/>
                    <w:right w:val="nil"/>
                  </w:tcBorders>
                  <w:noWrap/>
                  <w:vAlign w:val="bottom"/>
                  <w:hideMark/>
                </w:tcPr>
                <w:p w14:paraId="56F3B566" w14:textId="77777777" w:rsidR="00605D96" w:rsidRPr="005747D1" w:rsidRDefault="00605D96" w:rsidP="008B207B">
                  <w:pPr>
                    <w:spacing w:after="0" w:line="240" w:lineRule="auto"/>
                    <w:jc w:val="right"/>
                    <w:rPr>
                      <w:rFonts w:cs="Arial"/>
                      <w:color w:val="000000"/>
                      <w:sz w:val="16"/>
                      <w:szCs w:val="16"/>
                    </w:rPr>
                  </w:pPr>
                  <w:r w:rsidRPr="005747D1">
                    <w:rPr>
                      <w:rFonts w:cs="Arial"/>
                      <w:color w:val="000000"/>
                      <w:sz w:val="16"/>
                      <w:szCs w:val="16"/>
                    </w:rPr>
                    <w:t>+8,0</w:t>
                  </w:r>
                </w:p>
              </w:tc>
            </w:tr>
            <w:tr w:rsidR="00605D96" w:rsidRPr="005747D1" w14:paraId="52323B19" w14:textId="77777777" w:rsidTr="008B207B">
              <w:trPr>
                <w:trHeight w:val="252"/>
              </w:trPr>
              <w:tc>
                <w:tcPr>
                  <w:tcW w:w="3362" w:type="dxa"/>
                  <w:tcBorders>
                    <w:top w:val="nil"/>
                    <w:left w:val="nil"/>
                    <w:bottom w:val="nil"/>
                    <w:right w:val="nil"/>
                  </w:tcBorders>
                  <w:noWrap/>
                  <w:vAlign w:val="bottom"/>
                  <w:hideMark/>
                </w:tcPr>
                <w:p w14:paraId="5FEEC888" w14:textId="77777777" w:rsidR="00605D96" w:rsidRPr="005747D1" w:rsidRDefault="00605D96" w:rsidP="008B207B">
                  <w:pPr>
                    <w:spacing w:after="0" w:line="240" w:lineRule="auto"/>
                    <w:jc w:val="left"/>
                    <w:rPr>
                      <w:rFonts w:cs="Arial"/>
                      <w:color w:val="000000"/>
                      <w:sz w:val="16"/>
                      <w:szCs w:val="16"/>
                    </w:rPr>
                  </w:pPr>
                  <w:r w:rsidRPr="005747D1">
                    <w:rPr>
                      <w:rFonts w:cs="Arial"/>
                      <w:color w:val="000000"/>
                      <w:sz w:val="16"/>
                      <w:szCs w:val="16"/>
                    </w:rPr>
                    <w:t>Kazachstán</w:t>
                  </w:r>
                </w:p>
              </w:tc>
              <w:tc>
                <w:tcPr>
                  <w:tcW w:w="700" w:type="dxa"/>
                  <w:tcBorders>
                    <w:top w:val="nil"/>
                    <w:left w:val="nil"/>
                    <w:bottom w:val="nil"/>
                    <w:right w:val="nil"/>
                  </w:tcBorders>
                  <w:noWrap/>
                  <w:vAlign w:val="bottom"/>
                  <w:hideMark/>
                </w:tcPr>
                <w:p w14:paraId="668FFA05" w14:textId="77777777" w:rsidR="00605D96" w:rsidRPr="005747D1" w:rsidRDefault="00605D96" w:rsidP="008B207B">
                  <w:pPr>
                    <w:spacing w:after="0" w:line="240" w:lineRule="auto"/>
                    <w:jc w:val="right"/>
                    <w:rPr>
                      <w:rFonts w:cs="Arial"/>
                      <w:color w:val="000000"/>
                      <w:sz w:val="16"/>
                      <w:szCs w:val="16"/>
                    </w:rPr>
                  </w:pPr>
                  <w:r w:rsidRPr="005747D1">
                    <w:rPr>
                      <w:rFonts w:cs="Arial"/>
                      <w:color w:val="000000"/>
                      <w:sz w:val="16"/>
                      <w:szCs w:val="16"/>
                    </w:rPr>
                    <w:t>+1,5</w:t>
                  </w:r>
                </w:p>
              </w:tc>
              <w:tc>
                <w:tcPr>
                  <w:tcW w:w="700" w:type="dxa"/>
                  <w:tcBorders>
                    <w:top w:val="nil"/>
                    <w:left w:val="nil"/>
                    <w:bottom w:val="nil"/>
                    <w:right w:val="nil"/>
                  </w:tcBorders>
                  <w:noWrap/>
                  <w:vAlign w:val="bottom"/>
                  <w:hideMark/>
                </w:tcPr>
                <w:p w14:paraId="3C77923E" w14:textId="77777777" w:rsidR="00605D96" w:rsidRPr="005747D1" w:rsidRDefault="00605D96" w:rsidP="008B207B">
                  <w:pPr>
                    <w:spacing w:after="0" w:line="240" w:lineRule="auto"/>
                    <w:jc w:val="right"/>
                    <w:rPr>
                      <w:rFonts w:cs="Arial"/>
                      <w:color w:val="000000"/>
                      <w:sz w:val="16"/>
                      <w:szCs w:val="16"/>
                    </w:rPr>
                  </w:pPr>
                  <w:r w:rsidRPr="005747D1">
                    <w:rPr>
                      <w:rFonts w:cs="Arial"/>
                      <w:color w:val="000000"/>
                      <w:sz w:val="16"/>
                      <w:szCs w:val="16"/>
                    </w:rPr>
                    <w:t>+33,0</w:t>
                  </w:r>
                </w:p>
              </w:tc>
            </w:tr>
            <w:tr w:rsidR="00605D96" w:rsidRPr="005747D1" w14:paraId="04E5783A" w14:textId="77777777" w:rsidTr="008B207B">
              <w:trPr>
                <w:trHeight w:val="252"/>
              </w:trPr>
              <w:tc>
                <w:tcPr>
                  <w:tcW w:w="3362" w:type="dxa"/>
                  <w:tcBorders>
                    <w:top w:val="nil"/>
                    <w:left w:val="nil"/>
                    <w:bottom w:val="nil"/>
                    <w:right w:val="nil"/>
                  </w:tcBorders>
                  <w:noWrap/>
                  <w:vAlign w:val="bottom"/>
                  <w:hideMark/>
                </w:tcPr>
                <w:p w14:paraId="6C122178" w14:textId="77777777" w:rsidR="00605D96" w:rsidRPr="005747D1" w:rsidRDefault="00605D96" w:rsidP="008B207B">
                  <w:pPr>
                    <w:spacing w:after="0" w:line="240" w:lineRule="auto"/>
                    <w:jc w:val="left"/>
                    <w:rPr>
                      <w:rFonts w:cs="Arial"/>
                      <w:color w:val="000000"/>
                      <w:sz w:val="16"/>
                      <w:szCs w:val="16"/>
                    </w:rPr>
                  </w:pPr>
                  <w:r w:rsidRPr="005747D1">
                    <w:rPr>
                      <w:rFonts w:cs="Arial"/>
                      <w:color w:val="000000"/>
                      <w:sz w:val="16"/>
                      <w:szCs w:val="16"/>
                    </w:rPr>
                    <w:t>Indie</w:t>
                  </w:r>
                </w:p>
              </w:tc>
              <w:tc>
                <w:tcPr>
                  <w:tcW w:w="700" w:type="dxa"/>
                  <w:tcBorders>
                    <w:top w:val="nil"/>
                    <w:left w:val="nil"/>
                    <w:bottom w:val="nil"/>
                    <w:right w:val="nil"/>
                  </w:tcBorders>
                  <w:noWrap/>
                  <w:vAlign w:val="bottom"/>
                  <w:hideMark/>
                </w:tcPr>
                <w:p w14:paraId="0E9AEE4F" w14:textId="77777777" w:rsidR="00605D96" w:rsidRPr="005747D1" w:rsidRDefault="00605D96" w:rsidP="008B207B">
                  <w:pPr>
                    <w:spacing w:after="0" w:line="240" w:lineRule="auto"/>
                    <w:jc w:val="right"/>
                    <w:rPr>
                      <w:rFonts w:cs="Arial"/>
                      <w:color w:val="000000"/>
                      <w:sz w:val="16"/>
                      <w:szCs w:val="16"/>
                    </w:rPr>
                  </w:pPr>
                  <w:r>
                    <w:rPr>
                      <w:rFonts w:cs="Arial"/>
                      <w:color w:val="000000"/>
                      <w:sz w:val="16"/>
                      <w:szCs w:val="16"/>
                    </w:rPr>
                    <w:t>−</w:t>
                  </w:r>
                  <w:r w:rsidRPr="005747D1">
                    <w:rPr>
                      <w:rFonts w:cs="Arial"/>
                      <w:color w:val="000000"/>
                      <w:sz w:val="16"/>
                      <w:szCs w:val="16"/>
                    </w:rPr>
                    <w:t>1,6</w:t>
                  </w:r>
                </w:p>
              </w:tc>
              <w:tc>
                <w:tcPr>
                  <w:tcW w:w="700" w:type="dxa"/>
                  <w:tcBorders>
                    <w:top w:val="nil"/>
                    <w:left w:val="nil"/>
                    <w:bottom w:val="nil"/>
                    <w:right w:val="nil"/>
                  </w:tcBorders>
                  <w:noWrap/>
                  <w:vAlign w:val="bottom"/>
                  <w:hideMark/>
                </w:tcPr>
                <w:p w14:paraId="68B50DF6" w14:textId="77777777" w:rsidR="00605D96" w:rsidRPr="005747D1" w:rsidRDefault="00605D96" w:rsidP="008B207B">
                  <w:pPr>
                    <w:spacing w:after="0" w:line="240" w:lineRule="auto"/>
                    <w:jc w:val="right"/>
                    <w:rPr>
                      <w:rFonts w:cs="Arial"/>
                      <w:color w:val="000000"/>
                      <w:sz w:val="16"/>
                      <w:szCs w:val="16"/>
                    </w:rPr>
                  </w:pPr>
                  <w:r>
                    <w:rPr>
                      <w:rFonts w:cs="Arial"/>
                      <w:color w:val="000000"/>
                      <w:sz w:val="16"/>
                      <w:szCs w:val="16"/>
                    </w:rPr>
                    <w:t>−</w:t>
                  </w:r>
                  <w:r w:rsidRPr="005747D1">
                    <w:rPr>
                      <w:rFonts w:cs="Arial"/>
                      <w:color w:val="000000"/>
                      <w:sz w:val="16"/>
                      <w:szCs w:val="16"/>
                    </w:rPr>
                    <w:t>17,1</w:t>
                  </w:r>
                </w:p>
              </w:tc>
            </w:tr>
            <w:tr w:rsidR="00605D96" w:rsidRPr="005747D1" w14:paraId="4E244173" w14:textId="77777777" w:rsidTr="008B207B">
              <w:trPr>
                <w:trHeight w:val="252"/>
              </w:trPr>
              <w:tc>
                <w:tcPr>
                  <w:tcW w:w="3362" w:type="dxa"/>
                  <w:tcBorders>
                    <w:top w:val="nil"/>
                    <w:left w:val="nil"/>
                    <w:bottom w:val="nil"/>
                    <w:right w:val="nil"/>
                  </w:tcBorders>
                  <w:noWrap/>
                  <w:vAlign w:val="bottom"/>
                  <w:hideMark/>
                </w:tcPr>
                <w:p w14:paraId="72420516" w14:textId="77777777" w:rsidR="00605D96" w:rsidRPr="005747D1" w:rsidRDefault="00605D96" w:rsidP="008B207B">
                  <w:pPr>
                    <w:spacing w:after="0" w:line="240" w:lineRule="auto"/>
                    <w:jc w:val="left"/>
                    <w:rPr>
                      <w:rFonts w:cs="Arial"/>
                      <w:color w:val="000000"/>
                      <w:sz w:val="16"/>
                      <w:szCs w:val="16"/>
                    </w:rPr>
                  </w:pPr>
                  <w:r w:rsidRPr="005747D1">
                    <w:rPr>
                      <w:rFonts w:cs="Arial"/>
                      <w:color w:val="000000"/>
                      <w:sz w:val="16"/>
                      <w:szCs w:val="16"/>
                    </w:rPr>
                    <w:t>Ázerbájdžán</w:t>
                  </w:r>
                </w:p>
              </w:tc>
              <w:tc>
                <w:tcPr>
                  <w:tcW w:w="700" w:type="dxa"/>
                  <w:tcBorders>
                    <w:top w:val="nil"/>
                    <w:left w:val="nil"/>
                    <w:bottom w:val="nil"/>
                    <w:right w:val="nil"/>
                  </w:tcBorders>
                  <w:noWrap/>
                  <w:vAlign w:val="bottom"/>
                  <w:hideMark/>
                </w:tcPr>
                <w:p w14:paraId="69CA09C9" w14:textId="77777777" w:rsidR="00605D96" w:rsidRPr="005747D1" w:rsidRDefault="00605D96" w:rsidP="008B207B">
                  <w:pPr>
                    <w:spacing w:after="0" w:line="240" w:lineRule="auto"/>
                    <w:jc w:val="right"/>
                    <w:rPr>
                      <w:rFonts w:cs="Arial"/>
                      <w:color w:val="000000"/>
                      <w:sz w:val="16"/>
                      <w:szCs w:val="16"/>
                    </w:rPr>
                  </w:pPr>
                  <w:r>
                    <w:rPr>
                      <w:rFonts w:cs="Arial"/>
                      <w:color w:val="000000"/>
                      <w:sz w:val="16"/>
                      <w:szCs w:val="16"/>
                    </w:rPr>
                    <w:t>−</w:t>
                  </w:r>
                  <w:r w:rsidRPr="005747D1">
                    <w:rPr>
                      <w:rFonts w:cs="Arial"/>
                      <w:color w:val="000000"/>
                      <w:sz w:val="16"/>
                      <w:szCs w:val="16"/>
                    </w:rPr>
                    <w:t>1,8</w:t>
                  </w:r>
                </w:p>
              </w:tc>
              <w:tc>
                <w:tcPr>
                  <w:tcW w:w="700" w:type="dxa"/>
                  <w:tcBorders>
                    <w:top w:val="nil"/>
                    <w:left w:val="nil"/>
                    <w:bottom w:val="nil"/>
                    <w:right w:val="nil"/>
                  </w:tcBorders>
                  <w:noWrap/>
                  <w:vAlign w:val="bottom"/>
                  <w:hideMark/>
                </w:tcPr>
                <w:p w14:paraId="06E65A56" w14:textId="77777777" w:rsidR="00605D96" w:rsidRPr="005747D1" w:rsidRDefault="00605D96" w:rsidP="008B207B">
                  <w:pPr>
                    <w:spacing w:after="0" w:line="240" w:lineRule="auto"/>
                    <w:jc w:val="right"/>
                    <w:rPr>
                      <w:rFonts w:cs="Arial"/>
                      <w:color w:val="000000"/>
                      <w:sz w:val="16"/>
                      <w:szCs w:val="16"/>
                    </w:rPr>
                  </w:pPr>
                  <w:r>
                    <w:rPr>
                      <w:rFonts w:cs="Arial"/>
                      <w:color w:val="000000"/>
                      <w:sz w:val="16"/>
                      <w:szCs w:val="16"/>
                    </w:rPr>
                    <w:t>−</w:t>
                  </w:r>
                  <w:r w:rsidRPr="005747D1">
                    <w:rPr>
                      <w:rFonts w:cs="Arial"/>
                      <w:color w:val="000000"/>
                      <w:sz w:val="16"/>
                      <w:szCs w:val="16"/>
                    </w:rPr>
                    <w:t>18,6</w:t>
                  </w:r>
                </w:p>
              </w:tc>
            </w:tr>
            <w:tr w:rsidR="00605D96" w:rsidRPr="005747D1" w14:paraId="35441A20" w14:textId="77777777" w:rsidTr="008B207B">
              <w:trPr>
                <w:trHeight w:val="252"/>
              </w:trPr>
              <w:tc>
                <w:tcPr>
                  <w:tcW w:w="3362" w:type="dxa"/>
                  <w:tcBorders>
                    <w:top w:val="nil"/>
                    <w:left w:val="nil"/>
                    <w:bottom w:val="nil"/>
                    <w:right w:val="nil"/>
                  </w:tcBorders>
                  <w:noWrap/>
                  <w:vAlign w:val="bottom"/>
                  <w:hideMark/>
                </w:tcPr>
                <w:p w14:paraId="5FEFB90F" w14:textId="77777777" w:rsidR="00605D96" w:rsidRPr="005747D1" w:rsidRDefault="00605D96" w:rsidP="008B207B">
                  <w:pPr>
                    <w:spacing w:after="0" w:line="240" w:lineRule="auto"/>
                    <w:jc w:val="left"/>
                    <w:rPr>
                      <w:rFonts w:cs="Arial"/>
                      <w:color w:val="000000"/>
                      <w:sz w:val="16"/>
                      <w:szCs w:val="16"/>
                    </w:rPr>
                  </w:pPr>
                  <w:r w:rsidRPr="005747D1">
                    <w:rPr>
                      <w:rFonts w:cs="Arial"/>
                      <w:color w:val="000000"/>
                      <w:sz w:val="16"/>
                      <w:szCs w:val="16"/>
                    </w:rPr>
                    <w:t>Německo</w:t>
                  </w:r>
                </w:p>
              </w:tc>
              <w:tc>
                <w:tcPr>
                  <w:tcW w:w="700" w:type="dxa"/>
                  <w:tcBorders>
                    <w:top w:val="nil"/>
                    <w:left w:val="nil"/>
                    <w:bottom w:val="nil"/>
                    <w:right w:val="nil"/>
                  </w:tcBorders>
                  <w:noWrap/>
                  <w:vAlign w:val="bottom"/>
                  <w:hideMark/>
                </w:tcPr>
                <w:p w14:paraId="0A9B5DF4" w14:textId="77777777" w:rsidR="00605D96" w:rsidRPr="005747D1" w:rsidRDefault="00605D96" w:rsidP="008B207B">
                  <w:pPr>
                    <w:spacing w:after="0" w:line="240" w:lineRule="auto"/>
                    <w:jc w:val="right"/>
                    <w:rPr>
                      <w:rFonts w:cs="Arial"/>
                      <w:color w:val="000000"/>
                      <w:sz w:val="16"/>
                      <w:szCs w:val="16"/>
                    </w:rPr>
                  </w:pPr>
                  <w:r>
                    <w:rPr>
                      <w:rFonts w:cs="Arial"/>
                      <w:color w:val="000000"/>
                      <w:sz w:val="16"/>
                      <w:szCs w:val="16"/>
                    </w:rPr>
                    <w:t>−</w:t>
                  </w:r>
                  <w:r w:rsidRPr="005747D1">
                    <w:rPr>
                      <w:rFonts w:cs="Arial"/>
                      <w:color w:val="000000"/>
                      <w:sz w:val="16"/>
                      <w:szCs w:val="16"/>
                    </w:rPr>
                    <w:t>3,0</w:t>
                  </w:r>
                </w:p>
              </w:tc>
              <w:tc>
                <w:tcPr>
                  <w:tcW w:w="700" w:type="dxa"/>
                  <w:tcBorders>
                    <w:top w:val="nil"/>
                    <w:left w:val="nil"/>
                    <w:bottom w:val="nil"/>
                    <w:right w:val="nil"/>
                  </w:tcBorders>
                  <w:noWrap/>
                  <w:vAlign w:val="bottom"/>
                  <w:hideMark/>
                </w:tcPr>
                <w:p w14:paraId="05700388" w14:textId="77777777" w:rsidR="00605D96" w:rsidRPr="005747D1" w:rsidRDefault="00605D96" w:rsidP="008B207B">
                  <w:pPr>
                    <w:spacing w:after="0" w:line="240" w:lineRule="auto"/>
                    <w:jc w:val="right"/>
                    <w:rPr>
                      <w:rFonts w:cs="Arial"/>
                      <w:color w:val="000000"/>
                      <w:sz w:val="16"/>
                      <w:szCs w:val="16"/>
                    </w:rPr>
                  </w:pPr>
                  <w:r>
                    <w:rPr>
                      <w:rFonts w:cs="Arial"/>
                      <w:color w:val="000000"/>
                      <w:sz w:val="16"/>
                      <w:szCs w:val="16"/>
                    </w:rPr>
                    <w:t>−</w:t>
                  </w:r>
                  <w:r w:rsidRPr="005747D1">
                    <w:rPr>
                      <w:rFonts w:cs="Arial"/>
                      <w:color w:val="000000"/>
                      <w:sz w:val="16"/>
                      <w:szCs w:val="16"/>
                    </w:rPr>
                    <w:t>1,2</w:t>
                  </w:r>
                </w:p>
              </w:tc>
            </w:tr>
            <w:tr w:rsidR="00605D96" w:rsidRPr="005747D1" w14:paraId="04FCADC2" w14:textId="77777777" w:rsidTr="008B207B">
              <w:trPr>
                <w:trHeight w:val="252"/>
              </w:trPr>
              <w:tc>
                <w:tcPr>
                  <w:tcW w:w="3362" w:type="dxa"/>
                  <w:tcBorders>
                    <w:top w:val="nil"/>
                    <w:left w:val="nil"/>
                    <w:bottom w:val="nil"/>
                    <w:right w:val="nil"/>
                  </w:tcBorders>
                  <w:noWrap/>
                  <w:vAlign w:val="bottom"/>
                  <w:hideMark/>
                </w:tcPr>
                <w:p w14:paraId="10AB0D6D" w14:textId="77777777" w:rsidR="00605D96" w:rsidRPr="005747D1" w:rsidRDefault="00605D96" w:rsidP="008B207B">
                  <w:pPr>
                    <w:spacing w:after="0" w:line="240" w:lineRule="auto"/>
                    <w:jc w:val="left"/>
                    <w:rPr>
                      <w:rFonts w:cs="Arial"/>
                      <w:color w:val="000000"/>
                      <w:sz w:val="16"/>
                      <w:szCs w:val="16"/>
                    </w:rPr>
                  </w:pPr>
                  <w:r w:rsidRPr="005747D1">
                    <w:rPr>
                      <w:rFonts w:cs="Arial"/>
                      <w:color w:val="000000"/>
                      <w:sz w:val="16"/>
                      <w:szCs w:val="16"/>
                    </w:rPr>
                    <w:t>Polsko</w:t>
                  </w:r>
                </w:p>
              </w:tc>
              <w:tc>
                <w:tcPr>
                  <w:tcW w:w="700" w:type="dxa"/>
                  <w:tcBorders>
                    <w:top w:val="nil"/>
                    <w:left w:val="nil"/>
                    <w:bottom w:val="nil"/>
                    <w:right w:val="nil"/>
                  </w:tcBorders>
                  <w:noWrap/>
                  <w:vAlign w:val="bottom"/>
                  <w:hideMark/>
                </w:tcPr>
                <w:p w14:paraId="0D2ED33C" w14:textId="77777777" w:rsidR="00605D96" w:rsidRPr="005747D1" w:rsidRDefault="00605D96" w:rsidP="008B207B">
                  <w:pPr>
                    <w:spacing w:after="0" w:line="240" w:lineRule="auto"/>
                    <w:jc w:val="right"/>
                    <w:rPr>
                      <w:rFonts w:cs="Arial"/>
                      <w:color w:val="000000"/>
                      <w:sz w:val="16"/>
                      <w:szCs w:val="16"/>
                    </w:rPr>
                  </w:pPr>
                  <w:r>
                    <w:rPr>
                      <w:rFonts w:cs="Arial"/>
                      <w:color w:val="000000"/>
                      <w:sz w:val="16"/>
                      <w:szCs w:val="16"/>
                    </w:rPr>
                    <w:t>−</w:t>
                  </w:r>
                  <w:r w:rsidRPr="005747D1">
                    <w:rPr>
                      <w:rFonts w:cs="Arial"/>
                      <w:color w:val="000000"/>
                      <w:sz w:val="16"/>
                      <w:szCs w:val="16"/>
                    </w:rPr>
                    <w:t>4,1</w:t>
                  </w:r>
                </w:p>
              </w:tc>
              <w:tc>
                <w:tcPr>
                  <w:tcW w:w="700" w:type="dxa"/>
                  <w:tcBorders>
                    <w:top w:val="nil"/>
                    <w:left w:val="nil"/>
                    <w:bottom w:val="nil"/>
                    <w:right w:val="nil"/>
                  </w:tcBorders>
                  <w:noWrap/>
                  <w:vAlign w:val="bottom"/>
                  <w:hideMark/>
                </w:tcPr>
                <w:p w14:paraId="586A66F5" w14:textId="77777777" w:rsidR="00605D96" w:rsidRPr="005747D1" w:rsidRDefault="00605D96" w:rsidP="008B207B">
                  <w:pPr>
                    <w:spacing w:after="0" w:line="240" w:lineRule="auto"/>
                    <w:jc w:val="right"/>
                    <w:rPr>
                      <w:rFonts w:cs="Arial"/>
                      <w:color w:val="000000"/>
                      <w:sz w:val="16"/>
                      <w:szCs w:val="16"/>
                    </w:rPr>
                  </w:pPr>
                  <w:r>
                    <w:rPr>
                      <w:rFonts w:cs="Arial"/>
                      <w:color w:val="000000"/>
                      <w:sz w:val="16"/>
                      <w:szCs w:val="16"/>
                    </w:rPr>
                    <w:t>−</w:t>
                  </w:r>
                  <w:r w:rsidRPr="005747D1">
                    <w:rPr>
                      <w:rFonts w:cs="Arial"/>
                      <w:color w:val="000000"/>
                      <w:sz w:val="16"/>
                      <w:szCs w:val="16"/>
                    </w:rPr>
                    <w:t>3,8</w:t>
                  </w:r>
                </w:p>
              </w:tc>
            </w:tr>
            <w:tr w:rsidR="00605D96" w:rsidRPr="005747D1" w14:paraId="04824F7A" w14:textId="77777777" w:rsidTr="008B207B">
              <w:trPr>
                <w:trHeight w:val="252"/>
              </w:trPr>
              <w:tc>
                <w:tcPr>
                  <w:tcW w:w="3362" w:type="dxa"/>
                  <w:tcBorders>
                    <w:top w:val="nil"/>
                    <w:left w:val="nil"/>
                    <w:bottom w:val="nil"/>
                    <w:right w:val="nil"/>
                  </w:tcBorders>
                  <w:noWrap/>
                  <w:vAlign w:val="bottom"/>
                  <w:hideMark/>
                </w:tcPr>
                <w:p w14:paraId="6CA29C67" w14:textId="77777777" w:rsidR="00605D96" w:rsidRPr="005747D1" w:rsidRDefault="00605D96" w:rsidP="008B207B">
                  <w:pPr>
                    <w:spacing w:after="0" w:line="240" w:lineRule="auto"/>
                    <w:jc w:val="left"/>
                    <w:rPr>
                      <w:rFonts w:cs="Arial"/>
                      <w:color w:val="000000"/>
                      <w:sz w:val="16"/>
                      <w:szCs w:val="16"/>
                    </w:rPr>
                  </w:pPr>
                  <w:r w:rsidRPr="005747D1">
                    <w:rPr>
                      <w:rFonts w:cs="Arial"/>
                      <w:color w:val="000000"/>
                      <w:sz w:val="16"/>
                      <w:szCs w:val="16"/>
                    </w:rPr>
                    <w:t>Slovensko</w:t>
                  </w:r>
                </w:p>
              </w:tc>
              <w:tc>
                <w:tcPr>
                  <w:tcW w:w="700" w:type="dxa"/>
                  <w:tcBorders>
                    <w:top w:val="nil"/>
                    <w:left w:val="nil"/>
                    <w:bottom w:val="nil"/>
                    <w:right w:val="nil"/>
                  </w:tcBorders>
                  <w:noWrap/>
                  <w:vAlign w:val="bottom"/>
                  <w:hideMark/>
                </w:tcPr>
                <w:p w14:paraId="35570CB6" w14:textId="77777777" w:rsidR="00605D96" w:rsidRPr="005747D1" w:rsidRDefault="00605D96" w:rsidP="008B207B">
                  <w:pPr>
                    <w:spacing w:after="0" w:line="240" w:lineRule="auto"/>
                    <w:jc w:val="right"/>
                    <w:rPr>
                      <w:rFonts w:cs="Arial"/>
                      <w:color w:val="000000"/>
                      <w:sz w:val="16"/>
                      <w:szCs w:val="16"/>
                    </w:rPr>
                  </w:pPr>
                  <w:r>
                    <w:rPr>
                      <w:rFonts w:cs="Arial"/>
                      <w:color w:val="000000"/>
                      <w:sz w:val="16"/>
                      <w:szCs w:val="16"/>
                    </w:rPr>
                    <w:t>−</w:t>
                  </w:r>
                  <w:r w:rsidRPr="005747D1">
                    <w:rPr>
                      <w:rFonts w:cs="Arial"/>
                      <w:color w:val="000000"/>
                      <w:sz w:val="16"/>
                      <w:szCs w:val="16"/>
                    </w:rPr>
                    <w:t>5,2</w:t>
                  </w:r>
                </w:p>
              </w:tc>
              <w:tc>
                <w:tcPr>
                  <w:tcW w:w="700" w:type="dxa"/>
                  <w:tcBorders>
                    <w:top w:val="nil"/>
                    <w:left w:val="nil"/>
                    <w:bottom w:val="nil"/>
                    <w:right w:val="nil"/>
                  </w:tcBorders>
                  <w:noWrap/>
                  <w:vAlign w:val="bottom"/>
                  <w:hideMark/>
                </w:tcPr>
                <w:p w14:paraId="678F6E2B" w14:textId="77777777" w:rsidR="00605D96" w:rsidRPr="005747D1" w:rsidRDefault="00605D96" w:rsidP="008B207B">
                  <w:pPr>
                    <w:spacing w:after="0" w:line="240" w:lineRule="auto"/>
                    <w:jc w:val="right"/>
                    <w:rPr>
                      <w:rFonts w:cs="Arial"/>
                      <w:color w:val="000000"/>
                      <w:sz w:val="16"/>
                      <w:szCs w:val="16"/>
                    </w:rPr>
                  </w:pPr>
                  <w:r>
                    <w:rPr>
                      <w:rFonts w:cs="Arial"/>
                      <w:color w:val="000000"/>
                      <w:sz w:val="16"/>
                      <w:szCs w:val="16"/>
                    </w:rPr>
                    <w:t>−</w:t>
                  </w:r>
                  <w:r w:rsidRPr="005747D1">
                    <w:rPr>
                      <w:rFonts w:cs="Arial"/>
                      <w:color w:val="000000"/>
                      <w:sz w:val="16"/>
                      <w:szCs w:val="16"/>
                    </w:rPr>
                    <w:t>7,8</w:t>
                  </w:r>
                </w:p>
              </w:tc>
            </w:tr>
            <w:tr w:rsidR="00605D96" w:rsidRPr="005747D1" w14:paraId="083F8C0A" w14:textId="77777777" w:rsidTr="008B207B">
              <w:trPr>
                <w:trHeight w:val="252"/>
              </w:trPr>
              <w:tc>
                <w:tcPr>
                  <w:tcW w:w="3362" w:type="dxa"/>
                  <w:tcBorders>
                    <w:top w:val="nil"/>
                    <w:left w:val="nil"/>
                    <w:bottom w:val="nil"/>
                    <w:right w:val="nil"/>
                  </w:tcBorders>
                  <w:noWrap/>
                  <w:vAlign w:val="bottom"/>
                  <w:hideMark/>
                </w:tcPr>
                <w:p w14:paraId="162FA55C" w14:textId="77777777" w:rsidR="00605D96" w:rsidRPr="005747D1" w:rsidRDefault="00605D96" w:rsidP="008B207B">
                  <w:pPr>
                    <w:spacing w:after="0" w:line="240" w:lineRule="auto"/>
                    <w:jc w:val="left"/>
                    <w:rPr>
                      <w:rFonts w:cs="Arial"/>
                      <w:color w:val="000000"/>
                      <w:sz w:val="16"/>
                      <w:szCs w:val="16"/>
                    </w:rPr>
                  </w:pPr>
                  <w:r w:rsidRPr="005747D1">
                    <w:rPr>
                      <w:rFonts w:cs="Arial"/>
                      <w:color w:val="000000"/>
                      <w:sz w:val="16"/>
                      <w:szCs w:val="16"/>
                    </w:rPr>
                    <w:t>Čína</w:t>
                  </w:r>
                </w:p>
              </w:tc>
              <w:tc>
                <w:tcPr>
                  <w:tcW w:w="700" w:type="dxa"/>
                  <w:tcBorders>
                    <w:top w:val="nil"/>
                    <w:left w:val="nil"/>
                    <w:bottom w:val="nil"/>
                    <w:right w:val="nil"/>
                  </w:tcBorders>
                  <w:noWrap/>
                  <w:vAlign w:val="bottom"/>
                  <w:hideMark/>
                </w:tcPr>
                <w:p w14:paraId="3CE76A14" w14:textId="77777777" w:rsidR="00605D96" w:rsidRPr="005747D1" w:rsidRDefault="00605D96" w:rsidP="008B207B">
                  <w:pPr>
                    <w:spacing w:after="0" w:line="240" w:lineRule="auto"/>
                    <w:jc w:val="right"/>
                    <w:rPr>
                      <w:rFonts w:cs="Arial"/>
                      <w:color w:val="000000"/>
                      <w:sz w:val="16"/>
                      <w:szCs w:val="16"/>
                    </w:rPr>
                  </w:pPr>
                  <w:r>
                    <w:rPr>
                      <w:rFonts w:cs="Arial"/>
                      <w:color w:val="000000"/>
                      <w:sz w:val="16"/>
                      <w:szCs w:val="16"/>
                    </w:rPr>
                    <w:t>−</w:t>
                  </w:r>
                  <w:r w:rsidRPr="005747D1">
                    <w:rPr>
                      <w:rFonts w:cs="Arial"/>
                      <w:color w:val="000000"/>
                      <w:sz w:val="16"/>
                      <w:szCs w:val="16"/>
                    </w:rPr>
                    <w:t>7,7</w:t>
                  </w:r>
                </w:p>
              </w:tc>
              <w:tc>
                <w:tcPr>
                  <w:tcW w:w="700" w:type="dxa"/>
                  <w:tcBorders>
                    <w:top w:val="nil"/>
                    <w:left w:val="nil"/>
                    <w:bottom w:val="nil"/>
                    <w:right w:val="nil"/>
                  </w:tcBorders>
                  <w:noWrap/>
                  <w:vAlign w:val="bottom"/>
                  <w:hideMark/>
                </w:tcPr>
                <w:p w14:paraId="14DD48D3" w14:textId="77777777" w:rsidR="00605D96" w:rsidRPr="005747D1" w:rsidRDefault="00605D96" w:rsidP="008B207B">
                  <w:pPr>
                    <w:spacing w:after="0" w:line="240" w:lineRule="auto"/>
                    <w:jc w:val="right"/>
                    <w:rPr>
                      <w:rFonts w:cs="Arial"/>
                      <w:color w:val="000000"/>
                      <w:sz w:val="16"/>
                      <w:szCs w:val="16"/>
                    </w:rPr>
                  </w:pPr>
                  <w:r>
                    <w:rPr>
                      <w:rFonts w:cs="Arial"/>
                      <w:color w:val="000000"/>
                      <w:sz w:val="16"/>
                      <w:szCs w:val="16"/>
                    </w:rPr>
                    <w:t>−</w:t>
                  </w:r>
                  <w:r w:rsidRPr="005747D1">
                    <w:rPr>
                      <w:rFonts w:cs="Arial"/>
                      <w:color w:val="000000"/>
                      <w:sz w:val="16"/>
                      <w:szCs w:val="16"/>
                    </w:rPr>
                    <w:t>5,1</w:t>
                  </w:r>
                </w:p>
              </w:tc>
            </w:tr>
            <w:tr w:rsidR="00605D96" w:rsidRPr="005747D1" w14:paraId="03135BD5" w14:textId="77777777" w:rsidTr="008B207B">
              <w:trPr>
                <w:trHeight w:val="252"/>
              </w:trPr>
              <w:tc>
                <w:tcPr>
                  <w:tcW w:w="3362" w:type="dxa"/>
                  <w:tcBorders>
                    <w:top w:val="nil"/>
                    <w:left w:val="nil"/>
                    <w:bottom w:val="nil"/>
                    <w:right w:val="nil"/>
                  </w:tcBorders>
                  <w:noWrap/>
                  <w:vAlign w:val="bottom"/>
                  <w:hideMark/>
                </w:tcPr>
                <w:p w14:paraId="08EC16C1" w14:textId="77777777" w:rsidR="00605D96" w:rsidRPr="005747D1" w:rsidRDefault="00605D96" w:rsidP="008B207B">
                  <w:pPr>
                    <w:spacing w:after="0" w:line="240" w:lineRule="auto"/>
                    <w:jc w:val="left"/>
                    <w:rPr>
                      <w:rFonts w:cs="Arial"/>
                      <w:color w:val="000000"/>
                      <w:sz w:val="16"/>
                      <w:szCs w:val="16"/>
                    </w:rPr>
                  </w:pPr>
                  <w:r w:rsidRPr="005747D1">
                    <w:rPr>
                      <w:rFonts w:cs="Arial"/>
                      <w:color w:val="000000"/>
                      <w:sz w:val="16"/>
                      <w:szCs w:val="16"/>
                    </w:rPr>
                    <w:t>Rusko</w:t>
                  </w:r>
                </w:p>
              </w:tc>
              <w:tc>
                <w:tcPr>
                  <w:tcW w:w="700" w:type="dxa"/>
                  <w:tcBorders>
                    <w:top w:val="nil"/>
                    <w:left w:val="nil"/>
                    <w:bottom w:val="nil"/>
                    <w:right w:val="nil"/>
                  </w:tcBorders>
                  <w:noWrap/>
                  <w:vAlign w:val="bottom"/>
                  <w:hideMark/>
                </w:tcPr>
                <w:p w14:paraId="6431A9A7" w14:textId="77777777" w:rsidR="00605D96" w:rsidRPr="005747D1" w:rsidRDefault="00605D96" w:rsidP="008B207B">
                  <w:pPr>
                    <w:spacing w:after="0" w:line="240" w:lineRule="auto"/>
                    <w:jc w:val="right"/>
                    <w:rPr>
                      <w:rFonts w:cs="Arial"/>
                      <w:color w:val="000000"/>
                      <w:sz w:val="16"/>
                      <w:szCs w:val="16"/>
                    </w:rPr>
                  </w:pPr>
                  <w:r>
                    <w:rPr>
                      <w:rFonts w:cs="Arial"/>
                      <w:color w:val="000000"/>
                      <w:sz w:val="16"/>
                      <w:szCs w:val="16"/>
                    </w:rPr>
                    <w:t>−</w:t>
                  </w:r>
                  <w:r w:rsidRPr="005747D1">
                    <w:rPr>
                      <w:rFonts w:cs="Arial"/>
                      <w:color w:val="000000"/>
                      <w:sz w:val="16"/>
                      <w:szCs w:val="16"/>
                    </w:rPr>
                    <w:t>21,7</w:t>
                  </w:r>
                </w:p>
              </w:tc>
              <w:tc>
                <w:tcPr>
                  <w:tcW w:w="700" w:type="dxa"/>
                  <w:tcBorders>
                    <w:top w:val="nil"/>
                    <w:left w:val="nil"/>
                    <w:bottom w:val="nil"/>
                    <w:right w:val="nil"/>
                  </w:tcBorders>
                  <w:noWrap/>
                  <w:vAlign w:val="bottom"/>
                  <w:hideMark/>
                </w:tcPr>
                <w:p w14:paraId="604646B4" w14:textId="77777777" w:rsidR="00605D96" w:rsidRPr="005747D1" w:rsidRDefault="00605D96" w:rsidP="008B207B">
                  <w:pPr>
                    <w:spacing w:after="0" w:line="240" w:lineRule="auto"/>
                    <w:jc w:val="right"/>
                    <w:rPr>
                      <w:rFonts w:cs="Arial"/>
                      <w:color w:val="000000"/>
                      <w:sz w:val="16"/>
                      <w:szCs w:val="16"/>
                    </w:rPr>
                  </w:pPr>
                  <w:r>
                    <w:rPr>
                      <w:rFonts w:cs="Arial"/>
                      <w:color w:val="000000"/>
                      <w:sz w:val="16"/>
                      <w:szCs w:val="16"/>
                    </w:rPr>
                    <w:t>−</w:t>
                  </w:r>
                  <w:r w:rsidRPr="005747D1">
                    <w:rPr>
                      <w:rFonts w:cs="Arial"/>
                      <w:color w:val="000000"/>
                      <w:sz w:val="16"/>
                      <w:szCs w:val="16"/>
                    </w:rPr>
                    <w:t>78,0</w:t>
                  </w:r>
                </w:p>
              </w:tc>
            </w:tr>
          </w:tbl>
          <w:p w14:paraId="18B6B833" w14:textId="77777777" w:rsidR="00605D96" w:rsidRPr="005A40B7" w:rsidRDefault="00605D96" w:rsidP="008B207B">
            <w:pPr>
              <w:spacing w:after="0"/>
              <w:rPr>
                <w:spacing w:val="-4"/>
                <w:sz w:val="16"/>
                <w:szCs w:val="16"/>
                <w:lang w:eastAsia="en-US"/>
              </w:rPr>
            </w:pPr>
          </w:p>
        </w:tc>
      </w:tr>
      <w:tr w:rsidR="00605D96" w14:paraId="27A5FC17" w14:textId="77777777" w:rsidTr="008B207B">
        <w:trPr>
          <w:trHeight w:val="170"/>
        </w:trPr>
        <w:tc>
          <w:tcPr>
            <w:tcW w:w="4811" w:type="dxa"/>
            <w:gridSpan w:val="3"/>
            <w:hideMark/>
          </w:tcPr>
          <w:p w14:paraId="0AF7E8BE" w14:textId="77777777" w:rsidR="00605D96" w:rsidRDefault="00605D96" w:rsidP="008B207B">
            <w:pPr>
              <w:jc w:val="left"/>
              <w:rPr>
                <w:spacing w:val="-4"/>
                <w:sz w:val="16"/>
                <w:szCs w:val="16"/>
                <w:lang w:eastAsia="en-US"/>
              </w:rPr>
            </w:pPr>
            <w:r>
              <w:rPr>
                <w:spacing w:val="-4"/>
                <w:sz w:val="16"/>
                <w:szCs w:val="16"/>
                <w:lang w:eastAsia="en-US"/>
              </w:rPr>
              <w:t>Zdroj: ČSÚ</w:t>
            </w:r>
          </w:p>
        </w:tc>
        <w:tc>
          <w:tcPr>
            <w:tcW w:w="57" w:type="dxa"/>
          </w:tcPr>
          <w:p w14:paraId="63A86D28" w14:textId="77777777" w:rsidR="00605D96" w:rsidRDefault="00605D96" w:rsidP="008B207B">
            <w:pPr>
              <w:spacing w:after="0"/>
              <w:rPr>
                <w:spacing w:val="-4"/>
                <w:lang w:eastAsia="en-US"/>
              </w:rPr>
            </w:pPr>
          </w:p>
        </w:tc>
        <w:tc>
          <w:tcPr>
            <w:tcW w:w="4809" w:type="dxa"/>
            <w:hideMark/>
          </w:tcPr>
          <w:p w14:paraId="4F7070D8" w14:textId="77777777" w:rsidR="00605D96" w:rsidRDefault="00605D96" w:rsidP="008B207B">
            <w:pPr>
              <w:spacing w:after="0"/>
              <w:ind w:right="21"/>
              <w:jc w:val="left"/>
              <w:rPr>
                <w:spacing w:val="-4"/>
                <w:lang w:eastAsia="en-US"/>
              </w:rPr>
            </w:pPr>
            <w:r>
              <w:rPr>
                <w:spacing w:val="-4"/>
                <w:sz w:val="16"/>
                <w:szCs w:val="16"/>
                <w:lang w:eastAsia="en-US"/>
              </w:rPr>
              <w:t>Zdroj: ČSÚ</w:t>
            </w:r>
          </w:p>
        </w:tc>
      </w:tr>
      <w:tr w:rsidR="00605D96" w14:paraId="2E7CD99C" w14:textId="77777777" w:rsidTr="008B207B">
        <w:trPr>
          <w:trHeight w:val="145"/>
        </w:trPr>
        <w:tc>
          <w:tcPr>
            <w:tcW w:w="1748" w:type="dxa"/>
            <w:hideMark/>
          </w:tcPr>
          <w:p w14:paraId="25C4CE3B" w14:textId="77777777" w:rsidR="00605D96" w:rsidRDefault="00605D96" w:rsidP="008B207B">
            <w:pPr>
              <w:pStyle w:val="Marginlie"/>
              <w:rPr>
                <w:lang w:eastAsia="en-US"/>
              </w:rPr>
            </w:pPr>
            <w:r>
              <w:rPr>
                <w:lang w:eastAsia="en-US"/>
              </w:rPr>
              <w:t>Přebytek bilance zahraničního obchodu se zbožím loni zůstal výrazný.</w:t>
            </w:r>
          </w:p>
        </w:tc>
        <w:tc>
          <w:tcPr>
            <w:tcW w:w="252" w:type="dxa"/>
          </w:tcPr>
          <w:p w14:paraId="0A28790A" w14:textId="77777777" w:rsidR="00605D96" w:rsidRDefault="00605D96" w:rsidP="008B207B">
            <w:pPr>
              <w:pStyle w:val="Textpoznpodarou"/>
              <w:jc w:val="both"/>
              <w:rPr>
                <w:spacing w:val="-4"/>
                <w:lang w:eastAsia="en-US"/>
              </w:rPr>
            </w:pPr>
          </w:p>
        </w:tc>
        <w:tc>
          <w:tcPr>
            <w:tcW w:w="7677" w:type="dxa"/>
            <w:gridSpan w:val="3"/>
            <w:hideMark/>
          </w:tcPr>
          <w:p w14:paraId="4DB832AC" w14:textId="77777777" w:rsidR="00605D96" w:rsidRPr="002971BF" w:rsidRDefault="00605D96" w:rsidP="008B207B">
            <w:pPr>
              <w:spacing w:after="180"/>
              <w:rPr>
                <w:spacing w:val="-4"/>
                <w:szCs w:val="20"/>
                <w:lang w:eastAsia="en-US"/>
              </w:rPr>
            </w:pPr>
            <w:r>
              <w:rPr>
                <w:spacing w:val="-4"/>
                <w:szCs w:val="20"/>
                <w:lang w:eastAsia="en-US"/>
              </w:rPr>
              <w:t xml:space="preserve">Bilance zahraničního obchodu se zbožím loni dosáhla přebytku 212,9 mld. korun. Šlo o mírné snížení kladného salda oproti předchozímu roku (−7,6 mld.). Většina přebytku vznikla v první polovině roku 2025. Ve 4. kvartálu 2025 dosáhl přebytek bilance zahraničního obchodu se zbožím 52,4 mld. korun. To byl meziročně o 12,5 mld. lepší </w:t>
            </w:r>
            <w:r>
              <w:rPr>
                <w:spacing w:val="-4"/>
                <w:szCs w:val="20"/>
                <w:lang w:eastAsia="en-US"/>
              </w:rPr>
              <w:lastRenderedPageBreak/>
              <w:t xml:space="preserve">výsledek a zároveň nejvyšší kladné saldo pro tento kvartál roku v celé časové řadě. Bilance zahraničního obchodu se zbožím se podle sezónně očištěných údajů ve 4. čtvrtletí zlepšovala i mezičtvrtletně. </w:t>
            </w:r>
          </w:p>
        </w:tc>
      </w:tr>
      <w:tr w:rsidR="00605D96" w14:paraId="4DA880BC" w14:textId="77777777" w:rsidTr="008B207B">
        <w:trPr>
          <w:trHeight w:val="145"/>
        </w:trPr>
        <w:tc>
          <w:tcPr>
            <w:tcW w:w="1748" w:type="dxa"/>
          </w:tcPr>
          <w:p w14:paraId="06B50972" w14:textId="77777777" w:rsidR="00605D96" w:rsidRDefault="00605D96" w:rsidP="008B207B">
            <w:pPr>
              <w:pStyle w:val="Marginlie"/>
              <w:rPr>
                <w:lang w:eastAsia="en-US"/>
              </w:rPr>
            </w:pPr>
            <w:r>
              <w:rPr>
                <w:lang w:eastAsia="en-US"/>
              </w:rPr>
              <w:lastRenderedPageBreak/>
              <w:t>Zlepšovalo se kladné saldo obchodu se zeměmi EU.</w:t>
            </w:r>
          </w:p>
        </w:tc>
        <w:tc>
          <w:tcPr>
            <w:tcW w:w="252" w:type="dxa"/>
          </w:tcPr>
          <w:p w14:paraId="6A3810BC" w14:textId="77777777" w:rsidR="00605D96" w:rsidRDefault="00605D96" w:rsidP="008B207B">
            <w:pPr>
              <w:pStyle w:val="Textpoznpodarou"/>
              <w:jc w:val="both"/>
              <w:rPr>
                <w:spacing w:val="-4"/>
                <w:lang w:eastAsia="en-US"/>
              </w:rPr>
            </w:pPr>
          </w:p>
        </w:tc>
        <w:tc>
          <w:tcPr>
            <w:tcW w:w="7677" w:type="dxa"/>
            <w:gridSpan w:val="3"/>
          </w:tcPr>
          <w:p w14:paraId="03E6F097" w14:textId="77777777" w:rsidR="00605D96" w:rsidRDefault="00605D96" w:rsidP="008B207B">
            <w:pPr>
              <w:spacing w:after="180"/>
              <w:rPr>
                <w:spacing w:val="-4"/>
                <w:szCs w:val="20"/>
                <w:lang w:eastAsia="en-US"/>
              </w:rPr>
            </w:pPr>
            <w:r>
              <w:rPr>
                <w:spacing w:val="-4"/>
                <w:szCs w:val="20"/>
                <w:lang w:eastAsia="en-US"/>
              </w:rPr>
              <w:t>Bilance zahraničního obchodu se zbožím se v roce 2025 zlepšovala v případě obchodu s EU (+15,1 mld. korun) a drobně se zhoršila u obchodu s </w:t>
            </w:r>
            <w:proofErr w:type="spellStart"/>
            <w:r>
              <w:rPr>
                <w:spacing w:val="-4"/>
                <w:szCs w:val="20"/>
                <w:lang w:eastAsia="en-US"/>
              </w:rPr>
              <w:t>mimounijními</w:t>
            </w:r>
            <w:proofErr w:type="spellEnd"/>
            <w:r>
              <w:rPr>
                <w:spacing w:val="-4"/>
                <w:szCs w:val="20"/>
                <w:lang w:eastAsia="en-US"/>
              </w:rPr>
              <w:t xml:space="preserve"> zeměmi (−0,2 mld.). Nezanedbatelně negativně se ale loni projevila na celkové bilanci kategorie nespecifikovaných zemí</w:t>
            </w:r>
            <w:r>
              <w:rPr>
                <w:rStyle w:val="Znakapoznpodarou"/>
                <w:spacing w:val="-4"/>
                <w:szCs w:val="20"/>
                <w:lang w:eastAsia="en-US"/>
              </w:rPr>
              <w:footnoteReference w:id="77"/>
            </w:r>
            <w:r>
              <w:rPr>
                <w:spacing w:val="-4"/>
                <w:szCs w:val="20"/>
                <w:lang w:eastAsia="en-US"/>
              </w:rPr>
              <w:t xml:space="preserve"> (−22,5 mld. korun). Nejvíce ve směru zhoršení bilance zahraničního obchodu se zbožím působil obchod s Norskem (−25,0 mld. korun), Čínou (−21,7 mld.), Maďarskem (−9,7 mld.), Nizozemskem (−6,9 mld.), Španělskem (−5,6 mld.) a Singapurem (−5,0 mld.). Naopak saldo se výrazně zlepšilo u obchodu s Ruskem (+49,6 mld. korun), Německem (+23,4 mld.) a Francií (+11,1 mld.). Významně ve směru zlepšení bilance působil také obchod se Spojenými státy americkými (+7,2 mld.), Tchaj-wanem (+7,0 mld.), Ukrajinou (+6,1 mld.), Dánskem (+5,9 mld.), Slovenskem (+5,5 mld.) nebo Belgií (+5,1 mld.). V samotném 4. čtvrtletí se meziročně zvýšil přebytek obchodu s EU o 8,3 mld. korun a deficit se zeměmi mimo EU</w:t>
            </w:r>
            <w:r>
              <w:rPr>
                <w:rStyle w:val="Znakapoznpodarou"/>
                <w:spacing w:val="-4"/>
                <w:szCs w:val="20"/>
                <w:lang w:eastAsia="en-US"/>
              </w:rPr>
              <w:footnoteReference w:id="78"/>
            </w:r>
            <w:r>
              <w:rPr>
                <w:spacing w:val="-4"/>
                <w:szCs w:val="20"/>
                <w:lang w:eastAsia="en-US"/>
              </w:rPr>
              <w:t xml:space="preserve"> se zmírnil o 7,6 mld. Bilance se nejvíce meziročně zlepšila u Ruska, Slovenska, Číny a Francie (viz Tabulka č. 6). Naopak ve směru zhoršení působil zejména obchod s Norskem, Spojenými státy americkými nebo Maďarskem.</w:t>
            </w:r>
          </w:p>
        </w:tc>
      </w:tr>
      <w:tr w:rsidR="00605D96" w14:paraId="77265842" w14:textId="77777777" w:rsidTr="008B207B">
        <w:trPr>
          <w:trHeight w:val="170"/>
        </w:trPr>
        <w:tc>
          <w:tcPr>
            <w:tcW w:w="4811" w:type="dxa"/>
            <w:gridSpan w:val="3"/>
            <w:hideMark/>
          </w:tcPr>
          <w:p w14:paraId="545F88C2" w14:textId="77777777" w:rsidR="00605D96" w:rsidRDefault="00605D96" w:rsidP="008B207B">
            <w:pPr>
              <w:spacing w:after="0"/>
              <w:rPr>
                <w:rFonts w:cs="Arial"/>
                <w:b/>
                <w:bCs/>
                <w:color w:val="000000"/>
                <w:sz w:val="18"/>
                <w:szCs w:val="18"/>
                <w:lang w:eastAsia="en-US"/>
              </w:rPr>
            </w:pPr>
            <w:r>
              <w:rPr>
                <w:rFonts w:cs="Arial"/>
                <w:b/>
                <w:bCs/>
                <w:color w:val="000000"/>
                <w:sz w:val="18"/>
                <w:szCs w:val="18"/>
                <w:lang w:eastAsia="en-US"/>
              </w:rPr>
              <w:t xml:space="preserve">Tabulka č. 5 Oddíly klasifikace CPA s největším </w:t>
            </w:r>
          </w:p>
          <w:p w14:paraId="700E59DC" w14:textId="2F546ACF" w:rsidR="00605D96" w:rsidRDefault="00605D96" w:rsidP="008B207B">
            <w:pPr>
              <w:spacing w:after="0"/>
              <w:jc w:val="left"/>
              <w:rPr>
                <w:rFonts w:cs="Arial"/>
                <w:b/>
                <w:bCs/>
                <w:color w:val="000000"/>
                <w:sz w:val="18"/>
                <w:szCs w:val="18"/>
                <w:lang w:eastAsia="en-US"/>
              </w:rPr>
            </w:pPr>
            <w:r>
              <w:rPr>
                <w:rFonts w:cs="Arial"/>
                <w:b/>
                <w:bCs/>
                <w:color w:val="000000"/>
                <w:sz w:val="18"/>
                <w:szCs w:val="18"/>
                <w:lang w:eastAsia="en-US"/>
              </w:rPr>
              <w:t xml:space="preserve">vlivem na vývoj bilance zahraničního obchodu se zbožím ve </w:t>
            </w:r>
            <w:r w:rsidR="003D5B4E">
              <w:rPr>
                <w:rFonts w:cs="Arial"/>
                <w:b/>
                <w:bCs/>
                <w:color w:val="000000"/>
                <w:sz w:val="18"/>
                <w:szCs w:val="18"/>
                <w:lang w:eastAsia="en-US"/>
              </w:rPr>
              <w:t>4</w:t>
            </w:r>
            <w:r>
              <w:rPr>
                <w:rFonts w:cs="Arial"/>
                <w:b/>
                <w:bCs/>
                <w:color w:val="000000"/>
                <w:sz w:val="18"/>
                <w:szCs w:val="18"/>
                <w:lang w:eastAsia="en-US"/>
              </w:rPr>
              <w:t xml:space="preserve">. čtvrtletí 2025 </w:t>
            </w:r>
            <w:r>
              <w:rPr>
                <w:rFonts w:cs="Arial"/>
                <w:bCs/>
                <w:color w:val="000000"/>
                <w:sz w:val="18"/>
                <w:szCs w:val="18"/>
                <w:lang w:eastAsia="en-US"/>
              </w:rPr>
              <w:t>(meziročně)</w:t>
            </w:r>
          </w:p>
        </w:tc>
        <w:tc>
          <w:tcPr>
            <w:tcW w:w="57" w:type="dxa"/>
          </w:tcPr>
          <w:p w14:paraId="719A2F86" w14:textId="77777777" w:rsidR="00605D96" w:rsidRDefault="00605D96" w:rsidP="008B207B">
            <w:pPr>
              <w:spacing w:after="0"/>
              <w:rPr>
                <w:spacing w:val="-4"/>
                <w:lang w:eastAsia="en-US"/>
              </w:rPr>
            </w:pPr>
          </w:p>
        </w:tc>
        <w:tc>
          <w:tcPr>
            <w:tcW w:w="4809" w:type="dxa"/>
            <w:hideMark/>
          </w:tcPr>
          <w:p w14:paraId="431E2961" w14:textId="0AE17981" w:rsidR="00605D96" w:rsidRDefault="00605D96" w:rsidP="008B207B">
            <w:pPr>
              <w:spacing w:after="0"/>
              <w:jc w:val="left"/>
              <w:rPr>
                <w:spacing w:val="-4"/>
                <w:sz w:val="18"/>
                <w:szCs w:val="18"/>
                <w:lang w:eastAsia="en-US"/>
              </w:rPr>
            </w:pPr>
            <w:r>
              <w:rPr>
                <w:rFonts w:cs="Arial"/>
                <w:b/>
                <w:bCs/>
                <w:color w:val="000000"/>
                <w:sz w:val="18"/>
                <w:szCs w:val="18"/>
                <w:lang w:eastAsia="en-US"/>
              </w:rPr>
              <w:t xml:space="preserve">Tabulka č. 6 Země s největším vlivem na vývoj bilance zahraničního obchodu se zbožím ve </w:t>
            </w:r>
            <w:r w:rsidR="003D5B4E">
              <w:rPr>
                <w:rFonts w:cs="Arial"/>
                <w:b/>
                <w:bCs/>
                <w:color w:val="000000"/>
                <w:sz w:val="18"/>
                <w:szCs w:val="18"/>
                <w:lang w:eastAsia="en-US"/>
              </w:rPr>
              <w:t>4</w:t>
            </w:r>
            <w:r>
              <w:rPr>
                <w:rFonts w:cs="Arial"/>
                <w:b/>
                <w:bCs/>
                <w:color w:val="000000"/>
                <w:sz w:val="18"/>
                <w:szCs w:val="18"/>
                <w:lang w:eastAsia="en-US"/>
              </w:rPr>
              <w:t xml:space="preserve">. čtvrtletí 2025 </w:t>
            </w:r>
            <w:r>
              <w:rPr>
                <w:rFonts w:cs="Arial"/>
                <w:bCs/>
                <w:color w:val="000000"/>
                <w:sz w:val="18"/>
                <w:szCs w:val="18"/>
                <w:lang w:eastAsia="en-US"/>
              </w:rPr>
              <w:t>(meziročně)</w:t>
            </w:r>
          </w:p>
        </w:tc>
      </w:tr>
      <w:tr w:rsidR="00605D96" w14:paraId="2FB4D9DF" w14:textId="77777777" w:rsidTr="008B207B">
        <w:trPr>
          <w:trHeight w:val="170"/>
        </w:trPr>
        <w:tc>
          <w:tcPr>
            <w:tcW w:w="4811" w:type="dxa"/>
            <w:gridSpan w:val="3"/>
            <w:hideMark/>
          </w:tcPr>
          <w:tbl>
            <w:tblPr>
              <w:tblW w:w="4826" w:type="dxa"/>
              <w:tblLayout w:type="fixed"/>
              <w:tblCellMar>
                <w:left w:w="70" w:type="dxa"/>
                <w:right w:w="70" w:type="dxa"/>
              </w:tblCellMar>
              <w:tblLook w:val="04A0" w:firstRow="1" w:lastRow="0" w:firstColumn="1" w:lastColumn="0" w:noHBand="0" w:noVBand="1"/>
            </w:tblPr>
            <w:tblGrid>
              <w:gridCol w:w="4126"/>
              <w:gridCol w:w="700"/>
            </w:tblGrid>
            <w:tr w:rsidR="00605D96" w:rsidRPr="006E3B9B" w14:paraId="3321AF88" w14:textId="77777777" w:rsidTr="008B207B">
              <w:trPr>
                <w:trHeight w:val="255"/>
              </w:trPr>
              <w:tc>
                <w:tcPr>
                  <w:tcW w:w="4126" w:type="dxa"/>
                  <w:tcBorders>
                    <w:top w:val="nil"/>
                    <w:left w:val="nil"/>
                    <w:bottom w:val="single" w:sz="4" w:space="0" w:color="auto"/>
                    <w:right w:val="nil"/>
                  </w:tcBorders>
                  <w:noWrap/>
                  <w:vAlign w:val="bottom"/>
                  <w:hideMark/>
                </w:tcPr>
                <w:p w14:paraId="1514DD02" w14:textId="77777777" w:rsidR="00605D96" w:rsidRPr="006E3B9B" w:rsidRDefault="00605D96" w:rsidP="008B207B">
                  <w:pPr>
                    <w:spacing w:after="0" w:line="240" w:lineRule="auto"/>
                    <w:jc w:val="left"/>
                    <w:rPr>
                      <w:rFonts w:cs="Arial"/>
                      <w:color w:val="000000"/>
                      <w:sz w:val="16"/>
                      <w:szCs w:val="16"/>
                    </w:rPr>
                  </w:pPr>
                  <w:r w:rsidRPr="006E3B9B">
                    <w:rPr>
                      <w:rFonts w:cs="Arial"/>
                      <w:color w:val="000000"/>
                      <w:sz w:val="16"/>
                      <w:szCs w:val="16"/>
                    </w:rPr>
                    <w:t> </w:t>
                  </w:r>
                </w:p>
              </w:tc>
              <w:tc>
                <w:tcPr>
                  <w:tcW w:w="700" w:type="dxa"/>
                  <w:tcBorders>
                    <w:top w:val="nil"/>
                    <w:left w:val="nil"/>
                    <w:bottom w:val="single" w:sz="4" w:space="0" w:color="auto"/>
                    <w:right w:val="nil"/>
                  </w:tcBorders>
                  <w:noWrap/>
                  <w:vAlign w:val="bottom"/>
                  <w:hideMark/>
                </w:tcPr>
                <w:p w14:paraId="5C6F411C" w14:textId="77777777" w:rsidR="00605D96" w:rsidRPr="006E3B9B" w:rsidRDefault="00605D96" w:rsidP="008B207B">
                  <w:pPr>
                    <w:spacing w:after="0" w:line="240" w:lineRule="auto"/>
                    <w:jc w:val="right"/>
                    <w:rPr>
                      <w:rFonts w:cs="Arial"/>
                      <w:color w:val="000000"/>
                      <w:sz w:val="16"/>
                      <w:szCs w:val="16"/>
                    </w:rPr>
                  </w:pPr>
                  <w:r w:rsidRPr="006E3B9B">
                    <w:rPr>
                      <w:rFonts w:cs="Arial"/>
                      <w:color w:val="000000"/>
                      <w:sz w:val="16"/>
                      <w:szCs w:val="16"/>
                    </w:rPr>
                    <w:t>mld. Kč</w:t>
                  </w:r>
                </w:p>
              </w:tc>
            </w:tr>
            <w:tr w:rsidR="00605D96" w:rsidRPr="006E3B9B" w14:paraId="3248224D" w14:textId="77777777" w:rsidTr="008B207B">
              <w:trPr>
                <w:trHeight w:val="255"/>
              </w:trPr>
              <w:tc>
                <w:tcPr>
                  <w:tcW w:w="4126" w:type="dxa"/>
                  <w:tcBorders>
                    <w:top w:val="nil"/>
                    <w:left w:val="nil"/>
                    <w:bottom w:val="nil"/>
                    <w:right w:val="nil"/>
                  </w:tcBorders>
                  <w:noWrap/>
                  <w:vAlign w:val="bottom"/>
                  <w:hideMark/>
                </w:tcPr>
                <w:p w14:paraId="2E57BE83" w14:textId="77777777" w:rsidR="00605D96" w:rsidRPr="006E3B9B" w:rsidRDefault="00605D96" w:rsidP="008B207B">
                  <w:pPr>
                    <w:spacing w:after="0" w:line="240" w:lineRule="auto"/>
                    <w:jc w:val="left"/>
                    <w:rPr>
                      <w:rFonts w:cs="Arial"/>
                      <w:color w:val="000000"/>
                      <w:sz w:val="16"/>
                      <w:szCs w:val="16"/>
                    </w:rPr>
                  </w:pPr>
                  <w:r w:rsidRPr="006E3B9B">
                    <w:rPr>
                      <w:rFonts w:cs="Arial"/>
                      <w:color w:val="000000"/>
                      <w:sz w:val="16"/>
                      <w:szCs w:val="16"/>
                    </w:rPr>
                    <w:t>Ropa a zemní plyn</w:t>
                  </w:r>
                </w:p>
              </w:tc>
              <w:tc>
                <w:tcPr>
                  <w:tcW w:w="700" w:type="dxa"/>
                  <w:tcBorders>
                    <w:top w:val="nil"/>
                    <w:left w:val="nil"/>
                    <w:bottom w:val="nil"/>
                    <w:right w:val="nil"/>
                  </w:tcBorders>
                  <w:noWrap/>
                  <w:vAlign w:val="bottom"/>
                  <w:hideMark/>
                </w:tcPr>
                <w:p w14:paraId="773473B7" w14:textId="77777777" w:rsidR="00605D96" w:rsidRPr="006E3B9B" w:rsidRDefault="00605D96" w:rsidP="008B207B">
                  <w:pPr>
                    <w:spacing w:after="0" w:line="240" w:lineRule="auto"/>
                    <w:jc w:val="right"/>
                    <w:rPr>
                      <w:rFonts w:cs="Arial"/>
                      <w:color w:val="000000"/>
                      <w:sz w:val="16"/>
                      <w:szCs w:val="16"/>
                    </w:rPr>
                  </w:pPr>
                  <w:r w:rsidRPr="006E3B9B">
                    <w:rPr>
                      <w:rFonts w:cs="Arial"/>
                      <w:color w:val="000000"/>
                      <w:sz w:val="16"/>
                      <w:szCs w:val="16"/>
                    </w:rPr>
                    <w:t>+9,3</w:t>
                  </w:r>
                </w:p>
              </w:tc>
            </w:tr>
            <w:tr w:rsidR="00605D96" w:rsidRPr="006E3B9B" w14:paraId="7851B0DD" w14:textId="77777777" w:rsidTr="008B207B">
              <w:trPr>
                <w:trHeight w:val="255"/>
              </w:trPr>
              <w:tc>
                <w:tcPr>
                  <w:tcW w:w="4126" w:type="dxa"/>
                  <w:tcBorders>
                    <w:top w:val="nil"/>
                    <w:left w:val="nil"/>
                    <w:bottom w:val="nil"/>
                    <w:right w:val="nil"/>
                  </w:tcBorders>
                  <w:noWrap/>
                  <w:vAlign w:val="bottom"/>
                  <w:hideMark/>
                </w:tcPr>
                <w:p w14:paraId="1458B054" w14:textId="77777777" w:rsidR="00605D96" w:rsidRPr="006E3B9B" w:rsidRDefault="00605D96" w:rsidP="008B207B">
                  <w:pPr>
                    <w:spacing w:after="0" w:line="240" w:lineRule="auto"/>
                    <w:jc w:val="left"/>
                    <w:rPr>
                      <w:rFonts w:cs="Arial"/>
                      <w:color w:val="000000"/>
                      <w:sz w:val="16"/>
                      <w:szCs w:val="16"/>
                    </w:rPr>
                  </w:pPr>
                  <w:r w:rsidRPr="006E3B9B">
                    <w:rPr>
                      <w:rFonts w:cs="Arial"/>
                      <w:color w:val="000000"/>
                      <w:sz w:val="16"/>
                      <w:szCs w:val="16"/>
                    </w:rPr>
                    <w:t>Stroje a zařízení j. n.</w:t>
                  </w:r>
                </w:p>
              </w:tc>
              <w:tc>
                <w:tcPr>
                  <w:tcW w:w="700" w:type="dxa"/>
                  <w:tcBorders>
                    <w:top w:val="nil"/>
                    <w:left w:val="nil"/>
                    <w:bottom w:val="nil"/>
                    <w:right w:val="nil"/>
                  </w:tcBorders>
                  <w:noWrap/>
                  <w:vAlign w:val="bottom"/>
                  <w:hideMark/>
                </w:tcPr>
                <w:p w14:paraId="29713D84" w14:textId="77777777" w:rsidR="00605D96" w:rsidRPr="006E3B9B" w:rsidRDefault="00605D96" w:rsidP="008B207B">
                  <w:pPr>
                    <w:spacing w:after="0" w:line="240" w:lineRule="auto"/>
                    <w:jc w:val="right"/>
                    <w:rPr>
                      <w:rFonts w:cs="Arial"/>
                      <w:color w:val="000000"/>
                      <w:sz w:val="16"/>
                      <w:szCs w:val="16"/>
                    </w:rPr>
                  </w:pPr>
                  <w:r w:rsidRPr="006E3B9B">
                    <w:rPr>
                      <w:rFonts w:cs="Arial"/>
                      <w:color w:val="000000"/>
                      <w:sz w:val="16"/>
                      <w:szCs w:val="16"/>
                    </w:rPr>
                    <w:t>+8,2</w:t>
                  </w:r>
                </w:p>
              </w:tc>
            </w:tr>
            <w:tr w:rsidR="00605D96" w:rsidRPr="006E3B9B" w14:paraId="4A61637B" w14:textId="77777777" w:rsidTr="008B207B">
              <w:trPr>
                <w:trHeight w:val="255"/>
              </w:trPr>
              <w:tc>
                <w:tcPr>
                  <w:tcW w:w="4126" w:type="dxa"/>
                  <w:tcBorders>
                    <w:top w:val="nil"/>
                    <w:left w:val="nil"/>
                    <w:bottom w:val="nil"/>
                    <w:right w:val="nil"/>
                  </w:tcBorders>
                  <w:noWrap/>
                  <w:vAlign w:val="bottom"/>
                  <w:hideMark/>
                </w:tcPr>
                <w:p w14:paraId="70FB0C29" w14:textId="77777777" w:rsidR="00605D96" w:rsidRPr="006E3B9B" w:rsidRDefault="00605D96" w:rsidP="008B207B">
                  <w:pPr>
                    <w:spacing w:after="0" w:line="240" w:lineRule="auto"/>
                    <w:jc w:val="left"/>
                    <w:rPr>
                      <w:rFonts w:cs="Arial"/>
                      <w:color w:val="000000"/>
                      <w:sz w:val="16"/>
                      <w:szCs w:val="16"/>
                    </w:rPr>
                  </w:pPr>
                  <w:r w:rsidRPr="006E3B9B">
                    <w:rPr>
                      <w:rFonts w:cs="Arial"/>
                      <w:color w:val="000000"/>
                      <w:sz w:val="16"/>
                      <w:szCs w:val="16"/>
                    </w:rPr>
                    <w:t>Motorová vozidla (kromě motocyklů) a díly</w:t>
                  </w:r>
                </w:p>
              </w:tc>
              <w:tc>
                <w:tcPr>
                  <w:tcW w:w="700" w:type="dxa"/>
                  <w:tcBorders>
                    <w:top w:val="nil"/>
                    <w:left w:val="nil"/>
                    <w:bottom w:val="nil"/>
                    <w:right w:val="nil"/>
                  </w:tcBorders>
                  <w:noWrap/>
                  <w:vAlign w:val="bottom"/>
                  <w:hideMark/>
                </w:tcPr>
                <w:p w14:paraId="6A0E8717" w14:textId="77777777" w:rsidR="00605D96" w:rsidRPr="006E3B9B" w:rsidRDefault="00605D96" w:rsidP="008B207B">
                  <w:pPr>
                    <w:spacing w:after="0" w:line="240" w:lineRule="auto"/>
                    <w:jc w:val="right"/>
                    <w:rPr>
                      <w:rFonts w:cs="Arial"/>
                      <w:color w:val="000000"/>
                      <w:sz w:val="16"/>
                      <w:szCs w:val="16"/>
                    </w:rPr>
                  </w:pPr>
                  <w:r w:rsidRPr="006E3B9B">
                    <w:rPr>
                      <w:rFonts w:cs="Arial"/>
                      <w:color w:val="000000"/>
                      <w:sz w:val="16"/>
                      <w:szCs w:val="16"/>
                    </w:rPr>
                    <w:t>+4,2</w:t>
                  </w:r>
                </w:p>
              </w:tc>
            </w:tr>
            <w:tr w:rsidR="00605D96" w:rsidRPr="006E3B9B" w14:paraId="294C60D5" w14:textId="77777777" w:rsidTr="008B207B">
              <w:trPr>
                <w:trHeight w:val="255"/>
              </w:trPr>
              <w:tc>
                <w:tcPr>
                  <w:tcW w:w="4126" w:type="dxa"/>
                  <w:tcBorders>
                    <w:top w:val="nil"/>
                    <w:left w:val="nil"/>
                    <w:bottom w:val="nil"/>
                    <w:right w:val="nil"/>
                  </w:tcBorders>
                  <w:noWrap/>
                  <w:vAlign w:val="bottom"/>
                  <w:hideMark/>
                </w:tcPr>
                <w:p w14:paraId="153255A1" w14:textId="77777777" w:rsidR="00605D96" w:rsidRPr="006E3B9B" w:rsidRDefault="00605D96" w:rsidP="008B207B">
                  <w:pPr>
                    <w:spacing w:after="0" w:line="240" w:lineRule="auto"/>
                    <w:jc w:val="left"/>
                    <w:rPr>
                      <w:rFonts w:cs="Arial"/>
                      <w:color w:val="000000"/>
                      <w:sz w:val="16"/>
                      <w:szCs w:val="16"/>
                    </w:rPr>
                  </w:pPr>
                  <w:r w:rsidRPr="006E3B9B">
                    <w:rPr>
                      <w:rFonts w:cs="Arial"/>
                      <w:color w:val="000000"/>
                      <w:sz w:val="16"/>
                      <w:szCs w:val="16"/>
                    </w:rPr>
                    <w:t>Koks a rafinované ropné produkty</w:t>
                  </w:r>
                </w:p>
              </w:tc>
              <w:tc>
                <w:tcPr>
                  <w:tcW w:w="700" w:type="dxa"/>
                  <w:tcBorders>
                    <w:top w:val="nil"/>
                    <w:left w:val="nil"/>
                    <w:bottom w:val="nil"/>
                    <w:right w:val="nil"/>
                  </w:tcBorders>
                  <w:noWrap/>
                  <w:vAlign w:val="bottom"/>
                  <w:hideMark/>
                </w:tcPr>
                <w:p w14:paraId="470BC333" w14:textId="77777777" w:rsidR="00605D96" w:rsidRPr="006E3B9B" w:rsidRDefault="00605D96" w:rsidP="008B207B">
                  <w:pPr>
                    <w:spacing w:after="0" w:line="240" w:lineRule="auto"/>
                    <w:jc w:val="right"/>
                    <w:rPr>
                      <w:rFonts w:cs="Arial"/>
                      <w:color w:val="000000"/>
                      <w:sz w:val="16"/>
                      <w:szCs w:val="16"/>
                    </w:rPr>
                  </w:pPr>
                  <w:r w:rsidRPr="006E3B9B">
                    <w:rPr>
                      <w:rFonts w:cs="Arial"/>
                      <w:color w:val="000000"/>
                      <w:sz w:val="16"/>
                      <w:szCs w:val="16"/>
                    </w:rPr>
                    <w:t>+1,9</w:t>
                  </w:r>
                </w:p>
              </w:tc>
            </w:tr>
            <w:tr w:rsidR="00605D96" w:rsidRPr="006E3B9B" w14:paraId="0472459D" w14:textId="77777777" w:rsidTr="008B207B">
              <w:trPr>
                <w:trHeight w:val="255"/>
              </w:trPr>
              <w:tc>
                <w:tcPr>
                  <w:tcW w:w="4126" w:type="dxa"/>
                  <w:tcBorders>
                    <w:top w:val="nil"/>
                    <w:left w:val="nil"/>
                    <w:bottom w:val="nil"/>
                    <w:right w:val="nil"/>
                  </w:tcBorders>
                  <w:noWrap/>
                  <w:vAlign w:val="bottom"/>
                  <w:hideMark/>
                </w:tcPr>
                <w:p w14:paraId="722B9508" w14:textId="77777777" w:rsidR="00605D96" w:rsidRPr="006E3B9B" w:rsidRDefault="00605D96" w:rsidP="008B207B">
                  <w:pPr>
                    <w:spacing w:after="0" w:line="240" w:lineRule="auto"/>
                    <w:jc w:val="left"/>
                    <w:rPr>
                      <w:rFonts w:cs="Arial"/>
                      <w:color w:val="000000"/>
                      <w:sz w:val="16"/>
                      <w:szCs w:val="16"/>
                    </w:rPr>
                  </w:pPr>
                  <w:r w:rsidRPr="006E3B9B">
                    <w:rPr>
                      <w:rFonts w:cs="Arial"/>
                      <w:color w:val="000000"/>
                      <w:sz w:val="16"/>
                      <w:szCs w:val="16"/>
                    </w:rPr>
                    <w:t xml:space="preserve">Počítače, elektron. a </w:t>
                  </w:r>
                  <w:proofErr w:type="spellStart"/>
                  <w:r w:rsidRPr="006E3B9B">
                    <w:rPr>
                      <w:rFonts w:cs="Arial"/>
                      <w:color w:val="000000"/>
                      <w:sz w:val="16"/>
                      <w:szCs w:val="16"/>
                    </w:rPr>
                    <w:t>opt</w:t>
                  </w:r>
                  <w:proofErr w:type="spellEnd"/>
                  <w:r w:rsidRPr="006E3B9B">
                    <w:rPr>
                      <w:rFonts w:cs="Arial"/>
                      <w:color w:val="000000"/>
                      <w:sz w:val="16"/>
                      <w:szCs w:val="16"/>
                    </w:rPr>
                    <w:t>. přístroje a zařízení</w:t>
                  </w:r>
                </w:p>
              </w:tc>
              <w:tc>
                <w:tcPr>
                  <w:tcW w:w="700" w:type="dxa"/>
                  <w:tcBorders>
                    <w:top w:val="nil"/>
                    <w:left w:val="nil"/>
                    <w:bottom w:val="nil"/>
                    <w:right w:val="nil"/>
                  </w:tcBorders>
                  <w:noWrap/>
                  <w:vAlign w:val="bottom"/>
                  <w:hideMark/>
                </w:tcPr>
                <w:p w14:paraId="0D0142F4" w14:textId="77777777" w:rsidR="00605D96" w:rsidRPr="006E3B9B" w:rsidRDefault="00605D96" w:rsidP="008B207B">
                  <w:pPr>
                    <w:spacing w:after="0" w:line="240" w:lineRule="auto"/>
                    <w:jc w:val="right"/>
                    <w:rPr>
                      <w:rFonts w:cs="Arial"/>
                      <w:color w:val="000000"/>
                      <w:sz w:val="16"/>
                      <w:szCs w:val="16"/>
                    </w:rPr>
                  </w:pPr>
                  <w:r w:rsidRPr="006E3B9B">
                    <w:rPr>
                      <w:rFonts w:cs="Arial"/>
                      <w:color w:val="000000"/>
                      <w:sz w:val="16"/>
                      <w:szCs w:val="16"/>
                    </w:rPr>
                    <w:t>+1,8</w:t>
                  </w:r>
                </w:p>
              </w:tc>
            </w:tr>
            <w:tr w:rsidR="00605D96" w:rsidRPr="006E3B9B" w14:paraId="11793677" w14:textId="77777777" w:rsidTr="008B207B">
              <w:trPr>
                <w:trHeight w:val="255"/>
              </w:trPr>
              <w:tc>
                <w:tcPr>
                  <w:tcW w:w="4126" w:type="dxa"/>
                  <w:tcBorders>
                    <w:top w:val="nil"/>
                    <w:left w:val="nil"/>
                    <w:bottom w:val="nil"/>
                    <w:right w:val="nil"/>
                  </w:tcBorders>
                  <w:noWrap/>
                  <w:vAlign w:val="bottom"/>
                  <w:hideMark/>
                </w:tcPr>
                <w:p w14:paraId="2EE549A4" w14:textId="77777777" w:rsidR="00605D96" w:rsidRPr="006E3B9B" w:rsidRDefault="00605D96" w:rsidP="008B207B">
                  <w:pPr>
                    <w:spacing w:after="0" w:line="240" w:lineRule="auto"/>
                    <w:jc w:val="left"/>
                    <w:rPr>
                      <w:rFonts w:cs="Arial"/>
                      <w:color w:val="000000"/>
                      <w:sz w:val="16"/>
                      <w:szCs w:val="16"/>
                    </w:rPr>
                  </w:pPr>
                  <w:r w:rsidRPr="006E3B9B">
                    <w:rPr>
                      <w:rFonts w:cs="Arial"/>
                      <w:color w:val="000000"/>
                      <w:sz w:val="16"/>
                      <w:szCs w:val="16"/>
                    </w:rPr>
                    <w:t>Pryžové a plastové výrobky</w:t>
                  </w:r>
                </w:p>
              </w:tc>
              <w:tc>
                <w:tcPr>
                  <w:tcW w:w="700" w:type="dxa"/>
                  <w:tcBorders>
                    <w:top w:val="nil"/>
                    <w:left w:val="nil"/>
                    <w:bottom w:val="nil"/>
                    <w:right w:val="nil"/>
                  </w:tcBorders>
                  <w:noWrap/>
                  <w:vAlign w:val="bottom"/>
                  <w:hideMark/>
                </w:tcPr>
                <w:p w14:paraId="2D46D57F" w14:textId="77777777" w:rsidR="00605D96" w:rsidRPr="006E3B9B" w:rsidRDefault="00605D96" w:rsidP="008B207B">
                  <w:pPr>
                    <w:spacing w:after="0" w:line="240" w:lineRule="auto"/>
                    <w:jc w:val="right"/>
                    <w:rPr>
                      <w:rFonts w:cs="Arial"/>
                      <w:color w:val="000000"/>
                      <w:sz w:val="16"/>
                      <w:szCs w:val="16"/>
                    </w:rPr>
                  </w:pPr>
                  <w:r w:rsidRPr="006E3B9B">
                    <w:rPr>
                      <w:rFonts w:cs="Arial"/>
                      <w:color w:val="000000"/>
                      <w:sz w:val="16"/>
                      <w:szCs w:val="16"/>
                    </w:rPr>
                    <w:t>+1,5</w:t>
                  </w:r>
                </w:p>
              </w:tc>
            </w:tr>
            <w:tr w:rsidR="00605D96" w:rsidRPr="006E3B9B" w14:paraId="2F2488C6" w14:textId="77777777" w:rsidTr="008B207B">
              <w:trPr>
                <w:trHeight w:val="255"/>
              </w:trPr>
              <w:tc>
                <w:tcPr>
                  <w:tcW w:w="4126" w:type="dxa"/>
                  <w:tcBorders>
                    <w:top w:val="nil"/>
                    <w:left w:val="nil"/>
                    <w:bottom w:val="nil"/>
                    <w:right w:val="nil"/>
                  </w:tcBorders>
                  <w:noWrap/>
                  <w:vAlign w:val="bottom"/>
                  <w:hideMark/>
                </w:tcPr>
                <w:p w14:paraId="722B3816" w14:textId="77777777" w:rsidR="00605D96" w:rsidRPr="006E3B9B" w:rsidRDefault="00605D96" w:rsidP="008B207B">
                  <w:pPr>
                    <w:spacing w:after="0" w:line="240" w:lineRule="auto"/>
                    <w:jc w:val="left"/>
                    <w:rPr>
                      <w:rFonts w:cs="Arial"/>
                      <w:color w:val="000000"/>
                      <w:sz w:val="16"/>
                      <w:szCs w:val="16"/>
                    </w:rPr>
                  </w:pPr>
                  <w:r w:rsidRPr="006E3B9B">
                    <w:rPr>
                      <w:rFonts w:cs="Arial"/>
                      <w:color w:val="000000"/>
                      <w:sz w:val="16"/>
                      <w:szCs w:val="16"/>
                    </w:rPr>
                    <w:t>Základní kovy</w:t>
                  </w:r>
                </w:p>
              </w:tc>
              <w:tc>
                <w:tcPr>
                  <w:tcW w:w="700" w:type="dxa"/>
                  <w:tcBorders>
                    <w:top w:val="nil"/>
                    <w:left w:val="nil"/>
                    <w:bottom w:val="nil"/>
                    <w:right w:val="nil"/>
                  </w:tcBorders>
                  <w:noWrap/>
                  <w:vAlign w:val="bottom"/>
                  <w:hideMark/>
                </w:tcPr>
                <w:p w14:paraId="7F13A16B" w14:textId="77777777" w:rsidR="00605D96" w:rsidRPr="006E3B9B" w:rsidRDefault="00605D96" w:rsidP="008B207B">
                  <w:pPr>
                    <w:spacing w:after="0" w:line="240" w:lineRule="auto"/>
                    <w:jc w:val="right"/>
                    <w:rPr>
                      <w:rFonts w:cs="Arial"/>
                      <w:color w:val="000000"/>
                      <w:sz w:val="16"/>
                      <w:szCs w:val="16"/>
                    </w:rPr>
                  </w:pPr>
                  <w:r w:rsidRPr="006E3B9B">
                    <w:rPr>
                      <w:rFonts w:cs="Arial"/>
                      <w:color w:val="000000"/>
                      <w:sz w:val="16"/>
                      <w:szCs w:val="16"/>
                    </w:rPr>
                    <w:t>+1,3</w:t>
                  </w:r>
                </w:p>
              </w:tc>
            </w:tr>
            <w:tr w:rsidR="00605D96" w:rsidRPr="006E3B9B" w14:paraId="154D632A" w14:textId="77777777" w:rsidTr="008B207B">
              <w:trPr>
                <w:trHeight w:val="255"/>
              </w:trPr>
              <w:tc>
                <w:tcPr>
                  <w:tcW w:w="4126" w:type="dxa"/>
                  <w:tcBorders>
                    <w:top w:val="nil"/>
                    <w:left w:val="nil"/>
                    <w:bottom w:val="nil"/>
                    <w:right w:val="nil"/>
                  </w:tcBorders>
                  <w:noWrap/>
                  <w:vAlign w:val="bottom"/>
                  <w:hideMark/>
                </w:tcPr>
                <w:p w14:paraId="279FD3FF" w14:textId="77777777" w:rsidR="00605D96" w:rsidRPr="006E3B9B" w:rsidRDefault="00605D96" w:rsidP="008B207B">
                  <w:pPr>
                    <w:spacing w:after="0" w:line="240" w:lineRule="auto"/>
                    <w:jc w:val="left"/>
                    <w:rPr>
                      <w:rFonts w:cs="Arial"/>
                      <w:color w:val="000000"/>
                      <w:sz w:val="16"/>
                      <w:szCs w:val="16"/>
                    </w:rPr>
                  </w:pPr>
                  <w:r w:rsidRPr="006E3B9B">
                    <w:rPr>
                      <w:rFonts w:cs="Arial"/>
                      <w:color w:val="000000"/>
                      <w:sz w:val="16"/>
                      <w:szCs w:val="16"/>
                    </w:rPr>
                    <w:t>Produkty zemědělství a myslivosti</w:t>
                  </w:r>
                </w:p>
              </w:tc>
              <w:tc>
                <w:tcPr>
                  <w:tcW w:w="700" w:type="dxa"/>
                  <w:tcBorders>
                    <w:top w:val="nil"/>
                    <w:left w:val="nil"/>
                    <w:bottom w:val="nil"/>
                    <w:right w:val="nil"/>
                  </w:tcBorders>
                  <w:noWrap/>
                  <w:vAlign w:val="bottom"/>
                  <w:hideMark/>
                </w:tcPr>
                <w:p w14:paraId="39949CBA" w14:textId="77777777" w:rsidR="00605D96" w:rsidRPr="006E3B9B" w:rsidRDefault="00605D96" w:rsidP="008B207B">
                  <w:pPr>
                    <w:spacing w:after="0" w:line="240" w:lineRule="auto"/>
                    <w:jc w:val="right"/>
                    <w:rPr>
                      <w:rFonts w:cs="Arial"/>
                      <w:color w:val="000000"/>
                      <w:sz w:val="16"/>
                      <w:szCs w:val="16"/>
                    </w:rPr>
                  </w:pPr>
                  <w:r w:rsidRPr="006E3B9B">
                    <w:rPr>
                      <w:rFonts w:cs="Arial"/>
                      <w:color w:val="000000"/>
                      <w:sz w:val="16"/>
                      <w:szCs w:val="16"/>
                    </w:rPr>
                    <w:t>+1,1</w:t>
                  </w:r>
                </w:p>
              </w:tc>
            </w:tr>
            <w:tr w:rsidR="00605D96" w:rsidRPr="006E3B9B" w14:paraId="5683D891" w14:textId="77777777" w:rsidTr="008B207B">
              <w:trPr>
                <w:trHeight w:val="255"/>
              </w:trPr>
              <w:tc>
                <w:tcPr>
                  <w:tcW w:w="4126" w:type="dxa"/>
                  <w:tcBorders>
                    <w:top w:val="nil"/>
                    <w:left w:val="nil"/>
                    <w:bottom w:val="nil"/>
                    <w:right w:val="nil"/>
                  </w:tcBorders>
                  <w:noWrap/>
                  <w:vAlign w:val="bottom"/>
                  <w:hideMark/>
                </w:tcPr>
                <w:p w14:paraId="54E202B2" w14:textId="77777777" w:rsidR="00605D96" w:rsidRPr="006E3B9B" w:rsidRDefault="00605D96" w:rsidP="008B207B">
                  <w:pPr>
                    <w:spacing w:after="0" w:line="240" w:lineRule="auto"/>
                    <w:jc w:val="left"/>
                    <w:rPr>
                      <w:rFonts w:cs="Arial"/>
                      <w:color w:val="000000"/>
                      <w:sz w:val="16"/>
                      <w:szCs w:val="16"/>
                    </w:rPr>
                  </w:pPr>
                  <w:r w:rsidRPr="006E3B9B">
                    <w:rPr>
                      <w:rFonts w:cs="Arial"/>
                      <w:color w:val="000000"/>
                      <w:sz w:val="16"/>
                      <w:szCs w:val="16"/>
                    </w:rPr>
                    <w:t>Ostatní výrobky zpracovatelského průmyslu</w:t>
                  </w:r>
                </w:p>
              </w:tc>
              <w:tc>
                <w:tcPr>
                  <w:tcW w:w="700" w:type="dxa"/>
                  <w:tcBorders>
                    <w:top w:val="nil"/>
                    <w:left w:val="nil"/>
                    <w:bottom w:val="nil"/>
                    <w:right w:val="nil"/>
                  </w:tcBorders>
                  <w:noWrap/>
                  <w:vAlign w:val="bottom"/>
                  <w:hideMark/>
                </w:tcPr>
                <w:p w14:paraId="7D8E4898" w14:textId="77777777" w:rsidR="00605D96" w:rsidRPr="006E3B9B" w:rsidRDefault="00605D96" w:rsidP="008B207B">
                  <w:pPr>
                    <w:spacing w:after="0" w:line="240" w:lineRule="auto"/>
                    <w:jc w:val="right"/>
                    <w:rPr>
                      <w:rFonts w:cs="Arial"/>
                      <w:color w:val="000000"/>
                      <w:sz w:val="16"/>
                      <w:szCs w:val="16"/>
                    </w:rPr>
                  </w:pPr>
                  <w:r>
                    <w:rPr>
                      <w:rFonts w:cs="Arial"/>
                      <w:color w:val="000000"/>
                      <w:sz w:val="16"/>
                      <w:szCs w:val="16"/>
                    </w:rPr>
                    <w:t>−</w:t>
                  </w:r>
                  <w:r w:rsidRPr="006E3B9B">
                    <w:rPr>
                      <w:rFonts w:cs="Arial"/>
                      <w:color w:val="000000"/>
                      <w:sz w:val="16"/>
                      <w:szCs w:val="16"/>
                    </w:rPr>
                    <w:t>0,9</w:t>
                  </w:r>
                </w:p>
              </w:tc>
            </w:tr>
            <w:tr w:rsidR="00605D96" w:rsidRPr="006E3B9B" w14:paraId="6E728EA5" w14:textId="77777777" w:rsidTr="008B207B">
              <w:trPr>
                <w:trHeight w:val="255"/>
              </w:trPr>
              <w:tc>
                <w:tcPr>
                  <w:tcW w:w="4126" w:type="dxa"/>
                  <w:tcBorders>
                    <w:top w:val="nil"/>
                    <w:left w:val="nil"/>
                    <w:bottom w:val="nil"/>
                    <w:right w:val="nil"/>
                  </w:tcBorders>
                  <w:noWrap/>
                  <w:vAlign w:val="bottom"/>
                  <w:hideMark/>
                </w:tcPr>
                <w:p w14:paraId="1B181B81" w14:textId="77777777" w:rsidR="00605D96" w:rsidRPr="006E3B9B" w:rsidRDefault="00605D96" w:rsidP="008B207B">
                  <w:pPr>
                    <w:spacing w:after="0" w:line="240" w:lineRule="auto"/>
                    <w:jc w:val="left"/>
                    <w:rPr>
                      <w:rFonts w:cs="Arial"/>
                      <w:color w:val="000000"/>
                      <w:sz w:val="16"/>
                      <w:szCs w:val="16"/>
                    </w:rPr>
                  </w:pPr>
                  <w:r w:rsidRPr="006E3B9B">
                    <w:rPr>
                      <w:rFonts w:cs="Arial"/>
                      <w:color w:val="000000"/>
                      <w:sz w:val="16"/>
                      <w:szCs w:val="16"/>
                    </w:rPr>
                    <w:t>Ostatní nekovové minerální výrobky</w:t>
                  </w:r>
                </w:p>
              </w:tc>
              <w:tc>
                <w:tcPr>
                  <w:tcW w:w="700" w:type="dxa"/>
                  <w:tcBorders>
                    <w:top w:val="nil"/>
                    <w:left w:val="nil"/>
                    <w:bottom w:val="nil"/>
                    <w:right w:val="nil"/>
                  </w:tcBorders>
                  <w:noWrap/>
                  <w:vAlign w:val="bottom"/>
                  <w:hideMark/>
                </w:tcPr>
                <w:p w14:paraId="06E3DBC3" w14:textId="77777777" w:rsidR="00605D96" w:rsidRPr="006E3B9B" w:rsidRDefault="00605D96" w:rsidP="008B207B">
                  <w:pPr>
                    <w:spacing w:after="0" w:line="240" w:lineRule="auto"/>
                    <w:jc w:val="right"/>
                    <w:rPr>
                      <w:rFonts w:cs="Arial"/>
                      <w:color w:val="000000"/>
                      <w:sz w:val="16"/>
                      <w:szCs w:val="16"/>
                    </w:rPr>
                  </w:pPr>
                  <w:r>
                    <w:rPr>
                      <w:rFonts w:cs="Arial"/>
                      <w:color w:val="000000"/>
                      <w:sz w:val="16"/>
                      <w:szCs w:val="16"/>
                    </w:rPr>
                    <w:t>−</w:t>
                  </w:r>
                  <w:r w:rsidRPr="006E3B9B">
                    <w:rPr>
                      <w:rFonts w:cs="Arial"/>
                      <w:color w:val="000000"/>
                      <w:sz w:val="16"/>
                      <w:szCs w:val="16"/>
                    </w:rPr>
                    <w:t>1,6</w:t>
                  </w:r>
                </w:p>
              </w:tc>
            </w:tr>
            <w:tr w:rsidR="00605D96" w:rsidRPr="006E3B9B" w14:paraId="316CC07F" w14:textId="77777777" w:rsidTr="008B207B">
              <w:trPr>
                <w:trHeight w:val="255"/>
              </w:trPr>
              <w:tc>
                <w:tcPr>
                  <w:tcW w:w="4126" w:type="dxa"/>
                  <w:tcBorders>
                    <w:top w:val="nil"/>
                    <w:left w:val="nil"/>
                    <w:bottom w:val="nil"/>
                    <w:right w:val="nil"/>
                  </w:tcBorders>
                  <w:noWrap/>
                  <w:vAlign w:val="bottom"/>
                  <w:hideMark/>
                </w:tcPr>
                <w:p w14:paraId="3BD742BB" w14:textId="77777777" w:rsidR="00605D96" w:rsidRPr="006E3B9B" w:rsidRDefault="00605D96" w:rsidP="008B207B">
                  <w:pPr>
                    <w:spacing w:after="0" w:line="240" w:lineRule="auto"/>
                    <w:jc w:val="left"/>
                    <w:rPr>
                      <w:rFonts w:cs="Arial"/>
                      <w:color w:val="000000"/>
                      <w:sz w:val="16"/>
                      <w:szCs w:val="16"/>
                    </w:rPr>
                  </w:pPr>
                  <w:r w:rsidRPr="006E3B9B">
                    <w:rPr>
                      <w:rFonts w:cs="Arial"/>
                      <w:color w:val="000000"/>
                      <w:sz w:val="16"/>
                      <w:szCs w:val="16"/>
                    </w:rPr>
                    <w:t>Ostatní dopravní prostředky a zařízení</w:t>
                  </w:r>
                </w:p>
              </w:tc>
              <w:tc>
                <w:tcPr>
                  <w:tcW w:w="700" w:type="dxa"/>
                  <w:tcBorders>
                    <w:top w:val="nil"/>
                    <w:left w:val="nil"/>
                    <w:bottom w:val="nil"/>
                    <w:right w:val="nil"/>
                  </w:tcBorders>
                  <w:noWrap/>
                  <w:vAlign w:val="bottom"/>
                  <w:hideMark/>
                </w:tcPr>
                <w:p w14:paraId="4C27E443" w14:textId="77777777" w:rsidR="00605D96" w:rsidRPr="006E3B9B" w:rsidRDefault="00605D96" w:rsidP="008B207B">
                  <w:pPr>
                    <w:spacing w:after="0" w:line="240" w:lineRule="auto"/>
                    <w:jc w:val="right"/>
                    <w:rPr>
                      <w:rFonts w:cs="Arial"/>
                      <w:color w:val="000000"/>
                      <w:sz w:val="16"/>
                      <w:szCs w:val="16"/>
                    </w:rPr>
                  </w:pPr>
                  <w:r>
                    <w:rPr>
                      <w:rFonts w:cs="Arial"/>
                      <w:color w:val="000000"/>
                      <w:sz w:val="16"/>
                      <w:szCs w:val="16"/>
                    </w:rPr>
                    <w:t>−</w:t>
                  </w:r>
                  <w:r w:rsidRPr="006E3B9B">
                    <w:rPr>
                      <w:rFonts w:cs="Arial"/>
                      <w:color w:val="000000"/>
                      <w:sz w:val="16"/>
                      <w:szCs w:val="16"/>
                    </w:rPr>
                    <w:t>2,2</w:t>
                  </w:r>
                </w:p>
              </w:tc>
            </w:tr>
            <w:tr w:rsidR="00605D96" w:rsidRPr="006E3B9B" w14:paraId="21318B02" w14:textId="77777777" w:rsidTr="008B207B">
              <w:trPr>
                <w:trHeight w:val="255"/>
              </w:trPr>
              <w:tc>
                <w:tcPr>
                  <w:tcW w:w="4126" w:type="dxa"/>
                  <w:tcBorders>
                    <w:top w:val="nil"/>
                    <w:left w:val="nil"/>
                    <w:bottom w:val="nil"/>
                    <w:right w:val="nil"/>
                  </w:tcBorders>
                  <w:noWrap/>
                  <w:vAlign w:val="bottom"/>
                  <w:hideMark/>
                </w:tcPr>
                <w:p w14:paraId="3421A007" w14:textId="77777777" w:rsidR="00605D96" w:rsidRPr="006E3B9B" w:rsidRDefault="00605D96" w:rsidP="008B207B">
                  <w:pPr>
                    <w:spacing w:after="0" w:line="240" w:lineRule="auto"/>
                    <w:jc w:val="left"/>
                    <w:rPr>
                      <w:rFonts w:cs="Arial"/>
                      <w:color w:val="000000"/>
                      <w:sz w:val="16"/>
                      <w:szCs w:val="16"/>
                    </w:rPr>
                  </w:pPr>
                  <w:r w:rsidRPr="006E3B9B">
                    <w:rPr>
                      <w:rFonts w:cs="Arial"/>
                      <w:color w:val="000000"/>
                      <w:sz w:val="16"/>
                      <w:szCs w:val="16"/>
                    </w:rPr>
                    <w:t>Chemické látky a přípravky</w:t>
                  </w:r>
                </w:p>
              </w:tc>
              <w:tc>
                <w:tcPr>
                  <w:tcW w:w="700" w:type="dxa"/>
                  <w:tcBorders>
                    <w:top w:val="nil"/>
                    <w:left w:val="nil"/>
                    <w:bottom w:val="nil"/>
                    <w:right w:val="nil"/>
                  </w:tcBorders>
                  <w:noWrap/>
                  <w:vAlign w:val="bottom"/>
                  <w:hideMark/>
                </w:tcPr>
                <w:p w14:paraId="090508DC" w14:textId="77777777" w:rsidR="00605D96" w:rsidRPr="006E3B9B" w:rsidRDefault="00605D96" w:rsidP="008B207B">
                  <w:pPr>
                    <w:spacing w:after="0" w:line="240" w:lineRule="auto"/>
                    <w:jc w:val="right"/>
                    <w:rPr>
                      <w:rFonts w:cs="Arial"/>
                      <w:color w:val="000000"/>
                      <w:sz w:val="16"/>
                      <w:szCs w:val="16"/>
                    </w:rPr>
                  </w:pPr>
                  <w:r>
                    <w:rPr>
                      <w:rFonts w:cs="Arial"/>
                      <w:color w:val="000000"/>
                      <w:sz w:val="16"/>
                      <w:szCs w:val="16"/>
                    </w:rPr>
                    <w:t>−</w:t>
                  </w:r>
                  <w:r w:rsidRPr="006E3B9B">
                    <w:rPr>
                      <w:rFonts w:cs="Arial"/>
                      <w:color w:val="000000"/>
                      <w:sz w:val="16"/>
                      <w:szCs w:val="16"/>
                    </w:rPr>
                    <w:t>2,2</w:t>
                  </w:r>
                </w:p>
              </w:tc>
            </w:tr>
            <w:tr w:rsidR="00605D96" w:rsidRPr="006E3B9B" w14:paraId="0AFBB5E3" w14:textId="77777777" w:rsidTr="008B207B">
              <w:trPr>
                <w:trHeight w:val="255"/>
              </w:trPr>
              <w:tc>
                <w:tcPr>
                  <w:tcW w:w="4126" w:type="dxa"/>
                  <w:tcBorders>
                    <w:top w:val="nil"/>
                    <w:left w:val="nil"/>
                    <w:bottom w:val="nil"/>
                    <w:right w:val="nil"/>
                  </w:tcBorders>
                  <w:noWrap/>
                  <w:vAlign w:val="bottom"/>
                  <w:hideMark/>
                </w:tcPr>
                <w:p w14:paraId="04AE9037" w14:textId="77777777" w:rsidR="00605D96" w:rsidRPr="006E3B9B" w:rsidRDefault="00605D96" w:rsidP="008B207B">
                  <w:pPr>
                    <w:spacing w:after="0" w:line="240" w:lineRule="auto"/>
                    <w:jc w:val="left"/>
                    <w:rPr>
                      <w:rFonts w:cs="Arial"/>
                      <w:color w:val="000000"/>
                      <w:sz w:val="16"/>
                      <w:szCs w:val="16"/>
                    </w:rPr>
                  </w:pPr>
                  <w:r w:rsidRPr="006E3B9B">
                    <w:rPr>
                      <w:rFonts w:cs="Arial"/>
                      <w:color w:val="000000"/>
                      <w:sz w:val="16"/>
                      <w:szCs w:val="16"/>
                    </w:rPr>
                    <w:t>Kovodělné výrobky kromě strojů a zařízení</w:t>
                  </w:r>
                </w:p>
              </w:tc>
              <w:tc>
                <w:tcPr>
                  <w:tcW w:w="700" w:type="dxa"/>
                  <w:tcBorders>
                    <w:top w:val="nil"/>
                    <w:left w:val="nil"/>
                    <w:bottom w:val="nil"/>
                    <w:right w:val="nil"/>
                  </w:tcBorders>
                  <w:noWrap/>
                  <w:vAlign w:val="bottom"/>
                  <w:hideMark/>
                </w:tcPr>
                <w:p w14:paraId="37DF4235" w14:textId="77777777" w:rsidR="00605D96" w:rsidRPr="006E3B9B" w:rsidRDefault="00605D96" w:rsidP="008B207B">
                  <w:pPr>
                    <w:spacing w:after="0" w:line="240" w:lineRule="auto"/>
                    <w:jc w:val="right"/>
                    <w:rPr>
                      <w:rFonts w:cs="Arial"/>
                      <w:color w:val="000000"/>
                      <w:sz w:val="16"/>
                      <w:szCs w:val="16"/>
                    </w:rPr>
                  </w:pPr>
                  <w:r>
                    <w:rPr>
                      <w:rFonts w:cs="Arial"/>
                      <w:color w:val="000000"/>
                      <w:sz w:val="16"/>
                      <w:szCs w:val="16"/>
                    </w:rPr>
                    <w:t>−</w:t>
                  </w:r>
                  <w:r w:rsidRPr="006E3B9B">
                    <w:rPr>
                      <w:rFonts w:cs="Arial"/>
                      <w:color w:val="000000"/>
                      <w:sz w:val="16"/>
                      <w:szCs w:val="16"/>
                    </w:rPr>
                    <w:t>2,7</w:t>
                  </w:r>
                </w:p>
              </w:tc>
            </w:tr>
            <w:tr w:rsidR="00605D96" w:rsidRPr="006E3B9B" w14:paraId="34573C0F" w14:textId="77777777" w:rsidTr="008B207B">
              <w:trPr>
                <w:trHeight w:val="255"/>
              </w:trPr>
              <w:tc>
                <w:tcPr>
                  <w:tcW w:w="4126" w:type="dxa"/>
                  <w:tcBorders>
                    <w:top w:val="nil"/>
                    <w:left w:val="nil"/>
                    <w:bottom w:val="nil"/>
                    <w:right w:val="nil"/>
                  </w:tcBorders>
                  <w:noWrap/>
                  <w:vAlign w:val="bottom"/>
                  <w:hideMark/>
                </w:tcPr>
                <w:p w14:paraId="757D75A4" w14:textId="77777777" w:rsidR="00605D96" w:rsidRPr="006E3B9B" w:rsidRDefault="00605D96" w:rsidP="008B207B">
                  <w:pPr>
                    <w:spacing w:after="0" w:line="240" w:lineRule="auto"/>
                    <w:jc w:val="left"/>
                    <w:rPr>
                      <w:rFonts w:cs="Arial"/>
                      <w:color w:val="000000"/>
                      <w:sz w:val="16"/>
                      <w:szCs w:val="16"/>
                    </w:rPr>
                  </w:pPr>
                  <w:r w:rsidRPr="006E3B9B">
                    <w:rPr>
                      <w:rFonts w:cs="Arial"/>
                      <w:color w:val="000000"/>
                      <w:sz w:val="16"/>
                      <w:szCs w:val="16"/>
                    </w:rPr>
                    <w:t>Elektřina, plyn, pára a klimatizovaný vzduch</w:t>
                  </w:r>
                </w:p>
              </w:tc>
              <w:tc>
                <w:tcPr>
                  <w:tcW w:w="700" w:type="dxa"/>
                  <w:tcBorders>
                    <w:top w:val="nil"/>
                    <w:left w:val="nil"/>
                    <w:bottom w:val="nil"/>
                    <w:right w:val="nil"/>
                  </w:tcBorders>
                  <w:noWrap/>
                  <w:vAlign w:val="bottom"/>
                  <w:hideMark/>
                </w:tcPr>
                <w:p w14:paraId="69170CE9" w14:textId="77777777" w:rsidR="00605D96" w:rsidRPr="006E3B9B" w:rsidRDefault="00605D96" w:rsidP="008B207B">
                  <w:pPr>
                    <w:spacing w:after="0" w:line="240" w:lineRule="auto"/>
                    <w:jc w:val="right"/>
                    <w:rPr>
                      <w:rFonts w:cs="Arial"/>
                      <w:color w:val="000000"/>
                      <w:sz w:val="16"/>
                      <w:szCs w:val="16"/>
                    </w:rPr>
                  </w:pPr>
                  <w:r>
                    <w:rPr>
                      <w:rFonts w:cs="Arial"/>
                      <w:color w:val="000000"/>
                      <w:sz w:val="16"/>
                      <w:szCs w:val="16"/>
                    </w:rPr>
                    <w:t>−</w:t>
                  </w:r>
                  <w:r w:rsidRPr="006E3B9B">
                    <w:rPr>
                      <w:rFonts w:cs="Arial"/>
                      <w:color w:val="000000"/>
                      <w:sz w:val="16"/>
                      <w:szCs w:val="16"/>
                    </w:rPr>
                    <w:t>4,4</w:t>
                  </w:r>
                </w:p>
              </w:tc>
            </w:tr>
            <w:tr w:rsidR="00605D96" w:rsidRPr="006E3B9B" w14:paraId="412908A4" w14:textId="77777777" w:rsidTr="008B207B">
              <w:trPr>
                <w:trHeight w:val="255"/>
              </w:trPr>
              <w:tc>
                <w:tcPr>
                  <w:tcW w:w="4126" w:type="dxa"/>
                  <w:tcBorders>
                    <w:top w:val="nil"/>
                    <w:left w:val="nil"/>
                    <w:bottom w:val="nil"/>
                    <w:right w:val="nil"/>
                  </w:tcBorders>
                  <w:noWrap/>
                  <w:vAlign w:val="bottom"/>
                  <w:hideMark/>
                </w:tcPr>
                <w:p w14:paraId="11A7D721" w14:textId="77777777" w:rsidR="00605D96" w:rsidRPr="006E3B9B" w:rsidRDefault="00605D96" w:rsidP="008B207B">
                  <w:pPr>
                    <w:spacing w:after="0" w:line="240" w:lineRule="auto"/>
                    <w:jc w:val="left"/>
                    <w:rPr>
                      <w:rFonts w:cs="Arial"/>
                      <w:color w:val="000000"/>
                      <w:sz w:val="16"/>
                      <w:szCs w:val="16"/>
                    </w:rPr>
                  </w:pPr>
                  <w:r w:rsidRPr="006E3B9B">
                    <w:rPr>
                      <w:rFonts w:cs="Arial"/>
                      <w:color w:val="000000"/>
                      <w:sz w:val="16"/>
                      <w:szCs w:val="16"/>
                    </w:rPr>
                    <w:t>Elektrická zařízení</w:t>
                  </w:r>
                </w:p>
              </w:tc>
              <w:tc>
                <w:tcPr>
                  <w:tcW w:w="700" w:type="dxa"/>
                  <w:tcBorders>
                    <w:top w:val="nil"/>
                    <w:left w:val="nil"/>
                    <w:bottom w:val="nil"/>
                    <w:right w:val="nil"/>
                  </w:tcBorders>
                  <w:noWrap/>
                  <w:vAlign w:val="bottom"/>
                  <w:hideMark/>
                </w:tcPr>
                <w:p w14:paraId="6EF4D1FF" w14:textId="77777777" w:rsidR="00605D96" w:rsidRPr="006E3B9B" w:rsidRDefault="00605D96" w:rsidP="008B207B">
                  <w:pPr>
                    <w:spacing w:after="0" w:line="240" w:lineRule="auto"/>
                    <w:jc w:val="right"/>
                    <w:rPr>
                      <w:rFonts w:cs="Arial"/>
                      <w:color w:val="000000"/>
                      <w:sz w:val="16"/>
                      <w:szCs w:val="16"/>
                    </w:rPr>
                  </w:pPr>
                  <w:r>
                    <w:rPr>
                      <w:rFonts w:cs="Arial"/>
                      <w:color w:val="000000"/>
                      <w:sz w:val="16"/>
                      <w:szCs w:val="16"/>
                    </w:rPr>
                    <w:t>−</w:t>
                  </w:r>
                  <w:r w:rsidRPr="006E3B9B">
                    <w:rPr>
                      <w:rFonts w:cs="Arial"/>
                      <w:color w:val="000000"/>
                      <w:sz w:val="16"/>
                      <w:szCs w:val="16"/>
                    </w:rPr>
                    <w:t>4,7</w:t>
                  </w:r>
                </w:p>
              </w:tc>
            </w:tr>
          </w:tbl>
          <w:p w14:paraId="5E3D4FB9" w14:textId="77777777" w:rsidR="00605D96" w:rsidRPr="0010385A" w:rsidRDefault="00605D96" w:rsidP="008B207B">
            <w:pPr>
              <w:spacing w:after="0"/>
              <w:rPr>
                <w:rFonts w:cs="Arial"/>
                <w:spacing w:val="-4"/>
                <w:sz w:val="16"/>
                <w:szCs w:val="16"/>
                <w:lang w:eastAsia="en-US"/>
              </w:rPr>
            </w:pPr>
          </w:p>
        </w:tc>
        <w:tc>
          <w:tcPr>
            <w:tcW w:w="57" w:type="dxa"/>
          </w:tcPr>
          <w:p w14:paraId="7128455E" w14:textId="77777777" w:rsidR="00605D96" w:rsidRPr="0010385A" w:rsidRDefault="00605D96" w:rsidP="008B207B">
            <w:pPr>
              <w:spacing w:after="0"/>
              <w:rPr>
                <w:rFonts w:cs="Arial"/>
                <w:spacing w:val="-4"/>
                <w:sz w:val="16"/>
                <w:szCs w:val="16"/>
                <w:lang w:eastAsia="en-US"/>
              </w:rPr>
            </w:pPr>
          </w:p>
        </w:tc>
        <w:tc>
          <w:tcPr>
            <w:tcW w:w="4809" w:type="dxa"/>
            <w:hideMark/>
          </w:tcPr>
          <w:tbl>
            <w:tblPr>
              <w:tblW w:w="4771" w:type="dxa"/>
              <w:tblLayout w:type="fixed"/>
              <w:tblCellMar>
                <w:left w:w="70" w:type="dxa"/>
                <w:right w:w="70" w:type="dxa"/>
              </w:tblCellMar>
              <w:tblLook w:val="04A0" w:firstRow="1" w:lastRow="0" w:firstColumn="1" w:lastColumn="0" w:noHBand="0" w:noVBand="1"/>
            </w:tblPr>
            <w:tblGrid>
              <w:gridCol w:w="4071"/>
              <w:gridCol w:w="700"/>
            </w:tblGrid>
            <w:tr w:rsidR="00605D96" w:rsidRPr="006E3B9B" w14:paraId="30E807E2" w14:textId="77777777" w:rsidTr="008B207B">
              <w:trPr>
                <w:trHeight w:val="255"/>
              </w:trPr>
              <w:tc>
                <w:tcPr>
                  <w:tcW w:w="4071" w:type="dxa"/>
                  <w:tcBorders>
                    <w:top w:val="nil"/>
                    <w:left w:val="nil"/>
                    <w:bottom w:val="single" w:sz="4" w:space="0" w:color="auto"/>
                    <w:right w:val="nil"/>
                  </w:tcBorders>
                  <w:noWrap/>
                  <w:vAlign w:val="bottom"/>
                  <w:hideMark/>
                </w:tcPr>
                <w:p w14:paraId="30FA2D32" w14:textId="77777777" w:rsidR="00605D96" w:rsidRPr="006E3B9B" w:rsidRDefault="00605D96" w:rsidP="008B207B">
                  <w:pPr>
                    <w:spacing w:after="0" w:line="240" w:lineRule="auto"/>
                    <w:jc w:val="left"/>
                    <w:rPr>
                      <w:rFonts w:cs="Arial"/>
                      <w:color w:val="000000"/>
                      <w:sz w:val="22"/>
                      <w:szCs w:val="22"/>
                    </w:rPr>
                  </w:pPr>
                  <w:r w:rsidRPr="006E3B9B">
                    <w:rPr>
                      <w:rFonts w:cs="Arial"/>
                      <w:color w:val="000000"/>
                      <w:sz w:val="22"/>
                      <w:szCs w:val="22"/>
                    </w:rPr>
                    <w:t> </w:t>
                  </w:r>
                </w:p>
              </w:tc>
              <w:tc>
                <w:tcPr>
                  <w:tcW w:w="700" w:type="dxa"/>
                  <w:tcBorders>
                    <w:top w:val="nil"/>
                    <w:left w:val="nil"/>
                    <w:bottom w:val="single" w:sz="4" w:space="0" w:color="auto"/>
                    <w:right w:val="nil"/>
                  </w:tcBorders>
                  <w:noWrap/>
                  <w:vAlign w:val="bottom"/>
                  <w:hideMark/>
                </w:tcPr>
                <w:p w14:paraId="08A4AF5C" w14:textId="77777777" w:rsidR="00605D96" w:rsidRPr="006E3B9B" w:rsidRDefault="00605D96" w:rsidP="008B207B">
                  <w:pPr>
                    <w:spacing w:after="0" w:line="240" w:lineRule="auto"/>
                    <w:jc w:val="right"/>
                    <w:rPr>
                      <w:rFonts w:cs="Arial"/>
                      <w:color w:val="000000"/>
                      <w:sz w:val="16"/>
                      <w:szCs w:val="16"/>
                    </w:rPr>
                  </w:pPr>
                  <w:r w:rsidRPr="006E3B9B">
                    <w:rPr>
                      <w:rFonts w:cs="Arial"/>
                      <w:color w:val="000000"/>
                      <w:sz w:val="16"/>
                      <w:szCs w:val="16"/>
                    </w:rPr>
                    <w:t>mld. Kč</w:t>
                  </w:r>
                </w:p>
              </w:tc>
            </w:tr>
            <w:tr w:rsidR="00605D96" w:rsidRPr="006E3B9B" w14:paraId="18CDB566" w14:textId="77777777" w:rsidTr="008B207B">
              <w:trPr>
                <w:trHeight w:val="255"/>
              </w:trPr>
              <w:tc>
                <w:tcPr>
                  <w:tcW w:w="4071" w:type="dxa"/>
                  <w:tcBorders>
                    <w:top w:val="nil"/>
                    <w:left w:val="nil"/>
                    <w:bottom w:val="nil"/>
                    <w:right w:val="nil"/>
                  </w:tcBorders>
                  <w:noWrap/>
                  <w:vAlign w:val="bottom"/>
                  <w:hideMark/>
                </w:tcPr>
                <w:p w14:paraId="50832A10" w14:textId="77777777" w:rsidR="00605D96" w:rsidRPr="006E3B9B" w:rsidRDefault="00605D96" w:rsidP="008B207B">
                  <w:pPr>
                    <w:spacing w:after="0" w:line="240" w:lineRule="auto"/>
                    <w:jc w:val="left"/>
                    <w:rPr>
                      <w:rFonts w:cs="Arial"/>
                      <w:color w:val="000000"/>
                      <w:sz w:val="16"/>
                      <w:szCs w:val="16"/>
                    </w:rPr>
                  </w:pPr>
                  <w:r w:rsidRPr="006E3B9B">
                    <w:rPr>
                      <w:rFonts w:cs="Arial"/>
                      <w:color w:val="000000"/>
                      <w:sz w:val="16"/>
                      <w:szCs w:val="16"/>
                    </w:rPr>
                    <w:t>Rusko</w:t>
                  </w:r>
                </w:p>
              </w:tc>
              <w:tc>
                <w:tcPr>
                  <w:tcW w:w="700" w:type="dxa"/>
                  <w:tcBorders>
                    <w:top w:val="nil"/>
                    <w:left w:val="nil"/>
                    <w:bottom w:val="nil"/>
                    <w:right w:val="nil"/>
                  </w:tcBorders>
                  <w:noWrap/>
                  <w:vAlign w:val="bottom"/>
                  <w:hideMark/>
                </w:tcPr>
                <w:p w14:paraId="52F19428" w14:textId="77777777" w:rsidR="00605D96" w:rsidRPr="006E3B9B" w:rsidRDefault="00605D96" w:rsidP="008B207B">
                  <w:pPr>
                    <w:spacing w:after="0" w:line="240" w:lineRule="auto"/>
                    <w:jc w:val="right"/>
                    <w:rPr>
                      <w:rFonts w:cs="Arial"/>
                      <w:color w:val="000000"/>
                      <w:sz w:val="16"/>
                      <w:szCs w:val="16"/>
                    </w:rPr>
                  </w:pPr>
                  <w:r w:rsidRPr="006E3B9B">
                    <w:rPr>
                      <w:rFonts w:cs="Arial"/>
                      <w:color w:val="000000"/>
                      <w:sz w:val="16"/>
                      <w:szCs w:val="16"/>
                    </w:rPr>
                    <w:t>+21,0</w:t>
                  </w:r>
                </w:p>
              </w:tc>
            </w:tr>
            <w:tr w:rsidR="00605D96" w:rsidRPr="006E3B9B" w14:paraId="1839252F" w14:textId="77777777" w:rsidTr="008B207B">
              <w:trPr>
                <w:trHeight w:val="255"/>
              </w:trPr>
              <w:tc>
                <w:tcPr>
                  <w:tcW w:w="4071" w:type="dxa"/>
                  <w:tcBorders>
                    <w:top w:val="nil"/>
                    <w:left w:val="nil"/>
                    <w:bottom w:val="nil"/>
                    <w:right w:val="nil"/>
                  </w:tcBorders>
                  <w:noWrap/>
                  <w:vAlign w:val="bottom"/>
                  <w:hideMark/>
                </w:tcPr>
                <w:p w14:paraId="26B4CEFE" w14:textId="77777777" w:rsidR="00605D96" w:rsidRPr="006E3B9B" w:rsidRDefault="00605D96" w:rsidP="008B207B">
                  <w:pPr>
                    <w:spacing w:after="0" w:line="240" w:lineRule="auto"/>
                    <w:jc w:val="left"/>
                    <w:rPr>
                      <w:rFonts w:cs="Arial"/>
                      <w:color w:val="000000"/>
                      <w:sz w:val="16"/>
                      <w:szCs w:val="16"/>
                    </w:rPr>
                  </w:pPr>
                  <w:r w:rsidRPr="006E3B9B">
                    <w:rPr>
                      <w:rFonts w:cs="Arial"/>
                      <w:color w:val="000000"/>
                      <w:sz w:val="16"/>
                      <w:szCs w:val="16"/>
                    </w:rPr>
                    <w:t>Slovensko</w:t>
                  </w:r>
                </w:p>
              </w:tc>
              <w:tc>
                <w:tcPr>
                  <w:tcW w:w="700" w:type="dxa"/>
                  <w:tcBorders>
                    <w:top w:val="nil"/>
                    <w:left w:val="nil"/>
                    <w:bottom w:val="nil"/>
                    <w:right w:val="nil"/>
                  </w:tcBorders>
                  <w:noWrap/>
                  <w:vAlign w:val="bottom"/>
                  <w:hideMark/>
                </w:tcPr>
                <w:p w14:paraId="01759DF3" w14:textId="77777777" w:rsidR="00605D96" w:rsidRPr="006E3B9B" w:rsidRDefault="00605D96" w:rsidP="008B207B">
                  <w:pPr>
                    <w:spacing w:after="0" w:line="240" w:lineRule="auto"/>
                    <w:jc w:val="right"/>
                    <w:rPr>
                      <w:rFonts w:cs="Arial"/>
                      <w:color w:val="000000"/>
                      <w:sz w:val="16"/>
                      <w:szCs w:val="16"/>
                    </w:rPr>
                  </w:pPr>
                  <w:r w:rsidRPr="006E3B9B">
                    <w:rPr>
                      <w:rFonts w:cs="Arial"/>
                      <w:color w:val="000000"/>
                      <w:sz w:val="16"/>
                      <w:szCs w:val="16"/>
                    </w:rPr>
                    <w:t>+10,6</w:t>
                  </w:r>
                </w:p>
              </w:tc>
            </w:tr>
            <w:tr w:rsidR="00605D96" w:rsidRPr="006E3B9B" w14:paraId="2F1B6D39" w14:textId="77777777" w:rsidTr="008B207B">
              <w:trPr>
                <w:trHeight w:val="255"/>
              </w:trPr>
              <w:tc>
                <w:tcPr>
                  <w:tcW w:w="4071" w:type="dxa"/>
                  <w:tcBorders>
                    <w:top w:val="nil"/>
                    <w:left w:val="nil"/>
                    <w:bottom w:val="nil"/>
                    <w:right w:val="nil"/>
                  </w:tcBorders>
                  <w:noWrap/>
                  <w:vAlign w:val="bottom"/>
                  <w:hideMark/>
                </w:tcPr>
                <w:p w14:paraId="63542E80" w14:textId="77777777" w:rsidR="00605D96" w:rsidRPr="006E3B9B" w:rsidRDefault="00605D96" w:rsidP="008B207B">
                  <w:pPr>
                    <w:spacing w:after="0" w:line="240" w:lineRule="auto"/>
                    <w:jc w:val="left"/>
                    <w:rPr>
                      <w:rFonts w:cs="Arial"/>
                      <w:color w:val="000000"/>
                      <w:sz w:val="16"/>
                      <w:szCs w:val="16"/>
                    </w:rPr>
                  </w:pPr>
                  <w:r w:rsidRPr="006E3B9B">
                    <w:rPr>
                      <w:rFonts w:cs="Arial"/>
                      <w:color w:val="000000"/>
                      <w:sz w:val="16"/>
                      <w:szCs w:val="16"/>
                    </w:rPr>
                    <w:t>Čína</w:t>
                  </w:r>
                </w:p>
              </w:tc>
              <w:tc>
                <w:tcPr>
                  <w:tcW w:w="700" w:type="dxa"/>
                  <w:tcBorders>
                    <w:top w:val="nil"/>
                    <w:left w:val="nil"/>
                    <w:bottom w:val="nil"/>
                    <w:right w:val="nil"/>
                  </w:tcBorders>
                  <w:noWrap/>
                  <w:vAlign w:val="bottom"/>
                  <w:hideMark/>
                </w:tcPr>
                <w:p w14:paraId="2F88D335" w14:textId="77777777" w:rsidR="00605D96" w:rsidRPr="006E3B9B" w:rsidRDefault="00605D96" w:rsidP="008B207B">
                  <w:pPr>
                    <w:spacing w:after="0" w:line="240" w:lineRule="auto"/>
                    <w:jc w:val="right"/>
                    <w:rPr>
                      <w:rFonts w:cs="Arial"/>
                      <w:color w:val="000000"/>
                      <w:sz w:val="16"/>
                      <w:szCs w:val="16"/>
                    </w:rPr>
                  </w:pPr>
                  <w:r w:rsidRPr="006E3B9B">
                    <w:rPr>
                      <w:rFonts w:cs="Arial"/>
                      <w:color w:val="000000"/>
                      <w:sz w:val="16"/>
                      <w:szCs w:val="16"/>
                    </w:rPr>
                    <w:t>+8,4</w:t>
                  </w:r>
                </w:p>
              </w:tc>
            </w:tr>
            <w:tr w:rsidR="00605D96" w:rsidRPr="006E3B9B" w14:paraId="0640D8E5" w14:textId="77777777" w:rsidTr="008B207B">
              <w:trPr>
                <w:trHeight w:val="255"/>
              </w:trPr>
              <w:tc>
                <w:tcPr>
                  <w:tcW w:w="4071" w:type="dxa"/>
                  <w:tcBorders>
                    <w:top w:val="nil"/>
                    <w:left w:val="nil"/>
                    <w:bottom w:val="nil"/>
                    <w:right w:val="nil"/>
                  </w:tcBorders>
                  <w:noWrap/>
                  <w:vAlign w:val="bottom"/>
                  <w:hideMark/>
                </w:tcPr>
                <w:p w14:paraId="4A39FCCC" w14:textId="77777777" w:rsidR="00605D96" w:rsidRPr="006E3B9B" w:rsidRDefault="00605D96" w:rsidP="008B207B">
                  <w:pPr>
                    <w:spacing w:after="0" w:line="240" w:lineRule="auto"/>
                    <w:jc w:val="left"/>
                    <w:rPr>
                      <w:rFonts w:cs="Arial"/>
                      <w:color w:val="000000"/>
                      <w:sz w:val="16"/>
                      <w:szCs w:val="16"/>
                    </w:rPr>
                  </w:pPr>
                  <w:r w:rsidRPr="006E3B9B">
                    <w:rPr>
                      <w:rFonts w:cs="Arial"/>
                      <w:color w:val="000000"/>
                      <w:sz w:val="16"/>
                      <w:szCs w:val="16"/>
                    </w:rPr>
                    <w:t>Francie</w:t>
                  </w:r>
                </w:p>
              </w:tc>
              <w:tc>
                <w:tcPr>
                  <w:tcW w:w="700" w:type="dxa"/>
                  <w:tcBorders>
                    <w:top w:val="nil"/>
                    <w:left w:val="nil"/>
                    <w:bottom w:val="nil"/>
                    <w:right w:val="nil"/>
                  </w:tcBorders>
                  <w:noWrap/>
                  <w:vAlign w:val="bottom"/>
                  <w:hideMark/>
                </w:tcPr>
                <w:p w14:paraId="2DA3F6D3" w14:textId="77777777" w:rsidR="00605D96" w:rsidRPr="006E3B9B" w:rsidRDefault="00605D96" w:rsidP="008B207B">
                  <w:pPr>
                    <w:spacing w:after="0" w:line="240" w:lineRule="auto"/>
                    <w:jc w:val="right"/>
                    <w:rPr>
                      <w:rFonts w:cs="Arial"/>
                      <w:color w:val="000000"/>
                      <w:sz w:val="16"/>
                      <w:szCs w:val="16"/>
                    </w:rPr>
                  </w:pPr>
                  <w:r w:rsidRPr="006E3B9B">
                    <w:rPr>
                      <w:rFonts w:cs="Arial"/>
                      <w:color w:val="000000"/>
                      <w:sz w:val="16"/>
                      <w:szCs w:val="16"/>
                    </w:rPr>
                    <w:t>+6,1</w:t>
                  </w:r>
                </w:p>
              </w:tc>
            </w:tr>
            <w:tr w:rsidR="00605D96" w:rsidRPr="006E3B9B" w14:paraId="3867E28D" w14:textId="77777777" w:rsidTr="008B207B">
              <w:trPr>
                <w:trHeight w:val="255"/>
              </w:trPr>
              <w:tc>
                <w:tcPr>
                  <w:tcW w:w="4071" w:type="dxa"/>
                  <w:tcBorders>
                    <w:top w:val="nil"/>
                    <w:left w:val="nil"/>
                    <w:bottom w:val="nil"/>
                    <w:right w:val="nil"/>
                  </w:tcBorders>
                  <w:noWrap/>
                  <w:vAlign w:val="bottom"/>
                  <w:hideMark/>
                </w:tcPr>
                <w:p w14:paraId="00CD6D50" w14:textId="77777777" w:rsidR="00605D96" w:rsidRPr="006E3B9B" w:rsidRDefault="00605D96" w:rsidP="008B207B">
                  <w:pPr>
                    <w:spacing w:after="0" w:line="240" w:lineRule="auto"/>
                    <w:jc w:val="left"/>
                    <w:rPr>
                      <w:rFonts w:cs="Arial"/>
                      <w:color w:val="000000"/>
                      <w:sz w:val="16"/>
                      <w:szCs w:val="16"/>
                    </w:rPr>
                  </w:pPr>
                  <w:r w:rsidRPr="006E3B9B">
                    <w:rPr>
                      <w:rFonts w:cs="Arial"/>
                      <w:color w:val="000000"/>
                      <w:sz w:val="16"/>
                      <w:szCs w:val="16"/>
                    </w:rPr>
                    <w:t>Švédsko</w:t>
                  </w:r>
                </w:p>
              </w:tc>
              <w:tc>
                <w:tcPr>
                  <w:tcW w:w="700" w:type="dxa"/>
                  <w:tcBorders>
                    <w:top w:val="nil"/>
                    <w:left w:val="nil"/>
                    <w:bottom w:val="nil"/>
                    <w:right w:val="nil"/>
                  </w:tcBorders>
                  <w:noWrap/>
                  <w:vAlign w:val="bottom"/>
                  <w:hideMark/>
                </w:tcPr>
                <w:p w14:paraId="63E7384E" w14:textId="77777777" w:rsidR="00605D96" w:rsidRPr="006E3B9B" w:rsidRDefault="00605D96" w:rsidP="008B207B">
                  <w:pPr>
                    <w:spacing w:after="0" w:line="240" w:lineRule="auto"/>
                    <w:jc w:val="right"/>
                    <w:rPr>
                      <w:rFonts w:cs="Arial"/>
                      <w:color w:val="000000"/>
                      <w:sz w:val="16"/>
                      <w:szCs w:val="16"/>
                    </w:rPr>
                  </w:pPr>
                  <w:r w:rsidRPr="006E3B9B">
                    <w:rPr>
                      <w:rFonts w:cs="Arial"/>
                      <w:color w:val="000000"/>
                      <w:sz w:val="16"/>
                      <w:szCs w:val="16"/>
                    </w:rPr>
                    <w:t>+2,0</w:t>
                  </w:r>
                </w:p>
              </w:tc>
            </w:tr>
            <w:tr w:rsidR="00605D96" w:rsidRPr="006E3B9B" w14:paraId="1891A8C4" w14:textId="77777777" w:rsidTr="008B207B">
              <w:trPr>
                <w:trHeight w:val="255"/>
              </w:trPr>
              <w:tc>
                <w:tcPr>
                  <w:tcW w:w="4071" w:type="dxa"/>
                  <w:tcBorders>
                    <w:top w:val="nil"/>
                    <w:left w:val="nil"/>
                    <w:bottom w:val="nil"/>
                    <w:right w:val="nil"/>
                  </w:tcBorders>
                  <w:noWrap/>
                  <w:vAlign w:val="bottom"/>
                  <w:hideMark/>
                </w:tcPr>
                <w:p w14:paraId="046B14D7" w14:textId="77777777" w:rsidR="00605D96" w:rsidRPr="006E3B9B" w:rsidRDefault="00605D96" w:rsidP="008B207B">
                  <w:pPr>
                    <w:spacing w:after="0" w:line="240" w:lineRule="auto"/>
                    <w:jc w:val="left"/>
                    <w:rPr>
                      <w:rFonts w:cs="Arial"/>
                      <w:color w:val="000000"/>
                      <w:sz w:val="16"/>
                      <w:szCs w:val="16"/>
                    </w:rPr>
                  </w:pPr>
                  <w:r w:rsidRPr="006E3B9B">
                    <w:rPr>
                      <w:rFonts w:cs="Arial"/>
                      <w:color w:val="000000"/>
                      <w:sz w:val="16"/>
                      <w:szCs w:val="16"/>
                    </w:rPr>
                    <w:t>Jižní Korea</w:t>
                  </w:r>
                </w:p>
              </w:tc>
              <w:tc>
                <w:tcPr>
                  <w:tcW w:w="700" w:type="dxa"/>
                  <w:tcBorders>
                    <w:top w:val="nil"/>
                    <w:left w:val="nil"/>
                    <w:bottom w:val="nil"/>
                    <w:right w:val="nil"/>
                  </w:tcBorders>
                  <w:noWrap/>
                  <w:vAlign w:val="bottom"/>
                  <w:hideMark/>
                </w:tcPr>
                <w:p w14:paraId="1B0B38E0" w14:textId="77777777" w:rsidR="00605D96" w:rsidRPr="006E3B9B" w:rsidRDefault="00605D96" w:rsidP="008B207B">
                  <w:pPr>
                    <w:spacing w:after="0" w:line="240" w:lineRule="auto"/>
                    <w:jc w:val="right"/>
                    <w:rPr>
                      <w:rFonts w:cs="Arial"/>
                      <w:color w:val="000000"/>
                      <w:sz w:val="16"/>
                      <w:szCs w:val="16"/>
                    </w:rPr>
                  </w:pPr>
                  <w:r w:rsidRPr="006E3B9B">
                    <w:rPr>
                      <w:rFonts w:cs="Arial"/>
                      <w:color w:val="000000"/>
                      <w:sz w:val="16"/>
                      <w:szCs w:val="16"/>
                    </w:rPr>
                    <w:t>+1,6</w:t>
                  </w:r>
                </w:p>
              </w:tc>
            </w:tr>
            <w:tr w:rsidR="00605D96" w:rsidRPr="006E3B9B" w14:paraId="1FA36C1A" w14:textId="77777777" w:rsidTr="008B207B">
              <w:trPr>
                <w:trHeight w:val="255"/>
              </w:trPr>
              <w:tc>
                <w:tcPr>
                  <w:tcW w:w="4071" w:type="dxa"/>
                  <w:tcBorders>
                    <w:top w:val="nil"/>
                    <w:left w:val="nil"/>
                    <w:bottom w:val="nil"/>
                    <w:right w:val="nil"/>
                  </w:tcBorders>
                  <w:noWrap/>
                  <w:vAlign w:val="bottom"/>
                  <w:hideMark/>
                </w:tcPr>
                <w:p w14:paraId="2704344E" w14:textId="77777777" w:rsidR="00605D96" w:rsidRPr="006E3B9B" w:rsidRDefault="00605D96" w:rsidP="008B207B">
                  <w:pPr>
                    <w:spacing w:after="0" w:line="240" w:lineRule="auto"/>
                    <w:jc w:val="left"/>
                    <w:rPr>
                      <w:rFonts w:cs="Arial"/>
                      <w:color w:val="000000"/>
                      <w:sz w:val="16"/>
                      <w:szCs w:val="16"/>
                    </w:rPr>
                  </w:pPr>
                  <w:r w:rsidRPr="006E3B9B">
                    <w:rPr>
                      <w:rFonts w:cs="Arial"/>
                      <w:color w:val="000000"/>
                      <w:sz w:val="16"/>
                      <w:szCs w:val="16"/>
                    </w:rPr>
                    <w:t>Belgie</w:t>
                  </w:r>
                </w:p>
              </w:tc>
              <w:tc>
                <w:tcPr>
                  <w:tcW w:w="700" w:type="dxa"/>
                  <w:tcBorders>
                    <w:top w:val="nil"/>
                    <w:left w:val="nil"/>
                    <w:bottom w:val="nil"/>
                    <w:right w:val="nil"/>
                  </w:tcBorders>
                  <w:noWrap/>
                  <w:vAlign w:val="bottom"/>
                  <w:hideMark/>
                </w:tcPr>
                <w:p w14:paraId="67576AA7" w14:textId="77777777" w:rsidR="00605D96" w:rsidRPr="006E3B9B" w:rsidRDefault="00605D96" w:rsidP="008B207B">
                  <w:pPr>
                    <w:spacing w:after="0" w:line="240" w:lineRule="auto"/>
                    <w:jc w:val="right"/>
                    <w:rPr>
                      <w:rFonts w:cs="Arial"/>
                      <w:color w:val="000000"/>
                      <w:sz w:val="16"/>
                      <w:szCs w:val="16"/>
                    </w:rPr>
                  </w:pPr>
                  <w:r>
                    <w:rPr>
                      <w:rFonts w:cs="Arial"/>
                      <w:color w:val="000000"/>
                      <w:sz w:val="16"/>
                      <w:szCs w:val="16"/>
                    </w:rPr>
                    <w:t>−</w:t>
                  </w:r>
                  <w:r w:rsidRPr="006E3B9B">
                    <w:rPr>
                      <w:rFonts w:cs="Arial"/>
                      <w:color w:val="000000"/>
                      <w:sz w:val="16"/>
                      <w:szCs w:val="16"/>
                    </w:rPr>
                    <w:t>1,7</w:t>
                  </w:r>
                </w:p>
              </w:tc>
            </w:tr>
            <w:tr w:rsidR="00605D96" w:rsidRPr="006E3B9B" w14:paraId="08A1D219" w14:textId="77777777" w:rsidTr="008B207B">
              <w:trPr>
                <w:trHeight w:val="255"/>
              </w:trPr>
              <w:tc>
                <w:tcPr>
                  <w:tcW w:w="4071" w:type="dxa"/>
                  <w:tcBorders>
                    <w:top w:val="nil"/>
                    <w:left w:val="nil"/>
                    <w:bottom w:val="nil"/>
                    <w:right w:val="nil"/>
                  </w:tcBorders>
                  <w:noWrap/>
                  <w:vAlign w:val="bottom"/>
                  <w:hideMark/>
                </w:tcPr>
                <w:p w14:paraId="5B76D658" w14:textId="77777777" w:rsidR="00605D96" w:rsidRPr="006E3B9B" w:rsidRDefault="00605D96" w:rsidP="008B207B">
                  <w:pPr>
                    <w:spacing w:after="0" w:line="240" w:lineRule="auto"/>
                    <w:jc w:val="left"/>
                    <w:rPr>
                      <w:rFonts w:cs="Arial"/>
                      <w:color w:val="000000"/>
                      <w:sz w:val="16"/>
                      <w:szCs w:val="16"/>
                    </w:rPr>
                  </w:pPr>
                  <w:r w:rsidRPr="006E3B9B">
                    <w:rPr>
                      <w:rFonts w:cs="Arial"/>
                      <w:color w:val="000000"/>
                      <w:sz w:val="16"/>
                      <w:szCs w:val="16"/>
                    </w:rPr>
                    <w:t>Irsko</w:t>
                  </w:r>
                </w:p>
              </w:tc>
              <w:tc>
                <w:tcPr>
                  <w:tcW w:w="700" w:type="dxa"/>
                  <w:tcBorders>
                    <w:top w:val="nil"/>
                    <w:left w:val="nil"/>
                    <w:bottom w:val="nil"/>
                    <w:right w:val="nil"/>
                  </w:tcBorders>
                  <w:noWrap/>
                  <w:vAlign w:val="bottom"/>
                  <w:hideMark/>
                </w:tcPr>
                <w:p w14:paraId="7909D0F2" w14:textId="77777777" w:rsidR="00605D96" w:rsidRPr="006E3B9B" w:rsidRDefault="00605D96" w:rsidP="008B207B">
                  <w:pPr>
                    <w:spacing w:after="0" w:line="240" w:lineRule="auto"/>
                    <w:jc w:val="right"/>
                    <w:rPr>
                      <w:rFonts w:cs="Arial"/>
                      <w:color w:val="000000"/>
                      <w:sz w:val="16"/>
                      <w:szCs w:val="16"/>
                    </w:rPr>
                  </w:pPr>
                  <w:r>
                    <w:rPr>
                      <w:rFonts w:cs="Arial"/>
                      <w:color w:val="000000"/>
                      <w:sz w:val="16"/>
                      <w:szCs w:val="16"/>
                    </w:rPr>
                    <w:t>−</w:t>
                  </w:r>
                  <w:r w:rsidRPr="006E3B9B">
                    <w:rPr>
                      <w:rFonts w:cs="Arial"/>
                      <w:color w:val="000000"/>
                      <w:sz w:val="16"/>
                      <w:szCs w:val="16"/>
                    </w:rPr>
                    <w:t>2,0</w:t>
                  </w:r>
                </w:p>
              </w:tc>
            </w:tr>
            <w:tr w:rsidR="00605D96" w:rsidRPr="006E3B9B" w14:paraId="52BB5AB6" w14:textId="77777777" w:rsidTr="008B207B">
              <w:trPr>
                <w:trHeight w:val="255"/>
              </w:trPr>
              <w:tc>
                <w:tcPr>
                  <w:tcW w:w="4071" w:type="dxa"/>
                  <w:tcBorders>
                    <w:top w:val="nil"/>
                    <w:left w:val="nil"/>
                    <w:bottom w:val="nil"/>
                    <w:right w:val="nil"/>
                  </w:tcBorders>
                  <w:noWrap/>
                  <w:vAlign w:val="bottom"/>
                  <w:hideMark/>
                </w:tcPr>
                <w:p w14:paraId="4305B810" w14:textId="77777777" w:rsidR="00605D96" w:rsidRPr="006E3B9B" w:rsidRDefault="00605D96" w:rsidP="008B207B">
                  <w:pPr>
                    <w:spacing w:after="0" w:line="240" w:lineRule="auto"/>
                    <w:jc w:val="left"/>
                    <w:rPr>
                      <w:rFonts w:cs="Arial"/>
                      <w:color w:val="000000"/>
                      <w:sz w:val="16"/>
                      <w:szCs w:val="16"/>
                    </w:rPr>
                  </w:pPr>
                  <w:r w:rsidRPr="006E3B9B">
                    <w:rPr>
                      <w:rFonts w:cs="Arial"/>
                      <w:color w:val="000000"/>
                      <w:sz w:val="16"/>
                      <w:szCs w:val="16"/>
                    </w:rPr>
                    <w:t>Kazachstán</w:t>
                  </w:r>
                </w:p>
              </w:tc>
              <w:tc>
                <w:tcPr>
                  <w:tcW w:w="700" w:type="dxa"/>
                  <w:tcBorders>
                    <w:top w:val="nil"/>
                    <w:left w:val="nil"/>
                    <w:bottom w:val="nil"/>
                    <w:right w:val="nil"/>
                  </w:tcBorders>
                  <w:noWrap/>
                  <w:vAlign w:val="bottom"/>
                  <w:hideMark/>
                </w:tcPr>
                <w:p w14:paraId="4D731361" w14:textId="77777777" w:rsidR="00605D96" w:rsidRPr="006E3B9B" w:rsidRDefault="00605D96" w:rsidP="008B207B">
                  <w:pPr>
                    <w:spacing w:after="0" w:line="240" w:lineRule="auto"/>
                    <w:jc w:val="right"/>
                    <w:rPr>
                      <w:rFonts w:cs="Arial"/>
                      <w:color w:val="000000"/>
                      <w:sz w:val="16"/>
                      <w:szCs w:val="16"/>
                    </w:rPr>
                  </w:pPr>
                  <w:r>
                    <w:rPr>
                      <w:rFonts w:cs="Arial"/>
                      <w:color w:val="000000"/>
                      <w:sz w:val="16"/>
                      <w:szCs w:val="16"/>
                    </w:rPr>
                    <w:t>−</w:t>
                  </w:r>
                  <w:r w:rsidRPr="006E3B9B">
                    <w:rPr>
                      <w:rFonts w:cs="Arial"/>
                      <w:color w:val="000000"/>
                      <w:sz w:val="16"/>
                      <w:szCs w:val="16"/>
                    </w:rPr>
                    <w:t>2,3</w:t>
                  </w:r>
                </w:p>
              </w:tc>
            </w:tr>
            <w:tr w:rsidR="00605D96" w:rsidRPr="006E3B9B" w14:paraId="205EDB15" w14:textId="77777777" w:rsidTr="008B207B">
              <w:trPr>
                <w:trHeight w:val="255"/>
              </w:trPr>
              <w:tc>
                <w:tcPr>
                  <w:tcW w:w="4071" w:type="dxa"/>
                  <w:tcBorders>
                    <w:top w:val="nil"/>
                    <w:left w:val="nil"/>
                    <w:bottom w:val="nil"/>
                    <w:right w:val="nil"/>
                  </w:tcBorders>
                  <w:noWrap/>
                  <w:vAlign w:val="bottom"/>
                  <w:hideMark/>
                </w:tcPr>
                <w:p w14:paraId="7893D639" w14:textId="77777777" w:rsidR="00605D96" w:rsidRPr="006E3B9B" w:rsidRDefault="00605D96" w:rsidP="008B207B">
                  <w:pPr>
                    <w:spacing w:after="0" w:line="240" w:lineRule="auto"/>
                    <w:jc w:val="left"/>
                    <w:rPr>
                      <w:rFonts w:cs="Arial"/>
                      <w:color w:val="000000"/>
                      <w:sz w:val="16"/>
                      <w:szCs w:val="16"/>
                    </w:rPr>
                  </w:pPr>
                  <w:r w:rsidRPr="006E3B9B">
                    <w:rPr>
                      <w:rFonts w:cs="Arial"/>
                      <w:color w:val="000000"/>
                      <w:sz w:val="16"/>
                      <w:szCs w:val="16"/>
                    </w:rPr>
                    <w:t>Velká Británie</w:t>
                  </w:r>
                </w:p>
              </w:tc>
              <w:tc>
                <w:tcPr>
                  <w:tcW w:w="700" w:type="dxa"/>
                  <w:tcBorders>
                    <w:top w:val="nil"/>
                    <w:left w:val="nil"/>
                    <w:bottom w:val="nil"/>
                    <w:right w:val="nil"/>
                  </w:tcBorders>
                  <w:noWrap/>
                  <w:vAlign w:val="bottom"/>
                  <w:hideMark/>
                </w:tcPr>
                <w:p w14:paraId="5A8E4E4E" w14:textId="77777777" w:rsidR="00605D96" w:rsidRPr="006E3B9B" w:rsidRDefault="00605D96" w:rsidP="008B207B">
                  <w:pPr>
                    <w:spacing w:after="0" w:line="240" w:lineRule="auto"/>
                    <w:jc w:val="right"/>
                    <w:rPr>
                      <w:rFonts w:cs="Arial"/>
                      <w:color w:val="000000"/>
                      <w:sz w:val="16"/>
                      <w:szCs w:val="16"/>
                    </w:rPr>
                  </w:pPr>
                  <w:r>
                    <w:rPr>
                      <w:rFonts w:cs="Arial"/>
                      <w:color w:val="000000"/>
                      <w:sz w:val="16"/>
                      <w:szCs w:val="16"/>
                    </w:rPr>
                    <w:t>−</w:t>
                  </w:r>
                  <w:r w:rsidRPr="006E3B9B">
                    <w:rPr>
                      <w:rFonts w:cs="Arial"/>
                      <w:color w:val="000000"/>
                      <w:sz w:val="16"/>
                      <w:szCs w:val="16"/>
                    </w:rPr>
                    <w:t>2,5</w:t>
                  </w:r>
                </w:p>
              </w:tc>
            </w:tr>
            <w:tr w:rsidR="00605D96" w:rsidRPr="006E3B9B" w14:paraId="17FC76C5" w14:textId="77777777" w:rsidTr="008B207B">
              <w:trPr>
                <w:trHeight w:val="255"/>
              </w:trPr>
              <w:tc>
                <w:tcPr>
                  <w:tcW w:w="4071" w:type="dxa"/>
                  <w:tcBorders>
                    <w:top w:val="nil"/>
                    <w:left w:val="nil"/>
                    <w:bottom w:val="nil"/>
                    <w:right w:val="nil"/>
                  </w:tcBorders>
                  <w:noWrap/>
                  <w:vAlign w:val="bottom"/>
                  <w:hideMark/>
                </w:tcPr>
                <w:p w14:paraId="720778D0" w14:textId="77777777" w:rsidR="00605D96" w:rsidRPr="006E3B9B" w:rsidRDefault="00605D96" w:rsidP="008B207B">
                  <w:pPr>
                    <w:spacing w:after="0" w:line="240" w:lineRule="auto"/>
                    <w:jc w:val="left"/>
                    <w:rPr>
                      <w:rFonts w:cs="Arial"/>
                      <w:color w:val="000000"/>
                      <w:sz w:val="16"/>
                      <w:szCs w:val="16"/>
                    </w:rPr>
                  </w:pPr>
                  <w:r w:rsidRPr="006E3B9B">
                    <w:rPr>
                      <w:rFonts w:cs="Arial"/>
                      <w:color w:val="000000"/>
                      <w:sz w:val="16"/>
                      <w:szCs w:val="16"/>
                    </w:rPr>
                    <w:t>Polsko</w:t>
                  </w:r>
                </w:p>
              </w:tc>
              <w:tc>
                <w:tcPr>
                  <w:tcW w:w="700" w:type="dxa"/>
                  <w:tcBorders>
                    <w:top w:val="nil"/>
                    <w:left w:val="nil"/>
                    <w:bottom w:val="nil"/>
                    <w:right w:val="nil"/>
                  </w:tcBorders>
                  <w:noWrap/>
                  <w:vAlign w:val="bottom"/>
                  <w:hideMark/>
                </w:tcPr>
                <w:p w14:paraId="23B2A8A5" w14:textId="77777777" w:rsidR="00605D96" w:rsidRPr="006E3B9B" w:rsidRDefault="00605D96" w:rsidP="008B207B">
                  <w:pPr>
                    <w:spacing w:after="0" w:line="240" w:lineRule="auto"/>
                    <w:jc w:val="right"/>
                    <w:rPr>
                      <w:rFonts w:cs="Arial"/>
                      <w:color w:val="000000"/>
                      <w:sz w:val="16"/>
                      <w:szCs w:val="16"/>
                    </w:rPr>
                  </w:pPr>
                  <w:r>
                    <w:rPr>
                      <w:rFonts w:cs="Arial"/>
                      <w:color w:val="000000"/>
                      <w:sz w:val="16"/>
                      <w:szCs w:val="16"/>
                    </w:rPr>
                    <w:t>−</w:t>
                  </w:r>
                  <w:r w:rsidRPr="006E3B9B">
                    <w:rPr>
                      <w:rFonts w:cs="Arial"/>
                      <w:color w:val="000000"/>
                      <w:sz w:val="16"/>
                      <w:szCs w:val="16"/>
                    </w:rPr>
                    <w:t>2,7</w:t>
                  </w:r>
                </w:p>
              </w:tc>
            </w:tr>
            <w:tr w:rsidR="00605D96" w:rsidRPr="006E3B9B" w14:paraId="1065C258" w14:textId="77777777" w:rsidTr="008B207B">
              <w:trPr>
                <w:trHeight w:val="255"/>
              </w:trPr>
              <w:tc>
                <w:tcPr>
                  <w:tcW w:w="4071" w:type="dxa"/>
                  <w:tcBorders>
                    <w:top w:val="nil"/>
                    <w:left w:val="nil"/>
                    <w:bottom w:val="nil"/>
                    <w:right w:val="nil"/>
                  </w:tcBorders>
                  <w:noWrap/>
                  <w:vAlign w:val="bottom"/>
                  <w:hideMark/>
                </w:tcPr>
                <w:p w14:paraId="4B651937" w14:textId="77777777" w:rsidR="00605D96" w:rsidRPr="006E3B9B" w:rsidRDefault="00605D96" w:rsidP="008B207B">
                  <w:pPr>
                    <w:spacing w:after="0" w:line="240" w:lineRule="auto"/>
                    <w:jc w:val="left"/>
                    <w:rPr>
                      <w:rFonts w:cs="Arial"/>
                      <w:color w:val="000000"/>
                      <w:sz w:val="16"/>
                      <w:szCs w:val="16"/>
                    </w:rPr>
                  </w:pPr>
                  <w:r w:rsidRPr="006E3B9B">
                    <w:rPr>
                      <w:rFonts w:cs="Arial"/>
                      <w:color w:val="000000"/>
                      <w:sz w:val="16"/>
                      <w:szCs w:val="16"/>
                    </w:rPr>
                    <w:t>Tchaj-wan</w:t>
                  </w:r>
                </w:p>
              </w:tc>
              <w:tc>
                <w:tcPr>
                  <w:tcW w:w="700" w:type="dxa"/>
                  <w:tcBorders>
                    <w:top w:val="nil"/>
                    <w:left w:val="nil"/>
                    <w:bottom w:val="nil"/>
                    <w:right w:val="nil"/>
                  </w:tcBorders>
                  <w:noWrap/>
                  <w:vAlign w:val="bottom"/>
                  <w:hideMark/>
                </w:tcPr>
                <w:p w14:paraId="00852EEC" w14:textId="77777777" w:rsidR="00605D96" w:rsidRPr="006E3B9B" w:rsidRDefault="00605D96" w:rsidP="008B207B">
                  <w:pPr>
                    <w:spacing w:after="0" w:line="240" w:lineRule="auto"/>
                    <w:jc w:val="right"/>
                    <w:rPr>
                      <w:rFonts w:cs="Arial"/>
                      <w:color w:val="000000"/>
                      <w:sz w:val="16"/>
                      <w:szCs w:val="16"/>
                    </w:rPr>
                  </w:pPr>
                  <w:r>
                    <w:rPr>
                      <w:rFonts w:cs="Arial"/>
                      <w:color w:val="000000"/>
                      <w:sz w:val="16"/>
                      <w:szCs w:val="16"/>
                    </w:rPr>
                    <w:t>−</w:t>
                  </w:r>
                  <w:r w:rsidRPr="006E3B9B">
                    <w:rPr>
                      <w:rFonts w:cs="Arial"/>
                      <w:color w:val="000000"/>
                      <w:sz w:val="16"/>
                      <w:szCs w:val="16"/>
                    </w:rPr>
                    <w:t>2,7</w:t>
                  </w:r>
                </w:p>
              </w:tc>
            </w:tr>
            <w:tr w:rsidR="00605D96" w:rsidRPr="006E3B9B" w14:paraId="10A72EA0" w14:textId="77777777" w:rsidTr="008B207B">
              <w:trPr>
                <w:trHeight w:val="255"/>
              </w:trPr>
              <w:tc>
                <w:tcPr>
                  <w:tcW w:w="4071" w:type="dxa"/>
                  <w:tcBorders>
                    <w:top w:val="nil"/>
                    <w:left w:val="nil"/>
                    <w:bottom w:val="nil"/>
                    <w:right w:val="nil"/>
                  </w:tcBorders>
                  <w:noWrap/>
                  <w:vAlign w:val="bottom"/>
                  <w:hideMark/>
                </w:tcPr>
                <w:p w14:paraId="2ADD5CB3" w14:textId="77777777" w:rsidR="00605D96" w:rsidRPr="006E3B9B" w:rsidRDefault="00605D96" w:rsidP="008B207B">
                  <w:pPr>
                    <w:spacing w:after="0" w:line="240" w:lineRule="auto"/>
                    <w:jc w:val="left"/>
                    <w:rPr>
                      <w:rFonts w:cs="Arial"/>
                      <w:color w:val="000000"/>
                      <w:sz w:val="16"/>
                      <w:szCs w:val="16"/>
                    </w:rPr>
                  </w:pPr>
                  <w:r w:rsidRPr="006E3B9B">
                    <w:rPr>
                      <w:rFonts w:cs="Arial"/>
                      <w:color w:val="000000"/>
                      <w:sz w:val="16"/>
                      <w:szCs w:val="16"/>
                    </w:rPr>
                    <w:t>Maďarsko</w:t>
                  </w:r>
                </w:p>
              </w:tc>
              <w:tc>
                <w:tcPr>
                  <w:tcW w:w="700" w:type="dxa"/>
                  <w:tcBorders>
                    <w:top w:val="nil"/>
                    <w:left w:val="nil"/>
                    <w:bottom w:val="nil"/>
                    <w:right w:val="nil"/>
                  </w:tcBorders>
                  <w:noWrap/>
                  <w:vAlign w:val="bottom"/>
                  <w:hideMark/>
                </w:tcPr>
                <w:p w14:paraId="0939FCE2" w14:textId="77777777" w:rsidR="00605D96" w:rsidRPr="006E3B9B" w:rsidRDefault="00605D96" w:rsidP="008B207B">
                  <w:pPr>
                    <w:spacing w:after="0" w:line="240" w:lineRule="auto"/>
                    <w:jc w:val="right"/>
                    <w:rPr>
                      <w:rFonts w:cs="Arial"/>
                      <w:color w:val="000000"/>
                      <w:sz w:val="16"/>
                      <w:szCs w:val="16"/>
                    </w:rPr>
                  </w:pPr>
                  <w:r>
                    <w:rPr>
                      <w:rFonts w:cs="Arial"/>
                      <w:color w:val="000000"/>
                      <w:sz w:val="16"/>
                      <w:szCs w:val="16"/>
                    </w:rPr>
                    <w:t>−</w:t>
                  </w:r>
                  <w:r w:rsidRPr="006E3B9B">
                    <w:rPr>
                      <w:rFonts w:cs="Arial"/>
                      <w:color w:val="000000"/>
                      <w:sz w:val="16"/>
                      <w:szCs w:val="16"/>
                    </w:rPr>
                    <w:t>3,5</w:t>
                  </w:r>
                </w:p>
              </w:tc>
            </w:tr>
            <w:tr w:rsidR="00605D96" w:rsidRPr="006E3B9B" w14:paraId="37D9B5BC" w14:textId="77777777" w:rsidTr="008B207B">
              <w:trPr>
                <w:trHeight w:val="255"/>
              </w:trPr>
              <w:tc>
                <w:tcPr>
                  <w:tcW w:w="4071" w:type="dxa"/>
                  <w:tcBorders>
                    <w:top w:val="nil"/>
                    <w:left w:val="nil"/>
                    <w:bottom w:val="nil"/>
                    <w:right w:val="nil"/>
                  </w:tcBorders>
                  <w:noWrap/>
                  <w:vAlign w:val="bottom"/>
                  <w:hideMark/>
                </w:tcPr>
                <w:p w14:paraId="78B47B03" w14:textId="77777777" w:rsidR="00605D96" w:rsidRPr="006E3B9B" w:rsidRDefault="00605D96" w:rsidP="008B207B">
                  <w:pPr>
                    <w:spacing w:after="0" w:line="240" w:lineRule="auto"/>
                    <w:jc w:val="left"/>
                    <w:rPr>
                      <w:rFonts w:cs="Arial"/>
                      <w:color w:val="000000"/>
                      <w:sz w:val="16"/>
                      <w:szCs w:val="16"/>
                    </w:rPr>
                  </w:pPr>
                  <w:r w:rsidRPr="006E3B9B">
                    <w:rPr>
                      <w:rFonts w:cs="Arial"/>
                      <w:color w:val="000000"/>
                      <w:sz w:val="16"/>
                      <w:szCs w:val="16"/>
                    </w:rPr>
                    <w:t>Spojené státy</w:t>
                  </w:r>
                  <w:r>
                    <w:rPr>
                      <w:rFonts w:cs="Arial"/>
                      <w:color w:val="000000"/>
                      <w:sz w:val="16"/>
                      <w:szCs w:val="16"/>
                    </w:rPr>
                    <w:t xml:space="preserve"> americké</w:t>
                  </w:r>
                </w:p>
              </w:tc>
              <w:tc>
                <w:tcPr>
                  <w:tcW w:w="700" w:type="dxa"/>
                  <w:tcBorders>
                    <w:top w:val="nil"/>
                    <w:left w:val="nil"/>
                    <w:bottom w:val="nil"/>
                    <w:right w:val="nil"/>
                  </w:tcBorders>
                  <w:noWrap/>
                  <w:vAlign w:val="bottom"/>
                  <w:hideMark/>
                </w:tcPr>
                <w:p w14:paraId="3EE02434" w14:textId="77777777" w:rsidR="00605D96" w:rsidRPr="006E3B9B" w:rsidRDefault="00605D96" w:rsidP="008B207B">
                  <w:pPr>
                    <w:spacing w:after="0" w:line="240" w:lineRule="auto"/>
                    <w:jc w:val="right"/>
                    <w:rPr>
                      <w:rFonts w:cs="Arial"/>
                      <w:color w:val="000000"/>
                      <w:sz w:val="16"/>
                      <w:szCs w:val="16"/>
                    </w:rPr>
                  </w:pPr>
                  <w:r>
                    <w:rPr>
                      <w:rFonts w:cs="Arial"/>
                      <w:color w:val="000000"/>
                      <w:sz w:val="16"/>
                      <w:szCs w:val="16"/>
                    </w:rPr>
                    <w:t>−</w:t>
                  </w:r>
                  <w:r w:rsidRPr="006E3B9B">
                    <w:rPr>
                      <w:rFonts w:cs="Arial"/>
                      <w:color w:val="000000"/>
                      <w:sz w:val="16"/>
                      <w:szCs w:val="16"/>
                    </w:rPr>
                    <w:t>3,5</w:t>
                  </w:r>
                </w:p>
              </w:tc>
            </w:tr>
            <w:tr w:rsidR="00605D96" w:rsidRPr="006E3B9B" w14:paraId="07F46725" w14:textId="77777777" w:rsidTr="008B207B">
              <w:trPr>
                <w:trHeight w:val="255"/>
              </w:trPr>
              <w:tc>
                <w:tcPr>
                  <w:tcW w:w="4071" w:type="dxa"/>
                  <w:tcBorders>
                    <w:top w:val="nil"/>
                    <w:left w:val="nil"/>
                    <w:bottom w:val="nil"/>
                    <w:right w:val="nil"/>
                  </w:tcBorders>
                  <w:noWrap/>
                  <w:vAlign w:val="bottom"/>
                  <w:hideMark/>
                </w:tcPr>
                <w:p w14:paraId="361DB4C8" w14:textId="77777777" w:rsidR="00605D96" w:rsidRPr="006E3B9B" w:rsidRDefault="00605D96" w:rsidP="008B207B">
                  <w:pPr>
                    <w:spacing w:after="0" w:line="240" w:lineRule="auto"/>
                    <w:jc w:val="left"/>
                    <w:rPr>
                      <w:rFonts w:cs="Arial"/>
                      <w:color w:val="000000"/>
                      <w:sz w:val="16"/>
                      <w:szCs w:val="16"/>
                    </w:rPr>
                  </w:pPr>
                  <w:r w:rsidRPr="006E3B9B">
                    <w:rPr>
                      <w:rFonts w:cs="Arial"/>
                      <w:color w:val="000000"/>
                      <w:sz w:val="16"/>
                      <w:szCs w:val="16"/>
                    </w:rPr>
                    <w:t>Norsko</w:t>
                  </w:r>
                </w:p>
              </w:tc>
              <w:tc>
                <w:tcPr>
                  <w:tcW w:w="700" w:type="dxa"/>
                  <w:tcBorders>
                    <w:top w:val="nil"/>
                    <w:left w:val="nil"/>
                    <w:bottom w:val="nil"/>
                    <w:right w:val="nil"/>
                  </w:tcBorders>
                  <w:noWrap/>
                  <w:vAlign w:val="bottom"/>
                  <w:hideMark/>
                </w:tcPr>
                <w:p w14:paraId="2CAD1B13" w14:textId="77777777" w:rsidR="00605D96" w:rsidRPr="006E3B9B" w:rsidRDefault="00605D96" w:rsidP="008B207B">
                  <w:pPr>
                    <w:spacing w:after="0" w:line="240" w:lineRule="auto"/>
                    <w:jc w:val="right"/>
                    <w:rPr>
                      <w:rFonts w:cs="Arial"/>
                      <w:color w:val="000000"/>
                      <w:sz w:val="16"/>
                      <w:szCs w:val="16"/>
                    </w:rPr>
                  </w:pPr>
                  <w:r>
                    <w:rPr>
                      <w:rFonts w:cs="Arial"/>
                      <w:color w:val="000000"/>
                      <w:sz w:val="16"/>
                      <w:szCs w:val="16"/>
                    </w:rPr>
                    <w:t>−</w:t>
                  </w:r>
                  <w:r w:rsidRPr="006E3B9B">
                    <w:rPr>
                      <w:rFonts w:cs="Arial"/>
                      <w:color w:val="000000"/>
                      <w:sz w:val="16"/>
                      <w:szCs w:val="16"/>
                    </w:rPr>
                    <w:t>5,7</w:t>
                  </w:r>
                </w:p>
              </w:tc>
            </w:tr>
          </w:tbl>
          <w:p w14:paraId="4625B59B" w14:textId="77777777" w:rsidR="00605D96" w:rsidRPr="0010385A" w:rsidRDefault="00605D96" w:rsidP="008B207B">
            <w:pPr>
              <w:spacing w:after="0"/>
              <w:rPr>
                <w:rFonts w:cs="Arial"/>
                <w:spacing w:val="-4"/>
                <w:sz w:val="16"/>
                <w:szCs w:val="16"/>
                <w:lang w:eastAsia="en-US"/>
              </w:rPr>
            </w:pPr>
          </w:p>
        </w:tc>
      </w:tr>
      <w:tr w:rsidR="00605D96" w14:paraId="3E0D9CF8" w14:textId="77777777" w:rsidTr="008B207B">
        <w:trPr>
          <w:trHeight w:val="170"/>
        </w:trPr>
        <w:tc>
          <w:tcPr>
            <w:tcW w:w="4811" w:type="dxa"/>
            <w:gridSpan w:val="3"/>
            <w:hideMark/>
          </w:tcPr>
          <w:p w14:paraId="4816FC54" w14:textId="77777777" w:rsidR="00605D96" w:rsidRDefault="00605D96" w:rsidP="008B207B">
            <w:pPr>
              <w:jc w:val="left"/>
              <w:rPr>
                <w:spacing w:val="-4"/>
                <w:sz w:val="16"/>
                <w:szCs w:val="16"/>
                <w:lang w:eastAsia="en-US"/>
              </w:rPr>
            </w:pPr>
            <w:r>
              <w:rPr>
                <w:spacing w:val="-4"/>
                <w:sz w:val="16"/>
                <w:szCs w:val="16"/>
                <w:lang w:eastAsia="en-US"/>
              </w:rPr>
              <w:t>Zdroj: ČSÚ</w:t>
            </w:r>
          </w:p>
        </w:tc>
        <w:tc>
          <w:tcPr>
            <w:tcW w:w="57" w:type="dxa"/>
          </w:tcPr>
          <w:p w14:paraId="34DB04D3" w14:textId="77777777" w:rsidR="00605D96" w:rsidRDefault="00605D96" w:rsidP="008B207B">
            <w:pPr>
              <w:spacing w:after="0"/>
              <w:rPr>
                <w:spacing w:val="-4"/>
                <w:lang w:eastAsia="en-US"/>
              </w:rPr>
            </w:pPr>
          </w:p>
        </w:tc>
        <w:tc>
          <w:tcPr>
            <w:tcW w:w="4809" w:type="dxa"/>
            <w:hideMark/>
          </w:tcPr>
          <w:p w14:paraId="5154D21E" w14:textId="77777777" w:rsidR="00605D96" w:rsidRDefault="00605D96" w:rsidP="008B207B">
            <w:pPr>
              <w:spacing w:after="0"/>
              <w:ind w:right="21"/>
              <w:jc w:val="left"/>
              <w:rPr>
                <w:spacing w:val="-4"/>
                <w:lang w:eastAsia="en-US"/>
              </w:rPr>
            </w:pPr>
            <w:r>
              <w:rPr>
                <w:spacing w:val="-4"/>
                <w:sz w:val="16"/>
                <w:szCs w:val="16"/>
                <w:lang w:eastAsia="en-US"/>
              </w:rPr>
              <w:t>Zdroj: ČSÚ</w:t>
            </w:r>
          </w:p>
        </w:tc>
      </w:tr>
      <w:tr w:rsidR="00605D96" w14:paraId="35AF6E96" w14:textId="77777777" w:rsidTr="008B207B">
        <w:trPr>
          <w:trHeight w:val="170"/>
        </w:trPr>
        <w:tc>
          <w:tcPr>
            <w:tcW w:w="1748" w:type="dxa"/>
          </w:tcPr>
          <w:p w14:paraId="2B4BA84B" w14:textId="77777777" w:rsidR="00605D96" w:rsidRDefault="00605D96" w:rsidP="008B207B">
            <w:pPr>
              <w:pStyle w:val="Marginlie"/>
              <w:rPr>
                <w:lang w:eastAsia="en-US"/>
              </w:rPr>
            </w:pPr>
            <w:r>
              <w:rPr>
                <w:lang w:eastAsia="en-US"/>
              </w:rPr>
              <w:t>Ve směru zlepšení bilance loni působil obchod s motorovými vozidly.</w:t>
            </w:r>
          </w:p>
        </w:tc>
        <w:tc>
          <w:tcPr>
            <w:tcW w:w="252" w:type="dxa"/>
          </w:tcPr>
          <w:p w14:paraId="108402B1" w14:textId="77777777" w:rsidR="00605D96" w:rsidRDefault="00605D96" w:rsidP="008B207B">
            <w:pPr>
              <w:pStyle w:val="Textpoznpodarou"/>
              <w:jc w:val="both"/>
              <w:rPr>
                <w:spacing w:val="-4"/>
                <w:lang w:eastAsia="en-US"/>
              </w:rPr>
            </w:pPr>
          </w:p>
        </w:tc>
        <w:tc>
          <w:tcPr>
            <w:tcW w:w="7677" w:type="dxa"/>
            <w:gridSpan w:val="3"/>
          </w:tcPr>
          <w:p w14:paraId="3367F1AE" w14:textId="77777777" w:rsidR="00605D96" w:rsidRPr="009A2AD3" w:rsidRDefault="00605D96" w:rsidP="008B207B">
            <w:pPr>
              <w:rPr>
                <w:rFonts w:cs="Arial"/>
                <w:color w:val="000000"/>
                <w:szCs w:val="20"/>
                <w:lang w:eastAsia="en-US"/>
              </w:rPr>
            </w:pPr>
            <w:r>
              <w:rPr>
                <w:rFonts w:cs="Arial"/>
                <w:color w:val="000000"/>
                <w:szCs w:val="20"/>
                <w:lang w:eastAsia="en-US"/>
              </w:rPr>
              <w:t xml:space="preserve">Ve směru zhoršení bilance zahraničního obchodu se zbožím loni nejvíce působil obchod s kovodělnými výrobky (−39,9 mld. korun) a elektrickými zařízeními (−30,8 mld.). Významně se zhoršilo také saldo obchodu s produkty zemědělství a myslivosti (−7,2 mld. korun) a chemickými látkami a přípravky (−7,3 mld.). Naproti tomu loni ve směru zlepšení bilance výrazně působil obchod s motorovými vozidly </w:t>
            </w:r>
            <w:r>
              <w:rPr>
                <w:rFonts w:cs="Arial"/>
                <w:color w:val="000000"/>
                <w:szCs w:val="20"/>
                <w:lang w:eastAsia="en-US"/>
              </w:rPr>
              <w:br/>
              <w:t xml:space="preserve">(+41,1 mld. korun), stroji a zařízeními (+15,1 mld.), koksem a rafinovanými ropnými produkty (12,9 mld.), počítači, elektronickými a optickými přístroji (+8,6 mld.), základními farmaceutickými výrobky a produkty (+5,3 mld.) a pryžovými a plastovými výrobky (+5,1 mld.). Celkové meziroční zlepšení bilance zahraničního obchodu se zbožím ve 4. čtvrtletí pozitivně ovlivnil především obchod s ropou a zemním plynem (viz Tabulka č. 5) a stroji a zařízeními. Menší zlepšení pak byla zachycena u obchodu </w:t>
            </w:r>
            <w:r>
              <w:rPr>
                <w:rFonts w:cs="Arial"/>
                <w:color w:val="000000"/>
                <w:szCs w:val="20"/>
                <w:lang w:eastAsia="en-US"/>
              </w:rPr>
              <w:lastRenderedPageBreak/>
              <w:t xml:space="preserve">s koksem a rafinovanými ropnými výrobky, základními kovy, motorovými vozidly nebo pryžovými a plastovými výrobky. Naopak se zhoršovalo saldo obchodu s elektrickými zařízeními, elektřinou, plynem, párou a klimatizovaným vzduchem, kovodělnými výrobky, ostatními dopravními prostředky a zařízeními nebo chemickými látkami </w:t>
            </w:r>
            <w:r>
              <w:rPr>
                <w:rFonts w:cs="Arial"/>
                <w:color w:val="000000"/>
                <w:szCs w:val="20"/>
                <w:lang w:eastAsia="en-US"/>
              </w:rPr>
              <w:br/>
              <w:t>a přípravky.</w:t>
            </w:r>
          </w:p>
        </w:tc>
      </w:tr>
      <w:tr w:rsidR="00605D96" w14:paraId="18B176EF" w14:textId="77777777" w:rsidTr="008B207B">
        <w:trPr>
          <w:trHeight w:val="170"/>
        </w:trPr>
        <w:tc>
          <w:tcPr>
            <w:tcW w:w="1748" w:type="dxa"/>
          </w:tcPr>
          <w:p w14:paraId="26324A2F" w14:textId="77777777" w:rsidR="00605D96" w:rsidRDefault="00605D96" w:rsidP="008B207B">
            <w:pPr>
              <w:pStyle w:val="Marginlie"/>
              <w:rPr>
                <w:lang w:eastAsia="en-US"/>
              </w:rPr>
            </w:pPr>
          </w:p>
        </w:tc>
        <w:tc>
          <w:tcPr>
            <w:tcW w:w="252" w:type="dxa"/>
          </w:tcPr>
          <w:p w14:paraId="7254B0CF" w14:textId="77777777" w:rsidR="00605D96" w:rsidRDefault="00605D96" w:rsidP="008B207B">
            <w:pPr>
              <w:pStyle w:val="Textpoznpodarou"/>
              <w:jc w:val="both"/>
              <w:rPr>
                <w:spacing w:val="-4"/>
                <w:lang w:eastAsia="en-US"/>
              </w:rPr>
            </w:pPr>
          </w:p>
        </w:tc>
        <w:tc>
          <w:tcPr>
            <w:tcW w:w="7677" w:type="dxa"/>
            <w:gridSpan w:val="3"/>
          </w:tcPr>
          <w:p w14:paraId="360FD6D5" w14:textId="7AD805A4" w:rsidR="00605D96" w:rsidRDefault="00605D96" w:rsidP="008B207B">
            <w:pPr>
              <w:spacing w:after="0"/>
              <w:rPr>
                <w:spacing w:val="-4"/>
                <w:lang w:eastAsia="en-US"/>
              </w:rPr>
            </w:pPr>
            <w:r>
              <w:rPr>
                <w:rFonts w:cs="Arial"/>
                <w:b/>
                <w:bCs/>
                <w:color w:val="000000"/>
                <w:szCs w:val="20"/>
                <w:lang w:eastAsia="en-US"/>
              </w:rPr>
              <w:t>Graf č. </w:t>
            </w:r>
            <w:r w:rsidR="00281666">
              <w:rPr>
                <w:rFonts w:cs="Arial"/>
                <w:b/>
                <w:bCs/>
                <w:color w:val="000000"/>
                <w:szCs w:val="20"/>
                <w:lang w:eastAsia="en-US"/>
              </w:rPr>
              <w:t>10</w:t>
            </w:r>
            <w:r>
              <w:rPr>
                <w:rFonts w:cs="Arial"/>
                <w:b/>
                <w:bCs/>
                <w:color w:val="000000"/>
                <w:szCs w:val="20"/>
                <w:lang w:eastAsia="en-US"/>
              </w:rPr>
              <w:t xml:space="preserve"> Vývoz a dovoz zboží </w:t>
            </w:r>
            <w:r>
              <w:rPr>
                <w:rFonts w:cs="Arial"/>
                <w:bCs/>
                <w:color w:val="000000"/>
                <w:szCs w:val="20"/>
                <w:lang w:eastAsia="en-US"/>
              </w:rPr>
              <w:t>(meziročně v %)</w:t>
            </w:r>
            <w:r>
              <w:rPr>
                <w:rFonts w:cs="Arial"/>
                <w:b/>
                <w:bCs/>
                <w:color w:val="000000"/>
                <w:szCs w:val="20"/>
                <w:lang w:eastAsia="en-US"/>
              </w:rPr>
              <w:t xml:space="preserve"> a bilance zahraničního obchodu se zbožím </w:t>
            </w:r>
            <w:r>
              <w:rPr>
                <w:rFonts w:cs="Arial"/>
                <w:bCs/>
                <w:color w:val="000000"/>
                <w:szCs w:val="20"/>
                <w:lang w:eastAsia="en-US"/>
              </w:rPr>
              <w:t>(v mld. korun, pravá osa)</w:t>
            </w:r>
            <w:r>
              <w:rPr>
                <w:rFonts w:cs="Arial"/>
                <w:b/>
                <w:bCs/>
                <w:color w:val="000000"/>
                <w:szCs w:val="20"/>
                <w:lang w:eastAsia="en-US"/>
              </w:rPr>
              <w:t xml:space="preserve"> </w:t>
            </w:r>
          </w:p>
        </w:tc>
      </w:tr>
      <w:tr w:rsidR="00605D96" w14:paraId="3904DEC6" w14:textId="77777777" w:rsidTr="008B207B">
        <w:tblPrEx>
          <w:tblCellMar>
            <w:left w:w="70" w:type="dxa"/>
            <w:right w:w="70" w:type="dxa"/>
          </w:tblCellMar>
        </w:tblPrEx>
        <w:trPr>
          <w:trHeight w:val="170"/>
        </w:trPr>
        <w:tc>
          <w:tcPr>
            <w:tcW w:w="1748" w:type="dxa"/>
            <w:vMerge w:val="restart"/>
          </w:tcPr>
          <w:p w14:paraId="6B2C6239" w14:textId="77777777" w:rsidR="00605D96" w:rsidRDefault="00605D96" w:rsidP="008B207B">
            <w:pPr>
              <w:pStyle w:val="Marginlie"/>
              <w:rPr>
                <w:lang w:eastAsia="en-US"/>
              </w:rPr>
            </w:pPr>
          </w:p>
        </w:tc>
        <w:tc>
          <w:tcPr>
            <w:tcW w:w="252" w:type="dxa"/>
            <w:vMerge w:val="restart"/>
          </w:tcPr>
          <w:p w14:paraId="20C115C7" w14:textId="77777777" w:rsidR="00605D96" w:rsidRDefault="00605D96" w:rsidP="008B207B">
            <w:pPr>
              <w:pStyle w:val="Textpoznpodarou"/>
              <w:jc w:val="both"/>
              <w:rPr>
                <w:spacing w:val="-4"/>
                <w:lang w:eastAsia="en-US"/>
              </w:rPr>
            </w:pPr>
          </w:p>
        </w:tc>
        <w:tc>
          <w:tcPr>
            <w:tcW w:w="7677" w:type="dxa"/>
            <w:gridSpan w:val="3"/>
          </w:tcPr>
          <w:p w14:paraId="2A6D2A84" w14:textId="77777777" w:rsidR="00605D96" w:rsidRDefault="00605D96" w:rsidP="008B207B">
            <w:pPr>
              <w:spacing w:after="0"/>
              <w:rPr>
                <w:spacing w:val="-4"/>
                <w:lang w:eastAsia="en-US"/>
              </w:rPr>
            </w:pPr>
            <w:r>
              <w:rPr>
                <w:noProof/>
              </w:rPr>
              <w:drawing>
                <wp:inline distT="0" distB="0" distL="0" distR="0" wp14:anchorId="4304186F" wp14:editId="0F2A33B8">
                  <wp:extent cx="4752000" cy="3492000"/>
                  <wp:effectExtent l="0" t="0" r="0" b="0"/>
                  <wp:docPr id="75796992" name="Graf 1">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r w:rsidR="00605D96" w14:paraId="4FC096B4" w14:textId="77777777" w:rsidTr="008B207B">
        <w:trPr>
          <w:trHeight w:val="170"/>
        </w:trPr>
        <w:tc>
          <w:tcPr>
            <w:tcW w:w="1748" w:type="dxa"/>
            <w:vMerge/>
          </w:tcPr>
          <w:p w14:paraId="0AE31D16" w14:textId="77777777" w:rsidR="00605D96" w:rsidRDefault="00605D96" w:rsidP="008B207B">
            <w:pPr>
              <w:pStyle w:val="Marginlie"/>
              <w:rPr>
                <w:lang w:eastAsia="en-US"/>
              </w:rPr>
            </w:pPr>
          </w:p>
        </w:tc>
        <w:tc>
          <w:tcPr>
            <w:tcW w:w="252" w:type="dxa"/>
            <w:vMerge/>
          </w:tcPr>
          <w:p w14:paraId="45DF8F96" w14:textId="77777777" w:rsidR="00605D96" w:rsidRDefault="00605D96" w:rsidP="008B207B">
            <w:pPr>
              <w:pStyle w:val="Textpoznpodarou"/>
              <w:jc w:val="both"/>
              <w:rPr>
                <w:spacing w:val="-4"/>
                <w:lang w:eastAsia="en-US"/>
              </w:rPr>
            </w:pPr>
          </w:p>
        </w:tc>
        <w:tc>
          <w:tcPr>
            <w:tcW w:w="7677" w:type="dxa"/>
            <w:gridSpan w:val="3"/>
          </w:tcPr>
          <w:p w14:paraId="2C9448FB" w14:textId="77777777" w:rsidR="00605D96" w:rsidRDefault="00605D96" w:rsidP="008B207B">
            <w:pPr>
              <w:rPr>
                <w:spacing w:val="-4"/>
                <w:lang w:eastAsia="en-US"/>
              </w:rPr>
            </w:pPr>
            <w:r>
              <w:rPr>
                <w:sz w:val="16"/>
                <w:szCs w:val="16"/>
                <w:lang w:eastAsia="en-US"/>
              </w:rPr>
              <w:t>Zdroj: ČSÚ</w:t>
            </w:r>
          </w:p>
        </w:tc>
      </w:tr>
      <w:bookmarkEnd w:id="22"/>
      <w:bookmarkEnd w:id="23"/>
      <w:bookmarkEnd w:id="24"/>
    </w:tbl>
    <w:p w14:paraId="2A626935" w14:textId="77777777" w:rsidR="00605D96" w:rsidRDefault="00605D96" w:rsidP="00605D96">
      <w:pPr>
        <w:spacing w:after="0" w:line="240" w:lineRule="auto"/>
        <w:jc w:val="left"/>
        <w:rPr>
          <w:rFonts w:eastAsia="MS Gothic"/>
          <w:bCs/>
          <w:color w:val="71818C"/>
          <w:sz w:val="2"/>
          <w:szCs w:val="2"/>
        </w:rPr>
      </w:pPr>
    </w:p>
    <w:p w14:paraId="1C6AECB9" w14:textId="77777777" w:rsidR="00605D96" w:rsidRDefault="00605D96" w:rsidP="00605D96">
      <w:pPr>
        <w:spacing w:after="0" w:line="240" w:lineRule="auto"/>
        <w:jc w:val="left"/>
        <w:rPr>
          <w:rFonts w:eastAsia="MS Gothic"/>
          <w:b/>
          <w:bCs/>
          <w:color w:val="86BF5E"/>
          <w:sz w:val="32"/>
          <w:szCs w:val="28"/>
        </w:rPr>
      </w:pPr>
    </w:p>
    <w:p w14:paraId="4D084036" w14:textId="77777777" w:rsidR="00605D96" w:rsidRDefault="00605D96" w:rsidP="00605D96">
      <w:pPr>
        <w:spacing w:after="0" w:line="240" w:lineRule="auto"/>
        <w:jc w:val="left"/>
        <w:rPr>
          <w:rFonts w:eastAsia="MS Gothic"/>
          <w:bCs/>
          <w:color w:val="71818C"/>
          <w:sz w:val="2"/>
          <w:szCs w:val="2"/>
        </w:rPr>
      </w:pPr>
    </w:p>
    <w:p w14:paraId="50942AA3" w14:textId="77777777" w:rsidR="00605D96" w:rsidRPr="00C5418A" w:rsidRDefault="00605D96" w:rsidP="00605D96">
      <w:pPr>
        <w:spacing w:after="0" w:line="240" w:lineRule="auto"/>
        <w:jc w:val="left"/>
        <w:rPr>
          <w:rFonts w:eastAsia="MS Gothic"/>
          <w:b/>
          <w:bCs/>
          <w:color w:val="86BF5E"/>
          <w:sz w:val="32"/>
          <w:szCs w:val="28"/>
          <w:highlight w:val="yellow"/>
        </w:rPr>
      </w:pPr>
    </w:p>
    <w:p w14:paraId="3EBD19C5" w14:textId="77777777" w:rsidR="00605D96" w:rsidRDefault="00605D96">
      <w:pPr>
        <w:spacing w:after="0" w:line="240" w:lineRule="auto"/>
        <w:jc w:val="left"/>
        <w:rPr>
          <w:rFonts w:eastAsia="MS Gothic"/>
          <w:b/>
          <w:bCs/>
          <w:color w:val="86BF5E"/>
          <w:sz w:val="32"/>
          <w:szCs w:val="28"/>
        </w:rPr>
      </w:pPr>
      <w:r>
        <w:br w:type="page"/>
      </w:r>
    </w:p>
    <w:p w14:paraId="13242195" w14:textId="508CA5AF" w:rsidR="007F0076" w:rsidRDefault="007F0076" w:rsidP="007F0076">
      <w:pPr>
        <w:pStyle w:val="Nadpis1"/>
      </w:pPr>
      <w:bookmarkStart w:id="25" w:name="_Toc224903149"/>
      <w:r>
        <w:lastRenderedPageBreak/>
        <w:t>5. Ceny</w:t>
      </w:r>
      <w:bookmarkEnd w:id="25"/>
      <w:r>
        <w:t xml:space="preserve"> </w:t>
      </w:r>
    </w:p>
    <w:tbl>
      <w:tblPr>
        <w:tblW w:w="9639" w:type="dxa"/>
        <w:tblInd w:w="-15" w:type="dxa"/>
        <w:tblCellMar>
          <w:left w:w="0" w:type="dxa"/>
          <w:right w:w="0" w:type="dxa"/>
        </w:tblCellMar>
        <w:tblLook w:val="00A0" w:firstRow="1" w:lastRow="0" w:firstColumn="1" w:lastColumn="0" w:noHBand="0" w:noVBand="0"/>
      </w:tblPr>
      <w:tblGrid>
        <w:gridCol w:w="1791"/>
        <w:gridCol w:w="223"/>
        <w:gridCol w:w="7625"/>
      </w:tblGrid>
      <w:tr w:rsidR="007F0076" w14:paraId="0D8BDA01" w14:textId="77777777" w:rsidTr="00E87182">
        <w:trPr>
          <w:trHeight w:val="145"/>
        </w:trPr>
        <w:tc>
          <w:tcPr>
            <w:tcW w:w="1791" w:type="dxa"/>
            <w:hideMark/>
          </w:tcPr>
          <w:p w14:paraId="6C291037" w14:textId="77777777" w:rsidR="007F0076" w:rsidRDefault="007F0076" w:rsidP="00E87182">
            <w:pPr>
              <w:pStyle w:val="Marginlie"/>
              <w:rPr>
                <w:spacing w:val="0"/>
                <w:lang w:eastAsia="en-US"/>
              </w:rPr>
            </w:pPr>
            <w:r>
              <w:rPr>
                <w:spacing w:val="0"/>
                <w:lang w:eastAsia="en-US"/>
              </w:rPr>
              <w:t>Cenová hladina v roce 2025 vzrostla o 3,4 %.</w:t>
            </w:r>
          </w:p>
        </w:tc>
        <w:tc>
          <w:tcPr>
            <w:tcW w:w="223" w:type="dxa"/>
          </w:tcPr>
          <w:p w14:paraId="7E600BEE" w14:textId="77777777" w:rsidR="007F0076" w:rsidRDefault="007F0076" w:rsidP="00E87182">
            <w:pPr>
              <w:pStyle w:val="Textpoznpodarou1"/>
              <w:jc w:val="both"/>
              <w:rPr>
                <w:lang w:eastAsia="en-US"/>
              </w:rPr>
            </w:pPr>
          </w:p>
        </w:tc>
        <w:tc>
          <w:tcPr>
            <w:tcW w:w="7625" w:type="dxa"/>
            <w:hideMark/>
          </w:tcPr>
          <w:p w14:paraId="45B6B6B3" w14:textId="77777777" w:rsidR="007F0076" w:rsidRDefault="007F0076" w:rsidP="00E87182">
            <w:pPr>
              <w:rPr>
                <w:szCs w:val="20"/>
                <w:lang w:eastAsia="en-US"/>
              </w:rPr>
            </w:pPr>
            <w:r>
              <w:rPr>
                <w:szCs w:val="20"/>
                <w:lang w:eastAsia="en-US"/>
              </w:rPr>
              <w:t xml:space="preserve">Celkový nárůst cenové hladiny měřený deflátorem HDP v roce 2025 dosáhl 3,4 %. Vyšší byla cenová hladina u spotřeby (3,2 %, z toho ceny spotřeby domácností vzrostly o 2,9 %) i výdajů na tvorbu hrubého kapitálu (3,1 %). Směnné relace zahraničního obchodu se zbožím a službami byly pozitivní (100,7 %). Celkový meziroční růst cenové hladiny loni ve 4. čtvrtletí posílil na 3,9 %. To ovlivnil zejména vývoj cenové hladiny kapitálových výdajů (5,4 %), především ocenění zásob. Cenová hladina výdajů na tvorbu fixního kapitálu totiž rostla jen mírně (2,1 %). Ceny spotřeby byly meziročně vyšší o 3,2 %, z toho pro domácnosti ceny vzrostly o 2,5 %. Meziroční směnné relace zahraničního obchodu dosáhly 100,9 %. Mezičtvrtletně se celková cenová hladina ve 4. kvartálu zvýšila o 1,0 %. Přírůstek posílil a vliv na to měly kromě silnějšího růstu cen spotřeby (0,8 %) i kladné mezičtvrtletní směnné relace zahraničního obchodu (100,5 %). Mezičtvrtletní růst cen výdajů na tvorbu hrubého kapitálu oslabil na 0,5 %.  </w:t>
            </w:r>
          </w:p>
        </w:tc>
      </w:tr>
      <w:tr w:rsidR="007F0076" w14:paraId="43BE307A" w14:textId="77777777" w:rsidTr="00E87182">
        <w:trPr>
          <w:trHeight w:val="145"/>
        </w:trPr>
        <w:tc>
          <w:tcPr>
            <w:tcW w:w="1791" w:type="dxa"/>
          </w:tcPr>
          <w:p w14:paraId="49371E32" w14:textId="77777777" w:rsidR="007F0076" w:rsidRDefault="007F0076" w:rsidP="00E87182">
            <w:pPr>
              <w:pStyle w:val="Marginlie"/>
              <w:rPr>
                <w:spacing w:val="0"/>
                <w:lang w:eastAsia="en-US"/>
              </w:rPr>
            </w:pPr>
            <w:r>
              <w:rPr>
                <w:spacing w:val="0"/>
                <w:lang w:eastAsia="en-US"/>
              </w:rPr>
              <w:t>Meziroční růst spotřebitelských cen se příliš nelišil od roku 2024.</w:t>
            </w:r>
          </w:p>
        </w:tc>
        <w:tc>
          <w:tcPr>
            <w:tcW w:w="223" w:type="dxa"/>
          </w:tcPr>
          <w:p w14:paraId="628E4917" w14:textId="77777777" w:rsidR="007F0076" w:rsidRDefault="007F0076" w:rsidP="00E87182">
            <w:pPr>
              <w:pStyle w:val="Textpoznpodarou1"/>
              <w:jc w:val="both"/>
              <w:rPr>
                <w:lang w:eastAsia="en-US"/>
              </w:rPr>
            </w:pPr>
          </w:p>
        </w:tc>
        <w:tc>
          <w:tcPr>
            <w:tcW w:w="7625" w:type="dxa"/>
          </w:tcPr>
          <w:p w14:paraId="0796EAE6" w14:textId="77777777" w:rsidR="007F0076" w:rsidRDefault="007F0076" w:rsidP="00E87182">
            <w:pPr>
              <w:rPr>
                <w:lang w:eastAsia="en-US"/>
              </w:rPr>
            </w:pPr>
            <w:r>
              <w:rPr>
                <w:lang w:eastAsia="en-US"/>
              </w:rPr>
              <w:t xml:space="preserve">Spotřebitelské ceny se v roce 2025 celkově zvýšily o 2,5 %. Přírůstek se jen mírně zvýšil oproti předchozímu roku (2,4 %). Loni k celkovému nárůstu spotřebitelských cen nejvíce přispěly ceny potravin a nealkoholických nápojů a dále oddíl bydlení, voda energie a paliva. Nadprůměrnou dynamiku a významný vliv na vývoj spotřebitelských cen si loni nadále držely dva oddíly zahrnující služby – stravování a ubytování a rekreace a kultura. Ve směru poklesu spotřebitelských cen loni působil jen vývoj u odívání a obuvi a dopravy. </w:t>
            </w:r>
          </w:p>
        </w:tc>
      </w:tr>
      <w:tr w:rsidR="007F0076" w14:paraId="089EDD27" w14:textId="77777777" w:rsidTr="00E87182">
        <w:trPr>
          <w:trHeight w:val="145"/>
        </w:trPr>
        <w:tc>
          <w:tcPr>
            <w:tcW w:w="1791" w:type="dxa"/>
          </w:tcPr>
          <w:p w14:paraId="725697A0" w14:textId="77777777" w:rsidR="007F0076" w:rsidRDefault="007F0076" w:rsidP="00E87182">
            <w:pPr>
              <w:pStyle w:val="Marginlie"/>
              <w:rPr>
                <w:spacing w:val="0"/>
                <w:lang w:eastAsia="en-US"/>
              </w:rPr>
            </w:pPr>
          </w:p>
        </w:tc>
        <w:tc>
          <w:tcPr>
            <w:tcW w:w="223" w:type="dxa"/>
          </w:tcPr>
          <w:p w14:paraId="7F03D71F" w14:textId="77777777" w:rsidR="007F0076" w:rsidRDefault="007F0076" w:rsidP="00E87182">
            <w:pPr>
              <w:pStyle w:val="Textpoznpodarou1"/>
              <w:jc w:val="both"/>
              <w:rPr>
                <w:lang w:eastAsia="en-US"/>
              </w:rPr>
            </w:pPr>
          </w:p>
        </w:tc>
        <w:tc>
          <w:tcPr>
            <w:tcW w:w="7625" w:type="dxa"/>
            <w:hideMark/>
          </w:tcPr>
          <w:p w14:paraId="5160C628" w14:textId="331BBEFF" w:rsidR="007F0076" w:rsidRDefault="007F0076" w:rsidP="00E87182">
            <w:pPr>
              <w:spacing w:after="0"/>
              <w:rPr>
                <w:lang w:eastAsia="en-US"/>
              </w:rPr>
            </w:pPr>
            <w:r>
              <w:rPr>
                <w:rFonts w:cs="Arial"/>
                <w:b/>
                <w:bCs/>
                <w:color w:val="000000"/>
                <w:sz w:val="18"/>
                <w:szCs w:val="18"/>
                <w:lang w:eastAsia="en-US"/>
              </w:rPr>
              <w:t>Graf č. 1</w:t>
            </w:r>
            <w:r w:rsidR="00281666">
              <w:rPr>
                <w:rFonts w:cs="Arial"/>
                <w:b/>
                <w:bCs/>
                <w:color w:val="000000"/>
                <w:sz w:val="18"/>
                <w:szCs w:val="18"/>
                <w:lang w:eastAsia="en-US"/>
              </w:rPr>
              <w:t>1</w:t>
            </w:r>
            <w:r>
              <w:rPr>
                <w:rFonts w:cs="Arial"/>
                <w:b/>
                <w:bCs/>
                <w:color w:val="000000"/>
                <w:sz w:val="18"/>
                <w:szCs w:val="18"/>
                <w:lang w:eastAsia="en-US"/>
              </w:rPr>
              <w:t xml:space="preserve"> Ceny ve vybraných oddílech indexu spotřebitelských cen</w:t>
            </w:r>
            <w:r>
              <w:rPr>
                <w:rFonts w:cs="Arial"/>
                <w:b/>
                <w:color w:val="000000"/>
                <w:sz w:val="18"/>
                <w:szCs w:val="18"/>
                <w:lang w:eastAsia="en-US"/>
              </w:rPr>
              <w:t xml:space="preserve"> </w:t>
            </w:r>
            <w:r>
              <w:rPr>
                <w:rFonts w:cs="Arial"/>
                <w:color w:val="000000"/>
                <w:sz w:val="18"/>
                <w:szCs w:val="18"/>
                <w:lang w:eastAsia="en-US"/>
              </w:rPr>
              <w:t>(meziročně v %)</w:t>
            </w:r>
          </w:p>
        </w:tc>
      </w:tr>
      <w:tr w:rsidR="007F0076" w14:paraId="4E243B6E" w14:textId="77777777" w:rsidTr="00E87182">
        <w:tblPrEx>
          <w:tblCellMar>
            <w:left w:w="70" w:type="dxa"/>
            <w:right w:w="70" w:type="dxa"/>
          </w:tblCellMar>
        </w:tblPrEx>
        <w:trPr>
          <w:trHeight w:val="145"/>
        </w:trPr>
        <w:tc>
          <w:tcPr>
            <w:tcW w:w="1791" w:type="dxa"/>
          </w:tcPr>
          <w:p w14:paraId="5196D4DE" w14:textId="77777777" w:rsidR="007F0076" w:rsidRDefault="007F0076" w:rsidP="00E87182">
            <w:pPr>
              <w:pStyle w:val="Marginlie"/>
              <w:rPr>
                <w:spacing w:val="0"/>
                <w:lang w:eastAsia="en-US"/>
              </w:rPr>
            </w:pPr>
          </w:p>
        </w:tc>
        <w:tc>
          <w:tcPr>
            <w:tcW w:w="223" w:type="dxa"/>
          </w:tcPr>
          <w:p w14:paraId="22712F3A" w14:textId="77777777" w:rsidR="007F0076" w:rsidRDefault="007F0076" w:rsidP="00E87182">
            <w:pPr>
              <w:pStyle w:val="Textpoznpodarou1"/>
              <w:jc w:val="both"/>
              <w:rPr>
                <w:lang w:eastAsia="en-US"/>
              </w:rPr>
            </w:pPr>
          </w:p>
        </w:tc>
        <w:tc>
          <w:tcPr>
            <w:tcW w:w="7625" w:type="dxa"/>
            <w:hideMark/>
          </w:tcPr>
          <w:p w14:paraId="6B2D9118" w14:textId="77777777" w:rsidR="007F0076" w:rsidRDefault="007F0076" w:rsidP="00E87182">
            <w:pPr>
              <w:spacing w:after="0"/>
              <w:jc w:val="center"/>
              <w:rPr>
                <w:lang w:eastAsia="en-US"/>
              </w:rPr>
            </w:pPr>
            <w:r>
              <w:rPr>
                <w:noProof/>
              </w:rPr>
              <w:drawing>
                <wp:inline distT="0" distB="0" distL="0" distR="0" wp14:anchorId="519E6926" wp14:editId="4534A58E">
                  <wp:extent cx="4752000" cy="3553200"/>
                  <wp:effectExtent l="0" t="0" r="0" b="0"/>
                  <wp:docPr id="320989416" name="Graf 1">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7F0076" w14:paraId="3AE9E0FD" w14:textId="77777777" w:rsidTr="00E87182">
        <w:trPr>
          <w:trHeight w:val="145"/>
        </w:trPr>
        <w:tc>
          <w:tcPr>
            <w:tcW w:w="1791" w:type="dxa"/>
          </w:tcPr>
          <w:p w14:paraId="5F08D296" w14:textId="77777777" w:rsidR="007F0076" w:rsidRDefault="007F0076" w:rsidP="00E87182">
            <w:pPr>
              <w:pStyle w:val="Marginlie"/>
              <w:rPr>
                <w:spacing w:val="0"/>
                <w:lang w:eastAsia="en-US"/>
              </w:rPr>
            </w:pPr>
          </w:p>
        </w:tc>
        <w:tc>
          <w:tcPr>
            <w:tcW w:w="223" w:type="dxa"/>
          </w:tcPr>
          <w:p w14:paraId="7083A659" w14:textId="77777777" w:rsidR="007F0076" w:rsidRDefault="007F0076" w:rsidP="00E87182">
            <w:pPr>
              <w:pStyle w:val="Textpoznpodarou1"/>
              <w:jc w:val="both"/>
              <w:rPr>
                <w:lang w:eastAsia="en-US"/>
              </w:rPr>
            </w:pPr>
          </w:p>
        </w:tc>
        <w:tc>
          <w:tcPr>
            <w:tcW w:w="7625" w:type="dxa"/>
            <w:hideMark/>
          </w:tcPr>
          <w:p w14:paraId="059186B7" w14:textId="77777777" w:rsidR="007F0076" w:rsidRDefault="007F0076" w:rsidP="00E87182">
            <w:pPr>
              <w:jc w:val="left"/>
              <w:rPr>
                <w:sz w:val="16"/>
                <w:szCs w:val="16"/>
                <w:lang w:eastAsia="en-US"/>
              </w:rPr>
            </w:pPr>
            <w:r>
              <w:rPr>
                <w:sz w:val="16"/>
                <w:szCs w:val="16"/>
                <w:lang w:eastAsia="en-US"/>
              </w:rPr>
              <w:t>Zdroj: ČSÚ</w:t>
            </w:r>
          </w:p>
        </w:tc>
      </w:tr>
      <w:tr w:rsidR="007F0076" w14:paraId="0FC8B672" w14:textId="77777777" w:rsidTr="00E87182">
        <w:trPr>
          <w:trHeight w:val="145"/>
        </w:trPr>
        <w:tc>
          <w:tcPr>
            <w:tcW w:w="1791" w:type="dxa"/>
          </w:tcPr>
          <w:p w14:paraId="396920D4" w14:textId="77777777" w:rsidR="007F0076" w:rsidRDefault="007F0076" w:rsidP="00E87182">
            <w:pPr>
              <w:pStyle w:val="Marginlie"/>
              <w:rPr>
                <w:spacing w:val="0"/>
                <w:lang w:eastAsia="en-US"/>
              </w:rPr>
            </w:pPr>
            <w:r>
              <w:rPr>
                <w:spacing w:val="0"/>
                <w:lang w:eastAsia="en-US"/>
              </w:rPr>
              <w:t>Meziroční růst spotřebitelských cen v závěru roku zpomaloval.</w:t>
            </w:r>
          </w:p>
        </w:tc>
        <w:tc>
          <w:tcPr>
            <w:tcW w:w="223" w:type="dxa"/>
          </w:tcPr>
          <w:p w14:paraId="111D3378" w14:textId="77777777" w:rsidR="007F0076" w:rsidRDefault="007F0076" w:rsidP="00E87182">
            <w:pPr>
              <w:pStyle w:val="Textpoznpodarou1"/>
              <w:jc w:val="both"/>
              <w:rPr>
                <w:lang w:eastAsia="en-US"/>
              </w:rPr>
            </w:pPr>
          </w:p>
        </w:tc>
        <w:tc>
          <w:tcPr>
            <w:tcW w:w="7625" w:type="dxa"/>
          </w:tcPr>
          <w:p w14:paraId="284C3CE4" w14:textId="77777777" w:rsidR="007F0076" w:rsidRDefault="007F0076" w:rsidP="00E87182">
            <w:pPr>
              <w:rPr>
                <w:lang w:eastAsia="en-US"/>
              </w:rPr>
            </w:pPr>
            <w:r>
              <w:rPr>
                <w:lang w:eastAsia="en-US"/>
              </w:rPr>
              <w:t xml:space="preserve">Meziroční dynamika indexu spotřebitelských cen ke konci roku 2025 oslabila a ve 4. čtvrtletí tak byly ceny vyšší o 2,2 %. Důvodem zpomalení byl zejména útlum růstu cen potravin a nealkoholických nápojů. Pozici oddílu s nejsilnějším příspěvkem k celkovému meziročnímu růstu spotřebitelských cen si tak ve 4. kvartálu opět převzalo bydlení a energie. K meziročnímu růstu spotřebitelských cen ve 4. čtvrtletí významně přispívaly rovněž alkoholické nápoje a tabák, rekreace a kultura a stravování a ubytování. Mezičtvrtletně se spotřebitelské ceny ve 4. čtvrtletí 2025 snížily o 0,2 % </w:t>
            </w:r>
            <w:r>
              <w:rPr>
                <w:lang w:eastAsia="en-US"/>
              </w:rPr>
              <w:lastRenderedPageBreak/>
              <w:t xml:space="preserve">(první pokles od 4. kvartálu 2023), především pod vlivem vývoje cen potravin a nealkoholických nápojů, rekreace a kultury a dopravy.      </w:t>
            </w:r>
          </w:p>
        </w:tc>
      </w:tr>
      <w:tr w:rsidR="007F0076" w14:paraId="32350428" w14:textId="77777777" w:rsidTr="00E87182">
        <w:trPr>
          <w:trHeight w:val="145"/>
        </w:trPr>
        <w:tc>
          <w:tcPr>
            <w:tcW w:w="1791" w:type="dxa"/>
          </w:tcPr>
          <w:p w14:paraId="220BEF0F" w14:textId="77777777" w:rsidR="007F0076" w:rsidRDefault="007F0076" w:rsidP="00E87182">
            <w:pPr>
              <w:pStyle w:val="Marginlie"/>
              <w:rPr>
                <w:spacing w:val="0"/>
                <w:lang w:eastAsia="en-US"/>
              </w:rPr>
            </w:pPr>
            <w:r>
              <w:rPr>
                <w:spacing w:val="0"/>
                <w:lang w:eastAsia="en-US"/>
              </w:rPr>
              <w:lastRenderedPageBreak/>
              <w:t>K navýšení cenové hladiny nejvíce přispěly ceny potravin.</w:t>
            </w:r>
          </w:p>
        </w:tc>
        <w:tc>
          <w:tcPr>
            <w:tcW w:w="223" w:type="dxa"/>
          </w:tcPr>
          <w:p w14:paraId="3EDEDC67" w14:textId="77777777" w:rsidR="007F0076" w:rsidRDefault="007F0076" w:rsidP="00E87182">
            <w:pPr>
              <w:pStyle w:val="Textpoznpodarou1"/>
              <w:jc w:val="both"/>
              <w:rPr>
                <w:lang w:eastAsia="en-US"/>
              </w:rPr>
            </w:pPr>
          </w:p>
        </w:tc>
        <w:tc>
          <w:tcPr>
            <w:tcW w:w="7625" w:type="dxa"/>
          </w:tcPr>
          <w:p w14:paraId="06BA3FFA" w14:textId="77777777" w:rsidR="007F0076" w:rsidRDefault="007F0076" w:rsidP="00E87182">
            <w:pPr>
              <w:rPr>
                <w:lang w:eastAsia="en-US"/>
              </w:rPr>
            </w:pPr>
            <w:r>
              <w:rPr>
                <w:lang w:eastAsia="en-US"/>
              </w:rPr>
              <w:t xml:space="preserve">Ceny potravin a nealkoholických nápojů po většinu loňského roku výrazně meziročně rostly (přes 5 % v 1. pololetí, 4,2 % ve 3. čtvrtletí) a celkově se zvýšily o 4,2 %. V roce 2025 nejvíce zdražily mléko, sýry a vejce (8,2 %), cukr, cukrovinky a příbuzné výrobky (6,4 %) a nealkoholické nápoje (6,2 %). Výrazný byl také nárůst cen olejů a tuků (5,6 %), ovoce (5,3 %) a masa (4,3 %). Ceny pekárenských výrobků si po celý rok držely mírné tempo růstu a celkově se zvýšily o 2,2 %. Klesaly jen ceny zeleniny (−2,2 %). Samotný 4. kvartál přinesl výrazné zpomalení meziročního růstu cen potravin a nealkoholických nápojů na 2,5 %, což také korespondovalo s mezičtvrtletním poklesem o 0,7 %. Na zpomalení se podílel především meziroční propad cen olejů a tuků o 10,6 % a také pokles cen ovoce o 4,9 %. Ve zbytku oddílu zůstala cenová dynamika v zásadě stabilní. Silný meziroční růst si držely zejména ceny cukru a cukrovinek (6,0 %), mléka, sýrů a vajec a masa (obě shodně 5,3 %) a nealkoholických nápojů (5,1 %). K růstu spotřebitelských cen loni významně přispívaly také ceny alkoholických nápojů a tabáku, ačkoli jejich přírůstek o 4,0 % byl nejnižší od roku 2019. V samotném 4. čtvrtletí alkohol a tabák zdražily meziročně o 4,1 % a mezičtvrtletně o 0,6 %. </w:t>
            </w:r>
          </w:p>
        </w:tc>
      </w:tr>
      <w:tr w:rsidR="007F0076" w14:paraId="3CD71ABA" w14:textId="77777777" w:rsidTr="00E87182">
        <w:trPr>
          <w:trHeight w:val="145"/>
        </w:trPr>
        <w:tc>
          <w:tcPr>
            <w:tcW w:w="1791" w:type="dxa"/>
          </w:tcPr>
          <w:p w14:paraId="36ED3E0F" w14:textId="77777777" w:rsidR="007F0076" w:rsidRDefault="007F0076" w:rsidP="00E87182">
            <w:pPr>
              <w:pStyle w:val="Marginlie"/>
              <w:rPr>
                <w:spacing w:val="0"/>
                <w:lang w:eastAsia="en-US"/>
              </w:rPr>
            </w:pPr>
            <w:r>
              <w:rPr>
                <w:spacing w:val="0"/>
                <w:lang w:eastAsia="en-US"/>
              </w:rPr>
              <w:t xml:space="preserve">Stabilní roli ve vývoji spotřebitelských cen si držely ceny bydlení </w:t>
            </w:r>
            <w:r>
              <w:rPr>
                <w:spacing w:val="0"/>
                <w:lang w:eastAsia="en-US"/>
              </w:rPr>
              <w:br/>
              <w:t>a energií.</w:t>
            </w:r>
          </w:p>
        </w:tc>
        <w:tc>
          <w:tcPr>
            <w:tcW w:w="223" w:type="dxa"/>
          </w:tcPr>
          <w:p w14:paraId="4672A2E2" w14:textId="77777777" w:rsidR="007F0076" w:rsidRDefault="007F0076" w:rsidP="00E87182">
            <w:pPr>
              <w:pStyle w:val="Textpoznpodarou1"/>
              <w:jc w:val="both"/>
              <w:rPr>
                <w:lang w:eastAsia="en-US"/>
              </w:rPr>
            </w:pPr>
          </w:p>
        </w:tc>
        <w:tc>
          <w:tcPr>
            <w:tcW w:w="7625" w:type="dxa"/>
          </w:tcPr>
          <w:p w14:paraId="36DFA559" w14:textId="77777777" w:rsidR="007F0076" w:rsidRDefault="007F0076" w:rsidP="00E87182">
            <w:pPr>
              <w:rPr>
                <w:lang w:eastAsia="en-US"/>
              </w:rPr>
            </w:pPr>
            <w:r>
              <w:rPr>
                <w:lang w:eastAsia="en-US"/>
              </w:rPr>
              <w:t>Ceny bydlení a energií loni vzrostly o 1,8 %, což byl nejnižší nárůst od roku 2017. Vzhledem k váze tohoto oddílu ve spotřebním koši ale bydlení a energie navzdory zpomalení tempa stále významně přispívaly k celkovému růstu spotřebitelských cen. Ve směru poklesu cen bydlení a energií loni působily výhradně ceny elektrické a tepelné energie, plynu a ostatních paliv, které byly nižší o 3,4 %. Naopak výrazně rostlo nájemné z bytu (6,1 %) i imputované nájemné</w:t>
            </w:r>
            <w:r>
              <w:rPr>
                <w:rStyle w:val="Znakapoznpodarou"/>
                <w:lang w:eastAsia="en-US"/>
              </w:rPr>
              <w:footnoteReference w:id="79"/>
            </w:r>
            <w:r>
              <w:rPr>
                <w:lang w:eastAsia="en-US"/>
              </w:rPr>
              <w:t xml:space="preserve"> (4,4 %) a výraznou dynamiku cen nadále měly ostatní služby související s bydlením (3,9 %) i běžná údržba a drobné opravy (3,4 %). V samotném 4. čtvrtletí ceny bydlení a energií vzrostly meziročně o 1,9 % a mezičtvrtletně o 0,5 %. Nejvíce meziročně vzrostly ceny nájemného z bytu (6,1 %) a imputovaného nájemného (4,8 %). Výrazné tempo si držely ceny ostatních služeb souvisejících s bydlením (3,9 %) i běžná údržba a drobné opravy (3,4 %). Ceny elektrické a tepelné energie, plynu a ostatních paliv jako jediné meziročně klesaly (−3,9 %).</w:t>
            </w:r>
          </w:p>
        </w:tc>
      </w:tr>
      <w:tr w:rsidR="007F0076" w14:paraId="7BC6BE08" w14:textId="77777777" w:rsidTr="00E87182">
        <w:trPr>
          <w:trHeight w:val="145"/>
        </w:trPr>
        <w:tc>
          <w:tcPr>
            <w:tcW w:w="1791" w:type="dxa"/>
          </w:tcPr>
          <w:p w14:paraId="232931C8" w14:textId="77777777" w:rsidR="007F0076" w:rsidRDefault="007F0076" w:rsidP="00E87182">
            <w:pPr>
              <w:pStyle w:val="Marginlie"/>
              <w:rPr>
                <w:spacing w:val="0"/>
                <w:lang w:eastAsia="en-US"/>
              </w:rPr>
            </w:pPr>
            <w:r>
              <w:rPr>
                <w:spacing w:val="0"/>
                <w:lang w:eastAsia="en-US"/>
              </w:rPr>
              <w:t>Výrazně se loni zvyšovaly ceny služeb.</w:t>
            </w:r>
          </w:p>
        </w:tc>
        <w:tc>
          <w:tcPr>
            <w:tcW w:w="223" w:type="dxa"/>
          </w:tcPr>
          <w:p w14:paraId="7E6781D2" w14:textId="77777777" w:rsidR="007F0076" w:rsidRDefault="007F0076" w:rsidP="00E87182">
            <w:pPr>
              <w:pStyle w:val="Textpoznpodarou1"/>
              <w:jc w:val="both"/>
              <w:rPr>
                <w:lang w:eastAsia="en-US"/>
              </w:rPr>
            </w:pPr>
          </w:p>
        </w:tc>
        <w:tc>
          <w:tcPr>
            <w:tcW w:w="7625" w:type="dxa"/>
          </w:tcPr>
          <w:p w14:paraId="63EC5005" w14:textId="77777777" w:rsidR="007F0076" w:rsidRDefault="007F0076" w:rsidP="00E87182">
            <w:pPr>
              <w:spacing w:after="0"/>
              <w:rPr>
                <w:lang w:eastAsia="en-US"/>
              </w:rPr>
            </w:pPr>
            <w:r>
              <w:rPr>
                <w:lang w:eastAsia="en-US"/>
              </w:rPr>
              <w:t>Charakteristickým rysem cenového růstu v roce 2025 byla pokračující silná dynamika cen služeb. To se projevovalo zejména na vývoji v oddíle stravování a ubytování, kde ceny loni vzrostly o 4,9 %. Výrazněji přitom rostly ceny ubytovacích služeb (7,4 %) než stravování (4,6 %). Stabilně silná meziroční dynamika cen se u tohoto oddílu udržela po celý rok a ve 4. čtvrtletí ceny stravování a ubytování vzrostly meziročně o 4,7 % a mezičtvrtletně o 0,9 %. Rovněž ceny rekreací a kultury se zvyšovaly nadprůměrným tempem a za celý rok 2025 vzrostly o 3,7 %. Ve směru nárůstu působily především ceny rekreačních a kulturních služeb (5,8 %) a dovolených s komplexními službami (4,3 %). Silně narostly i ceny novin, knih a papírenského zboží (3,9 %). Ve 4. kvartálu oslabil meziroční přírůstek cen rekreací a kultury na 3,8 % a projevilo se na tom obvyklé sezónní mezičtvrtletní snížení cen (−3,7 %, hlavně dovolené s komplexními službami). Ceny ostatního zboží a služeb se loni zvýšily o 3,2 %</w:t>
            </w:r>
            <w:r>
              <w:rPr>
                <w:rStyle w:val="Znakapoznpodarou"/>
                <w:lang w:eastAsia="en-US"/>
              </w:rPr>
              <w:footnoteReference w:id="80"/>
            </w:r>
            <w:r>
              <w:rPr>
                <w:lang w:eastAsia="en-US"/>
              </w:rPr>
              <w:t xml:space="preserve">. Loni výrazně narostly ceny v oblasti vzdělávání (8,7 %) – projevilo se ještě mimořádně silné mezičtvrtletní navýšení o 6,9 %, ke kterému došlo v závěru roku 2024. Vysoká srovnávací základna byla patrná také na oslabení meziročního tempa růstu cen vzdělávání ve 4. kvartálu 2025 na 4,1 %. Mezičtvrtletní navýšení dosáhlo 2,3 %. Ceny v oblasti zdraví byly loni vyšší o 3,4 % a v samotném 4. čtvrtletí meziročně narostly o 3,1 %. </w:t>
            </w:r>
          </w:p>
        </w:tc>
      </w:tr>
      <w:tr w:rsidR="007F0076" w14:paraId="4C391100" w14:textId="77777777" w:rsidTr="00E87182">
        <w:trPr>
          <w:trHeight w:val="145"/>
        </w:trPr>
        <w:tc>
          <w:tcPr>
            <w:tcW w:w="1791" w:type="dxa"/>
          </w:tcPr>
          <w:p w14:paraId="12754088" w14:textId="77777777" w:rsidR="007F0076" w:rsidRDefault="007F0076" w:rsidP="00E87182">
            <w:pPr>
              <w:pStyle w:val="Marginlie"/>
              <w:rPr>
                <w:spacing w:val="0"/>
                <w:lang w:eastAsia="en-US"/>
              </w:rPr>
            </w:pPr>
            <w:r>
              <w:rPr>
                <w:spacing w:val="0"/>
                <w:lang w:eastAsia="en-US"/>
              </w:rPr>
              <w:lastRenderedPageBreak/>
              <w:t>Mírný růst byl loni zaznamenán u cen bytového vybavení.</w:t>
            </w:r>
          </w:p>
        </w:tc>
        <w:tc>
          <w:tcPr>
            <w:tcW w:w="223" w:type="dxa"/>
          </w:tcPr>
          <w:p w14:paraId="37394C31" w14:textId="77777777" w:rsidR="007F0076" w:rsidRDefault="007F0076" w:rsidP="00E87182">
            <w:pPr>
              <w:pStyle w:val="Textpoznpodarou1"/>
              <w:jc w:val="both"/>
              <w:rPr>
                <w:lang w:eastAsia="en-US"/>
              </w:rPr>
            </w:pPr>
          </w:p>
        </w:tc>
        <w:tc>
          <w:tcPr>
            <w:tcW w:w="7625" w:type="dxa"/>
          </w:tcPr>
          <w:p w14:paraId="2C2CC2C7" w14:textId="77777777" w:rsidR="007F0076" w:rsidRDefault="007F0076" w:rsidP="00E87182">
            <w:pPr>
              <w:rPr>
                <w:lang w:eastAsia="en-US"/>
              </w:rPr>
            </w:pPr>
            <w:r>
              <w:rPr>
                <w:lang w:eastAsia="en-US"/>
              </w:rPr>
              <w:t xml:space="preserve">V rámci spotřebního koše loni rostly jen mírně ceny bytového vybavení, zařízení domácnosti a oprav (1,4 %). Poměrně vysoký přírůstek cen měl bytový textil (6,8 %) a zdražoval i nábytek, zařízení a podlahové krytiny (2,6 %). Ceny ve zbytku oddílu ale spíše stagnovaly nebo v případě zboží a služeb pro běžnou údržbu domácnosti klesaly (−1,7 %). Stabilní růstové tempo si držel oddíl po celý rok a v samotném 4. čtvrtletí dosáhl meziroční přírůstek cen bytového vybavení, zařízení a oprav 1,3 %. Mezičtvrtletně zde ceny vzrostly o 0,1 %. Ceny pošt a telekomunikací loni vzrostly o 0,4 %, v samotném 4. čtvrtletí byly meziročně vyšší o 0,5 % a mezičtvrtletně se nezměnily. </w:t>
            </w:r>
          </w:p>
        </w:tc>
      </w:tr>
      <w:tr w:rsidR="007F0076" w14:paraId="1166E067" w14:textId="77777777" w:rsidTr="00E87182">
        <w:trPr>
          <w:trHeight w:val="145"/>
        </w:trPr>
        <w:tc>
          <w:tcPr>
            <w:tcW w:w="1791" w:type="dxa"/>
          </w:tcPr>
          <w:p w14:paraId="444E1C7E" w14:textId="77777777" w:rsidR="007F0076" w:rsidRDefault="007F0076" w:rsidP="00E87182">
            <w:pPr>
              <w:pStyle w:val="Marginlie"/>
              <w:rPr>
                <w:spacing w:val="0"/>
                <w:lang w:eastAsia="en-US"/>
              </w:rPr>
            </w:pPr>
            <w:r>
              <w:rPr>
                <w:spacing w:val="0"/>
                <w:lang w:eastAsia="en-US"/>
              </w:rPr>
              <w:t>Pokles byl v loňském roce zaznamenán u cen oděvů a obuvi a dopravy.</w:t>
            </w:r>
          </w:p>
        </w:tc>
        <w:tc>
          <w:tcPr>
            <w:tcW w:w="223" w:type="dxa"/>
          </w:tcPr>
          <w:p w14:paraId="03A7F268" w14:textId="77777777" w:rsidR="007F0076" w:rsidRDefault="007F0076" w:rsidP="00E87182">
            <w:pPr>
              <w:pStyle w:val="Textpoznpodarou1"/>
              <w:jc w:val="both"/>
              <w:rPr>
                <w:lang w:eastAsia="en-US"/>
              </w:rPr>
            </w:pPr>
          </w:p>
        </w:tc>
        <w:tc>
          <w:tcPr>
            <w:tcW w:w="7625" w:type="dxa"/>
          </w:tcPr>
          <w:p w14:paraId="5D0B3115" w14:textId="77777777" w:rsidR="007F0076" w:rsidRDefault="007F0076" w:rsidP="00E87182">
            <w:pPr>
              <w:rPr>
                <w:lang w:eastAsia="en-US"/>
              </w:rPr>
            </w:pPr>
            <w:r>
              <w:rPr>
                <w:lang w:eastAsia="en-US"/>
              </w:rPr>
              <w:t>Loni klesly ceny jen u dvou oddílů. Tím prvním bylo odívání a obuv (−1,9 %), kde se meziroční pokles udržel v průběhu celého roku. Ve 4. kvartálu zde dosáhlo meziroční snížení cen 2,0 %, ale mezičtvrtletně došlo k výraznému nárůstu o 1,2 %. Druhým oddílem, kde ceny celkově klesly, byla doprava (−0,8 %), u které se projevilo zejména zlevnění provozu osobních dopravních prostředků (−2,5 %), zejména snížení cen pohonných hmot (−6,8 %). Jen mírně vyšší byly loni ceny nákupu automobilů, motocyklů a jízdních kol (0,6 %). Výrazněji v rámci cen dopravy rostly jen náklady na dopravní služby (3,2 %). V závislosti na vývoji cen pohonných hmot se ceny dopravy v průběhu roku občasně dostávaly z poklesu do meziroční stagnace, což byl také případ vývoje ve 4. kvartálu (meziročně růst o 0,1 %, mezičtvrtletně −0,1 %). Ceny provozu osobních dopravních prostředků ve 4. čtvrtletí meziročně klesly o 0,9 %. U dopravních služeb meziroční přírůstek oslabil na 1,4 % a ceny nákupu automobilů, motocyklů a jízdních kol byly vyšší o 1,2 %.</w:t>
            </w:r>
          </w:p>
        </w:tc>
      </w:tr>
      <w:tr w:rsidR="007F0076" w14:paraId="1FA54CD2" w14:textId="77777777" w:rsidTr="00E87182">
        <w:trPr>
          <w:trHeight w:val="145"/>
        </w:trPr>
        <w:tc>
          <w:tcPr>
            <w:tcW w:w="1791" w:type="dxa"/>
            <w:hideMark/>
          </w:tcPr>
          <w:p w14:paraId="32BB86DE" w14:textId="77777777" w:rsidR="007F0076" w:rsidRDefault="007F0076" w:rsidP="00E87182">
            <w:pPr>
              <w:pStyle w:val="Marginlie"/>
              <w:rPr>
                <w:spacing w:val="0"/>
                <w:lang w:eastAsia="en-US"/>
              </w:rPr>
            </w:pPr>
            <w:r>
              <w:rPr>
                <w:spacing w:val="0"/>
                <w:lang w:eastAsia="en-US"/>
              </w:rPr>
              <w:t xml:space="preserve">Spotřebitelské ceny v EU se v roce 2025 zvýšily </w:t>
            </w:r>
            <w:r>
              <w:rPr>
                <w:spacing w:val="0"/>
                <w:lang w:eastAsia="en-US"/>
              </w:rPr>
              <w:br/>
              <w:t>o 2,5 %.</w:t>
            </w:r>
          </w:p>
        </w:tc>
        <w:tc>
          <w:tcPr>
            <w:tcW w:w="223" w:type="dxa"/>
          </w:tcPr>
          <w:p w14:paraId="5F31B602" w14:textId="77777777" w:rsidR="007F0076" w:rsidRDefault="007F0076" w:rsidP="00E87182">
            <w:pPr>
              <w:pStyle w:val="Textpoznpodarou1"/>
              <w:jc w:val="both"/>
              <w:rPr>
                <w:lang w:eastAsia="en-US"/>
              </w:rPr>
            </w:pPr>
          </w:p>
        </w:tc>
        <w:tc>
          <w:tcPr>
            <w:tcW w:w="7625" w:type="dxa"/>
            <w:hideMark/>
          </w:tcPr>
          <w:p w14:paraId="11204FE2" w14:textId="77777777" w:rsidR="007F0076" w:rsidRDefault="007F0076" w:rsidP="00E87182">
            <w:pPr>
              <w:rPr>
                <w:lang w:eastAsia="en-US"/>
              </w:rPr>
            </w:pPr>
            <w:r>
              <w:rPr>
                <w:bCs/>
              </w:rPr>
              <w:t>Harmonizovaný index spotřebitelských cen (HICP)</w:t>
            </w:r>
            <w:r>
              <w:rPr>
                <w:rStyle w:val="Znakapoznpodarou"/>
                <w:lang w:eastAsia="en-US"/>
              </w:rPr>
              <w:footnoteReference w:id="81"/>
            </w:r>
            <w:r>
              <w:rPr>
                <w:bCs/>
              </w:rPr>
              <w:t xml:space="preserve"> v Evropské unii v roce 2025 vzrostl o 2,5 %. Tempo drobně zpomalilo oproti předchozímu roku (2,6 %) a rovněž se změnila struktura cenového růstu. Loni v EU posílil nárůst cen potravin a nealkoholických nápojů (3,3 %) i bydlení a energií (2,8 %). Naopak mírněji se zvyšovaly ceny alkoholu a tabáku (4,4 %), ubytování a stravování (4,0 %), rekreací a kultury (1,9 %) a téměř se zastavil růst cen oděvů a obuvi (0,4 %). V roce 2025 klesly v EU pouze ceny telekomunikací (−1,5 %). Spotřebitelské ceny loni vzrostly ve všech zemích EU. Pod 1 % se dostal přírůstek cen na Kypru (0,8 %) a ve Francii (0,9 %). Naopak s výrazným náskokem nejvíce rostl HICP v Rumunsku (6,8 %) a následovaly Estonsko (4,8 %), Chorvatsko a Maďarsko (shodně 4,4 %). V Česku růst HICP zmírnil na 2,3 %. V samotném 4. kvartálu HICP v EU meziročně vzrostl o 2,4 % a mezičtvrtletně o 0,3 %. Mírné zpomalení meziročního tempa růstu HICP ovlivnil především vývoj cen potravin a nealkoholických nápojů (zmírnění přírůstku na 2,9 %). Stále silně rostly ceny ubytování a stravování a dalších služeb. Meziročně klesly jen ceny telekomunikací (−0,6 %). Nejvíce se ve 4. čtvrtletí meziročně zvyšovaly ceny v Rumunsku (8,6 %), Estonsku (4,4 %) a Chorvatsku (4,0 %). Prakticky stagnovaly ceny na Kypru (0,1 %) a jen mírně meziročně vzrostly ceny ve Francii (0,8 %) a v Itálii (1,2 %).</w:t>
            </w:r>
          </w:p>
        </w:tc>
      </w:tr>
      <w:tr w:rsidR="007F0076" w14:paraId="0A75621E" w14:textId="77777777" w:rsidTr="00E87182">
        <w:trPr>
          <w:trHeight w:val="145"/>
        </w:trPr>
        <w:tc>
          <w:tcPr>
            <w:tcW w:w="1791" w:type="dxa"/>
          </w:tcPr>
          <w:p w14:paraId="2380E537" w14:textId="77777777" w:rsidR="007F0076" w:rsidRDefault="007F0076" w:rsidP="00E87182">
            <w:pPr>
              <w:pStyle w:val="Marginlie"/>
              <w:rPr>
                <w:spacing w:val="0"/>
                <w:lang w:eastAsia="en-US"/>
              </w:rPr>
            </w:pPr>
            <w:r>
              <w:rPr>
                <w:spacing w:val="0"/>
                <w:lang w:eastAsia="en-US"/>
              </w:rPr>
              <w:t>Meziroční růst nabídkových cen bytů ve druhé polovině roku vyvrcholilo.</w:t>
            </w:r>
          </w:p>
        </w:tc>
        <w:tc>
          <w:tcPr>
            <w:tcW w:w="223" w:type="dxa"/>
          </w:tcPr>
          <w:p w14:paraId="22E6290D" w14:textId="77777777" w:rsidR="007F0076" w:rsidRDefault="007F0076" w:rsidP="00E87182">
            <w:pPr>
              <w:pStyle w:val="Textpoznpodarou1"/>
              <w:jc w:val="both"/>
              <w:rPr>
                <w:lang w:eastAsia="en-US"/>
              </w:rPr>
            </w:pPr>
          </w:p>
        </w:tc>
        <w:tc>
          <w:tcPr>
            <w:tcW w:w="7625" w:type="dxa"/>
          </w:tcPr>
          <w:p w14:paraId="72C1A8CB" w14:textId="4F869F60" w:rsidR="007F0076" w:rsidRDefault="007F0076" w:rsidP="00E87182">
            <w:pPr>
              <w:rPr>
                <w:lang w:eastAsia="en-US"/>
              </w:rPr>
            </w:pPr>
            <w:r>
              <w:rPr>
                <w:lang w:eastAsia="en-US"/>
              </w:rPr>
              <w:t xml:space="preserve">V roce 2025 vzrostly nabídkové ceny bytů v Česku meziročně o 16,8 %. Ve srovnání s předchozím rokem došlo k prudkému zrychlení dynamiky cen, a to u cen bytů v Praze (15,8 %) i mimo Prahu (17,9 %). Zrychlování meziročního tempa růstu nabídkových cen bytů v Česku vyvrcholilo ve druhé polovině roku a ve 4. čtvrtletí přírůstek mírně zpomalil na 16,9 %. Mírnější byl i mezičtvrtletní nárůst (2,4 %). Na zpomalení meziročního tempa působily zejména nabídkové ceny bytů v Praze (14,8 % ve 4. čtvrtletí, 16,1 % ve 3. čtvrtletí), u bytů mimo Prahu cenový přírůstek klesl z 19,5 % ve 3. čtvrtletí na 19,2 % ve 4. kvartálu. Stabilní je už několik kvartálů meziroční i mezičtvrtletní dynamika realizovaných cen starších bytů v Česku. Ty ve 4. čtvrtletí 2025 meziročně vzrostly </w:t>
            </w:r>
            <w:r>
              <w:rPr>
                <w:lang w:eastAsia="en-US"/>
              </w:rPr>
              <w:lastRenderedPageBreak/>
              <w:t>o</w:t>
            </w:r>
            <w:r w:rsidR="00B10325">
              <w:rPr>
                <w:lang w:eastAsia="en-US"/>
              </w:rPr>
              <w:t> </w:t>
            </w:r>
            <w:r>
              <w:rPr>
                <w:lang w:eastAsia="en-US"/>
              </w:rPr>
              <w:t>16,0 % při mezičtvrtletním navýšení o 3,7 %. V samotné Praze se realizované ceny starších bytů meziročně zvýšily o 13,7 % a mimo Prahu o 16,6 %. U cen nových bytů, které jsou dostupné jen za Prahu, bylo ve 4. čtvrtletí 2025 patrné zpomalení růstu – meziročně se ceny zvýšily o 13,3 % a mezičtvrtletně o 0,9 %, což bylo nejméně od 3.</w:t>
            </w:r>
            <w:r w:rsidR="00B10325">
              <w:rPr>
                <w:lang w:eastAsia="en-US"/>
              </w:rPr>
              <w:t> </w:t>
            </w:r>
            <w:r>
              <w:rPr>
                <w:lang w:eastAsia="en-US"/>
              </w:rPr>
              <w:t xml:space="preserve">kvartálu 2024. </w:t>
            </w:r>
          </w:p>
        </w:tc>
      </w:tr>
      <w:tr w:rsidR="007F0076" w14:paraId="0582D38C" w14:textId="77777777" w:rsidTr="00E87182">
        <w:trPr>
          <w:trHeight w:val="145"/>
        </w:trPr>
        <w:tc>
          <w:tcPr>
            <w:tcW w:w="1791" w:type="dxa"/>
          </w:tcPr>
          <w:p w14:paraId="5441E1CE" w14:textId="77777777" w:rsidR="007F0076" w:rsidRDefault="007F0076" w:rsidP="00E87182">
            <w:pPr>
              <w:pStyle w:val="Marginlie"/>
              <w:rPr>
                <w:spacing w:val="0"/>
                <w:lang w:eastAsia="en-US"/>
              </w:rPr>
            </w:pPr>
          </w:p>
        </w:tc>
        <w:tc>
          <w:tcPr>
            <w:tcW w:w="223" w:type="dxa"/>
          </w:tcPr>
          <w:p w14:paraId="7E806B8E" w14:textId="77777777" w:rsidR="007F0076" w:rsidRDefault="007F0076" w:rsidP="00E87182">
            <w:pPr>
              <w:pStyle w:val="Textpoznpodarou1"/>
              <w:jc w:val="both"/>
              <w:rPr>
                <w:lang w:eastAsia="en-US"/>
              </w:rPr>
            </w:pPr>
          </w:p>
        </w:tc>
        <w:tc>
          <w:tcPr>
            <w:tcW w:w="7625" w:type="dxa"/>
            <w:hideMark/>
          </w:tcPr>
          <w:p w14:paraId="1FAB30FB" w14:textId="6ABBEA4C" w:rsidR="007F0076" w:rsidRDefault="007F0076" w:rsidP="00E87182">
            <w:pPr>
              <w:spacing w:after="0"/>
              <w:rPr>
                <w:rStyle w:val="Znakapoznpodarou"/>
              </w:rPr>
            </w:pPr>
            <w:r>
              <w:rPr>
                <w:b/>
                <w:sz w:val="18"/>
                <w:szCs w:val="18"/>
                <w:lang w:eastAsia="en-US"/>
              </w:rPr>
              <w:t>Graf č. 1</w:t>
            </w:r>
            <w:r w:rsidR="00281666">
              <w:rPr>
                <w:b/>
                <w:sz w:val="18"/>
                <w:szCs w:val="18"/>
                <w:lang w:eastAsia="en-US"/>
              </w:rPr>
              <w:t>2</w:t>
            </w:r>
            <w:r>
              <w:rPr>
                <w:b/>
                <w:sz w:val="18"/>
                <w:szCs w:val="18"/>
                <w:lang w:eastAsia="en-US"/>
              </w:rPr>
              <w:t xml:space="preserve"> Ceny nemovitostí </w:t>
            </w:r>
            <w:r>
              <w:rPr>
                <w:sz w:val="18"/>
                <w:szCs w:val="18"/>
                <w:lang w:eastAsia="en-US"/>
              </w:rPr>
              <w:t>(meziroční změna, v %)</w:t>
            </w:r>
          </w:p>
        </w:tc>
      </w:tr>
      <w:tr w:rsidR="007F0076" w14:paraId="038B98A9" w14:textId="77777777" w:rsidTr="00E87182">
        <w:tblPrEx>
          <w:tblCellMar>
            <w:left w:w="70" w:type="dxa"/>
            <w:right w:w="70" w:type="dxa"/>
          </w:tblCellMar>
        </w:tblPrEx>
        <w:trPr>
          <w:trHeight w:val="145"/>
        </w:trPr>
        <w:tc>
          <w:tcPr>
            <w:tcW w:w="1791" w:type="dxa"/>
          </w:tcPr>
          <w:p w14:paraId="06FA447B" w14:textId="77777777" w:rsidR="007F0076" w:rsidRDefault="007F0076" w:rsidP="00E87182">
            <w:pPr>
              <w:pStyle w:val="Marginlie"/>
              <w:rPr>
                <w:spacing w:val="0"/>
              </w:rPr>
            </w:pPr>
          </w:p>
        </w:tc>
        <w:tc>
          <w:tcPr>
            <w:tcW w:w="223" w:type="dxa"/>
          </w:tcPr>
          <w:p w14:paraId="4A21D303" w14:textId="77777777" w:rsidR="007F0076" w:rsidRDefault="007F0076" w:rsidP="00E87182">
            <w:pPr>
              <w:pStyle w:val="Textpoznpodarou1"/>
              <w:jc w:val="both"/>
              <w:rPr>
                <w:lang w:eastAsia="en-US"/>
              </w:rPr>
            </w:pPr>
          </w:p>
        </w:tc>
        <w:tc>
          <w:tcPr>
            <w:tcW w:w="7625" w:type="dxa"/>
            <w:hideMark/>
          </w:tcPr>
          <w:p w14:paraId="0EA8FA00" w14:textId="77777777" w:rsidR="007F0076" w:rsidRDefault="007F0076" w:rsidP="00E87182">
            <w:pPr>
              <w:spacing w:after="0"/>
              <w:rPr>
                <w:rStyle w:val="Znakapoznpodarou"/>
              </w:rPr>
            </w:pPr>
            <w:r>
              <w:rPr>
                <w:noProof/>
              </w:rPr>
              <w:drawing>
                <wp:inline distT="0" distB="0" distL="0" distR="0" wp14:anchorId="0FC00EC2" wp14:editId="5602D79B">
                  <wp:extent cx="4737600" cy="3553200"/>
                  <wp:effectExtent l="0" t="0" r="6350" b="0"/>
                  <wp:docPr id="1764335945" name="Graf 1">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7F0076" w14:paraId="2507BBC4" w14:textId="77777777" w:rsidTr="00E87182">
        <w:trPr>
          <w:trHeight w:val="145"/>
        </w:trPr>
        <w:tc>
          <w:tcPr>
            <w:tcW w:w="1791" w:type="dxa"/>
          </w:tcPr>
          <w:p w14:paraId="1D6C49E3" w14:textId="77777777" w:rsidR="007F0076" w:rsidRDefault="007F0076" w:rsidP="00E87182">
            <w:pPr>
              <w:pStyle w:val="Marginlie"/>
              <w:rPr>
                <w:spacing w:val="0"/>
              </w:rPr>
            </w:pPr>
          </w:p>
        </w:tc>
        <w:tc>
          <w:tcPr>
            <w:tcW w:w="223" w:type="dxa"/>
          </w:tcPr>
          <w:p w14:paraId="5E5B4FAC" w14:textId="77777777" w:rsidR="007F0076" w:rsidRDefault="007F0076" w:rsidP="00E87182">
            <w:pPr>
              <w:pStyle w:val="Textpoznpodarou1"/>
              <w:jc w:val="both"/>
              <w:rPr>
                <w:lang w:eastAsia="en-US"/>
              </w:rPr>
            </w:pPr>
          </w:p>
        </w:tc>
        <w:tc>
          <w:tcPr>
            <w:tcW w:w="7625" w:type="dxa"/>
            <w:hideMark/>
          </w:tcPr>
          <w:p w14:paraId="700C5AE3" w14:textId="77777777" w:rsidR="007F0076" w:rsidRDefault="007F0076" w:rsidP="00E87182">
            <w:pPr>
              <w:jc w:val="left"/>
              <w:rPr>
                <w:rStyle w:val="Znakapoznpodarou"/>
                <w:sz w:val="16"/>
                <w:szCs w:val="16"/>
              </w:rPr>
            </w:pPr>
            <w:r>
              <w:rPr>
                <w:sz w:val="16"/>
                <w:szCs w:val="16"/>
                <w:lang w:eastAsia="en-US"/>
              </w:rPr>
              <w:t>Zdroj: ČSÚ</w:t>
            </w:r>
          </w:p>
        </w:tc>
      </w:tr>
      <w:tr w:rsidR="007F0076" w14:paraId="6F04C298" w14:textId="77777777" w:rsidTr="00E87182">
        <w:trPr>
          <w:trHeight w:val="145"/>
        </w:trPr>
        <w:tc>
          <w:tcPr>
            <w:tcW w:w="1791" w:type="dxa"/>
          </w:tcPr>
          <w:p w14:paraId="34BB0713" w14:textId="77777777" w:rsidR="007F0076" w:rsidRDefault="007F0076" w:rsidP="00E87182">
            <w:pPr>
              <w:pStyle w:val="Marginlie"/>
              <w:rPr>
                <w:spacing w:val="0"/>
                <w:lang w:eastAsia="en-US"/>
              </w:rPr>
            </w:pPr>
            <w:r>
              <w:rPr>
                <w:spacing w:val="0"/>
                <w:lang w:eastAsia="en-US"/>
              </w:rPr>
              <w:t>Ceny průmyslových výrobců loni celkově klesly.</w:t>
            </w:r>
          </w:p>
        </w:tc>
        <w:tc>
          <w:tcPr>
            <w:tcW w:w="223" w:type="dxa"/>
          </w:tcPr>
          <w:p w14:paraId="060B3893" w14:textId="77777777" w:rsidR="007F0076" w:rsidRDefault="007F0076" w:rsidP="00E87182">
            <w:pPr>
              <w:pStyle w:val="Textpoznpodarou1"/>
              <w:jc w:val="both"/>
              <w:rPr>
                <w:lang w:eastAsia="en-US"/>
              </w:rPr>
            </w:pPr>
          </w:p>
        </w:tc>
        <w:tc>
          <w:tcPr>
            <w:tcW w:w="7625" w:type="dxa"/>
          </w:tcPr>
          <w:p w14:paraId="77861C9E" w14:textId="77777777" w:rsidR="007F0076" w:rsidRDefault="007F0076" w:rsidP="00E87182">
            <w:pPr>
              <w:rPr>
                <w:lang w:eastAsia="en-US"/>
              </w:rPr>
            </w:pPr>
            <w:r>
              <w:rPr>
                <w:lang w:eastAsia="en-US"/>
              </w:rPr>
              <w:t>Ceny průmyslových výrobců v roce 2025 celkově klesly o 0,8 % a šlo o první snížení od roku 2016. Meziročně vyšší byly pouze ceny zásobování vodou a souvisejících služeb (4,1 %). Nejvíce se propadly ceny těžby a dobývání (−3,8 %). Z toho ceny těžby uhlí a lignitu klesly o 9,6 % a ropy a zemního plynu o 15,5 %. Rostly naopak ceny ostatní těžby, zejména stavebních hmot (5,8 %). Ceny elektřiny, plynu, páry a klimatizovaného vzduchu byly v roce 2025 nižší o 2,9 %. Meziroční vývoj cen výrobků a služeb zpracovatelského průmyslu se po většinu roku pohyboval okolo hranice stagnace a celkově loni ceny v této sekci klesly o 0,2 %. Nižší byly loni ceny chemických látek a přípravků (−5,6 %), základních kovů (−2,6 %), elektrických zařízení (−1,3 %), kovodělných výrobků (−0,5 %) nebo motorových vozidel (−0,2 %). Naopak výrazně rostly ceny dřeva a dřevěných výrobků (4,8 %), oděvů (4,4 %), oprav, údržby a instalace strojů a zařízení (4,1 %), ostatních dopravních prostředků (3,9 %) a základních farmaceutických výrobků a přípravků (3,1 %).</w:t>
            </w:r>
          </w:p>
        </w:tc>
      </w:tr>
      <w:tr w:rsidR="007F0076" w14:paraId="227B0F09" w14:textId="77777777" w:rsidTr="00E87182">
        <w:trPr>
          <w:trHeight w:val="145"/>
        </w:trPr>
        <w:tc>
          <w:tcPr>
            <w:tcW w:w="1791" w:type="dxa"/>
          </w:tcPr>
          <w:p w14:paraId="24AA4252" w14:textId="77777777" w:rsidR="007F0076" w:rsidRDefault="007F0076" w:rsidP="00E87182">
            <w:pPr>
              <w:pStyle w:val="Marginlie"/>
              <w:rPr>
                <w:spacing w:val="0"/>
                <w:lang w:eastAsia="en-US"/>
              </w:rPr>
            </w:pPr>
            <w:r>
              <w:rPr>
                <w:spacing w:val="0"/>
                <w:lang w:eastAsia="en-US"/>
              </w:rPr>
              <w:t>Meziroční pokles cen průmyslových výrobců se v průběhu roku prohluboval.</w:t>
            </w:r>
          </w:p>
        </w:tc>
        <w:tc>
          <w:tcPr>
            <w:tcW w:w="223" w:type="dxa"/>
          </w:tcPr>
          <w:p w14:paraId="32BF1C6E" w14:textId="77777777" w:rsidR="007F0076" w:rsidRDefault="007F0076" w:rsidP="00E87182">
            <w:pPr>
              <w:pStyle w:val="Textpoznpodarou1"/>
              <w:jc w:val="both"/>
              <w:rPr>
                <w:lang w:eastAsia="en-US"/>
              </w:rPr>
            </w:pPr>
          </w:p>
        </w:tc>
        <w:tc>
          <w:tcPr>
            <w:tcW w:w="7625" w:type="dxa"/>
            <w:hideMark/>
          </w:tcPr>
          <w:p w14:paraId="68B27D3A" w14:textId="77777777" w:rsidR="007F0076" w:rsidRDefault="007F0076" w:rsidP="00E87182">
            <w:pPr>
              <w:rPr>
                <w:lang w:eastAsia="en-US"/>
              </w:rPr>
            </w:pPr>
            <w:r>
              <w:rPr>
                <w:lang w:eastAsia="en-US"/>
              </w:rPr>
              <w:t xml:space="preserve">V průběhu roku se postupně prohluboval pokles cen průmyslových výrobců až na −1,5 % ve 4. čtvrtletí. Mezičtvrtletně se ceny průmyslových výrobců snížily o 0,2 %. Ceny těžby a dobývání si udržely podobný meziroční pokles jako v předchozím kvartálu (−4,2 %) a mezičtvrtletně klesly o 0,4 %. Vývoj v rámci sekce se nelišil od zbytku roku. Nejvíce meziročně klesly ceny těžby uhlí a lignitu (−10,0 %) a ropy a zemního plynu (−15,0 %). Rostly naopak ceny ostatní těžby (5,2 %). Meziroční pokles cen elektřiny, plynu, páry a klimatizovaného vzduchu se ve 4. čtvrtletí prohloubil na −3,8 % a mezičtvrtletně byly ceny vyšší o 1,2 %. Meziroční pokles cen výrobků a služeb zpracovatelského průmyslu se ve 4. kvartálu prohloubil na −0,9 % a mezičtvrtletně klesly ceny o 0,6 %. Meziročně se propadly zejména ceny chemických látek a přípravků </w:t>
            </w:r>
            <w:r>
              <w:rPr>
                <w:lang w:eastAsia="en-US"/>
              </w:rPr>
              <w:lastRenderedPageBreak/>
              <w:t>(−8,1 %), k prohloubení poklesu došlo u papíru a výrobků z něj (−3,7 %), nižší byly i ceny základních kovů (−2,7 %), motorových vozidel (−2,0 %), elektrických zařízení (−2,0 %) a kovodělných výrobků (−0,9 %). Do meziročního poklesu se v závěru roku dostaly ceny počítačů, elektronických a optických přístrojů a zařízení (−1,7 %) a pryžových a plastových výrobků (−1,3 %). Naopak výrazně zrychlil meziroční nárůst cen dřeva a výrobků z něj (7,5 %), vyšší byly také ceny ostatních dopravních prostředků (4,2 %), oprav, údržby a instalace strojů a zařízení (3,9 %), oděvů (3,6 %), nábytku (3,2 %) nebo základních farmaceutických výrobků a přípravků (3,1 %).</w:t>
            </w:r>
          </w:p>
        </w:tc>
      </w:tr>
      <w:tr w:rsidR="007F0076" w14:paraId="67E8BA7F" w14:textId="77777777" w:rsidTr="00E87182">
        <w:trPr>
          <w:trHeight w:val="145"/>
        </w:trPr>
        <w:tc>
          <w:tcPr>
            <w:tcW w:w="1791" w:type="dxa"/>
          </w:tcPr>
          <w:p w14:paraId="65FC9480" w14:textId="77777777" w:rsidR="007F0076" w:rsidRDefault="007F0076" w:rsidP="00E87182">
            <w:pPr>
              <w:pStyle w:val="Marginlie"/>
              <w:rPr>
                <w:spacing w:val="0"/>
                <w:lang w:eastAsia="en-US"/>
              </w:rPr>
            </w:pPr>
          </w:p>
        </w:tc>
        <w:tc>
          <w:tcPr>
            <w:tcW w:w="223" w:type="dxa"/>
          </w:tcPr>
          <w:p w14:paraId="25D9D03D" w14:textId="77777777" w:rsidR="007F0076" w:rsidRDefault="007F0076" w:rsidP="00E87182">
            <w:pPr>
              <w:pStyle w:val="Textpoznpodarou1"/>
              <w:jc w:val="both"/>
              <w:rPr>
                <w:lang w:eastAsia="en-US"/>
              </w:rPr>
            </w:pPr>
          </w:p>
        </w:tc>
        <w:tc>
          <w:tcPr>
            <w:tcW w:w="7625" w:type="dxa"/>
            <w:hideMark/>
          </w:tcPr>
          <w:p w14:paraId="3016708E" w14:textId="2FBC1D1C" w:rsidR="007F0076" w:rsidRDefault="007F0076" w:rsidP="00E87182">
            <w:pPr>
              <w:spacing w:after="0"/>
              <w:rPr>
                <w:lang w:eastAsia="en-US"/>
              </w:rPr>
            </w:pPr>
            <w:r>
              <w:rPr>
                <w:b/>
                <w:sz w:val="18"/>
                <w:szCs w:val="18"/>
                <w:lang w:eastAsia="en-US"/>
              </w:rPr>
              <w:t>Graf č. 1</w:t>
            </w:r>
            <w:r w:rsidR="00281666">
              <w:rPr>
                <w:b/>
                <w:sz w:val="18"/>
                <w:szCs w:val="18"/>
                <w:lang w:eastAsia="en-US"/>
              </w:rPr>
              <w:t>3</w:t>
            </w:r>
            <w:r>
              <w:rPr>
                <w:b/>
                <w:sz w:val="18"/>
                <w:szCs w:val="18"/>
                <w:lang w:eastAsia="en-US"/>
              </w:rPr>
              <w:t xml:space="preserve"> Ceny hlavních skupin průmyslových výrobců </w:t>
            </w:r>
            <w:r>
              <w:rPr>
                <w:sz w:val="18"/>
                <w:szCs w:val="18"/>
                <w:lang w:eastAsia="en-US"/>
              </w:rPr>
              <w:t>(meziroční změna, v %, podle klasifikace CPA)</w:t>
            </w:r>
          </w:p>
        </w:tc>
      </w:tr>
      <w:tr w:rsidR="007F0076" w14:paraId="5188B4C6" w14:textId="77777777" w:rsidTr="00E87182">
        <w:tblPrEx>
          <w:tblCellMar>
            <w:left w:w="70" w:type="dxa"/>
            <w:right w:w="70" w:type="dxa"/>
          </w:tblCellMar>
        </w:tblPrEx>
        <w:trPr>
          <w:trHeight w:val="145"/>
        </w:trPr>
        <w:tc>
          <w:tcPr>
            <w:tcW w:w="1791" w:type="dxa"/>
          </w:tcPr>
          <w:p w14:paraId="66477BD7" w14:textId="77777777" w:rsidR="007F0076" w:rsidRDefault="007F0076" w:rsidP="00E87182">
            <w:pPr>
              <w:pStyle w:val="Marginlie"/>
              <w:rPr>
                <w:spacing w:val="0"/>
                <w:lang w:eastAsia="en-US"/>
              </w:rPr>
            </w:pPr>
          </w:p>
        </w:tc>
        <w:tc>
          <w:tcPr>
            <w:tcW w:w="223" w:type="dxa"/>
          </w:tcPr>
          <w:p w14:paraId="5F66E1E9" w14:textId="77777777" w:rsidR="007F0076" w:rsidRDefault="007F0076" w:rsidP="00E87182">
            <w:pPr>
              <w:pStyle w:val="Textpoznpodarou1"/>
              <w:jc w:val="both"/>
              <w:rPr>
                <w:lang w:eastAsia="en-US"/>
              </w:rPr>
            </w:pPr>
          </w:p>
        </w:tc>
        <w:tc>
          <w:tcPr>
            <w:tcW w:w="7625" w:type="dxa"/>
            <w:hideMark/>
          </w:tcPr>
          <w:p w14:paraId="08F59CB0" w14:textId="77777777" w:rsidR="007F0076" w:rsidRDefault="007F0076" w:rsidP="00E87182">
            <w:pPr>
              <w:spacing w:after="0"/>
              <w:jc w:val="center"/>
              <w:rPr>
                <w:lang w:eastAsia="en-US"/>
              </w:rPr>
            </w:pPr>
            <w:r>
              <w:rPr>
                <w:noProof/>
              </w:rPr>
              <w:drawing>
                <wp:inline distT="0" distB="0" distL="0" distR="0" wp14:anchorId="461638D0" wp14:editId="5D8E65CB">
                  <wp:extent cx="4752000" cy="3553200"/>
                  <wp:effectExtent l="0" t="0" r="0" b="0"/>
                  <wp:docPr id="2065327726" name="Graf 1">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7F0076" w14:paraId="1B04C3D8" w14:textId="77777777" w:rsidTr="00E87182">
        <w:trPr>
          <w:trHeight w:val="145"/>
        </w:trPr>
        <w:tc>
          <w:tcPr>
            <w:tcW w:w="1791" w:type="dxa"/>
          </w:tcPr>
          <w:p w14:paraId="048BE98C" w14:textId="77777777" w:rsidR="007F0076" w:rsidRDefault="007F0076" w:rsidP="00E87182">
            <w:pPr>
              <w:pStyle w:val="Marginlie"/>
              <w:rPr>
                <w:spacing w:val="0"/>
                <w:lang w:eastAsia="en-US"/>
              </w:rPr>
            </w:pPr>
          </w:p>
        </w:tc>
        <w:tc>
          <w:tcPr>
            <w:tcW w:w="223" w:type="dxa"/>
          </w:tcPr>
          <w:p w14:paraId="068B5CA1" w14:textId="77777777" w:rsidR="007F0076" w:rsidRDefault="007F0076" w:rsidP="00E87182">
            <w:pPr>
              <w:pStyle w:val="Textpoznpodarou1"/>
              <w:jc w:val="both"/>
              <w:rPr>
                <w:lang w:eastAsia="en-US"/>
              </w:rPr>
            </w:pPr>
          </w:p>
        </w:tc>
        <w:tc>
          <w:tcPr>
            <w:tcW w:w="7625" w:type="dxa"/>
            <w:hideMark/>
          </w:tcPr>
          <w:p w14:paraId="2B6D4BE1" w14:textId="77777777" w:rsidR="007F0076" w:rsidRDefault="007F0076" w:rsidP="00E87182">
            <w:pPr>
              <w:jc w:val="left"/>
              <w:rPr>
                <w:sz w:val="16"/>
                <w:szCs w:val="16"/>
                <w:lang w:eastAsia="en-US"/>
              </w:rPr>
            </w:pPr>
            <w:r>
              <w:rPr>
                <w:sz w:val="16"/>
                <w:szCs w:val="16"/>
                <w:lang w:eastAsia="en-US"/>
              </w:rPr>
              <w:t>Zdroj: ČSÚ</w:t>
            </w:r>
          </w:p>
        </w:tc>
      </w:tr>
      <w:tr w:rsidR="007F0076" w14:paraId="74DF1ECB" w14:textId="77777777" w:rsidTr="00E87182">
        <w:trPr>
          <w:trHeight w:val="145"/>
        </w:trPr>
        <w:tc>
          <w:tcPr>
            <w:tcW w:w="1791" w:type="dxa"/>
            <w:hideMark/>
          </w:tcPr>
          <w:p w14:paraId="20D9E56D" w14:textId="77777777" w:rsidR="007F0076" w:rsidRDefault="007F0076" w:rsidP="00E87182">
            <w:pPr>
              <w:pStyle w:val="Marginlie"/>
              <w:rPr>
                <w:spacing w:val="0"/>
                <w:lang w:eastAsia="en-US"/>
              </w:rPr>
            </w:pPr>
            <w:r>
              <w:rPr>
                <w:spacing w:val="0"/>
                <w:lang w:eastAsia="en-US"/>
              </w:rPr>
              <w:t>Ceny průmyslových výrobců v EU loni mírně vzrostly.</w:t>
            </w:r>
          </w:p>
        </w:tc>
        <w:tc>
          <w:tcPr>
            <w:tcW w:w="223" w:type="dxa"/>
          </w:tcPr>
          <w:p w14:paraId="624343AA" w14:textId="77777777" w:rsidR="007F0076" w:rsidRDefault="007F0076" w:rsidP="00E87182">
            <w:pPr>
              <w:pStyle w:val="Textpoznpodarou1"/>
              <w:jc w:val="both"/>
              <w:rPr>
                <w:lang w:eastAsia="en-US"/>
              </w:rPr>
            </w:pPr>
          </w:p>
        </w:tc>
        <w:tc>
          <w:tcPr>
            <w:tcW w:w="7625" w:type="dxa"/>
            <w:hideMark/>
          </w:tcPr>
          <w:p w14:paraId="4987AC05" w14:textId="77777777" w:rsidR="007F0076" w:rsidRDefault="007F0076" w:rsidP="00E87182">
            <w:pPr>
              <w:rPr>
                <w:lang w:eastAsia="en-US"/>
              </w:rPr>
            </w:pPr>
            <w:r>
              <w:rPr>
                <w:lang w:eastAsia="en-US"/>
              </w:rPr>
              <w:t>Ceny průmyslových výrobců v EU</w:t>
            </w:r>
            <w:r>
              <w:rPr>
                <w:rStyle w:val="Znakapoznpodarou"/>
                <w:lang w:eastAsia="en-US"/>
              </w:rPr>
              <w:footnoteReference w:id="82"/>
            </w:r>
            <w:r>
              <w:rPr>
                <w:lang w:eastAsia="en-US"/>
              </w:rPr>
              <w:t xml:space="preserve"> v roce 2025 celkově vzrostly o 0,5 %. Mírně vyšší byly ceny elektřiny, plynu, páry a klimatizovaného vzduchu (0,8 %), těžby a dobývání (0,5 %) i výrobků a služeb zpracovatelského průmyslu (0,3 %). Nejvíce se ceny průmyslových výrobců loni zvýšily v Bulharsku (13,2 %), Dánsku (3,6 %) a Rumunsku (3,1 %). Naopak nejvýraznější pokles byl zaznamenán v Lucembursku (−4,2 %), Portugalsku (−2,5 %) a Litvě (−2,1 %). Pod vlivem prudkého mezičtvrtletního poklesu cen, ke kterému došlo ve 2. čtvrtletí, bylo v průběhu roku 2025 patrné zpomalení meziroční dynamiky cen průmyslových výrobců až na −1,0 % ve 4. čtvrtletí (při mezičtvrtletním navýšení o 0,2 %). Meziročně klesly ceny elektřiny, plynu, páry a klimatizovaného vzduchu (−5,2 %), které výše popsanou dynamiku klíčově ovlivnily, a těžby a dobývání (−2,7 %). Ve zpracovatelském průmyslu se udržel mírný meziroční růst cen (0,4 %). Nejvíce se ceny průmyslových výrobců ve 4. čtvrtletí meziročně zvýšily v Bulharsku (13,6 %), Rumunsku (6,7 %) a Švédsku (3,0 %). V Lucembursku (−5,9 %), Irsku (−4,0 %) a Portugalsku (−3,3 %) naopak ceny klesly nejvíce.</w:t>
            </w:r>
          </w:p>
        </w:tc>
      </w:tr>
      <w:tr w:rsidR="007F0076" w14:paraId="3DD237DF" w14:textId="77777777" w:rsidTr="00E87182">
        <w:trPr>
          <w:trHeight w:val="145"/>
        </w:trPr>
        <w:tc>
          <w:tcPr>
            <w:tcW w:w="1791" w:type="dxa"/>
            <w:hideMark/>
          </w:tcPr>
          <w:p w14:paraId="2EAD4FED" w14:textId="77777777" w:rsidR="007F0076" w:rsidRDefault="007F0076" w:rsidP="00E87182">
            <w:pPr>
              <w:pStyle w:val="Marginlie"/>
              <w:rPr>
                <w:spacing w:val="0"/>
                <w:lang w:eastAsia="en-US"/>
              </w:rPr>
            </w:pPr>
            <w:r>
              <w:rPr>
                <w:spacing w:val="0"/>
                <w:lang w:eastAsia="en-US"/>
              </w:rPr>
              <w:t>Ceny stavebních prací loni vzrostly o 3,0 %.</w:t>
            </w:r>
          </w:p>
        </w:tc>
        <w:tc>
          <w:tcPr>
            <w:tcW w:w="223" w:type="dxa"/>
          </w:tcPr>
          <w:p w14:paraId="49E00C71" w14:textId="77777777" w:rsidR="007F0076" w:rsidRDefault="007F0076" w:rsidP="00E87182">
            <w:pPr>
              <w:pStyle w:val="Textpoznpodarou1"/>
              <w:jc w:val="both"/>
              <w:rPr>
                <w:lang w:eastAsia="en-US"/>
              </w:rPr>
            </w:pPr>
          </w:p>
        </w:tc>
        <w:tc>
          <w:tcPr>
            <w:tcW w:w="7625" w:type="dxa"/>
            <w:hideMark/>
          </w:tcPr>
          <w:p w14:paraId="334A209F" w14:textId="77777777" w:rsidR="007F0076" w:rsidRDefault="007F0076" w:rsidP="00E87182">
            <w:pPr>
              <w:rPr>
                <w:lang w:eastAsia="en-US"/>
              </w:rPr>
            </w:pPr>
            <w:r>
              <w:rPr>
                <w:lang w:eastAsia="en-US"/>
              </w:rPr>
              <w:t xml:space="preserve">Ceny stavebních prací byly dle odhadu v průměru za celý rok 2025 v porovnání s rokem 2024 vyšší o 3,0 %. Znamenalo to posílení růstu (v roce 2024 ceny vzrostly o 2,0 %). Ceny materiálů a výrobků </w:t>
            </w:r>
            <w:r w:rsidRPr="00E13064">
              <w:rPr>
                <w:lang w:eastAsia="en-US"/>
              </w:rPr>
              <w:t xml:space="preserve">spotřebovávaných ve stavebnictví vzrostly v průměru za celý </w:t>
            </w:r>
            <w:r w:rsidRPr="00E13064">
              <w:rPr>
                <w:lang w:eastAsia="en-US"/>
              </w:rPr>
              <w:lastRenderedPageBreak/>
              <w:t>rok 2025 o 1,0 % (v roce 2024 byly nižší o 0,5 %).</w:t>
            </w:r>
            <w:r>
              <w:rPr>
                <w:lang w:eastAsia="en-US"/>
              </w:rPr>
              <w:t xml:space="preserve"> Po celý rok 2025 bylo meziroční tempo růstu cen stavebních prací stabilní a v samotném 4. čtvrtletí ceny meziročně vzrostly o 3,1 % a mezičtvrtletně byly vyšší o 0,7 %. Ceny materiálů a výrobků spotřebovávaných ve stavebnictví se ve 4. čtvrtletí meziročně zvýšily o 1,2 % a mezičtvrtletně o 0,3 %. </w:t>
            </w:r>
          </w:p>
        </w:tc>
      </w:tr>
      <w:tr w:rsidR="007F0076" w14:paraId="244AA66B" w14:textId="77777777" w:rsidTr="00E87182">
        <w:trPr>
          <w:trHeight w:val="145"/>
        </w:trPr>
        <w:tc>
          <w:tcPr>
            <w:tcW w:w="1791" w:type="dxa"/>
            <w:hideMark/>
          </w:tcPr>
          <w:p w14:paraId="44B6441F" w14:textId="77777777" w:rsidR="007F0076" w:rsidRDefault="007F0076" w:rsidP="00E87182">
            <w:pPr>
              <w:pStyle w:val="Marginlie"/>
              <w:rPr>
                <w:spacing w:val="0"/>
                <w:lang w:eastAsia="en-US"/>
              </w:rPr>
            </w:pPr>
            <w:r>
              <w:rPr>
                <w:spacing w:val="0"/>
                <w:lang w:eastAsia="en-US"/>
              </w:rPr>
              <w:lastRenderedPageBreak/>
              <w:t>Růst cen tržních služeb byl značně ovlivněn cenami reklamních služeb a průzkumu trhu.</w:t>
            </w:r>
          </w:p>
        </w:tc>
        <w:tc>
          <w:tcPr>
            <w:tcW w:w="223" w:type="dxa"/>
          </w:tcPr>
          <w:p w14:paraId="1F60387F" w14:textId="77777777" w:rsidR="007F0076" w:rsidRDefault="007F0076" w:rsidP="00E87182">
            <w:pPr>
              <w:pStyle w:val="Textpoznpodarou1"/>
              <w:jc w:val="both"/>
              <w:rPr>
                <w:lang w:eastAsia="en-US"/>
              </w:rPr>
            </w:pPr>
          </w:p>
        </w:tc>
        <w:tc>
          <w:tcPr>
            <w:tcW w:w="7625" w:type="dxa"/>
            <w:hideMark/>
          </w:tcPr>
          <w:p w14:paraId="496434CE" w14:textId="77777777" w:rsidR="007F0076" w:rsidRDefault="007F0076" w:rsidP="00E87182">
            <w:pPr>
              <w:rPr>
                <w:lang w:eastAsia="en-US"/>
              </w:rPr>
            </w:pPr>
            <w:r>
              <w:rPr>
                <w:lang w:eastAsia="en-US"/>
              </w:rPr>
              <w:t>Ceny tržních služeb v roce 2024 vzrostly o 4,1 %. Nejvíce se zvýšily ceny reklamních služeb a průzkumu trhu (13,9 %), následované bezpečnostními a pátracími službami (11,7 %) a službami v oblasti zaměstnání (9,2 %). Nezanedbatelně se zvýšily i ceny skladování a podpůrných služeb v dopravě (6,1 %), vydavatelských služeb (5,1 %), pojištění, zajištění a penzijního financování (4,5 %), poštovních a kurýrních služeb (4,3 %), služeb v oblasti nemovitostí (3,9 %) nebo programování a souvisejícího poradenství (3,7 %). Jediné a</w:t>
            </w:r>
            <w:r w:rsidRPr="003E1A8D">
              <w:rPr>
                <w:lang w:eastAsia="en-US"/>
              </w:rPr>
              <w:t>dministrativní, kancelářské a jiné podpůrné služby pro podnikání</w:t>
            </w:r>
            <w:r>
              <w:rPr>
                <w:lang w:eastAsia="en-US"/>
              </w:rPr>
              <w:t xml:space="preserve"> zaznamenaly pokles cen o 0,5 %. V samotném 4. čtvrtletí meziroční růst cen tržních služeb mírně zpomalil na 4,2 %. Mezičtvrtletně se ceny zvýšily o 1,4 %. V posledním kvartálu roku 2025 nejvíce meziročně rostly ceny tvorby programů a vysílání (15,2 %), reklamních služeb a průzkumu trhu (16,7 %), bezpečnostních a pátracích služeb (12,0 %) a služeb v oblasti zaměstnání (8,9 %). Vyšší byly rovněž ceny skladování a podpůrných služeb v dopravě (6,2 %), vydavatelských služeb (6,2 %), činností v oblasti filmů, videozáznamů a televizních programů (5,1 %) nebo pojištění, zajištění a penzijního financování (5,0 %). Meziročně klesly ceny vodní dopravy (−0,4 %), služeb v oblasti pronájmu a operativního leasingu (−0,3 %), pozemní a potrubní dopravy (−0,2 %) a a</w:t>
            </w:r>
            <w:r w:rsidRPr="003E1A8D">
              <w:rPr>
                <w:lang w:eastAsia="en-US"/>
              </w:rPr>
              <w:t>dministrativní</w:t>
            </w:r>
            <w:r>
              <w:rPr>
                <w:lang w:eastAsia="en-US"/>
              </w:rPr>
              <w:t>ch</w:t>
            </w:r>
            <w:r w:rsidRPr="003E1A8D">
              <w:rPr>
                <w:lang w:eastAsia="en-US"/>
              </w:rPr>
              <w:t>, kancelářsk</w:t>
            </w:r>
            <w:r>
              <w:rPr>
                <w:lang w:eastAsia="en-US"/>
              </w:rPr>
              <w:t>ých</w:t>
            </w:r>
            <w:r w:rsidRPr="003E1A8D">
              <w:rPr>
                <w:lang w:eastAsia="en-US"/>
              </w:rPr>
              <w:t xml:space="preserve"> a jin</w:t>
            </w:r>
            <w:r>
              <w:rPr>
                <w:lang w:eastAsia="en-US"/>
              </w:rPr>
              <w:t>ých</w:t>
            </w:r>
            <w:r w:rsidRPr="003E1A8D">
              <w:rPr>
                <w:lang w:eastAsia="en-US"/>
              </w:rPr>
              <w:t xml:space="preserve"> podpůrn</w:t>
            </w:r>
            <w:r>
              <w:rPr>
                <w:lang w:eastAsia="en-US"/>
              </w:rPr>
              <w:t>ých</w:t>
            </w:r>
            <w:r w:rsidRPr="003E1A8D">
              <w:rPr>
                <w:lang w:eastAsia="en-US"/>
              </w:rPr>
              <w:t xml:space="preserve"> služ</w:t>
            </w:r>
            <w:r>
              <w:rPr>
                <w:lang w:eastAsia="en-US"/>
              </w:rPr>
              <w:t>e</w:t>
            </w:r>
            <w:r w:rsidRPr="003E1A8D">
              <w:rPr>
                <w:lang w:eastAsia="en-US"/>
              </w:rPr>
              <w:t>b pro podnikání</w:t>
            </w:r>
            <w:r>
              <w:rPr>
                <w:lang w:eastAsia="en-US"/>
              </w:rPr>
              <w:t xml:space="preserve"> (−0,1 %).</w:t>
            </w:r>
          </w:p>
        </w:tc>
      </w:tr>
      <w:tr w:rsidR="007F0076" w14:paraId="481530E8" w14:textId="77777777" w:rsidTr="00E87182">
        <w:trPr>
          <w:trHeight w:val="145"/>
        </w:trPr>
        <w:tc>
          <w:tcPr>
            <w:tcW w:w="1791" w:type="dxa"/>
            <w:hideMark/>
          </w:tcPr>
          <w:p w14:paraId="5EDF19B5" w14:textId="77777777" w:rsidR="007F0076" w:rsidRDefault="007F0076" w:rsidP="00E87182">
            <w:pPr>
              <w:pStyle w:val="Marginlie"/>
              <w:rPr>
                <w:spacing w:val="0"/>
                <w:lang w:eastAsia="en-US"/>
              </w:rPr>
            </w:pPr>
            <w:r>
              <w:rPr>
                <w:spacing w:val="0"/>
                <w:lang w:eastAsia="en-US"/>
              </w:rPr>
              <w:t>Loni prudce rostly ceny živočišné výroby.</w:t>
            </w:r>
          </w:p>
        </w:tc>
        <w:tc>
          <w:tcPr>
            <w:tcW w:w="223" w:type="dxa"/>
          </w:tcPr>
          <w:p w14:paraId="2FEA0F7E" w14:textId="77777777" w:rsidR="007F0076" w:rsidRDefault="007F0076" w:rsidP="00E87182">
            <w:pPr>
              <w:pStyle w:val="Textpoznpodarou1"/>
              <w:jc w:val="both"/>
              <w:rPr>
                <w:lang w:eastAsia="en-US"/>
              </w:rPr>
            </w:pPr>
          </w:p>
        </w:tc>
        <w:tc>
          <w:tcPr>
            <w:tcW w:w="7625" w:type="dxa"/>
            <w:hideMark/>
          </w:tcPr>
          <w:p w14:paraId="41612D57" w14:textId="77777777" w:rsidR="007F0076" w:rsidRDefault="007F0076" w:rsidP="00E87182">
            <w:pPr>
              <w:rPr>
                <w:lang w:eastAsia="en-US"/>
              </w:rPr>
            </w:pPr>
            <w:r>
              <w:rPr>
                <w:lang w:eastAsia="en-US"/>
              </w:rPr>
              <w:t>Ceny zemědělské výroby (včetně ryb) se v roce 2025 celkově zvýšily o 7,9 %. Růst byl tažen zejména vývojem v živočišné výrobě, ale vyšší byly loni i ceny rostlinné výroby, a to o 3,0 %. Vyšší byly ceny váhově významných obilovin (5,2 %), hlavně pšenice (6,9 %), kukuřice (10,3 %) a ostatních obilovin (zejména tritikale, 4,9 %). Naopak stagnovaly ceny ječmene (0,3 %) a propadly se ceny žita (−4,3 %) a ovsa (−10,1 %). Silný přírůstek byl zaznamenán u průmyslových plodin (7,4 %, taženo především růstem cen olejnin o 13,2 % a chmele o 10,0 %, ceny cukrové řepy se propadly o 16,8 %) a vinných hroznů (12,4 %). Vyšší byly loni i ceny krmných plodin (3,1 %) a ovoce (3,8 %). Naopak silný propad byl zachycen u cen brambor (−20,1 %) a dále u zeleniny a zahradnických produktů (−3,4 %). Prudký růst cen vykázala loni živočišná výroba (14,7 %). S výjimkou cen prasat (−9,8 %) rostly ceny napříč celým tímto segmentem zemědělské výroby. Prudce se navýšily ceny skotu (32,0 %) a zdražila drůbež (8,0 %). Značné důsledky pro konečné spotřebitele pak mělo výrazné navýšení cen vajec (36,0 %) a mléka (16,8 %).</w:t>
            </w:r>
          </w:p>
        </w:tc>
      </w:tr>
      <w:tr w:rsidR="007F0076" w14:paraId="7F7DD6CF" w14:textId="77777777" w:rsidTr="00E87182">
        <w:trPr>
          <w:trHeight w:val="145"/>
        </w:trPr>
        <w:tc>
          <w:tcPr>
            <w:tcW w:w="1791" w:type="dxa"/>
          </w:tcPr>
          <w:p w14:paraId="70020700" w14:textId="77777777" w:rsidR="007F0076" w:rsidRDefault="007F0076" w:rsidP="00E87182">
            <w:pPr>
              <w:pStyle w:val="Marginlie"/>
              <w:rPr>
                <w:spacing w:val="0"/>
                <w:lang w:eastAsia="en-US"/>
              </w:rPr>
            </w:pPr>
            <w:r>
              <w:rPr>
                <w:spacing w:val="0"/>
                <w:lang w:eastAsia="en-US"/>
              </w:rPr>
              <w:t>Ve 4. čtvrtletí meziročně klesly ceny v rostlinné výrobě.</w:t>
            </w:r>
          </w:p>
        </w:tc>
        <w:tc>
          <w:tcPr>
            <w:tcW w:w="223" w:type="dxa"/>
          </w:tcPr>
          <w:p w14:paraId="18D37939" w14:textId="77777777" w:rsidR="007F0076" w:rsidRDefault="007F0076" w:rsidP="00E87182">
            <w:pPr>
              <w:pStyle w:val="Textpoznpodarou1"/>
              <w:jc w:val="both"/>
              <w:rPr>
                <w:lang w:eastAsia="en-US"/>
              </w:rPr>
            </w:pPr>
          </w:p>
        </w:tc>
        <w:tc>
          <w:tcPr>
            <w:tcW w:w="7625" w:type="dxa"/>
          </w:tcPr>
          <w:p w14:paraId="03DE3AAE" w14:textId="77777777" w:rsidR="007F0076" w:rsidRDefault="007F0076" w:rsidP="00E87182">
            <w:pPr>
              <w:rPr>
                <w:lang w:eastAsia="en-US"/>
              </w:rPr>
            </w:pPr>
            <w:r>
              <w:rPr>
                <w:lang w:eastAsia="en-US"/>
              </w:rPr>
              <w:t xml:space="preserve">Aktuální epizoda meziročního růstu cen zemědělských výrobců začala už na konci roku 2024 a tato vysoká srovnávací základna byla jedním z důvodů značného zpomalení meziročního přírůstku cen ve 4. čtvrtletí 2025 na 0,9 %. Ceny rostlinné výroby se ve 4. čtvrtletí dostaly do meziročního poklesu o 5,9 %. Ceny obilovin byly meziročně nižší o 7,0 % (pšenice −7,9 %, ječmen −3,5 %, kukuřice −10,1 %). U ovoce došlo k propadu o 19,3 %, u brambor o 18,3 %, u průmyslových plodin o 7,6 % a ceny krmných plodin klesly o 1,9 %. Naopak se ve 4.čtrvrtletí zastavil meziroční pokles cen zeleniny a zahradnických produktů (ceny stagnovaly). Meziroční růst cen živočišné výroby ve 4. čtvrtletí zpomalil na 12,7 %. Prakticky beze změn zůstala dynamika cen skotu (meziroční růst o 39,8 %) a drůbeže (11,9 %) a jen kosmetické bylo zpomalení růstu cen vajec (35,4 %). Přibližně na polovinu se zmírnil meziroční růst cen mléka (10,3 %). Prohloubil se pokles cen prasat na −13,1 %. </w:t>
            </w:r>
          </w:p>
        </w:tc>
      </w:tr>
      <w:tr w:rsidR="007F0076" w14:paraId="0ED2680E" w14:textId="77777777" w:rsidTr="00E87182">
        <w:trPr>
          <w:trHeight w:val="145"/>
        </w:trPr>
        <w:tc>
          <w:tcPr>
            <w:tcW w:w="1791" w:type="dxa"/>
            <w:hideMark/>
          </w:tcPr>
          <w:p w14:paraId="19A6CCD8" w14:textId="77777777" w:rsidR="007F0076" w:rsidRDefault="007F0076" w:rsidP="00E87182">
            <w:pPr>
              <w:pStyle w:val="Marginlie"/>
              <w:rPr>
                <w:spacing w:val="0"/>
                <w:lang w:eastAsia="en-US"/>
              </w:rPr>
            </w:pPr>
            <w:r>
              <w:rPr>
                <w:spacing w:val="0"/>
                <w:lang w:eastAsia="en-US"/>
              </w:rPr>
              <w:lastRenderedPageBreak/>
              <w:t>Ceny vývozu v roce 2025 klesly.</w:t>
            </w:r>
          </w:p>
        </w:tc>
        <w:tc>
          <w:tcPr>
            <w:tcW w:w="223" w:type="dxa"/>
          </w:tcPr>
          <w:p w14:paraId="2F0D47DF" w14:textId="77777777" w:rsidR="007F0076" w:rsidRDefault="007F0076" w:rsidP="00E87182">
            <w:pPr>
              <w:pStyle w:val="Textpoznpodarou1"/>
              <w:jc w:val="both"/>
              <w:rPr>
                <w:lang w:eastAsia="en-US"/>
              </w:rPr>
            </w:pPr>
          </w:p>
        </w:tc>
        <w:tc>
          <w:tcPr>
            <w:tcW w:w="7625" w:type="dxa"/>
            <w:hideMark/>
          </w:tcPr>
          <w:p w14:paraId="2B8B01D7" w14:textId="77777777" w:rsidR="007F0076" w:rsidRDefault="007F0076" w:rsidP="00E87182">
            <w:pPr>
              <w:rPr>
                <w:lang w:eastAsia="en-US"/>
              </w:rPr>
            </w:pPr>
            <w:r>
              <w:rPr>
                <w:lang w:eastAsia="en-US"/>
              </w:rPr>
              <w:t>Vývoj cen zahraničního obchodu byl po celý rok 2025 silně ovlivňován posilováním koruny vůči euru a dolaru</w:t>
            </w:r>
            <w:r>
              <w:rPr>
                <w:rStyle w:val="Znakapoznpodarou"/>
                <w:lang w:eastAsia="en-US"/>
              </w:rPr>
              <w:footnoteReference w:id="83"/>
            </w:r>
            <w:r>
              <w:rPr>
                <w:lang w:eastAsia="en-US"/>
              </w:rPr>
              <w:t xml:space="preserve">. To mělo výrazný protiinflační efekt, zejména v meziročním srovnání. Za celý rok 2025 se ceny vývozu zboží snížily o 1,2 %. Rostly pouze ceny produktů zemědělství, lesnictví a rybářství (5,5 %) a elektřiny, plynu, páry a klimatizovaného vzduchu (2,8 %). Hluboký propad byl zaznamenán u těžby a dobývání (−12,0 %) a zásobování vodou a činností souvisejících s odpadními vodami (−9,5 %). Snížily se rovněž ceny výrobků zpracovatelského průmyslu (−1,3 %), zejména koksu a rafinovaných ropných produktů (−15,0 %), chemických látek a přípravků (−5,2 %), nábytku (−4,5 %) a základních kovů (−3,8 %). V průběhu roku se také do poklesu dostávaly ceny vývozu u významných exportních odvětví, jako jsou elektrická zařízení (−2,0 % za celý rok 2025), počítače, elektronické a optické přístroje (−1,7 %), stroje a zařízení (−0,6 %), kovodělné výrobky (−0,3 %) nebo motorová vozidla (−0,2 %). Výraznější navýšení bylo zaznamenáno pouze u cen vývozu dřeva a dřevěných výrobků kromě nábytku (6,5 %). </w:t>
            </w:r>
          </w:p>
        </w:tc>
      </w:tr>
      <w:tr w:rsidR="007F0076" w14:paraId="0A36DA53" w14:textId="77777777" w:rsidTr="00E87182">
        <w:trPr>
          <w:trHeight w:val="145"/>
        </w:trPr>
        <w:tc>
          <w:tcPr>
            <w:tcW w:w="1791" w:type="dxa"/>
          </w:tcPr>
          <w:p w14:paraId="38EE977C" w14:textId="77777777" w:rsidR="007F0076" w:rsidRDefault="007F0076" w:rsidP="00E87182">
            <w:pPr>
              <w:pStyle w:val="Marginlie"/>
              <w:rPr>
                <w:spacing w:val="0"/>
                <w:lang w:eastAsia="en-US"/>
              </w:rPr>
            </w:pPr>
            <w:r>
              <w:rPr>
                <w:spacing w:val="0"/>
                <w:lang w:eastAsia="en-US"/>
              </w:rPr>
              <w:t>V průběhu roku se postupně prohluboval meziroční pokles cen vývozu zboží.</w:t>
            </w:r>
          </w:p>
        </w:tc>
        <w:tc>
          <w:tcPr>
            <w:tcW w:w="223" w:type="dxa"/>
          </w:tcPr>
          <w:p w14:paraId="343644F1" w14:textId="77777777" w:rsidR="007F0076" w:rsidRDefault="007F0076" w:rsidP="00E87182">
            <w:pPr>
              <w:pStyle w:val="Textpoznpodarou1"/>
              <w:jc w:val="both"/>
              <w:rPr>
                <w:lang w:eastAsia="en-US"/>
              </w:rPr>
            </w:pPr>
          </w:p>
        </w:tc>
        <w:tc>
          <w:tcPr>
            <w:tcW w:w="7625" w:type="dxa"/>
          </w:tcPr>
          <w:p w14:paraId="20FFA3AD" w14:textId="7660C640" w:rsidR="007F0076" w:rsidRDefault="007F0076" w:rsidP="00E87182">
            <w:pPr>
              <w:rPr>
                <w:lang w:eastAsia="en-US"/>
              </w:rPr>
            </w:pPr>
            <w:r>
              <w:rPr>
                <w:lang w:eastAsia="en-US"/>
              </w:rPr>
              <w:t>V průběhu roku 2025 se postupně prohluboval meziroční pokles cen exportu zboží až na −4,2 % ve 4. čtvrtletí. Hlavním hybatelem tohoto vývoje byly ceny elektřiny, plynu, páry a klimatizovaného vzduchu, které se postupně dostaly až do meziročního poklesu o 16,4 % ve 4. kvartálu. Udržoval se také hluboký propad cen těžby a dobývání (−11,1 %) a zásobování vodou a činností souvisejících s odpadními vodami (−10,0 %). Na 3,9 % se ve 4. čtvrtletí prohloubil také meziroční pokles cen výrobků zpracovatelského průmyslu. Zde na konci roku meziročně klesaly ceny ve většině oddílů s výjimkou cen dřeva a dřevěných výrobků kromě nábytku (5,8 %) a nápojů (0,4 %). Nejvýraznější pokles cen byl zachycen u koksu a rafinovaných ropných produktů (−13,5 %), chemických látek a přípravků (−9,0 %), papíru a výrobků z papíru (−7,4 %) a nábytku (−6,4 %). Jedinou sekci, kde ceny rostly, byly produkty zemědělství, lesnictví a rybářství (2,2 %). I zde ale meziroční přírůstek v průběhu roku oslaboval. Mezičtvrtletně ceny vývozu klesly ve 4. čtvrtletí o 0,7 %, což byl mírnější pokles než v předchozích dvou kvartálech. Nižší byly ceny exportu v oblasti těžby a dobývání (−3,5</w:t>
            </w:r>
            <w:r w:rsidR="00B10325">
              <w:rPr>
                <w:lang w:eastAsia="en-US"/>
              </w:rPr>
              <w:t> </w:t>
            </w:r>
            <w:r>
              <w:rPr>
                <w:lang w:eastAsia="en-US"/>
              </w:rPr>
              <w:t xml:space="preserve">%), výrobků zpracovatelského průmyslu (−1,0 %) i zásobování vodou a činností souvisejících s odpadními vodami (−2,8 %). Naproti tomu došlo k výraznému mezičtvrtletnímu navýšení cen elektřiny, plynu, páry a klimatizovaného vzduchu (7,9 %) a rostly i ceny produktů zemědělství, lesnictví a rybářství (2,8 %). </w:t>
            </w:r>
          </w:p>
        </w:tc>
      </w:tr>
      <w:tr w:rsidR="007F0076" w14:paraId="6CC10516" w14:textId="77777777" w:rsidTr="00E87182">
        <w:trPr>
          <w:trHeight w:val="145"/>
        </w:trPr>
        <w:tc>
          <w:tcPr>
            <w:tcW w:w="1791" w:type="dxa"/>
          </w:tcPr>
          <w:p w14:paraId="756257A6" w14:textId="77777777" w:rsidR="007F0076" w:rsidRDefault="007F0076" w:rsidP="00E87182">
            <w:pPr>
              <w:pStyle w:val="Marginlie"/>
              <w:rPr>
                <w:spacing w:val="0"/>
                <w:lang w:eastAsia="en-US"/>
              </w:rPr>
            </w:pPr>
            <w:r>
              <w:rPr>
                <w:spacing w:val="0"/>
                <w:lang w:eastAsia="en-US"/>
              </w:rPr>
              <w:t xml:space="preserve">Prudce se propadaly ceny dovozu v oblasti těžby a dobývání. </w:t>
            </w:r>
          </w:p>
        </w:tc>
        <w:tc>
          <w:tcPr>
            <w:tcW w:w="223" w:type="dxa"/>
          </w:tcPr>
          <w:p w14:paraId="58C96FAB" w14:textId="77777777" w:rsidR="007F0076" w:rsidRDefault="007F0076" w:rsidP="00E87182">
            <w:pPr>
              <w:pStyle w:val="Textpoznpodarou1"/>
              <w:jc w:val="both"/>
              <w:rPr>
                <w:lang w:eastAsia="en-US"/>
              </w:rPr>
            </w:pPr>
          </w:p>
        </w:tc>
        <w:tc>
          <w:tcPr>
            <w:tcW w:w="7625" w:type="dxa"/>
            <w:hideMark/>
          </w:tcPr>
          <w:p w14:paraId="42CDD068" w14:textId="77777777" w:rsidR="007F0076" w:rsidRPr="00901A3A" w:rsidRDefault="007F0076" w:rsidP="00E87182">
            <w:pPr>
              <w:rPr>
                <w:b/>
                <w:bCs/>
                <w:lang w:eastAsia="en-US"/>
              </w:rPr>
            </w:pPr>
            <w:r>
              <w:rPr>
                <w:lang w:eastAsia="en-US"/>
              </w:rPr>
              <w:t>Dynamika cen dovozu byla podobná jako u vývozu – v průběhu roku 2025 se postupně prohluboval meziroční pokles a celkově ceny loni klesly o 1,6 %. Ceny dovozu produktů zemědělství, lesnictví a rybářství byly vyšší o 6,3 % a elektřiny, plynu, páry a klimatizovaného vzduchu o 4,6 %, ale výsledný celkový pokles cen byl ovlivněn propadem cen dovozu těžby a dobývání o 10,7 % a výrobků zpracovatelského průmyslu o 1,2 %. Ve 4. čtvrtletí se pokles cen importu prohloubil na −5,1 %. Podepsalo se na tom zvýraznění propadu cen těžby a dobývání na −23,0 %, ale znatelnější pokles byl zachycen také u cen dovozu elektřiny, plynu, páry a klimatizovaného vzduchu (−8,6 %) či cen výrobků zpracovatelského průmyslu (−3,9 %). Meziročně stagnovaly ceny produktů zemědělství, lesnictví a rybářství. Mezičtvrtletně klesly ceny dovozu ve 4. kvartálu o 1,1 %. Ceny importu v oblasti těžby a dobývání byly mezičtvrtletně nižší o 6,4 % a výrobků zpracovatelského průmyslu o 0,9 %. Naopak ceny dovezené elektřiny, plynu, páry a klimatizovaného vzduchu vzrostly o 11,0 % a produktů zemědělství, lesnictví a rybářství o 2,1 %.</w:t>
            </w:r>
          </w:p>
        </w:tc>
      </w:tr>
      <w:tr w:rsidR="007F0076" w14:paraId="0E41CC7D" w14:textId="77777777" w:rsidTr="00E87182">
        <w:trPr>
          <w:trHeight w:val="145"/>
        </w:trPr>
        <w:tc>
          <w:tcPr>
            <w:tcW w:w="1791" w:type="dxa"/>
          </w:tcPr>
          <w:p w14:paraId="43ED1EFE" w14:textId="77777777" w:rsidR="007F0076" w:rsidRDefault="007F0076" w:rsidP="00E87182">
            <w:pPr>
              <w:pStyle w:val="Marginlie"/>
              <w:rPr>
                <w:spacing w:val="0"/>
                <w:lang w:eastAsia="en-US"/>
              </w:rPr>
            </w:pPr>
            <w:r>
              <w:rPr>
                <w:spacing w:val="0"/>
                <w:lang w:eastAsia="en-US"/>
              </w:rPr>
              <w:lastRenderedPageBreak/>
              <w:t>Směnné relace byly v roce 2025 kladné.</w:t>
            </w:r>
          </w:p>
        </w:tc>
        <w:tc>
          <w:tcPr>
            <w:tcW w:w="223" w:type="dxa"/>
          </w:tcPr>
          <w:p w14:paraId="7ACAD5CE" w14:textId="77777777" w:rsidR="007F0076" w:rsidRDefault="007F0076" w:rsidP="00E87182">
            <w:pPr>
              <w:pStyle w:val="Textpoznpodarou1"/>
              <w:jc w:val="both"/>
              <w:rPr>
                <w:lang w:eastAsia="en-US"/>
              </w:rPr>
            </w:pPr>
          </w:p>
        </w:tc>
        <w:tc>
          <w:tcPr>
            <w:tcW w:w="7625" w:type="dxa"/>
          </w:tcPr>
          <w:p w14:paraId="52793061" w14:textId="77777777" w:rsidR="007F0076" w:rsidRDefault="007F0076" w:rsidP="00E87182">
            <w:pPr>
              <w:rPr>
                <w:lang w:eastAsia="en-US"/>
              </w:rPr>
            </w:pPr>
            <w:r>
              <w:rPr>
                <w:lang w:eastAsia="en-US"/>
              </w:rPr>
              <w:t>Směnné relace zahraničního obchodu se zbožím byly ve všech kvartálech roku 2025 kladné a celkově dosáhly 100,5 %. V samotném 4. čtvrtletí meziroční směnné relace činily 100,9 %. Výrazně pozitivní byly směnné relace obchodu s produkty těžby a dobývání (115,4 %) a produkty zemědělství, lesnictví a rybářství (102,2 %). Směnné relace obchodu s výrobky zpracovatelského průmyslu dosáhly 100,0 %. Naopak do negativního pásma přešly ve 4. čtvrtletí směnné relace obchodu s elektřinou, plynem, párou a klimatizovaným vzduchem (91,4 %). Mezičtvrtletní směnné relace zahraničního obchodu se zbožím ve 4. kvartálu dosáhly 100,4 %. Kladné byly směnné relace obchodu v oblasti těžby a dobývání (103,0 %) a produktů zemědělství, lesnictví a rybářství (100,6 %). Naopak negativní byly mezičtvrtletní směnné relace obchodu s elektřinou, plynem, párou a klimatizovaným vzduchem (97,1 %) a výrobky zpracovatelského průmyslu (99,9 %).</w:t>
            </w:r>
          </w:p>
        </w:tc>
      </w:tr>
    </w:tbl>
    <w:p w14:paraId="0D4E8352" w14:textId="77777777" w:rsidR="007F0076" w:rsidRDefault="007F0076" w:rsidP="007F0076">
      <w:pPr>
        <w:spacing w:after="0"/>
      </w:pPr>
    </w:p>
    <w:p w14:paraId="1810A534" w14:textId="77777777" w:rsidR="007F0076" w:rsidRPr="00C5418A" w:rsidRDefault="007F0076" w:rsidP="007F0076">
      <w:pPr>
        <w:spacing w:after="0"/>
        <w:rPr>
          <w:highlight w:val="yellow"/>
        </w:rPr>
      </w:pPr>
    </w:p>
    <w:p w14:paraId="369FDD3D" w14:textId="77777777" w:rsidR="006A2056" w:rsidRPr="001A108E" w:rsidRDefault="006A2056">
      <w:pPr>
        <w:spacing w:after="0" w:line="240" w:lineRule="auto"/>
        <w:jc w:val="left"/>
        <w:rPr>
          <w:rFonts w:eastAsia="MS Gothic"/>
          <w:b/>
          <w:bCs/>
          <w:color w:val="86BF5E"/>
          <w:sz w:val="32"/>
          <w:szCs w:val="28"/>
          <w:highlight w:val="yellow"/>
        </w:rPr>
      </w:pPr>
      <w:r w:rsidRPr="001A108E">
        <w:rPr>
          <w:highlight w:val="yellow"/>
        </w:rPr>
        <w:br w:type="page"/>
      </w:r>
    </w:p>
    <w:p w14:paraId="6BAC8825" w14:textId="77777777" w:rsidR="009D4785" w:rsidRDefault="009D4785" w:rsidP="009D4785">
      <w:pPr>
        <w:pStyle w:val="Nadpis1"/>
      </w:pPr>
      <w:bookmarkStart w:id="26" w:name="_Toc193366677"/>
      <w:bookmarkStart w:id="27" w:name="_Toc224903150"/>
      <w:r>
        <w:lastRenderedPageBreak/>
        <w:t>6. Trh práce</w:t>
      </w:r>
      <w:bookmarkEnd w:id="26"/>
      <w:bookmarkEnd w:id="27"/>
    </w:p>
    <w:tbl>
      <w:tblPr>
        <w:tblW w:w="9674" w:type="dxa"/>
        <w:tblInd w:w="-35" w:type="dxa"/>
        <w:tblCellMar>
          <w:left w:w="0" w:type="dxa"/>
          <w:right w:w="0" w:type="dxa"/>
        </w:tblCellMar>
        <w:tblLook w:val="00A0" w:firstRow="1" w:lastRow="0" w:firstColumn="1" w:lastColumn="0" w:noHBand="0" w:noVBand="0"/>
      </w:tblPr>
      <w:tblGrid>
        <w:gridCol w:w="1713"/>
        <w:gridCol w:w="189"/>
        <w:gridCol w:w="7772"/>
      </w:tblGrid>
      <w:tr w:rsidR="009D4785" w:rsidRPr="009F0D7F" w14:paraId="6625CA94" w14:textId="77777777" w:rsidTr="00A96D94">
        <w:trPr>
          <w:trHeight w:val="155"/>
        </w:trPr>
        <w:tc>
          <w:tcPr>
            <w:tcW w:w="1713" w:type="dxa"/>
            <w:tcMar>
              <w:left w:w="0" w:type="dxa"/>
            </w:tcMar>
          </w:tcPr>
          <w:p w14:paraId="54EFE82E" w14:textId="77777777" w:rsidR="009D4785" w:rsidRPr="00591803" w:rsidRDefault="009D4785" w:rsidP="00A96D94">
            <w:pPr>
              <w:pStyle w:val="Marginlie"/>
              <w:rPr>
                <w:color w:val="000000" w:themeColor="text1"/>
                <w:spacing w:val="0"/>
              </w:rPr>
            </w:pPr>
            <w:r w:rsidRPr="00591803">
              <w:rPr>
                <w:color w:val="000000" w:themeColor="text1"/>
                <w:spacing w:val="0"/>
              </w:rPr>
              <w:t xml:space="preserve">Pokračoval odvětvově diferencovaný růst zaměstnanosti sycený z významné části ze zahraničí. Mírně ale </w:t>
            </w:r>
            <w:r w:rsidRPr="00591803">
              <w:rPr>
                <w:color w:val="000000" w:themeColor="text1"/>
                <w:spacing w:val="-6"/>
              </w:rPr>
              <w:t>přibylo i nezaměstnaných.</w:t>
            </w:r>
            <w:r w:rsidRPr="00591803">
              <w:rPr>
                <w:color w:val="000000" w:themeColor="text1"/>
                <w:spacing w:val="0"/>
              </w:rPr>
              <w:t xml:space="preserve"> Mzdový růst si udržoval svižné tempo.</w:t>
            </w:r>
          </w:p>
        </w:tc>
        <w:tc>
          <w:tcPr>
            <w:tcW w:w="189" w:type="dxa"/>
            <w:tcMar>
              <w:left w:w="0" w:type="dxa"/>
            </w:tcMar>
          </w:tcPr>
          <w:p w14:paraId="12AB068E" w14:textId="77777777" w:rsidR="009D4785" w:rsidRPr="00591803" w:rsidRDefault="009D4785" w:rsidP="00A96D94">
            <w:pPr>
              <w:pStyle w:val="Textpoznpodarou"/>
              <w:spacing w:after="120"/>
              <w:jc w:val="both"/>
              <w:rPr>
                <w:color w:val="000000" w:themeColor="text1"/>
                <w:spacing w:val="-4"/>
              </w:rPr>
            </w:pPr>
          </w:p>
        </w:tc>
        <w:tc>
          <w:tcPr>
            <w:tcW w:w="7772" w:type="dxa"/>
            <w:tcMar>
              <w:left w:w="0" w:type="dxa"/>
            </w:tcMar>
          </w:tcPr>
          <w:p w14:paraId="462720E5" w14:textId="1983074A" w:rsidR="009D4785" w:rsidRPr="00903591" w:rsidRDefault="009D4785" w:rsidP="00A96D94">
            <w:pPr>
              <w:spacing w:after="200"/>
              <w:rPr>
                <w:color w:val="000000" w:themeColor="text1"/>
                <w:szCs w:val="20"/>
              </w:rPr>
            </w:pPr>
            <w:r w:rsidRPr="00903591">
              <w:rPr>
                <w:color w:val="000000" w:themeColor="text1"/>
                <w:szCs w:val="20"/>
              </w:rPr>
              <w:t xml:space="preserve">Posílení výkonu ekonomiky se v roce 2025 postupně promítalo i do trhu práce. Přetrvával mírný růst počtu zaměstnanců i </w:t>
            </w:r>
            <w:proofErr w:type="spellStart"/>
            <w:r w:rsidRPr="00903591">
              <w:rPr>
                <w:color w:val="000000" w:themeColor="text1"/>
                <w:szCs w:val="20"/>
              </w:rPr>
              <w:t>sebezaměstnaných</w:t>
            </w:r>
            <w:proofErr w:type="spellEnd"/>
            <w:r w:rsidRPr="00903591">
              <w:rPr>
                <w:color w:val="000000" w:themeColor="text1"/>
                <w:szCs w:val="20"/>
              </w:rPr>
              <w:t>, jehož těžiště spočívalo ve službách, které obecně profitovaly z rostoucí tuzemské poptávky. Růst investiční aktivity v</w:t>
            </w:r>
            <w:r>
              <w:rPr>
                <w:color w:val="000000" w:themeColor="text1"/>
                <w:szCs w:val="20"/>
              </w:rPr>
              <w:t> </w:t>
            </w:r>
            <w:r w:rsidRPr="00903591">
              <w:rPr>
                <w:color w:val="000000" w:themeColor="text1"/>
                <w:szCs w:val="20"/>
              </w:rPr>
              <w:t xml:space="preserve">ekonomice se odrazil ve výkonech, zaměstnanosti i mzdách </w:t>
            </w:r>
            <w:r>
              <w:rPr>
                <w:color w:val="000000" w:themeColor="text1"/>
                <w:szCs w:val="20"/>
              </w:rPr>
              <w:t xml:space="preserve">ve </w:t>
            </w:r>
            <w:r w:rsidRPr="00903591">
              <w:rPr>
                <w:color w:val="000000" w:themeColor="text1"/>
                <w:szCs w:val="20"/>
              </w:rPr>
              <w:t>stavebnictví. Ke konci roku se zlepšená situace v průmyslu zčásti promítla i do zaměstnanosti. Ve zvýšené intenzitě pokračoval příliv pracovníků ze zahraničí, vedle Ukrajiny i ze vzdálených asijských států. Očekávání firem v oblasti zaměstnanosti se zlepšovala, pozitivní posun byl patrný v obchodu i stavebnictví a aktuálně i v průmyslu. Nezaměstnanost vč. její dlouhodobé složky se mírně zvýšila. Nabídka volných pracovních míst stagnovala a</w:t>
            </w:r>
            <w:r>
              <w:rPr>
                <w:color w:val="000000" w:themeColor="text1"/>
                <w:szCs w:val="20"/>
              </w:rPr>
              <w:t> </w:t>
            </w:r>
            <w:r w:rsidRPr="00903591">
              <w:rPr>
                <w:color w:val="000000" w:themeColor="text1"/>
                <w:szCs w:val="20"/>
              </w:rPr>
              <w:t xml:space="preserve">přetrvával dlouhodobý strukturální nesoulad nabídky a poptávky. Svižný růst nominálních mezd pokračoval a z jejich </w:t>
            </w:r>
            <w:proofErr w:type="spellStart"/>
            <w:r w:rsidRPr="00903591">
              <w:rPr>
                <w:color w:val="000000" w:themeColor="text1"/>
                <w:szCs w:val="20"/>
              </w:rPr>
              <w:t>mezikvartálních</w:t>
            </w:r>
            <w:proofErr w:type="spellEnd"/>
            <w:r w:rsidRPr="00903591">
              <w:rPr>
                <w:color w:val="000000" w:themeColor="text1"/>
                <w:szCs w:val="20"/>
              </w:rPr>
              <w:t xml:space="preserve"> temp nebyla zatím zřetelně patrná tendence k oslabování dynamiky. Na konci roku zrychlil mzdový růst u nejhůře placených zaměstnanců. Stabilizace cenové hladiny v ekonomice vedla k rychlému růstu reálných mezd, jenž byl od počátku loňského roku patrný ve všech hlavních odvětvích. Kupní síla hrubých zaměstnaneckých výdělků dosáhla na konci roku úrovně ze 4. čtvrtletí roku 2019.</w:t>
            </w:r>
          </w:p>
        </w:tc>
      </w:tr>
      <w:tr w:rsidR="009D4785" w:rsidRPr="009F0D7F" w14:paraId="371A3C2A" w14:textId="77777777" w:rsidTr="00A96D94">
        <w:trPr>
          <w:trHeight w:val="155"/>
        </w:trPr>
        <w:tc>
          <w:tcPr>
            <w:tcW w:w="1713" w:type="dxa"/>
            <w:tcMar>
              <w:left w:w="0" w:type="dxa"/>
            </w:tcMar>
          </w:tcPr>
          <w:p w14:paraId="52D9845A" w14:textId="77777777" w:rsidR="009D4785" w:rsidRDefault="009D4785" w:rsidP="00A96D94">
            <w:pPr>
              <w:pStyle w:val="Marginlie"/>
              <w:spacing w:after="120"/>
              <w:rPr>
                <w:color w:val="0D0D0D" w:themeColor="text1" w:themeTint="F2"/>
                <w:spacing w:val="-4"/>
              </w:rPr>
            </w:pPr>
            <w:r>
              <w:rPr>
                <w:color w:val="0D0D0D" w:themeColor="text1" w:themeTint="F2"/>
                <w:spacing w:val="-4"/>
              </w:rPr>
              <w:t>Zaměstnanost se po většinu loňského roku mezikvartálně zvyšovala. Počet pracujících v Česku se opět posunul na historické maximum.</w:t>
            </w:r>
          </w:p>
        </w:tc>
        <w:tc>
          <w:tcPr>
            <w:tcW w:w="189" w:type="dxa"/>
            <w:tcMar>
              <w:left w:w="0" w:type="dxa"/>
            </w:tcMar>
          </w:tcPr>
          <w:p w14:paraId="7DB762CF" w14:textId="77777777" w:rsidR="009D4785" w:rsidRPr="009F0D7F" w:rsidRDefault="009D4785" w:rsidP="00A96D94">
            <w:pPr>
              <w:pStyle w:val="Textpoznpodarou"/>
              <w:spacing w:after="120"/>
              <w:jc w:val="both"/>
              <w:rPr>
                <w:color w:val="0D0D0D" w:themeColor="text1" w:themeTint="F2"/>
                <w:spacing w:val="-4"/>
              </w:rPr>
            </w:pPr>
          </w:p>
        </w:tc>
        <w:tc>
          <w:tcPr>
            <w:tcW w:w="7772" w:type="dxa"/>
            <w:tcMar>
              <w:left w:w="0" w:type="dxa"/>
            </w:tcMar>
          </w:tcPr>
          <w:p w14:paraId="7F569189" w14:textId="77777777" w:rsidR="009D4785" w:rsidRPr="00903591" w:rsidRDefault="009D4785" w:rsidP="00A96D94">
            <w:r w:rsidRPr="00903591">
              <w:t>Tempo růstu zaměstnanosti se zpočátku loňského roku zvyšovalo. Celková zaměstnanost</w:t>
            </w:r>
            <w:r w:rsidRPr="00903591">
              <w:rPr>
                <w:color w:val="0D0D0D" w:themeColor="text1" w:themeTint="F2"/>
                <w:vertAlign w:val="superscript"/>
              </w:rPr>
              <w:footnoteReference w:id="84"/>
            </w:r>
            <w:r w:rsidRPr="00903591">
              <w:t xml:space="preserve"> v 1. čtvrtletí 2025 mezikvartálně vzrostla o 0,4 % a v následujícím období o 0,5 %. Na tomto oživení se podílela většina odvětví služeb a také průmysl, kde došlo k</w:t>
            </w:r>
            <w:r>
              <w:t> </w:t>
            </w:r>
            <w:r w:rsidRPr="00903591">
              <w:t>částečné stabilizaci (a ve 2. čtvrtletí se zde počet pracovníků mezikvartálně již nesnižoval). Ve 3. čtvrtletí se však celkové svižné tempo neudrželo a na samém konci roku počet pracovníků pouze stagnoval, především vlivem dílčí korekce v uskupení obchod, doprava, ubytování a pohostinství. Zaměstnanost v celé ekonomice aktuálně čítala rekordních 5,52 mil. osob a proti maximální hodnotě z období poslední konjunktury (4. čtvrtletí 2018) byla vyšší již o 2,7 % (+145 tis.), z rozhodující části díky rozvoji veřejných služeb</w:t>
            </w:r>
            <w:r w:rsidRPr="00903591">
              <w:rPr>
                <w:rStyle w:val="Znakapoznpodarou"/>
              </w:rPr>
              <w:footnoteReference w:id="85"/>
            </w:r>
            <w:r w:rsidRPr="00903591">
              <w:t>.</w:t>
            </w:r>
          </w:p>
        </w:tc>
      </w:tr>
      <w:tr w:rsidR="009D4785" w:rsidRPr="009F0D7F" w14:paraId="4AF93D39" w14:textId="77777777" w:rsidTr="00A96D94">
        <w:trPr>
          <w:trHeight w:val="155"/>
        </w:trPr>
        <w:tc>
          <w:tcPr>
            <w:tcW w:w="1713" w:type="dxa"/>
            <w:tcMar>
              <w:left w:w="0" w:type="dxa"/>
            </w:tcMar>
          </w:tcPr>
          <w:p w14:paraId="0482F9CB" w14:textId="77777777" w:rsidR="009D4785" w:rsidRDefault="009D4785" w:rsidP="00A96D94">
            <w:pPr>
              <w:pStyle w:val="Marginlie"/>
              <w:rPr>
                <w:color w:val="0D0D0D" w:themeColor="text1" w:themeTint="F2"/>
                <w:spacing w:val="-4"/>
              </w:rPr>
            </w:pPr>
            <w:r>
              <w:rPr>
                <w:color w:val="0D0D0D" w:themeColor="text1" w:themeTint="F2"/>
                <w:spacing w:val="-4"/>
              </w:rPr>
              <w:t xml:space="preserve">Na mírném meziročním růstu počtu pracovníků se podíleli zaměstnanci </w:t>
            </w:r>
            <w:r>
              <w:rPr>
                <w:color w:val="0D0D0D" w:themeColor="text1" w:themeTint="F2"/>
                <w:spacing w:val="-4"/>
              </w:rPr>
              <w:br/>
              <w:t xml:space="preserve">i drobní podnikatelé. </w:t>
            </w:r>
          </w:p>
          <w:p w14:paraId="2FB58EC1" w14:textId="77777777" w:rsidR="009D4785" w:rsidRDefault="009D4785" w:rsidP="00A96D94">
            <w:pPr>
              <w:pStyle w:val="Marginlie"/>
              <w:rPr>
                <w:color w:val="0D0D0D" w:themeColor="text1" w:themeTint="F2"/>
                <w:spacing w:val="-4"/>
              </w:rPr>
            </w:pPr>
          </w:p>
          <w:p w14:paraId="633249D1" w14:textId="77777777" w:rsidR="009D4785" w:rsidRDefault="009D4785" w:rsidP="00A96D94">
            <w:pPr>
              <w:pStyle w:val="Marginlie"/>
              <w:rPr>
                <w:color w:val="0D0D0D" w:themeColor="text1" w:themeTint="F2"/>
                <w:spacing w:val="-4"/>
              </w:rPr>
            </w:pPr>
          </w:p>
          <w:p w14:paraId="1B46D09D" w14:textId="77777777" w:rsidR="009D4785" w:rsidRDefault="009D4785" w:rsidP="00A96D94">
            <w:pPr>
              <w:pStyle w:val="Marginlie"/>
              <w:rPr>
                <w:color w:val="0D0D0D" w:themeColor="text1" w:themeTint="F2"/>
                <w:spacing w:val="-4"/>
              </w:rPr>
            </w:pPr>
          </w:p>
          <w:p w14:paraId="06BDC9EA" w14:textId="77777777" w:rsidR="009D4785" w:rsidRDefault="009D4785" w:rsidP="00A96D94">
            <w:pPr>
              <w:pStyle w:val="Marginlie"/>
              <w:rPr>
                <w:color w:val="0D0D0D" w:themeColor="text1" w:themeTint="F2"/>
                <w:spacing w:val="-4"/>
              </w:rPr>
            </w:pPr>
          </w:p>
          <w:p w14:paraId="39F7D64C" w14:textId="77777777" w:rsidR="009D4785" w:rsidRDefault="009D4785" w:rsidP="00A96D94">
            <w:pPr>
              <w:pStyle w:val="Marginlie"/>
              <w:rPr>
                <w:color w:val="0D0D0D" w:themeColor="text1" w:themeTint="F2"/>
                <w:spacing w:val="-4"/>
              </w:rPr>
            </w:pPr>
          </w:p>
          <w:p w14:paraId="73E4F59A" w14:textId="77777777" w:rsidR="009D4785" w:rsidRPr="00630288" w:rsidRDefault="009D4785" w:rsidP="00A96D94">
            <w:pPr>
              <w:pStyle w:val="Marginlie"/>
              <w:rPr>
                <w:color w:val="0D0D0D" w:themeColor="text1" w:themeTint="F2"/>
                <w:spacing w:val="0"/>
              </w:rPr>
            </w:pPr>
            <w:r w:rsidRPr="00630288">
              <w:rPr>
                <w:color w:val="0D0D0D" w:themeColor="text1" w:themeTint="F2"/>
                <w:spacing w:val="0"/>
              </w:rPr>
              <w:t xml:space="preserve">Těžiště růstu zaměstnanosti představovaly veřejné služby. </w:t>
            </w:r>
          </w:p>
          <w:p w14:paraId="31AF068A" w14:textId="77777777" w:rsidR="009D4785" w:rsidRPr="008B66AB" w:rsidRDefault="009D4785" w:rsidP="00A96D94">
            <w:pPr>
              <w:pStyle w:val="Marginlie"/>
              <w:rPr>
                <w:color w:val="0D0D0D" w:themeColor="text1" w:themeTint="F2"/>
                <w:spacing w:val="0"/>
              </w:rPr>
            </w:pPr>
            <w:r w:rsidRPr="008B66AB">
              <w:rPr>
                <w:color w:val="0D0D0D" w:themeColor="text1" w:themeTint="F2"/>
                <w:spacing w:val="0"/>
              </w:rPr>
              <w:lastRenderedPageBreak/>
              <w:t xml:space="preserve">Dařilo se i vyspělejším podnikovým službám, nemovitostem, obchodu </w:t>
            </w:r>
            <w:r w:rsidRPr="008B66AB">
              <w:rPr>
                <w:color w:val="0D0D0D" w:themeColor="text1" w:themeTint="F2"/>
                <w:spacing w:val="0"/>
              </w:rPr>
              <w:br/>
              <w:t>i cestovnímu ruchu.</w:t>
            </w:r>
          </w:p>
          <w:p w14:paraId="229A9DB2" w14:textId="77777777" w:rsidR="009D4785" w:rsidRPr="008B66AB" w:rsidRDefault="009D4785" w:rsidP="00A96D94">
            <w:pPr>
              <w:pStyle w:val="Marginlie"/>
              <w:rPr>
                <w:color w:val="0D0D0D" w:themeColor="text1" w:themeTint="F2"/>
                <w:spacing w:val="0"/>
              </w:rPr>
            </w:pPr>
          </w:p>
          <w:p w14:paraId="20A08D08" w14:textId="77777777" w:rsidR="009D4785" w:rsidRPr="008B66AB" w:rsidRDefault="009D4785" w:rsidP="00A96D94">
            <w:pPr>
              <w:pStyle w:val="Marginlie"/>
              <w:rPr>
                <w:color w:val="0D0D0D" w:themeColor="text1" w:themeTint="F2"/>
                <w:spacing w:val="0"/>
              </w:rPr>
            </w:pPr>
          </w:p>
          <w:p w14:paraId="4A4F3DCD" w14:textId="77777777" w:rsidR="009D4785" w:rsidRPr="008B66AB" w:rsidRDefault="009D4785" w:rsidP="00A96D94">
            <w:pPr>
              <w:pStyle w:val="Marginlie"/>
              <w:rPr>
                <w:color w:val="0D0D0D" w:themeColor="text1" w:themeTint="F2"/>
                <w:spacing w:val="0"/>
              </w:rPr>
            </w:pPr>
          </w:p>
          <w:p w14:paraId="5D02CFC4" w14:textId="77777777" w:rsidR="009D4785" w:rsidRPr="008B66AB" w:rsidRDefault="009D4785" w:rsidP="00A96D94">
            <w:pPr>
              <w:pStyle w:val="Marginlie"/>
              <w:rPr>
                <w:color w:val="0D0D0D" w:themeColor="text1" w:themeTint="F2"/>
                <w:spacing w:val="0"/>
              </w:rPr>
            </w:pPr>
          </w:p>
          <w:p w14:paraId="4FE97A6D" w14:textId="77777777" w:rsidR="009D4785" w:rsidRPr="008B66AB" w:rsidRDefault="009D4785" w:rsidP="00A96D94">
            <w:pPr>
              <w:pStyle w:val="Marginlie"/>
              <w:rPr>
                <w:color w:val="0D0D0D" w:themeColor="text1" w:themeTint="F2"/>
                <w:spacing w:val="0"/>
              </w:rPr>
            </w:pPr>
          </w:p>
          <w:p w14:paraId="4B0A9AD6" w14:textId="77777777" w:rsidR="009D4785" w:rsidRPr="008B66AB" w:rsidRDefault="009D4785" w:rsidP="00A96D94">
            <w:pPr>
              <w:pStyle w:val="Marginlie"/>
              <w:rPr>
                <w:color w:val="0D0D0D" w:themeColor="text1" w:themeTint="F2"/>
                <w:spacing w:val="0"/>
              </w:rPr>
            </w:pPr>
          </w:p>
          <w:p w14:paraId="70E2EB84" w14:textId="77777777" w:rsidR="009D4785" w:rsidRDefault="009D4785" w:rsidP="00A96D94">
            <w:pPr>
              <w:pStyle w:val="Marginlie"/>
              <w:rPr>
                <w:color w:val="0D0D0D" w:themeColor="text1" w:themeTint="F2"/>
                <w:spacing w:val="-4"/>
              </w:rPr>
            </w:pPr>
            <w:r w:rsidRPr="008B66AB">
              <w:rPr>
                <w:color w:val="0D0D0D" w:themeColor="text1" w:themeTint="F2"/>
                <w:spacing w:val="0"/>
              </w:rPr>
              <w:t>V oblasti ICT loni přibylo nejméně pracovníků po roce 2012. Ve finančnictví pokračoval úbytek zaměstnaneckých míst.</w:t>
            </w:r>
            <w:r>
              <w:rPr>
                <w:color w:val="0D0D0D" w:themeColor="text1" w:themeTint="F2"/>
                <w:spacing w:val="-4"/>
              </w:rPr>
              <w:t xml:space="preserve"> </w:t>
            </w:r>
          </w:p>
        </w:tc>
        <w:tc>
          <w:tcPr>
            <w:tcW w:w="189" w:type="dxa"/>
            <w:tcMar>
              <w:left w:w="0" w:type="dxa"/>
            </w:tcMar>
          </w:tcPr>
          <w:p w14:paraId="4C7216BF" w14:textId="77777777" w:rsidR="009D4785" w:rsidRPr="009F0D7F" w:rsidRDefault="009D4785" w:rsidP="00A96D94">
            <w:pPr>
              <w:pStyle w:val="Textpoznpodarou"/>
              <w:spacing w:after="120"/>
              <w:jc w:val="both"/>
              <w:rPr>
                <w:color w:val="0D0D0D" w:themeColor="text1" w:themeTint="F2"/>
                <w:spacing w:val="-4"/>
              </w:rPr>
            </w:pPr>
          </w:p>
        </w:tc>
        <w:tc>
          <w:tcPr>
            <w:tcW w:w="7772" w:type="dxa"/>
            <w:tcMar>
              <w:left w:w="0" w:type="dxa"/>
            </w:tcMar>
          </w:tcPr>
          <w:p w14:paraId="4FDF7786" w14:textId="77777777" w:rsidR="009D4785" w:rsidRPr="00903591" w:rsidRDefault="009D4785" w:rsidP="00A96D94">
            <w:r w:rsidRPr="00903591">
              <w:t>Za rok 2025 celková zaměstnanost posílila o 1,1 %</w:t>
            </w:r>
            <w:r w:rsidRPr="00903591">
              <w:rPr>
                <w:rStyle w:val="Znakapoznpodarou"/>
              </w:rPr>
              <w:footnoteReference w:id="86"/>
            </w:r>
            <w:r w:rsidRPr="00903591">
              <w:t>, když</w:t>
            </w:r>
            <w:r>
              <w:t xml:space="preserve"> se</w:t>
            </w:r>
            <w:r w:rsidRPr="00903591">
              <w:t xml:space="preserve"> zvyšovala popáté v řadě a</w:t>
            </w:r>
            <w:r>
              <w:t> </w:t>
            </w:r>
            <w:r w:rsidRPr="00903591">
              <w:t xml:space="preserve">ve srovnání s předloňským tempem došlo k jejímu mírnému zrychlení. K loňskému růstu přispěli nejen zaměstnanci (+46 tis.), ale i </w:t>
            </w:r>
            <w:proofErr w:type="spellStart"/>
            <w:r w:rsidRPr="00903591">
              <w:t>sebezaměstnaní</w:t>
            </w:r>
            <w:proofErr w:type="spellEnd"/>
            <w:r w:rsidRPr="00903591">
              <w:t xml:space="preserve"> (+12 tis.)</w:t>
            </w:r>
            <w:r w:rsidRPr="00903591">
              <w:rPr>
                <w:rStyle w:val="Znakapoznpodarou"/>
              </w:rPr>
              <w:footnoteReference w:id="87"/>
            </w:r>
            <w:r w:rsidRPr="00903591">
              <w:t xml:space="preserve">, jejichž procentní nárůst byl ale oproti zaměstnancům o polovinu vyšší. Z pohledu odvětví měl pro celkovou dynamiku zaměstnanosti v ekonomice nadále zásadní význam sektor služeb. Jestliže v roce 2023 táhly celkovou zaměstnanost vyspělé podnikové služby (soustředěné hlavně v odvětví profesní, vědecké, technické a administrativní činnosti) </w:t>
            </w:r>
            <w:r>
              <w:br/>
            </w:r>
            <w:r w:rsidRPr="00903591">
              <w:t>a v následujícím období činnosti v oblasti nemovitostí, loni tuto roli převzaly veřejné služby</w:t>
            </w:r>
            <w:r w:rsidRPr="00903591">
              <w:rPr>
                <w:rStyle w:val="Znakapoznpodarou"/>
              </w:rPr>
              <w:footnoteReference w:id="88"/>
            </w:r>
            <w:r w:rsidRPr="00903591">
              <w:t xml:space="preserve">. V nich totiž pracovalo meziročně o 1,8 % více a na tomto nárůstu, nejvyšším za poslední čtyři roky, se podílela všechna odvětví (nejvíce zdravotní a sociální péče). </w:t>
            </w:r>
            <w:r w:rsidRPr="00903591">
              <w:lastRenderedPageBreak/>
              <w:t>Relativně nejvýrazněji se ovšem zvýšila zaměstnanost v menším různorodém odvětví ostatních činnost</w:t>
            </w:r>
            <w:r>
              <w:t>í</w:t>
            </w:r>
            <w:r w:rsidRPr="00903591">
              <w:t xml:space="preserve"> služeb</w:t>
            </w:r>
            <w:r w:rsidRPr="00903591">
              <w:rPr>
                <w:rStyle w:val="Znakapoznpodarou"/>
              </w:rPr>
              <w:footnoteReference w:id="89"/>
            </w:r>
            <w:r w:rsidRPr="00903591">
              <w:t>, kde svižně přibylo podnikatelů (+4,4 %) i zaměstnanců (+4,0 %) a celkový počet pracovníků v tomto odvětví, citelně zasaženém protipandemickými restrikcemi, tak poprvé překonal donedávna rekordní úroveň z předkrizového roku 2018. V uskupení obchod, doprava, ubytování a pohostinství přetrvával loni mírnější růst (+1,0 %). Na jedné straně se dařilo obchodu a aktivitám navázaným na cestovní ruch, současně však ubývala pracovní místa v dopravě a</w:t>
            </w:r>
            <w:r>
              <w:t> </w:t>
            </w:r>
            <w:r w:rsidRPr="00903591">
              <w:t>skladování, což souviselo s přetrvávající slabší dynamikou výkonu v průmyslu. V</w:t>
            </w:r>
            <w:r>
              <w:t> </w:t>
            </w:r>
            <w:r w:rsidRPr="00903591">
              <w:t>profesních, vědeckých, technických a administrativních činnostech, jež soustřeďují zejména specialisty poskytující vyspělé služby převážně pro podnikovou sféru, se zaměstnanost zvýšila o 1,3 %, což bylo nejméně za pos</w:t>
            </w:r>
            <w:r>
              <w:t>l</w:t>
            </w:r>
            <w:r w:rsidRPr="00903591">
              <w:t xml:space="preserve">ední čtyři roky (mj. i vlivem zpomalení růstu v kategorii zaměstnanců). Rychle se rozvíjely činnosti </w:t>
            </w:r>
            <w:r>
              <w:t xml:space="preserve">v </w:t>
            </w:r>
            <w:r w:rsidRPr="00903591">
              <w:t>oblasti nemovitostí (+3,5 %), kde nadále přibývala primárně zaměstnanecká místa. Naproti tomu v nejvyspělejších službách (zařazených do kvartérního sektoru ekonomiky) rostla v posledních čtvrtletích celková zaměstnanost jen slabě – v oblasti ICT za loňský rok jen o 0,5 % (tempo se třetí rok v řadě zmírnilo). Ve finančnictví se dokonce snížila (o 0,2 %, druhý rok v řadě, výhradně vlivem zaměstnanců). Jestliže celkové růstové tempo zaměstnanosti bylo loni v oblasti ICT nejslabší od období recese v roce 2012, u</w:t>
            </w:r>
            <w:r>
              <w:t> </w:t>
            </w:r>
            <w:r w:rsidRPr="00903591">
              <w:t>peněžnictví a pojišťovnictví šlo o potvrzení dlouhodobějšího trendu související</w:t>
            </w:r>
            <w:r>
              <w:t xml:space="preserve">ho </w:t>
            </w:r>
            <w:r w:rsidRPr="00903591">
              <w:t>s rozvojem digitalizace. Obě odvětví tak čelí v dynamicky se měnícím technologickém prostředí výzvám, jak udržet konkurenceschopnost i vysokou produktivitu a současně efektivně využít relativně nákladnou (a ne vždy snadno dostupnou) práci specialistů.</w:t>
            </w:r>
          </w:p>
        </w:tc>
      </w:tr>
      <w:tr w:rsidR="009D4785" w:rsidRPr="009F0D7F" w14:paraId="1AB78386" w14:textId="77777777" w:rsidTr="00A96D94">
        <w:trPr>
          <w:trHeight w:val="155"/>
        </w:trPr>
        <w:tc>
          <w:tcPr>
            <w:tcW w:w="1713" w:type="dxa"/>
            <w:tcMar>
              <w:left w:w="0" w:type="dxa"/>
            </w:tcMar>
          </w:tcPr>
          <w:p w14:paraId="56AEA2F9" w14:textId="77777777" w:rsidR="009D4785" w:rsidRDefault="009D4785" w:rsidP="00A96D94">
            <w:pPr>
              <w:pStyle w:val="Marginlie"/>
              <w:rPr>
                <w:color w:val="0D0D0D" w:themeColor="text1" w:themeTint="F2"/>
              </w:rPr>
            </w:pPr>
            <w:r w:rsidRPr="007928AC">
              <w:rPr>
                <w:color w:val="0D0D0D" w:themeColor="text1" w:themeTint="F2"/>
              </w:rPr>
              <w:lastRenderedPageBreak/>
              <w:t>Ve stavebnictví růst zaměstnanosti zrychlil i díky posílení role drobných podnikatelů.</w:t>
            </w:r>
          </w:p>
          <w:p w14:paraId="04AF208C" w14:textId="77777777" w:rsidR="009D4785" w:rsidRDefault="009D4785" w:rsidP="00A96D94">
            <w:pPr>
              <w:pStyle w:val="Marginlie"/>
              <w:rPr>
                <w:color w:val="0D0D0D" w:themeColor="text1" w:themeTint="F2"/>
              </w:rPr>
            </w:pPr>
          </w:p>
          <w:p w14:paraId="4D805886" w14:textId="77777777" w:rsidR="009D4785" w:rsidRDefault="009D4785" w:rsidP="00A96D94">
            <w:pPr>
              <w:pStyle w:val="Marginlie"/>
              <w:rPr>
                <w:color w:val="0D0D0D" w:themeColor="text1" w:themeTint="F2"/>
              </w:rPr>
            </w:pPr>
          </w:p>
          <w:p w14:paraId="4FD0F953" w14:textId="77777777" w:rsidR="009D4785" w:rsidRDefault="009D4785" w:rsidP="00A96D94">
            <w:pPr>
              <w:pStyle w:val="Marginlie"/>
              <w:rPr>
                <w:color w:val="0D0D0D" w:themeColor="text1" w:themeTint="F2"/>
              </w:rPr>
            </w:pPr>
          </w:p>
          <w:p w14:paraId="1EF9CD88" w14:textId="77777777" w:rsidR="009D4785" w:rsidRDefault="009D4785" w:rsidP="00A96D94">
            <w:pPr>
              <w:pStyle w:val="Marginlie"/>
              <w:spacing w:after="120"/>
              <w:rPr>
                <w:color w:val="0D0D0D" w:themeColor="text1" w:themeTint="F2"/>
              </w:rPr>
            </w:pPr>
            <w:r>
              <w:rPr>
                <w:color w:val="0D0D0D" w:themeColor="text1" w:themeTint="F2"/>
                <w:spacing w:val="-4"/>
              </w:rPr>
              <w:t xml:space="preserve">Pokles zaměstnanosti ve zpracovatelském průmyslu se loni zmírnil </w:t>
            </w:r>
            <w:r>
              <w:rPr>
                <w:color w:val="0D0D0D" w:themeColor="text1" w:themeTint="F2"/>
                <w:spacing w:val="-4"/>
              </w:rPr>
              <w:br/>
              <w:t>a ve 4. čtvrtletí zastavil. Situace v řadě tradičních exportních oborů je ovšem stále obtížná.</w:t>
            </w:r>
          </w:p>
          <w:p w14:paraId="704E8EDA" w14:textId="77777777" w:rsidR="009D4785" w:rsidRPr="007928AC" w:rsidRDefault="009D4785" w:rsidP="00A96D94">
            <w:pPr>
              <w:pStyle w:val="Marginlie"/>
              <w:spacing w:after="120"/>
              <w:rPr>
                <w:color w:val="0D0D0D" w:themeColor="text1" w:themeTint="F2"/>
              </w:rPr>
            </w:pPr>
          </w:p>
        </w:tc>
        <w:tc>
          <w:tcPr>
            <w:tcW w:w="189" w:type="dxa"/>
            <w:tcMar>
              <w:left w:w="0" w:type="dxa"/>
            </w:tcMar>
          </w:tcPr>
          <w:p w14:paraId="10CB4718" w14:textId="77777777" w:rsidR="009D4785" w:rsidRPr="009F0D7F" w:rsidRDefault="009D4785" w:rsidP="00A96D94">
            <w:pPr>
              <w:pStyle w:val="Textpoznpodarou"/>
              <w:spacing w:after="120"/>
              <w:jc w:val="both"/>
              <w:rPr>
                <w:color w:val="0D0D0D" w:themeColor="text1" w:themeTint="F2"/>
                <w:spacing w:val="-4"/>
              </w:rPr>
            </w:pPr>
          </w:p>
        </w:tc>
        <w:tc>
          <w:tcPr>
            <w:tcW w:w="7772" w:type="dxa"/>
            <w:tcMar>
              <w:left w:w="0" w:type="dxa"/>
            </w:tcMar>
          </w:tcPr>
          <w:p w14:paraId="61732DF9" w14:textId="77777777" w:rsidR="009D4785" w:rsidRPr="00903591" w:rsidRDefault="009D4785" w:rsidP="00A96D94">
            <w:pPr>
              <w:spacing w:after="200"/>
              <w:rPr>
                <w:b/>
                <w:bCs/>
              </w:rPr>
            </w:pPr>
            <w:r w:rsidRPr="00903591">
              <w:rPr>
                <w:color w:val="0D0D0D" w:themeColor="text1" w:themeTint="F2"/>
              </w:rPr>
              <w:t xml:space="preserve">Mimo sektor služeb přibylo </w:t>
            </w:r>
            <w:r w:rsidRPr="00903591">
              <w:t>loni pracovníků pouze ve stavebnictví (+2,5 %)</w:t>
            </w:r>
            <w:r w:rsidRPr="00903591">
              <w:rPr>
                <w:color w:val="0D0D0D" w:themeColor="text1" w:themeTint="F2"/>
              </w:rPr>
              <w:t>. Vysoká zásoba stavebních zakázek vedla během roku k posilování zaměstnanosti (ve 4. čtvrtletí až na 3,5</w:t>
            </w:r>
            <w:r w:rsidRPr="00903591">
              <w:t> </w:t>
            </w:r>
            <w:r w:rsidRPr="00903591">
              <w:rPr>
                <w:color w:val="0D0D0D" w:themeColor="text1" w:themeTint="F2"/>
              </w:rPr>
              <w:t xml:space="preserve">%), na čemž se významně podíleli </w:t>
            </w:r>
            <w:r w:rsidRPr="00903591">
              <w:t>drobní podnikatel</w:t>
            </w:r>
            <w:r w:rsidRPr="00903591">
              <w:rPr>
                <w:color w:val="0D0D0D" w:themeColor="text1" w:themeTint="F2"/>
              </w:rPr>
              <w:t>é. Naopak ve zpracovatelském průmyslu pracovníků meziročně ubývalo třetí rok v řadě.</w:t>
            </w:r>
            <w:r w:rsidRPr="00903591">
              <w:t xml:space="preserve"> Loňský pokles zde však byl relativně mírnější (–0,2 %) a podíleli se</w:t>
            </w:r>
            <w:r>
              <w:t xml:space="preserve"> na</w:t>
            </w:r>
            <w:r w:rsidRPr="00903591">
              <w:t xml:space="preserve"> něm zaměstnanci </w:t>
            </w:r>
            <w:r>
              <w:br/>
            </w:r>
            <w:r w:rsidRPr="00903591">
              <w:t xml:space="preserve">i </w:t>
            </w:r>
            <w:proofErr w:type="spellStart"/>
            <w:r w:rsidRPr="00903591">
              <w:t>sebezaměstnaní</w:t>
            </w:r>
            <w:proofErr w:type="spellEnd"/>
            <w:r w:rsidRPr="00903591">
              <w:t xml:space="preserve">. Ve 4. čtvrtletí 2025 navíc došlo </w:t>
            </w:r>
            <w:r>
              <w:t xml:space="preserve">k </w:t>
            </w:r>
            <w:r w:rsidRPr="00903591">
              <w:t>oživení zahraniční poptávky po zboží a zlepšila se</w:t>
            </w:r>
            <w:r>
              <w:t xml:space="preserve"> i</w:t>
            </w:r>
            <w:r w:rsidRPr="00903591">
              <w:t xml:space="preserve"> domácí investiční aktivita (stroje, zbraně), což se pozitivně odrazilo v zaměstnanosti – ta vzrostla o 0,3 % a zaznamenala první meziroční růst po třinácti čtvrtletích (k pozitivní</w:t>
            </w:r>
            <w:r>
              <w:t>mu</w:t>
            </w:r>
            <w:r w:rsidRPr="00903591">
              <w:t xml:space="preserve"> obratu došlo v segmentu drobných podnikatelů v průmyslu). V ostatním průmyslu se celý loňský rok zaměstnanost po třech letech mírného růstu snížila o 0,4 %. Projevil se dopad prohlubujícího se útlumu v těžbě a dobývání, jenž nebyl kompenzován mírným posílením zaměstnanosti ve vodním a odpadovém hospodářství. V primárním sektoru zemědělství, lesnictví a rybářství se počet pracovníků třetí rok v řadě významně nezměnil, ve srovnání s rokem 2018 byl však o nižší o 6 %.</w:t>
            </w:r>
          </w:p>
        </w:tc>
      </w:tr>
      <w:tr w:rsidR="009D4785" w:rsidRPr="009F0D7F" w14:paraId="095C99DB" w14:textId="77777777" w:rsidTr="00A96D94">
        <w:trPr>
          <w:trHeight w:val="155"/>
        </w:trPr>
        <w:tc>
          <w:tcPr>
            <w:tcW w:w="1713" w:type="dxa"/>
            <w:tcMar>
              <w:left w:w="0" w:type="dxa"/>
            </w:tcMar>
          </w:tcPr>
          <w:p w14:paraId="0D3D6BE6" w14:textId="77777777" w:rsidR="009D4785" w:rsidRDefault="009D4785" w:rsidP="00A96D94">
            <w:pPr>
              <w:pStyle w:val="Marginlie"/>
              <w:spacing w:after="120"/>
              <w:rPr>
                <w:color w:val="0D0D0D" w:themeColor="text1" w:themeTint="F2"/>
                <w:spacing w:val="-4"/>
              </w:rPr>
            </w:pPr>
            <w:r>
              <w:rPr>
                <w:color w:val="0D0D0D" w:themeColor="text1" w:themeTint="F2"/>
                <w:spacing w:val="-4"/>
              </w:rPr>
              <w:t>Odpracovaná doba se zvyšovala rychleji než fyzický počet pracovníků, především ve stavebnictví a vyspělých službách pro podniky.</w:t>
            </w:r>
          </w:p>
        </w:tc>
        <w:tc>
          <w:tcPr>
            <w:tcW w:w="189" w:type="dxa"/>
            <w:tcMar>
              <w:left w:w="0" w:type="dxa"/>
            </w:tcMar>
          </w:tcPr>
          <w:p w14:paraId="0860FD39" w14:textId="77777777" w:rsidR="009D4785" w:rsidRPr="009F0D7F" w:rsidRDefault="009D4785" w:rsidP="00A96D94">
            <w:pPr>
              <w:pStyle w:val="Textpoznpodarou"/>
              <w:spacing w:after="120"/>
              <w:jc w:val="both"/>
              <w:rPr>
                <w:color w:val="0D0D0D" w:themeColor="text1" w:themeTint="F2"/>
                <w:spacing w:val="-4"/>
              </w:rPr>
            </w:pPr>
          </w:p>
        </w:tc>
        <w:tc>
          <w:tcPr>
            <w:tcW w:w="7772" w:type="dxa"/>
            <w:tcMar>
              <w:left w:w="0" w:type="dxa"/>
            </w:tcMar>
          </w:tcPr>
          <w:p w14:paraId="0BDF1CB2" w14:textId="77777777" w:rsidR="009D4785" w:rsidRPr="00903591" w:rsidRDefault="009D4785" w:rsidP="00A96D94">
            <w:pPr>
              <w:spacing w:after="200"/>
            </w:pPr>
            <w:r w:rsidRPr="00903591">
              <w:t xml:space="preserve">Celkový počet </w:t>
            </w:r>
            <w:r w:rsidRPr="00903591">
              <w:rPr>
                <w:color w:val="0D0D0D" w:themeColor="text1" w:themeTint="F2"/>
              </w:rPr>
              <w:t>odpracovaných hodin</w:t>
            </w:r>
            <w:r w:rsidRPr="00903591">
              <w:rPr>
                <w:rStyle w:val="Znakapoznpodarou"/>
                <w:color w:val="0D0D0D" w:themeColor="text1" w:themeTint="F2"/>
              </w:rPr>
              <w:footnoteReference w:id="90"/>
            </w:r>
            <w:r w:rsidRPr="00903591">
              <w:rPr>
                <w:color w:val="0D0D0D" w:themeColor="text1" w:themeTint="F2"/>
              </w:rPr>
              <w:t xml:space="preserve"> v ekonomice </w:t>
            </w:r>
            <w:r w:rsidRPr="00903591">
              <w:t>se loni meziročně zvýšil o 2,3 %</w:t>
            </w:r>
            <w:r w:rsidRPr="00903591">
              <w:rPr>
                <w:rStyle w:val="Znakapoznpodarou"/>
              </w:rPr>
              <w:footnoteReference w:id="91"/>
            </w:r>
            <w:r w:rsidRPr="00903591">
              <w:t xml:space="preserve"> a</w:t>
            </w:r>
            <w:r>
              <w:t> </w:t>
            </w:r>
            <w:r w:rsidRPr="00903591">
              <w:t>během roku navíc tempo mírně zrychlovalo. Obdobně jako v předchozích letech (od ústupu pandemie covid</w:t>
            </w:r>
            <w:r>
              <w:t>u</w:t>
            </w:r>
            <w:r w:rsidRPr="00903591">
              <w:t>-19) narůstal počet hodin rychleji než počet zaměstnaných (ve fyzických osobách). Stejné platilo loni s podobnou intenzitou pro zaměstnance i</w:t>
            </w:r>
            <w:r>
              <w:t> </w:t>
            </w:r>
            <w:proofErr w:type="spellStart"/>
            <w:r w:rsidRPr="00903591">
              <w:t>sebezaměstnané</w:t>
            </w:r>
            <w:proofErr w:type="spellEnd"/>
            <w:r w:rsidRPr="00903591">
              <w:t>, z pohledu hlavních odvětví pak celkově zejména pro stavebnictví (kde rostla odpracovaná doba oproti zaměstnanosti skoro dvojnásobným tempem), v menší míře i pro většinu dalších oblastí ekonomiky (vyjma některých váhově malých odvětví služeb</w:t>
            </w:r>
            <w:r w:rsidRPr="00903591">
              <w:rPr>
                <w:rStyle w:val="Znakapoznpodarou"/>
              </w:rPr>
              <w:footnoteReference w:id="92"/>
            </w:r>
            <w:r w:rsidRPr="00903591">
              <w:t>). To souvisí s nedostatkem manuálních (kvalifikovaných i méně kvalifikovaných) pracovníků, ale i specialistů na trhu.</w:t>
            </w:r>
          </w:p>
        </w:tc>
      </w:tr>
      <w:tr w:rsidR="009D4785" w:rsidRPr="009F0D7F" w14:paraId="34BF289E" w14:textId="77777777" w:rsidTr="00A96D94">
        <w:trPr>
          <w:trHeight w:val="155"/>
        </w:trPr>
        <w:tc>
          <w:tcPr>
            <w:tcW w:w="1713" w:type="dxa"/>
            <w:tcMar>
              <w:left w:w="0" w:type="dxa"/>
            </w:tcMar>
          </w:tcPr>
          <w:p w14:paraId="40871B15" w14:textId="77777777" w:rsidR="009D4785" w:rsidRPr="007C71EB" w:rsidRDefault="009D4785" w:rsidP="00A96D94">
            <w:pPr>
              <w:pStyle w:val="Marginlie"/>
              <w:spacing w:after="120"/>
              <w:rPr>
                <w:color w:val="0D0D0D" w:themeColor="text1" w:themeTint="F2"/>
                <w:spacing w:val="-4"/>
              </w:rPr>
            </w:pPr>
            <w:r w:rsidRPr="007C71EB">
              <w:rPr>
                <w:color w:val="0D0D0D" w:themeColor="text1" w:themeTint="F2"/>
                <w:spacing w:val="-4"/>
              </w:rPr>
              <w:lastRenderedPageBreak/>
              <w:t>Růst produktivity práce se obnovil</w:t>
            </w:r>
            <w:r>
              <w:rPr>
                <w:color w:val="0D0D0D" w:themeColor="text1" w:themeTint="F2"/>
                <w:spacing w:val="-4"/>
              </w:rPr>
              <w:t>, zejména díky</w:t>
            </w:r>
            <w:r w:rsidRPr="007C71EB">
              <w:rPr>
                <w:color w:val="0D0D0D" w:themeColor="text1" w:themeTint="F2"/>
                <w:spacing w:val="-4"/>
              </w:rPr>
              <w:t xml:space="preserve"> </w:t>
            </w:r>
            <w:r>
              <w:rPr>
                <w:color w:val="0D0D0D" w:themeColor="text1" w:themeTint="F2"/>
                <w:spacing w:val="-4"/>
              </w:rPr>
              <w:t>odvětví</w:t>
            </w:r>
            <w:r w:rsidRPr="007C71EB">
              <w:rPr>
                <w:color w:val="0D0D0D" w:themeColor="text1" w:themeTint="F2"/>
                <w:spacing w:val="-4"/>
              </w:rPr>
              <w:t> ICT</w:t>
            </w:r>
            <w:r>
              <w:rPr>
                <w:color w:val="0D0D0D" w:themeColor="text1" w:themeTint="F2"/>
                <w:spacing w:val="-4"/>
              </w:rPr>
              <w:t>. Dařilo se také</w:t>
            </w:r>
            <w:r w:rsidRPr="007C71EB">
              <w:rPr>
                <w:color w:val="0D0D0D" w:themeColor="text1" w:themeTint="F2"/>
                <w:spacing w:val="-4"/>
              </w:rPr>
              <w:t xml:space="preserve"> stavebnictví</w:t>
            </w:r>
            <w:r>
              <w:rPr>
                <w:color w:val="0D0D0D" w:themeColor="text1" w:themeTint="F2"/>
                <w:spacing w:val="-4"/>
              </w:rPr>
              <w:t xml:space="preserve"> či primárnímu sektoru.</w:t>
            </w:r>
          </w:p>
        </w:tc>
        <w:tc>
          <w:tcPr>
            <w:tcW w:w="189" w:type="dxa"/>
            <w:tcMar>
              <w:left w:w="0" w:type="dxa"/>
            </w:tcMar>
          </w:tcPr>
          <w:p w14:paraId="1A26DB22" w14:textId="77777777" w:rsidR="009D4785" w:rsidRPr="007C71EB" w:rsidRDefault="009D4785" w:rsidP="00A96D94">
            <w:pPr>
              <w:pStyle w:val="Textpoznpodarou"/>
              <w:spacing w:after="120"/>
              <w:jc w:val="both"/>
              <w:rPr>
                <w:color w:val="0D0D0D" w:themeColor="text1" w:themeTint="F2"/>
                <w:spacing w:val="-4"/>
              </w:rPr>
            </w:pPr>
          </w:p>
        </w:tc>
        <w:tc>
          <w:tcPr>
            <w:tcW w:w="7772" w:type="dxa"/>
            <w:tcMar>
              <w:left w:w="0" w:type="dxa"/>
            </w:tcMar>
          </w:tcPr>
          <w:p w14:paraId="5FB16D68" w14:textId="77777777" w:rsidR="009D4785" w:rsidRPr="00903591" w:rsidRDefault="009D4785" w:rsidP="00A96D94">
            <w:pPr>
              <w:rPr>
                <w:color w:val="0D0D0D" w:themeColor="text1" w:themeTint="F2"/>
              </w:rPr>
            </w:pPr>
            <w:r w:rsidRPr="00903591">
              <w:rPr>
                <w:color w:val="0D0D0D" w:themeColor="text1" w:themeTint="F2"/>
              </w:rPr>
              <w:t>Zrychlení výkonu ekonomiky vedlo loni i při relativně významném růstu odpracovaných hodin k navýšení produktivity práce. Hodinová produktivita</w:t>
            </w:r>
            <w:r w:rsidRPr="00903591">
              <w:rPr>
                <w:rStyle w:val="Znakapoznpodarou"/>
                <w:color w:val="0D0D0D" w:themeColor="text1" w:themeTint="F2"/>
              </w:rPr>
              <w:footnoteReference w:id="93"/>
            </w:r>
            <w:r w:rsidRPr="00903591">
              <w:rPr>
                <w:color w:val="0D0D0D" w:themeColor="text1" w:themeTint="F2"/>
              </w:rPr>
              <w:t xml:space="preserve"> se meziročně zvýšila o</w:t>
            </w:r>
            <w:r>
              <w:rPr>
                <w:color w:val="0D0D0D" w:themeColor="text1" w:themeTint="F2"/>
              </w:rPr>
              <w:t> </w:t>
            </w:r>
            <w:r w:rsidRPr="00903591">
              <w:rPr>
                <w:color w:val="0D0D0D" w:themeColor="text1" w:themeTint="F2"/>
              </w:rPr>
              <w:t>0,3</w:t>
            </w:r>
            <w:r>
              <w:rPr>
                <w:color w:val="0D0D0D" w:themeColor="text1" w:themeTint="F2"/>
              </w:rPr>
              <w:t> </w:t>
            </w:r>
            <w:r w:rsidRPr="00903591">
              <w:rPr>
                <w:color w:val="0D0D0D" w:themeColor="text1" w:themeTint="F2"/>
              </w:rPr>
              <w:t xml:space="preserve">% a rostla poprvé po roce 2021. Nejvíce se zvýšila v oblasti ICT (+6,2 %) a zároveň </w:t>
            </w:r>
            <w:r>
              <w:rPr>
                <w:color w:val="0D0D0D" w:themeColor="text1" w:themeTint="F2"/>
              </w:rPr>
              <w:t xml:space="preserve">byla </w:t>
            </w:r>
            <w:r w:rsidRPr="00903591">
              <w:rPr>
                <w:color w:val="0D0D0D" w:themeColor="text1" w:themeTint="F2"/>
              </w:rPr>
              <w:t xml:space="preserve">hlavním tahounem růstu produktivity v celé ekonomice. Svižně rostla i ve stavebnictví (2,2 %) a podobně i v primárním sektoru či </w:t>
            </w:r>
            <w:r>
              <w:rPr>
                <w:color w:val="0D0D0D" w:themeColor="text1" w:themeTint="F2"/>
              </w:rPr>
              <w:t xml:space="preserve">v </w:t>
            </w:r>
            <w:r w:rsidRPr="00903591">
              <w:rPr>
                <w:color w:val="0D0D0D" w:themeColor="text1" w:themeTint="F2"/>
              </w:rPr>
              <w:t>uskupen</w:t>
            </w:r>
            <w:r>
              <w:rPr>
                <w:color w:val="0D0D0D" w:themeColor="text1" w:themeTint="F2"/>
              </w:rPr>
              <w:t>í</w:t>
            </w:r>
            <w:r w:rsidRPr="00903591">
              <w:rPr>
                <w:color w:val="0D0D0D" w:themeColor="text1" w:themeTint="F2"/>
              </w:rPr>
              <w:t xml:space="preserve"> obchod, doprava ubytování a</w:t>
            </w:r>
            <w:r>
              <w:rPr>
                <w:color w:val="0D0D0D" w:themeColor="text1" w:themeTint="F2"/>
              </w:rPr>
              <w:t> </w:t>
            </w:r>
            <w:r w:rsidRPr="00903591">
              <w:rPr>
                <w:color w:val="0D0D0D" w:themeColor="text1" w:themeTint="F2"/>
              </w:rPr>
              <w:t>pohostinství. Naopak třetí rok v řadě nastal pokles v podnikových službách (loni o</w:t>
            </w:r>
            <w:r>
              <w:rPr>
                <w:color w:val="0D0D0D" w:themeColor="text1" w:themeTint="F2"/>
              </w:rPr>
              <w:t> </w:t>
            </w:r>
            <w:r w:rsidRPr="00903591">
              <w:rPr>
                <w:color w:val="0D0D0D" w:themeColor="text1" w:themeTint="F2"/>
              </w:rPr>
              <w:t>1,4</w:t>
            </w:r>
            <w:r>
              <w:rPr>
                <w:color w:val="0D0D0D" w:themeColor="text1" w:themeTint="F2"/>
              </w:rPr>
              <w:t> </w:t>
            </w:r>
            <w:r w:rsidRPr="00903591">
              <w:rPr>
                <w:color w:val="0D0D0D" w:themeColor="text1" w:themeTint="F2"/>
              </w:rPr>
              <w:t>%, v úhrnu o 4,3 %) a produktivita mírně klesla i ve zpracovatelském průmyslu či finančnictví. K pozitivnímu obratu došlo také u produktivity vyjádřené na pracovníka (ve fyzických osobách), která se meziročně lehce zvýšila již ve 2. pololetí 2024. Oproti roku 2019 byla tato produktivita mírně vyšší (+2,2 %), hlavně zásluhou zpracovatelského průmyslu, ICT, finančnictví a také primárního sektoru, kde za toto šestileté období vzrostla skoro o pětinu. Naopak za předkrizovou úrovní zaostala hlavně v</w:t>
            </w:r>
            <w:r>
              <w:rPr>
                <w:color w:val="0D0D0D" w:themeColor="text1" w:themeTint="F2"/>
              </w:rPr>
              <w:t> </w:t>
            </w:r>
            <w:r w:rsidRPr="00903591">
              <w:rPr>
                <w:color w:val="0D0D0D" w:themeColor="text1" w:themeTint="F2"/>
              </w:rPr>
              <w:t xml:space="preserve">činnostech v oblasti nemovitostí a také stavebnictví (o 16 %). Hodinová produktivita práce v celé ekonomice byla loni </w:t>
            </w:r>
            <w:r>
              <w:rPr>
                <w:color w:val="0D0D0D" w:themeColor="text1" w:themeTint="F2"/>
              </w:rPr>
              <w:t xml:space="preserve">zcela srovnatelná </w:t>
            </w:r>
            <w:r w:rsidRPr="00903591">
              <w:rPr>
                <w:color w:val="0D0D0D" w:themeColor="text1" w:themeTint="F2"/>
              </w:rPr>
              <w:t>s úrovní z roku 2019</w:t>
            </w:r>
            <w:r>
              <w:rPr>
                <w:color w:val="0D0D0D" w:themeColor="text1" w:themeTint="F2"/>
              </w:rPr>
              <w:t>.</w:t>
            </w:r>
          </w:p>
        </w:tc>
      </w:tr>
      <w:tr w:rsidR="009D4785" w:rsidRPr="009F2A8A" w14:paraId="66698C11" w14:textId="77777777" w:rsidTr="00A96D94">
        <w:trPr>
          <w:trHeight w:val="155"/>
        </w:trPr>
        <w:tc>
          <w:tcPr>
            <w:tcW w:w="1713" w:type="dxa"/>
            <w:vMerge w:val="restart"/>
            <w:tcMar>
              <w:left w:w="0" w:type="dxa"/>
            </w:tcMar>
          </w:tcPr>
          <w:p w14:paraId="2485F637" w14:textId="77777777" w:rsidR="009D4785" w:rsidRPr="00B43216" w:rsidRDefault="009D4785" w:rsidP="00A96D94">
            <w:pPr>
              <w:pStyle w:val="Marginlie"/>
              <w:spacing w:after="120"/>
              <w:rPr>
                <w:spacing w:val="-4"/>
              </w:rPr>
            </w:pPr>
          </w:p>
        </w:tc>
        <w:tc>
          <w:tcPr>
            <w:tcW w:w="189" w:type="dxa"/>
            <w:vMerge w:val="restart"/>
            <w:tcMar>
              <w:left w:w="0" w:type="dxa"/>
            </w:tcMar>
          </w:tcPr>
          <w:p w14:paraId="42435407" w14:textId="77777777" w:rsidR="009D4785" w:rsidRPr="00B43216" w:rsidRDefault="009D4785" w:rsidP="00A96D94">
            <w:pPr>
              <w:pStyle w:val="Textpoznpodarou"/>
              <w:spacing w:after="120"/>
              <w:jc w:val="both"/>
              <w:rPr>
                <w:spacing w:val="-4"/>
              </w:rPr>
            </w:pPr>
          </w:p>
        </w:tc>
        <w:tc>
          <w:tcPr>
            <w:tcW w:w="7772" w:type="dxa"/>
            <w:tcMar>
              <w:left w:w="0" w:type="dxa"/>
            </w:tcMar>
          </w:tcPr>
          <w:p w14:paraId="2BFB654A" w14:textId="7359B157" w:rsidR="009D4785" w:rsidRPr="00903591" w:rsidRDefault="009D4785" w:rsidP="00A96D94">
            <w:pPr>
              <w:spacing w:after="0"/>
            </w:pPr>
            <w:r w:rsidRPr="00903591">
              <w:rPr>
                <w:rFonts w:cs="Arial"/>
                <w:b/>
                <w:bCs/>
                <w:color w:val="000000"/>
                <w:szCs w:val="20"/>
              </w:rPr>
              <w:t>Graf č. 1</w:t>
            </w:r>
            <w:r w:rsidR="00281666">
              <w:rPr>
                <w:rFonts w:cs="Arial"/>
                <w:b/>
                <w:bCs/>
                <w:color w:val="000000"/>
                <w:szCs w:val="20"/>
              </w:rPr>
              <w:t>4</w:t>
            </w:r>
            <w:r w:rsidRPr="00903591">
              <w:rPr>
                <w:rFonts w:cs="Arial"/>
                <w:b/>
                <w:bCs/>
                <w:color w:val="000000"/>
                <w:sz w:val="18"/>
                <w:szCs w:val="18"/>
              </w:rPr>
              <w:t xml:space="preserve"> </w:t>
            </w:r>
            <w:r w:rsidRPr="00903591">
              <w:rPr>
                <w:b/>
                <w:bCs/>
                <w:lang w:eastAsia="en-US"/>
              </w:rPr>
              <w:t xml:space="preserve">Celková zaměstnanost </w:t>
            </w:r>
            <w:r w:rsidRPr="00903591">
              <w:rPr>
                <w:lang w:eastAsia="en-US"/>
              </w:rPr>
              <w:t>(</w:t>
            </w:r>
            <w:r w:rsidRPr="00903591">
              <w:t>meziročně v %)</w:t>
            </w:r>
            <w:r w:rsidRPr="00903591">
              <w:rPr>
                <w:b/>
                <w:bCs/>
              </w:rPr>
              <w:t xml:space="preserve">, příspěvky odvětví k meziroční změně zaměstnanosti </w:t>
            </w:r>
            <w:r w:rsidRPr="00903591">
              <w:t>(v p. b.)</w:t>
            </w:r>
            <w:r w:rsidRPr="00903591">
              <w:rPr>
                <w:b/>
                <w:bCs/>
              </w:rPr>
              <w:t xml:space="preserve"> a očekávání vývoje zaměstnanosti </w:t>
            </w:r>
            <w:r w:rsidRPr="00903591">
              <w:t>(saldo v p. b.)</w:t>
            </w:r>
          </w:p>
        </w:tc>
      </w:tr>
      <w:tr w:rsidR="009D4785" w:rsidRPr="00B43216" w14:paraId="2CAFA418" w14:textId="77777777" w:rsidTr="00A96D94">
        <w:tblPrEx>
          <w:tblCellMar>
            <w:left w:w="70" w:type="dxa"/>
            <w:right w:w="70" w:type="dxa"/>
          </w:tblCellMar>
        </w:tblPrEx>
        <w:trPr>
          <w:trHeight w:val="155"/>
        </w:trPr>
        <w:tc>
          <w:tcPr>
            <w:tcW w:w="1713" w:type="dxa"/>
            <w:vMerge/>
          </w:tcPr>
          <w:p w14:paraId="7A2F4D40" w14:textId="77777777" w:rsidR="009D4785" w:rsidRPr="00B43216" w:rsidRDefault="009D4785" w:rsidP="00A96D94">
            <w:pPr>
              <w:pStyle w:val="Marginlie"/>
              <w:spacing w:after="120"/>
              <w:rPr>
                <w:spacing w:val="-4"/>
              </w:rPr>
            </w:pPr>
          </w:p>
        </w:tc>
        <w:tc>
          <w:tcPr>
            <w:tcW w:w="189" w:type="dxa"/>
            <w:vMerge/>
          </w:tcPr>
          <w:p w14:paraId="03B391BB" w14:textId="77777777" w:rsidR="009D4785" w:rsidRPr="00B43216" w:rsidRDefault="009D4785" w:rsidP="00A96D94">
            <w:pPr>
              <w:pStyle w:val="Textpoznpodarou"/>
              <w:spacing w:after="120"/>
              <w:jc w:val="both"/>
              <w:rPr>
                <w:spacing w:val="-4"/>
              </w:rPr>
            </w:pPr>
          </w:p>
        </w:tc>
        <w:tc>
          <w:tcPr>
            <w:tcW w:w="7772" w:type="dxa"/>
          </w:tcPr>
          <w:p w14:paraId="1AEA619E" w14:textId="77777777" w:rsidR="009D4785" w:rsidRPr="00903591" w:rsidRDefault="009D4785" w:rsidP="00A96D94">
            <w:pPr>
              <w:spacing w:after="40"/>
            </w:pPr>
            <w:r w:rsidRPr="00903591">
              <w:rPr>
                <w:noProof/>
              </w:rPr>
              <w:drawing>
                <wp:inline distT="0" distB="0" distL="0" distR="0" wp14:anchorId="64DAE28C" wp14:editId="3C32131D">
                  <wp:extent cx="4846320" cy="3760470"/>
                  <wp:effectExtent l="0" t="0" r="0" b="0"/>
                  <wp:docPr id="818246537" name="Graf 1">
                    <a:extLst xmlns:a="http://schemas.openxmlformats.org/drawingml/2006/main">
                      <a:ext uri="{FF2B5EF4-FFF2-40B4-BE49-F238E27FC236}">
                        <a16:creationId xmlns:a16="http://schemas.microsoft.com/office/drawing/2014/main" id="{00000000-0008-0000-1A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9D4785" w:rsidRPr="00485ED5" w14:paraId="14A029D6" w14:textId="77777777" w:rsidTr="00A96D94">
        <w:trPr>
          <w:trHeight w:val="671"/>
        </w:trPr>
        <w:tc>
          <w:tcPr>
            <w:tcW w:w="1713" w:type="dxa"/>
            <w:vMerge/>
            <w:tcMar>
              <w:left w:w="0" w:type="dxa"/>
            </w:tcMar>
          </w:tcPr>
          <w:p w14:paraId="69370150" w14:textId="77777777" w:rsidR="009D4785" w:rsidRPr="00B43216" w:rsidRDefault="009D4785" w:rsidP="00A96D94">
            <w:pPr>
              <w:pStyle w:val="Marginlie"/>
              <w:spacing w:after="120"/>
              <w:rPr>
                <w:spacing w:val="-4"/>
              </w:rPr>
            </w:pPr>
          </w:p>
        </w:tc>
        <w:tc>
          <w:tcPr>
            <w:tcW w:w="189" w:type="dxa"/>
            <w:vMerge/>
            <w:tcMar>
              <w:left w:w="0" w:type="dxa"/>
            </w:tcMar>
          </w:tcPr>
          <w:p w14:paraId="7E3A36AC" w14:textId="77777777" w:rsidR="009D4785" w:rsidRPr="00B43216" w:rsidRDefault="009D4785" w:rsidP="00A96D94">
            <w:pPr>
              <w:pStyle w:val="Textpoznpodarou"/>
              <w:spacing w:after="120"/>
              <w:jc w:val="both"/>
              <w:rPr>
                <w:spacing w:val="-4"/>
              </w:rPr>
            </w:pPr>
          </w:p>
        </w:tc>
        <w:tc>
          <w:tcPr>
            <w:tcW w:w="7772" w:type="dxa"/>
            <w:tcMar>
              <w:left w:w="0" w:type="dxa"/>
            </w:tcMar>
          </w:tcPr>
          <w:p w14:paraId="1A5051CF" w14:textId="77777777" w:rsidR="009D4785" w:rsidRPr="00903591" w:rsidRDefault="009D4785" w:rsidP="00A96D94">
            <w:pPr>
              <w:spacing w:after="0" w:line="240" w:lineRule="auto"/>
              <w:rPr>
                <w:rFonts w:cs="Arial"/>
                <w:sz w:val="14"/>
                <w:szCs w:val="14"/>
              </w:rPr>
            </w:pPr>
            <w:r w:rsidRPr="00903591">
              <w:rPr>
                <w:rFonts w:cs="Arial"/>
                <w:color w:val="0D0D0D" w:themeColor="text1" w:themeTint="F2"/>
                <w:sz w:val="14"/>
                <w:szCs w:val="14"/>
              </w:rPr>
              <w:t>*</w:t>
            </w:r>
            <w:r w:rsidRPr="00903591">
              <w:rPr>
                <w:rFonts w:cs="Arial"/>
                <w:sz w:val="14"/>
                <w:szCs w:val="14"/>
              </w:rPr>
              <w:t xml:space="preserve"> Těžba a energetika; Peněžnictví a pojišťovnictví; Činnosti v oblasti nemovitostí; Kulturní, zábavní a</w:t>
            </w:r>
            <w:r w:rsidRPr="00903591">
              <w:rPr>
                <w:sz w:val="14"/>
                <w:szCs w:val="14"/>
              </w:rPr>
              <w:t> </w:t>
            </w:r>
            <w:r w:rsidRPr="00903591">
              <w:rPr>
                <w:rFonts w:cs="Arial"/>
                <w:sz w:val="14"/>
                <w:szCs w:val="14"/>
              </w:rPr>
              <w:t>rekreační činnosti.</w:t>
            </w:r>
          </w:p>
          <w:p w14:paraId="165F2647" w14:textId="77777777" w:rsidR="009D4785" w:rsidRPr="00903591" w:rsidRDefault="009D4785" w:rsidP="00A96D94">
            <w:pPr>
              <w:spacing w:after="0" w:line="240" w:lineRule="auto"/>
              <w:rPr>
                <w:rFonts w:cs="Arial"/>
                <w:sz w:val="14"/>
                <w:szCs w:val="14"/>
              </w:rPr>
            </w:pPr>
            <w:r w:rsidRPr="00903591">
              <w:rPr>
                <w:rFonts w:cs="Arial"/>
                <w:sz w:val="14"/>
                <w:szCs w:val="14"/>
              </w:rPr>
              <w:t xml:space="preserve">Poznámka: Saldo </w:t>
            </w:r>
            <w:r w:rsidRPr="00903591">
              <w:rPr>
                <w:rFonts w:cs="Arial"/>
                <w:color w:val="0D0D0D" w:themeColor="text1" w:themeTint="F2"/>
                <w:sz w:val="14"/>
                <w:szCs w:val="14"/>
              </w:rPr>
              <w:t>očekávání vyjadřuje rozdíl v p. b. mezi kategoriemi růst versus pokles zaměstnanosti v nejbližších třech měsících. Údaje jsou sezónně očištěny a vztahují se k druhému měsíci daného čtvrtletí.</w:t>
            </w:r>
          </w:p>
          <w:p w14:paraId="5B4C2E7C" w14:textId="77777777" w:rsidR="009D4785" w:rsidRPr="00903591" w:rsidRDefault="009D4785" w:rsidP="00A96D94">
            <w:pPr>
              <w:spacing w:after="200" w:line="240" w:lineRule="auto"/>
              <w:rPr>
                <w:rFonts w:cs="Arial"/>
                <w:color w:val="0D0D0D" w:themeColor="text1" w:themeTint="F2"/>
                <w:sz w:val="14"/>
                <w:szCs w:val="14"/>
              </w:rPr>
            </w:pPr>
            <w:r w:rsidRPr="00903591">
              <w:rPr>
                <w:rFonts w:cs="Arial"/>
                <w:sz w:val="14"/>
                <w:szCs w:val="14"/>
              </w:rPr>
              <w:t xml:space="preserve">Zdroj: ČSÚ (národní účty), </w:t>
            </w:r>
            <w:proofErr w:type="spellStart"/>
            <w:r w:rsidRPr="00903591">
              <w:rPr>
                <w:rFonts w:cs="Arial"/>
                <w:sz w:val="14"/>
                <w:szCs w:val="14"/>
              </w:rPr>
              <w:t>Eurostat</w:t>
            </w:r>
            <w:proofErr w:type="spellEnd"/>
            <w:r w:rsidRPr="00903591">
              <w:rPr>
                <w:rFonts w:cs="Arial"/>
                <w:sz w:val="14"/>
                <w:szCs w:val="14"/>
              </w:rPr>
              <w:t xml:space="preserve"> (konjunkturální průzkumy).</w:t>
            </w:r>
          </w:p>
        </w:tc>
      </w:tr>
      <w:tr w:rsidR="009D4785" w:rsidRPr="00D82DBD" w14:paraId="4E2940C8" w14:textId="77777777" w:rsidTr="00A96D94">
        <w:trPr>
          <w:trHeight w:val="145"/>
        </w:trPr>
        <w:tc>
          <w:tcPr>
            <w:tcW w:w="1713" w:type="dxa"/>
            <w:tcMar>
              <w:left w:w="0" w:type="dxa"/>
            </w:tcMar>
          </w:tcPr>
          <w:p w14:paraId="5F71A199" w14:textId="77777777" w:rsidR="009D4785" w:rsidRDefault="009D4785" w:rsidP="00A96D94">
            <w:pPr>
              <w:pStyle w:val="Marginlie"/>
              <w:spacing w:after="120"/>
              <w:rPr>
                <w:color w:val="0D0D0D" w:themeColor="text1" w:themeTint="F2"/>
                <w:spacing w:val="-4"/>
              </w:rPr>
            </w:pPr>
            <w:r>
              <w:rPr>
                <w:color w:val="0D0D0D" w:themeColor="text1" w:themeTint="F2"/>
                <w:spacing w:val="-4"/>
              </w:rPr>
              <w:t>Růst počtu pracujících cizinců v Česku loni zrychlil</w:t>
            </w:r>
            <w:r w:rsidRPr="005609A1">
              <w:rPr>
                <w:color w:val="0D0D0D" w:themeColor="text1" w:themeTint="F2"/>
                <w:spacing w:val="-4"/>
              </w:rPr>
              <w:t xml:space="preserve">. Jejich přírůstek </w:t>
            </w:r>
            <w:r>
              <w:rPr>
                <w:color w:val="0D0D0D" w:themeColor="text1" w:themeTint="F2"/>
                <w:spacing w:val="-4"/>
              </w:rPr>
              <w:lastRenderedPageBreak/>
              <w:t>byl stále tažen hlavně občany Ukrajiny.</w:t>
            </w:r>
            <w:r w:rsidRPr="005609A1">
              <w:rPr>
                <w:color w:val="0D0D0D" w:themeColor="text1" w:themeTint="F2"/>
                <w:spacing w:val="-4"/>
              </w:rPr>
              <w:t xml:space="preserve"> </w:t>
            </w:r>
          </w:p>
          <w:p w14:paraId="255166E4" w14:textId="77777777" w:rsidR="009D4785" w:rsidRDefault="009D4785" w:rsidP="00A96D94">
            <w:pPr>
              <w:pStyle w:val="Marginlie"/>
              <w:spacing w:after="120"/>
              <w:rPr>
                <w:color w:val="0D0D0D" w:themeColor="text1" w:themeTint="F2"/>
                <w:spacing w:val="-4"/>
              </w:rPr>
            </w:pPr>
          </w:p>
          <w:p w14:paraId="3EE4F96B" w14:textId="77777777" w:rsidR="009D4785" w:rsidRDefault="009D4785" w:rsidP="00A96D94">
            <w:pPr>
              <w:pStyle w:val="Marginlie"/>
              <w:spacing w:after="120"/>
              <w:rPr>
                <w:color w:val="0D0D0D" w:themeColor="text1" w:themeTint="F2"/>
                <w:spacing w:val="-4"/>
              </w:rPr>
            </w:pPr>
          </w:p>
          <w:p w14:paraId="71414760" w14:textId="77777777" w:rsidR="009D4785" w:rsidRDefault="009D4785" w:rsidP="00A96D94">
            <w:pPr>
              <w:pStyle w:val="Marginlie"/>
              <w:spacing w:after="120"/>
              <w:rPr>
                <w:color w:val="0D0D0D" w:themeColor="text1" w:themeTint="F2"/>
                <w:spacing w:val="-4"/>
              </w:rPr>
            </w:pPr>
          </w:p>
          <w:p w14:paraId="705C0EFB" w14:textId="77777777" w:rsidR="009D4785" w:rsidRDefault="009D4785" w:rsidP="00A96D94">
            <w:pPr>
              <w:pStyle w:val="Marginlie"/>
              <w:spacing w:after="120"/>
              <w:rPr>
                <w:color w:val="0D0D0D" w:themeColor="text1" w:themeTint="F2"/>
                <w:spacing w:val="-4"/>
              </w:rPr>
            </w:pPr>
            <w:r w:rsidRPr="005609A1">
              <w:rPr>
                <w:color w:val="0D0D0D" w:themeColor="text1" w:themeTint="F2"/>
                <w:spacing w:val="-4"/>
              </w:rPr>
              <w:t>Zrychlil příliv osob z některých asijských států</w:t>
            </w:r>
            <w:r>
              <w:rPr>
                <w:color w:val="0D0D0D" w:themeColor="text1" w:themeTint="F2"/>
                <w:spacing w:val="-4"/>
              </w:rPr>
              <w:t>. Počty p</w:t>
            </w:r>
            <w:r w:rsidRPr="005609A1">
              <w:rPr>
                <w:color w:val="0D0D0D" w:themeColor="text1" w:themeTint="F2"/>
                <w:spacing w:val="-4"/>
              </w:rPr>
              <w:t xml:space="preserve">racovníků ze střední </w:t>
            </w:r>
            <w:r>
              <w:rPr>
                <w:color w:val="0D0D0D" w:themeColor="text1" w:themeTint="F2"/>
                <w:spacing w:val="-4"/>
              </w:rPr>
              <w:t xml:space="preserve">a východní </w:t>
            </w:r>
            <w:r w:rsidRPr="005609A1">
              <w:rPr>
                <w:color w:val="0D0D0D" w:themeColor="text1" w:themeTint="F2"/>
                <w:spacing w:val="-4"/>
              </w:rPr>
              <w:t>Evropy</w:t>
            </w:r>
            <w:r>
              <w:rPr>
                <w:color w:val="0D0D0D" w:themeColor="text1" w:themeTint="F2"/>
                <w:spacing w:val="-4"/>
              </w:rPr>
              <w:t xml:space="preserve"> se zvyšovaly zpravidla jen mírně. </w:t>
            </w:r>
          </w:p>
          <w:p w14:paraId="16B79C9C" w14:textId="77777777" w:rsidR="009D4785" w:rsidRDefault="009D4785" w:rsidP="00A96D94">
            <w:pPr>
              <w:pStyle w:val="Marginlie"/>
              <w:rPr>
                <w:color w:val="0D0D0D" w:themeColor="text1" w:themeTint="F2"/>
                <w:spacing w:val="-4"/>
              </w:rPr>
            </w:pPr>
          </w:p>
        </w:tc>
        <w:tc>
          <w:tcPr>
            <w:tcW w:w="189" w:type="dxa"/>
            <w:tcMar>
              <w:left w:w="0" w:type="dxa"/>
            </w:tcMar>
          </w:tcPr>
          <w:p w14:paraId="1CFFD607" w14:textId="77777777" w:rsidR="009D4785" w:rsidRPr="008659E6" w:rsidRDefault="009D4785" w:rsidP="00A96D94">
            <w:pPr>
              <w:pStyle w:val="Textpoznpodarou"/>
              <w:spacing w:after="120"/>
              <w:jc w:val="both"/>
              <w:rPr>
                <w:color w:val="0D0D0D" w:themeColor="text1" w:themeTint="F2"/>
                <w:spacing w:val="-4"/>
              </w:rPr>
            </w:pPr>
          </w:p>
        </w:tc>
        <w:tc>
          <w:tcPr>
            <w:tcW w:w="7772" w:type="dxa"/>
            <w:tcMar>
              <w:left w:w="0" w:type="dxa"/>
            </w:tcMar>
          </w:tcPr>
          <w:p w14:paraId="1DC29DB7" w14:textId="7ADA18A8" w:rsidR="009D4785" w:rsidRPr="00903591" w:rsidRDefault="009D4785" w:rsidP="00A96D94">
            <w:pPr>
              <w:spacing w:after="220"/>
              <w:rPr>
                <w:color w:val="0D0D0D" w:themeColor="text1" w:themeTint="F2"/>
              </w:rPr>
            </w:pPr>
            <w:r w:rsidRPr="00903591">
              <w:rPr>
                <w:color w:val="0D0D0D" w:themeColor="text1" w:themeTint="F2"/>
              </w:rPr>
              <w:t>Trh práce se v Česku dlouhodobě vlivem demografického stárnutí i nízké porodnosti potýká s nízkou zásobou volných pracovních sil</w:t>
            </w:r>
            <w:r w:rsidRPr="00903591">
              <w:rPr>
                <w:rStyle w:val="Znakapoznpodarou"/>
                <w:color w:val="0D0D0D" w:themeColor="text1" w:themeTint="F2"/>
              </w:rPr>
              <w:footnoteReference w:id="94"/>
            </w:r>
            <w:r w:rsidRPr="00903591">
              <w:rPr>
                <w:color w:val="0D0D0D" w:themeColor="text1" w:themeTint="F2"/>
              </w:rPr>
              <w:t xml:space="preserve">. To spolu se sílícím tlakem firem na optimalizaci výrobních nákladů podněcuje poptávku tuzemských zaměstnavatelů po </w:t>
            </w:r>
            <w:r w:rsidRPr="00903591">
              <w:rPr>
                <w:color w:val="0D0D0D" w:themeColor="text1" w:themeTint="F2"/>
              </w:rPr>
              <w:lastRenderedPageBreak/>
              <w:t>pracovnících ze zahraničí. V posledním období napomáhají snadnějšímu zaměstnávání cizinců legislativní změny snižující administrativní náročnost v této oblasti. To se týká jak ukrajinských občanů</w:t>
            </w:r>
            <w:r w:rsidRPr="00903591">
              <w:rPr>
                <w:rStyle w:val="Znakapoznpodarou"/>
                <w:color w:val="0D0D0D" w:themeColor="text1" w:themeTint="F2"/>
              </w:rPr>
              <w:footnoteReference w:id="95"/>
            </w:r>
            <w:r w:rsidRPr="00903591">
              <w:rPr>
                <w:color w:val="0D0D0D" w:themeColor="text1" w:themeTint="F2"/>
              </w:rPr>
              <w:t>, tak i cizinců z dalších, nejen z hospodářsky méně vyspělých zemí mimo EU</w:t>
            </w:r>
            <w:r w:rsidRPr="00903591">
              <w:rPr>
                <w:rStyle w:val="Znakapoznpodarou"/>
                <w:color w:val="0D0D0D" w:themeColor="text1" w:themeTint="F2"/>
              </w:rPr>
              <w:footnoteReference w:id="96"/>
            </w:r>
            <w:r w:rsidRPr="00903591">
              <w:rPr>
                <w:color w:val="0D0D0D" w:themeColor="text1" w:themeTint="F2"/>
              </w:rPr>
              <w:t>. Dlouhodobý příliv zahraničních pracovníků do Česka proto pokračoval. V dominantní skupině zaměstnanců jich loni v prosinci bylo na úřadech práce dle kvalifikovaných odhadů MPSV registrováno rekordních 935 tis. To bylo meziročně o</w:t>
            </w:r>
            <w:r>
              <w:rPr>
                <w:color w:val="0D0D0D" w:themeColor="text1" w:themeTint="F2"/>
              </w:rPr>
              <w:t> </w:t>
            </w:r>
            <w:r w:rsidRPr="00903591">
              <w:rPr>
                <w:color w:val="0D0D0D" w:themeColor="text1" w:themeTint="F2"/>
              </w:rPr>
              <w:t>90</w:t>
            </w:r>
            <w:r>
              <w:rPr>
                <w:color w:val="0D0D0D" w:themeColor="text1" w:themeTint="F2"/>
              </w:rPr>
              <w:t> </w:t>
            </w:r>
            <w:r w:rsidRPr="00903591">
              <w:rPr>
                <w:color w:val="0D0D0D" w:themeColor="text1" w:themeTint="F2"/>
              </w:rPr>
              <w:t>tis. více</w:t>
            </w:r>
            <w:r w:rsidRPr="00903591">
              <w:rPr>
                <w:rStyle w:val="Znakapoznpodarou"/>
                <w:color w:val="0D0D0D" w:themeColor="text1" w:themeTint="F2"/>
              </w:rPr>
              <w:footnoteReference w:id="97"/>
            </w:r>
            <w:r w:rsidRPr="00903591">
              <w:rPr>
                <w:color w:val="0D0D0D" w:themeColor="text1" w:themeTint="F2"/>
              </w:rPr>
              <w:t>, přičemž tempo růstu ve srovnání s předchozími roky zrychlilo. Nejvíce meziročně přibylo již tradičně občanů Ukrajiny (+53 tis. na 358 tis., z toho ženy +27 tis., na 190 tis.), dále Slovenska (+13 tis., na 229 tis.), Filipín (+4,3 tis., na 14,0 tis.) a</w:t>
            </w:r>
            <w:r>
              <w:rPr>
                <w:color w:val="0D0D0D" w:themeColor="text1" w:themeTint="F2"/>
              </w:rPr>
              <w:t> </w:t>
            </w:r>
            <w:r w:rsidRPr="00903591">
              <w:rPr>
                <w:color w:val="0D0D0D" w:themeColor="text1" w:themeTint="F2"/>
              </w:rPr>
              <w:t>Vietnamu (+2,1 tis., na 23,0 tis.). Z významnějších skupin cizinců rostl svižně počet občanů Indie, Číny a Kazachstánu, Uzbekistánu a Ázerbájdžánu (shodně okolo 20 %). Naopak u řady početných skupin pracovníků z</w:t>
            </w:r>
            <w:r>
              <w:rPr>
                <w:color w:val="0D0D0D" w:themeColor="text1" w:themeTint="F2"/>
              </w:rPr>
              <w:t xml:space="preserve"> relativně </w:t>
            </w:r>
            <w:r w:rsidRPr="00903591">
              <w:rPr>
                <w:color w:val="0D0D0D" w:themeColor="text1" w:themeTint="F2"/>
              </w:rPr>
              <w:t>chudších států střední a</w:t>
            </w:r>
            <w:r>
              <w:rPr>
                <w:color w:val="0D0D0D" w:themeColor="text1" w:themeTint="F2"/>
              </w:rPr>
              <w:t> </w:t>
            </w:r>
            <w:r w:rsidRPr="00903591">
              <w:rPr>
                <w:color w:val="0D0D0D" w:themeColor="text1" w:themeTint="F2"/>
              </w:rPr>
              <w:t>východní Evropy – především z Polska, Bulharska, Rumunska a Makedonie – jejich počet rostl minimálně (do 2 %), u Srbska a Bosny a Hercegoviny se mírně snižoval (do 5 %). To souvisí s postupným vyrovnáváním mzdové úrovně v tomto regionu. Třetina všech cizinců v</w:t>
            </w:r>
            <w:r>
              <w:rPr>
                <w:color w:val="0D0D0D" w:themeColor="text1" w:themeTint="F2"/>
              </w:rPr>
              <w:t> </w:t>
            </w:r>
            <w:r w:rsidRPr="00903591">
              <w:rPr>
                <w:color w:val="0D0D0D" w:themeColor="text1" w:themeTint="F2"/>
              </w:rPr>
              <w:t>zaměstnaneckém postavení v Česku byla registrována v Praze (spolu se Středočeským krajem pak polovina). Meziročně přibylo cizinců ve všech krajích – nejvíce v Praze (+16 %), Olomouckém (+15 %) Karlovarském a Pardubickém (+10 %), nejméně v Libereckém (+4,5 %)</w:t>
            </w:r>
            <w:r w:rsidRPr="00903591">
              <w:rPr>
                <w:rStyle w:val="Znakapoznpodarou"/>
                <w:color w:val="0D0D0D" w:themeColor="text1" w:themeTint="F2"/>
              </w:rPr>
              <w:footnoteReference w:id="98"/>
            </w:r>
            <w:r w:rsidRPr="00903591">
              <w:rPr>
                <w:color w:val="0D0D0D" w:themeColor="text1" w:themeTint="F2"/>
              </w:rPr>
              <w:t>.</w:t>
            </w:r>
          </w:p>
        </w:tc>
      </w:tr>
      <w:tr w:rsidR="009D4785" w:rsidRPr="00D82DBD" w14:paraId="491E3587" w14:textId="77777777" w:rsidTr="00A96D94">
        <w:trPr>
          <w:trHeight w:val="145"/>
        </w:trPr>
        <w:tc>
          <w:tcPr>
            <w:tcW w:w="1713" w:type="dxa"/>
            <w:tcMar>
              <w:left w:w="0" w:type="dxa"/>
            </w:tcMar>
          </w:tcPr>
          <w:p w14:paraId="1FA7278D" w14:textId="77777777" w:rsidR="009D4785" w:rsidRDefault="009D4785" w:rsidP="00A96D94">
            <w:pPr>
              <w:pStyle w:val="Marginlie"/>
              <w:spacing w:after="120"/>
              <w:rPr>
                <w:color w:val="0D0D0D" w:themeColor="text1" w:themeTint="F2"/>
                <w:spacing w:val="-4"/>
              </w:rPr>
            </w:pPr>
            <w:r>
              <w:rPr>
                <w:color w:val="0D0D0D" w:themeColor="text1" w:themeTint="F2"/>
                <w:spacing w:val="-4"/>
              </w:rPr>
              <w:lastRenderedPageBreak/>
              <w:t>Meziroční růst míry zaměstnanosti ve věku 15 až 64 let se na konci loňského roku zastavil.</w:t>
            </w:r>
          </w:p>
          <w:p w14:paraId="6AA51F77" w14:textId="77777777" w:rsidR="009D4785" w:rsidRDefault="009D4785" w:rsidP="00A96D94">
            <w:pPr>
              <w:pStyle w:val="Marginlie"/>
              <w:spacing w:after="120"/>
              <w:rPr>
                <w:color w:val="0D0D0D" w:themeColor="text1" w:themeTint="F2"/>
                <w:spacing w:val="-4"/>
              </w:rPr>
            </w:pPr>
          </w:p>
          <w:p w14:paraId="5BB510DD" w14:textId="77777777" w:rsidR="009D4785" w:rsidRDefault="009D4785" w:rsidP="00A96D94">
            <w:pPr>
              <w:pStyle w:val="Marginlie"/>
              <w:spacing w:after="120"/>
              <w:rPr>
                <w:color w:val="0D0D0D" w:themeColor="text1" w:themeTint="F2"/>
                <w:spacing w:val="-4"/>
              </w:rPr>
            </w:pPr>
          </w:p>
          <w:p w14:paraId="4C54D90F" w14:textId="77777777" w:rsidR="009D4785" w:rsidRDefault="009D4785" w:rsidP="00A96D94">
            <w:pPr>
              <w:pStyle w:val="Marginlie"/>
              <w:spacing w:after="120"/>
              <w:rPr>
                <w:color w:val="0D0D0D" w:themeColor="text1" w:themeTint="F2"/>
                <w:spacing w:val="-4"/>
              </w:rPr>
            </w:pPr>
          </w:p>
          <w:p w14:paraId="6E17E811" w14:textId="77777777" w:rsidR="009D4785" w:rsidRDefault="009D4785" w:rsidP="00A96D94">
            <w:pPr>
              <w:pStyle w:val="Marginlie"/>
              <w:spacing w:after="120"/>
              <w:rPr>
                <w:color w:val="0D0D0D" w:themeColor="text1" w:themeTint="F2"/>
                <w:spacing w:val="-4"/>
              </w:rPr>
            </w:pPr>
            <w:r>
              <w:rPr>
                <w:color w:val="0D0D0D" w:themeColor="text1" w:themeTint="F2"/>
                <w:spacing w:val="-4"/>
              </w:rPr>
              <w:t>Zaměstnanost žen ovšem dále rostla, byť mírnějšími tempy.</w:t>
            </w:r>
          </w:p>
          <w:p w14:paraId="262EC94A" w14:textId="77777777" w:rsidR="009D4785" w:rsidRDefault="009D4785" w:rsidP="00A96D94">
            <w:pPr>
              <w:pStyle w:val="Marginlie"/>
              <w:rPr>
                <w:color w:val="0D0D0D" w:themeColor="text1" w:themeTint="F2"/>
                <w:spacing w:val="-4"/>
              </w:rPr>
            </w:pPr>
          </w:p>
        </w:tc>
        <w:tc>
          <w:tcPr>
            <w:tcW w:w="189" w:type="dxa"/>
            <w:tcMar>
              <w:left w:w="0" w:type="dxa"/>
            </w:tcMar>
          </w:tcPr>
          <w:p w14:paraId="6BECF21F" w14:textId="77777777" w:rsidR="009D4785" w:rsidRPr="008659E6" w:rsidRDefault="009D4785" w:rsidP="00A96D94">
            <w:pPr>
              <w:pStyle w:val="Textpoznpodarou"/>
              <w:spacing w:after="120"/>
              <w:jc w:val="both"/>
              <w:rPr>
                <w:color w:val="0D0D0D" w:themeColor="text1" w:themeTint="F2"/>
                <w:spacing w:val="-4"/>
              </w:rPr>
            </w:pPr>
          </w:p>
        </w:tc>
        <w:tc>
          <w:tcPr>
            <w:tcW w:w="7772" w:type="dxa"/>
            <w:tcMar>
              <w:left w:w="0" w:type="dxa"/>
            </w:tcMar>
          </w:tcPr>
          <w:p w14:paraId="7C119215" w14:textId="77777777" w:rsidR="009D4785" w:rsidRPr="00903591" w:rsidRDefault="009D4785" w:rsidP="00A96D94">
            <w:pPr>
              <w:spacing w:after="220"/>
              <w:rPr>
                <w:color w:val="0D0D0D" w:themeColor="text1" w:themeTint="F2"/>
              </w:rPr>
            </w:pPr>
            <w:r w:rsidRPr="00903591">
              <w:t xml:space="preserve">Výše </w:t>
            </w:r>
            <w:r w:rsidRPr="00903591">
              <w:rPr>
                <w:color w:val="0D0D0D" w:themeColor="text1" w:themeTint="F2"/>
              </w:rPr>
              <w:t>uvedené trendy se odrazily v pokračujícím růstu počtu pracovníků s vyšší kvalifikací (zejména specialistů, technických a odborných pracovníků i úředníků), mírně ovšem vzrostla i zaměstnanost v nejnižší třídě pomocných a nekvalifikovaných pracovníků</w:t>
            </w:r>
            <w:r w:rsidRPr="00903591">
              <w:rPr>
                <w:rStyle w:val="Znakapoznpodarou"/>
                <w:color w:val="0D0D0D" w:themeColor="text1" w:themeTint="F2"/>
              </w:rPr>
              <w:footnoteReference w:id="99"/>
            </w:r>
            <w:r w:rsidRPr="00903591">
              <w:rPr>
                <w:color w:val="0D0D0D" w:themeColor="text1" w:themeTint="F2"/>
              </w:rPr>
              <w:t>. Naopak ubylo osob v některých manuálních profesích, zejména řemeslníků a opravářů či obsluhy strojů a zařízení. Pokračoval i dlouhodobý trend postupného stárnutí pracujících, růst zaměstnanosti byl z drtivé většiny tažen lidmi ve věku nad 45 let. Míra zaměstnanosti</w:t>
            </w:r>
            <w:r w:rsidRPr="00903591">
              <w:rPr>
                <w:rStyle w:val="Znakapoznpodarou"/>
                <w:color w:val="0D0D0D" w:themeColor="text1" w:themeTint="F2"/>
              </w:rPr>
              <w:footnoteReference w:id="100"/>
            </w:r>
            <w:r w:rsidRPr="00903591">
              <w:rPr>
                <w:color w:val="0D0D0D" w:themeColor="text1" w:themeTint="F2"/>
              </w:rPr>
              <w:t xml:space="preserve"> (15 až </w:t>
            </w:r>
            <w:r w:rsidRPr="00903591">
              <w:t>64letých) dosáhla letos v lednu 75,4 %, meziročně klesla o</w:t>
            </w:r>
            <w:r>
              <w:t> </w:t>
            </w:r>
            <w:r w:rsidRPr="00903591">
              <w:t>0,3</w:t>
            </w:r>
            <w:r>
              <w:t> </w:t>
            </w:r>
            <w:r w:rsidRPr="00903591">
              <w:t>p.</w:t>
            </w:r>
            <w:r>
              <w:t> </w:t>
            </w:r>
            <w:r w:rsidRPr="00903591">
              <w:t xml:space="preserve">b. </w:t>
            </w:r>
            <w:r w:rsidRPr="00903591">
              <w:rPr>
                <w:rStyle w:val="normaltextrun"/>
                <w:rFonts w:eastAsiaTheme="majorEastAsia" w:cs="Arial"/>
                <w:szCs w:val="20"/>
              </w:rPr>
              <w:t>(po drtivou většinu loňského roku přitom lehce rostla). Za poklesem stál</w:t>
            </w:r>
            <w:r>
              <w:rPr>
                <w:rStyle w:val="normaltextrun"/>
                <w:rFonts w:eastAsiaTheme="majorEastAsia" w:cs="Arial"/>
                <w:szCs w:val="20"/>
              </w:rPr>
              <w:t>i</w:t>
            </w:r>
            <w:r>
              <w:rPr>
                <w:rStyle w:val="normaltextrun"/>
                <w:rFonts w:eastAsiaTheme="majorEastAsia" w:cs="Arial"/>
              </w:rPr>
              <w:t xml:space="preserve"> </w:t>
            </w:r>
            <w:r w:rsidRPr="00903591">
              <w:rPr>
                <w:rStyle w:val="normaltextrun"/>
                <w:rFonts w:eastAsiaTheme="majorEastAsia" w:cs="Arial"/>
                <w:szCs w:val="20"/>
              </w:rPr>
              <w:t>výhradně muži, u nichž míra dosáhla rovných 80</w:t>
            </w:r>
            <w:r w:rsidRPr="00903591">
              <w:t> </w:t>
            </w:r>
            <w:r w:rsidRPr="00903591">
              <w:rPr>
                <w:rStyle w:val="normaltextrun"/>
                <w:rFonts w:eastAsiaTheme="majorEastAsia" w:cs="Arial"/>
                <w:szCs w:val="20"/>
              </w:rPr>
              <w:t>% (−1,1 p. b.), naopak u žen pokračoval růst na 70,5 % (+0,6 p. b.)</w:t>
            </w:r>
            <w:r w:rsidRPr="00903591">
              <w:rPr>
                <w:rStyle w:val="normaltextrun"/>
                <w:rFonts w:cs="Arial"/>
                <w:szCs w:val="20"/>
              </w:rPr>
              <w:t xml:space="preserve">. </w:t>
            </w:r>
            <w:r w:rsidRPr="00903591">
              <w:rPr>
                <w:rStyle w:val="normaltextrun"/>
                <w:rFonts w:eastAsiaTheme="majorEastAsia" w:cs="Arial"/>
                <w:szCs w:val="20"/>
              </w:rPr>
              <w:t xml:space="preserve">Od 2. pololetí 2025 se však nůžky mezi muži a ženami již nerozvírají natolik intenzivně jako dříve (tempo meziročního poklesu míry zaměstnanosti u mužů se již neprohlubuje a současně u žen růst </w:t>
            </w:r>
            <w:r w:rsidRPr="00903591">
              <w:rPr>
                <w:rStyle w:val="normaltextrun"/>
                <w:rFonts w:eastAsiaTheme="majorEastAsia" w:cs="Arial"/>
              </w:rPr>
              <w:t xml:space="preserve">znatelně </w:t>
            </w:r>
            <w:r w:rsidRPr="00903591">
              <w:rPr>
                <w:rStyle w:val="normaltextrun"/>
                <w:rFonts w:eastAsiaTheme="majorEastAsia" w:cs="Arial"/>
                <w:szCs w:val="20"/>
              </w:rPr>
              <w:t>slábne). U mužů se projevuje dopad dílčího zlepšení v průmyslu a rozvíjejícího se stavebnictví. Vývoj u žen naznačuje možné aktuální vyčerpání růstového potenciálu v některých odvětví</w:t>
            </w:r>
            <w:r>
              <w:rPr>
                <w:rStyle w:val="normaltextrun"/>
                <w:rFonts w:eastAsiaTheme="majorEastAsia" w:cs="Arial"/>
                <w:szCs w:val="20"/>
              </w:rPr>
              <w:t>c</w:t>
            </w:r>
            <w:r>
              <w:rPr>
                <w:rStyle w:val="normaltextrun"/>
                <w:rFonts w:eastAsiaTheme="majorEastAsia" w:cs="Arial"/>
              </w:rPr>
              <w:t>h</w:t>
            </w:r>
            <w:r w:rsidRPr="00903591">
              <w:rPr>
                <w:rStyle w:val="normaltextrun"/>
                <w:rFonts w:eastAsiaTheme="majorEastAsia" w:cs="Arial"/>
                <w:szCs w:val="20"/>
              </w:rPr>
              <w:t xml:space="preserve"> tržních služeb </w:t>
            </w:r>
            <w:r>
              <w:rPr>
                <w:rStyle w:val="normaltextrun"/>
                <w:rFonts w:eastAsiaTheme="majorEastAsia" w:cs="Arial"/>
                <w:szCs w:val="20"/>
              </w:rPr>
              <w:br/>
            </w:r>
            <w:r w:rsidRPr="00903591">
              <w:rPr>
                <w:rStyle w:val="normaltextrun"/>
                <w:rFonts w:eastAsiaTheme="majorEastAsia" w:cs="Arial"/>
                <w:szCs w:val="20"/>
              </w:rPr>
              <w:t>a také fakt, že většina žen z řady ukrajinských uprchlíků se již patrně na pracovní trh integrovala. Rovněž nárůst n</w:t>
            </w:r>
            <w:r w:rsidRPr="00903591">
              <w:rPr>
                <w:rStyle w:val="normaltextrun"/>
                <w:rFonts w:eastAsiaTheme="majorEastAsia" w:cs="Arial"/>
              </w:rPr>
              <w:t>abídky zkrácených pracovních úvazků, zvlášť patrný v letech 2022 i</w:t>
            </w:r>
            <w:r>
              <w:rPr>
                <w:rStyle w:val="normaltextrun"/>
                <w:rFonts w:eastAsiaTheme="majorEastAsia" w:cs="Arial"/>
              </w:rPr>
              <w:t> </w:t>
            </w:r>
            <w:r w:rsidRPr="00903591">
              <w:rPr>
                <w:rStyle w:val="normaltextrun"/>
                <w:rFonts w:eastAsiaTheme="majorEastAsia" w:cs="Arial"/>
              </w:rPr>
              <w:t>2023</w:t>
            </w:r>
            <w:r w:rsidRPr="00903591">
              <w:rPr>
                <w:rStyle w:val="Znakapoznpodarou"/>
                <w:rFonts w:eastAsiaTheme="majorEastAsia"/>
              </w:rPr>
              <w:footnoteReference w:id="101"/>
            </w:r>
            <w:r w:rsidRPr="00903591">
              <w:rPr>
                <w:rStyle w:val="normaltextrun"/>
                <w:rFonts w:eastAsiaTheme="majorEastAsia" w:cs="Arial"/>
              </w:rPr>
              <w:t>, loni zmírnil</w:t>
            </w:r>
            <w:r w:rsidRPr="00903591">
              <w:rPr>
                <w:rStyle w:val="Znakapoznpodarou"/>
                <w:rFonts w:eastAsiaTheme="majorEastAsia"/>
              </w:rPr>
              <w:footnoteReference w:id="102"/>
            </w:r>
            <w:r w:rsidRPr="00903591">
              <w:rPr>
                <w:rStyle w:val="normaltextrun"/>
                <w:rFonts w:eastAsiaTheme="majorEastAsia" w:cs="Arial"/>
              </w:rPr>
              <w:t xml:space="preserve">. </w:t>
            </w:r>
          </w:p>
        </w:tc>
      </w:tr>
      <w:tr w:rsidR="009D4785" w:rsidRPr="00D82DBD" w14:paraId="7568EB30" w14:textId="77777777" w:rsidTr="00A96D94">
        <w:trPr>
          <w:trHeight w:val="145"/>
        </w:trPr>
        <w:tc>
          <w:tcPr>
            <w:tcW w:w="1713" w:type="dxa"/>
            <w:tcMar>
              <w:left w:w="0" w:type="dxa"/>
            </w:tcMar>
          </w:tcPr>
          <w:p w14:paraId="26F8464C" w14:textId="77777777" w:rsidR="009D4785" w:rsidRDefault="009D4785" w:rsidP="00A96D94">
            <w:pPr>
              <w:pStyle w:val="Marginlie"/>
              <w:rPr>
                <w:color w:val="0D0D0D" w:themeColor="text1" w:themeTint="F2"/>
                <w:spacing w:val="-4"/>
              </w:rPr>
            </w:pPr>
            <w:r>
              <w:rPr>
                <w:color w:val="0D0D0D" w:themeColor="text1" w:themeTint="F2"/>
                <w:spacing w:val="-4"/>
              </w:rPr>
              <w:lastRenderedPageBreak/>
              <w:t>V průmyslu i obchodu se k</w:t>
            </w:r>
            <w:r w:rsidRPr="00294CC7">
              <w:rPr>
                <w:color w:val="0D0D0D" w:themeColor="text1" w:themeTint="F2"/>
                <w:spacing w:val="-4"/>
              </w:rPr>
              <w:t>rátkodobá očekávání podniků v oblasti zaměstnanosti</w:t>
            </w:r>
            <w:r>
              <w:rPr>
                <w:color w:val="0D0D0D" w:themeColor="text1" w:themeTint="F2"/>
                <w:spacing w:val="-4"/>
              </w:rPr>
              <w:t xml:space="preserve"> letos zlepšila, ve službách naopak.</w:t>
            </w:r>
            <w:r w:rsidRPr="00294CC7">
              <w:rPr>
                <w:color w:val="0D0D0D" w:themeColor="text1" w:themeTint="F2"/>
                <w:spacing w:val="-4"/>
              </w:rPr>
              <w:t xml:space="preserve"> </w:t>
            </w:r>
          </w:p>
          <w:p w14:paraId="1DADABAD" w14:textId="77777777" w:rsidR="009D4785" w:rsidRDefault="009D4785" w:rsidP="00A96D94">
            <w:pPr>
              <w:pStyle w:val="Marginlie"/>
              <w:rPr>
                <w:color w:val="0D0D0D" w:themeColor="text1" w:themeTint="F2"/>
                <w:spacing w:val="-5"/>
              </w:rPr>
            </w:pPr>
          </w:p>
          <w:p w14:paraId="2A9FCC10" w14:textId="77777777" w:rsidR="009D4785" w:rsidRDefault="009D4785" w:rsidP="00A96D94">
            <w:pPr>
              <w:pStyle w:val="Marginlie"/>
              <w:rPr>
                <w:color w:val="0D0D0D" w:themeColor="text1" w:themeTint="F2"/>
                <w:spacing w:val="-5"/>
              </w:rPr>
            </w:pPr>
          </w:p>
          <w:p w14:paraId="4F644ED7" w14:textId="77777777" w:rsidR="009D4785" w:rsidRDefault="009D4785" w:rsidP="00A96D94">
            <w:pPr>
              <w:pStyle w:val="Marginlie"/>
              <w:rPr>
                <w:color w:val="0D0D0D" w:themeColor="text1" w:themeTint="F2"/>
                <w:spacing w:val="-5"/>
              </w:rPr>
            </w:pPr>
            <w:r>
              <w:rPr>
                <w:color w:val="0D0D0D" w:themeColor="text1" w:themeTint="F2"/>
                <w:spacing w:val="-5"/>
              </w:rPr>
              <w:t>Mírně přibývalo podniků limitovaných nedostatkem volné pracovní síly ve stavebnictví i službách.</w:t>
            </w:r>
          </w:p>
        </w:tc>
        <w:tc>
          <w:tcPr>
            <w:tcW w:w="189" w:type="dxa"/>
            <w:tcMar>
              <w:left w:w="0" w:type="dxa"/>
            </w:tcMar>
          </w:tcPr>
          <w:p w14:paraId="56315D74" w14:textId="77777777" w:rsidR="009D4785" w:rsidRPr="008659E6" w:rsidRDefault="009D4785" w:rsidP="00A96D94">
            <w:pPr>
              <w:pStyle w:val="Textpoznpodarou"/>
              <w:spacing w:after="120"/>
              <w:jc w:val="both"/>
              <w:rPr>
                <w:color w:val="0D0D0D" w:themeColor="text1" w:themeTint="F2"/>
                <w:spacing w:val="-4"/>
              </w:rPr>
            </w:pPr>
          </w:p>
        </w:tc>
        <w:tc>
          <w:tcPr>
            <w:tcW w:w="7772" w:type="dxa"/>
            <w:tcMar>
              <w:left w:w="0" w:type="dxa"/>
            </w:tcMar>
          </w:tcPr>
          <w:p w14:paraId="3EDB12B1" w14:textId="53BB916F" w:rsidR="009D4785" w:rsidRPr="00903591" w:rsidRDefault="009D4785" w:rsidP="00A96D94">
            <w:pPr>
              <w:spacing w:after="220"/>
              <w:rPr>
                <w:color w:val="0D0D0D" w:themeColor="text1" w:themeTint="F2"/>
              </w:rPr>
            </w:pPr>
            <w:r w:rsidRPr="00903591">
              <w:rPr>
                <w:color w:val="0D0D0D" w:themeColor="text1" w:themeTint="F2"/>
              </w:rPr>
              <w:t>Krátkodobá očekávání tuzemských podniků v oblasti vlastní zaměstnanosti</w:t>
            </w:r>
            <w:r w:rsidRPr="00903591">
              <w:rPr>
                <w:rStyle w:val="Znakapoznpodarou"/>
                <w:color w:val="0D0D0D" w:themeColor="text1" w:themeTint="F2"/>
              </w:rPr>
              <w:footnoteReference w:id="103"/>
            </w:r>
            <w:r w:rsidRPr="00903591">
              <w:rPr>
                <w:color w:val="0D0D0D" w:themeColor="text1" w:themeTint="F2"/>
              </w:rPr>
              <w:t xml:space="preserve"> se zlepšovala již během roku 2024. Počátek loňského roku pak přinesl (nejen v Česku, ale i </w:t>
            </w:r>
            <w:r>
              <w:rPr>
                <w:color w:val="0D0D0D" w:themeColor="text1" w:themeTint="F2"/>
              </w:rPr>
              <w:t xml:space="preserve">v </w:t>
            </w:r>
            <w:r w:rsidRPr="00903591">
              <w:rPr>
                <w:color w:val="0D0D0D" w:themeColor="text1" w:themeTint="F2"/>
              </w:rPr>
              <w:t>EU či eurozóně) krátkodobé posílen</w:t>
            </w:r>
            <w:r>
              <w:rPr>
                <w:color w:val="0D0D0D" w:themeColor="text1" w:themeTint="F2"/>
              </w:rPr>
              <w:t>í</w:t>
            </w:r>
            <w:r w:rsidRPr="00903591">
              <w:rPr>
                <w:color w:val="0D0D0D" w:themeColor="text1" w:themeTint="F2"/>
              </w:rPr>
              <w:t xml:space="preserve"> negativních výhledů, které odrážely rostoucí nejistoty podnikatelů plynoucí patrně z vnějších (zahraničních) faktorů. Během 2. čtvrtletí se ovšem začaly výhledy opět mírně zlepšovat a v letním období vystoupal souhrnný indikátor očekávání zaměstnanosti v Česku nejvýše za poslední dva a půl roku (a jeho úroveň odpovídala dlouhodobému průměru). V další části roku </w:t>
            </w:r>
            <w:r>
              <w:rPr>
                <w:color w:val="0D0D0D" w:themeColor="text1" w:themeTint="F2"/>
              </w:rPr>
              <w:t xml:space="preserve">nedošlo </w:t>
            </w:r>
            <w:r w:rsidRPr="00903591">
              <w:rPr>
                <w:color w:val="0D0D0D" w:themeColor="text1" w:themeTint="F2"/>
              </w:rPr>
              <w:t xml:space="preserve">k významnějším změnám, nicméně </w:t>
            </w:r>
            <w:r>
              <w:rPr>
                <w:color w:val="0D0D0D" w:themeColor="text1" w:themeTint="F2"/>
              </w:rPr>
              <w:t xml:space="preserve">na </w:t>
            </w:r>
            <w:r w:rsidRPr="00903591">
              <w:rPr>
                <w:color w:val="0D0D0D" w:themeColor="text1" w:themeTint="F2"/>
              </w:rPr>
              <w:t>počát</w:t>
            </w:r>
            <w:r>
              <w:rPr>
                <w:color w:val="0D0D0D" w:themeColor="text1" w:themeTint="F2"/>
              </w:rPr>
              <w:t>ku</w:t>
            </w:r>
            <w:r w:rsidRPr="00903591">
              <w:rPr>
                <w:color w:val="0D0D0D" w:themeColor="text1" w:themeTint="F2"/>
              </w:rPr>
              <w:t xml:space="preserve"> roku 2026 </w:t>
            </w:r>
            <w:r>
              <w:rPr>
                <w:color w:val="0D0D0D" w:themeColor="text1" w:themeTint="F2"/>
              </w:rPr>
              <w:t xml:space="preserve">zavládl </w:t>
            </w:r>
            <w:r w:rsidRPr="00903591">
              <w:rPr>
                <w:color w:val="0D0D0D" w:themeColor="text1" w:themeTint="F2"/>
              </w:rPr>
              <w:t>lehký závan optimismu, patrný zejména v průmyslu a obchodu. Naopak ve službách došlo ke zhoršení a očekávání</w:t>
            </w:r>
            <w:r>
              <w:rPr>
                <w:color w:val="0D0D0D" w:themeColor="text1" w:themeTint="F2"/>
              </w:rPr>
              <w:t xml:space="preserve">, </w:t>
            </w:r>
            <w:r w:rsidRPr="00903591">
              <w:rPr>
                <w:color w:val="0D0D0D" w:themeColor="text1" w:themeTint="F2"/>
              </w:rPr>
              <w:t>zaměstnanost zde byla ze všech hlavních odvětvích nejslabší</w:t>
            </w:r>
            <w:r w:rsidRPr="00903591">
              <w:rPr>
                <w:rStyle w:val="Znakapoznpodarou"/>
                <w:color w:val="0D0D0D" w:themeColor="text1" w:themeTint="F2"/>
              </w:rPr>
              <w:footnoteReference w:id="104"/>
            </w:r>
            <w:r w:rsidRPr="00903591">
              <w:rPr>
                <w:color w:val="0D0D0D" w:themeColor="text1" w:themeTint="F2"/>
              </w:rPr>
              <w:t>. V rámci dílčích odvětví přetrvávaly přirozeně významné rozdíly</w:t>
            </w:r>
            <w:r w:rsidRPr="00903591">
              <w:rPr>
                <w:rStyle w:val="Znakapoznpodarou"/>
                <w:color w:val="0D0D0D" w:themeColor="text1" w:themeTint="F2"/>
              </w:rPr>
              <w:footnoteReference w:id="105"/>
            </w:r>
            <w:r w:rsidRPr="00903591">
              <w:rPr>
                <w:color w:val="0D0D0D" w:themeColor="text1" w:themeTint="F2"/>
              </w:rPr>
              <w:t xml:space="preserve">. </w:t>
            </w:r>
            <w:r w:rsidRPr="00903591">
              <w:rPr>
                <w:rStyle w:val="eop"/>
                <w:rFonts w:eastAsia="MS Gothic" w:cs="Arial"/>
                <w:color w:val="0D0D0D" w:themeColor="text1" w:themeTint="F2"/>
                <w:szCs w:val="20"/>
              </w:rPr>
              <w:t xml:space="preserve">Podíl podniků, pro něž </w:t>
            </w:r>
            <w:r w:rsidRPr="00903591">
              <w:rPr>
                <w:color w:val="0D0D0D" w:themeColor="text1" w:themeTint="F2"/>
              </w:rPr>
              <w:t>představuje nedostatek pracovní síly jednu z významných růstových bariér</w:t>
            </w:r>
            <w:r w:rsidRPr="00903591">
              <w:rPr>
                <w:rStyle w:val="Znakapoznpodarou"/>
                <w:color w:val="0D0D0D" w:themeColor="text1" w:themeTint="F2"/>
              </w:rPr>
              <w:footnoteReference w:id="106"/>
            </w:r>
            <w:r w:rsidRPr="00903591">
              <w:rPr>
                <w:color w:val="0D0D0D" w:themeColor="text1" w:themeTint="F2"/>
              </w:rPr>
              <w:t xml:space="preserve">, </w:t>
            </w:r>
            <w:r>
              <w:rPr>
                <w:color w:val="0D0D0D" w:themeColor="text1" w:themeTint="F2"/>
              </w:rPr>
              <w:t xml:space="preserve">byl </w:t>
            </w:r>
            <w:r w:rsidRPr="00903591">
              <w:rPr>
                <w:color w:val="0D0D0D" w:themeColor="text1" w:themeTint="F2"/>
              </w:rPr>
              <w:t>na počátku 1.</w:t>
            </w:r>
            <w:r>
              <w:rPr>
                <w:color w:val="0D0D0D" w:themeColor="text1" w:themeTint="F2"/>
              </w:rPr>
              <w:t> </w:t>
            </w:r>
            <w:r w:rsidRPr="00903591">
              <w:rPr>
                <w:color w:val="0D0D0D" w:themeColor="text1" w:themeTint="F2"/>
              </w:rPr>
              <w:t>čtvrtletí 2026 tradičně nejvyšší ve stavebnictví (57 %.). Opačn</w:t>
            </w:r>
            <w:r>
              <w:rPr>
                <w:color w:val="0D0D0D" w:themeColor="text1" w:themeTint="F2"/>
              </w:rPr>
              <w:t>ě</w:t>
            </w:r>
            <w:r w:rsidRPr="00903591">
              <w:rPr>
                <w:color w:val="0D0D0D" w:themeColor="text1" w:themeTint="F2"/>
              </w:rPr>
              <w:t xml:space="preserve"> tomu bylo ve službách (15 %) a také </w:t>
            </w:r>
            <w:r>
              <w:rPr>
                <w:color w:val="0D0D0D" w:themeColor="text1" w:themeTint="F2"/>
              </w:rPr>
              <w:t xml:space="preserve">v </w:t>
            </w:r>
            <w:r w:rsidRPr="00903591">
              <w:rPr>
                <w:color w:val="0D0D0D" w:themeColor="text1" w:themeTint="F2"/>
              </w:rPr>
              <w:t>průmyslu (11 %), kde se role této bariéry meziročně mírně snížila, ve stavebnictví a službách naopak lehce posílila.</w:t>
            </w:r>
          </w:p>
        </w:tc>
      </w:tr>
      <w:tr w:rsidR="009D4785" w:rsidRPr="00D82DBD" w14:paraId="447BB941" w14:textId="77777777" w:rsidTr="00A96D94">
        <w:trPr>
          <w:trHeight w:val="145"/>
        </w:trPr>
        <w:tc>
          <w:tcPr>
            <w:tcW w:w="1713" w:type="dxa"/>
            <w:tcMar>
              <w:left w:w="0" w:type="dxa"/>
            </w:tcMar>
          </w:tcPr>
          <w:p w14:paraId="551376F0" w14:textId="77777777" w:rsidR="009D4785" w:rsidRDefault="009D4785" w:rsidP="00A96D94">
            <w:pPr>
              <w:pStyle w:val="Marginlie"/>
              <w:rPr>
                <w:color w:val="0D0D0D" w:themeColor="text1" w:themeTint="F2"/>
                <w:spacing w:val="-5"/>
              </w:rPr>
            </w:pPr>
            <w:r w:rsidRPr="00AE5540">
              <w:rPr>
                <w:color w:val="0D0D0D" w:themeColor="text1" w:themeTint="F2"/>
                <w:spacing w:val="-5"/>
              </w:rPr>
              <w:t>Obecná míra nezaměstnanosti po většinu roku mírně rostla</w:t>
            </w:r>
            <w:r>
              <w:rPr>
                <w:color w:val="0D0D0D" w:themeColor="text1" w:themeTint="F2"/>
                <w:spacing w:val="-5"/>
              </w:rPr>
              <w:t xml:space="preserve">. </w:t>
            </w:r>
            <w:r w:rsidRPr="001003EC">
              <w:rPr>
                <w:color w:val="0D0D0D" w:themeColor="text1" w:themeTint="F2"/>
                <w:spacing w:val="-7"/>
              </w:rPr>
              <w:t>I tak zůstává z historického</w:t>
            </w:r>
            <w:r>
              <w:rPr>
                <w:color w:val="0D0D0D" w:themeColor="text1" w:themeTint="F2"/>
                <w:spacing w:val="-5"/>
              </w:rPr>
              <w:t xml:space="preserve"> a rovněž mezinárodního hlediska nízká.</w:t>
            </w:r>
          </w:p>
        </w:tc>
        <w:tc>
          <w:tcPr>
            <w:tcW w:w="189" w:type="dxa"/>
            <w:tcMar>
              <w:left w:w="0" w:type="dxa"/>
            </w:tcMar>
          </w:tcPr>
          <w:p w14:paraId="66C6C19B" w14:textId="77777777" w:rsidR="009D4785" w:rsidRPr="008659E6" w:rsidRDefault="009D4785" w:rsidP="00A96D94">
            <w:pPr>
              <w:pStyle w:val="Textpoznpodarou"/>
              <w:spacing w:after="120"/>
              <w:jc w:val="both"/>
              <w:rPr>
                <w:color w:val="0D0D0D" w:themeColor="text1" w:themeTint="F2"/>
                <w:spacing w:val="-4"/>
              </w:rPr>
            </w:pPr>
          </w:p>
        </w:tc>
        <w:tc>
          <w:tcPr>
            <w:tcW w:w="7772" w:type="dxa"/>
            <w:tcMar>
              <w:left w:w="0" w:type="dxa"/>
            </w:tcMar>
          </w:tcPr>
          <w:p w14:paraId="71FE5124" w14:textId="77777777" w:rsidR="009D4785" w:rsidRPr="00903591" w:rsidRDefault="009D4785" w:rsidP="00A96D94">
            <w:pPr>
              <w:spacing w:after="220"/>
              <w:rPr>
                <w:rFonts w:cs="Arial"/>
                <w:szCs w:val="20"/>
              </w:rPr>
            </w:pPr>
            <w:r w:rsidRPr="00903591">
              <w:rPr>
                <w:rFonts w:cs="Arial"/>
                <w:szCs w:val="20"/>
              </w:rPr>
              <w:t>Obecná míra nezaměstnanosti</w:t>
            </w:r>
            <w:r w:rsidRPr="00903591">
              <w:rPr>
                <w:rFonts w:cs="Arial"/>
                <w:szCs w:val="20"/>
                <w:vertAlign w:val="superscript"/>
              </w:rPr>
              <w:footnoteReference w:id="107"/>
            </w:r>
            <w:r w:rsidRPr="00903591">
              <w:rPr>
                <w:rFonts w:cs="Arial"/>
                <w:szCs w:val="20"/>
              </w:rPr>
              <w:t xml:space="preserve"> se po stagnaci v roce 2024 začala od loňského jara mírně zvyšovat. Nezaměstnanost 15–64letých tak letos v lednu činila 3,3 %</w:t>
            </w:r>
            <w:r w:rsidRPr="00903591">
              <w:rPr>
                <w:rFonts w:cs="Arial"/>
                <w:szCs w:val="20"/>
                <w:vertAlign w:val="superscript"/>
              </w:rPr>
              <w:footnoteReference w:id="108"/>
            </w:r>
            <w:r w:rsidRPr="00903591">
              <w:rPr>
                <w:rFonts w:cs="Arial"/>
                <w:szCs w:val="20"/>
              </w:rPr>
              <w:t xml:space="preserve"> (muži: 2,8</w:t>
            </w:r>
            <w:r>
              <w:rPr>
                <w:rFonts w:cs="Arial"/>
                <w:szCs w:val="20"/>
              </w:rPr>
              <w:t> </w:t>
            </w:r>
            <w:r w:rsidRPr="00903591">
              <w:rPr>
                <w:rFonts w:cs="Arial"/>
                <w:szCs w:val="20"/>
              </w:rPr>
              <w:t xml:space="preserve">%, ženy: 3,8 %). Celková nezaměstnanost tak je srovnatelná jako za vrcholu pandemie (březen 2021) a vyšší byla předtím naposledy na počátku roku 2017. Nezaměstnanost se meziročně zvýšila o 0,5 p. b., podobně u mužů i žen (za poslední pololetí ovšem vykazuje vyšší meziměsíční dynamiku u žen, u mužů je stabilizovaná). To souvisí hlavně se situací v průmyslu. </w:t>
            </w:r>
            <w:r w:rsidRPr="00903591">
              <w:t>Propuštěné pracovníky z některých útlumových oborů dokázaly stále z velké části vstřebat zejména rozvíjející se služby</w:t>
            </w:r>
            <w:r w:rsidRPr="00903591">
              <w:rPr>
                <w:rFonts w:cs="Arial"/>
                <w:szCs w:val="20"/>
              </w:rPr>
              <w:t>. I proto se počet dlouhodobě nezaměstnaných razantně nezvýšil</w:t>
            </w:r>
            <w:r w:rsidRPr="00903591">
              <w:rPr>
                <w:rFonts w:cs="Arial"/>
                <w:vertAlign w:val="superscript"/>
              </w:rPr>
              <w:footnoteReference w:id="109"/>
            </w:r>
            <w:r w:rsidRPr="00903591">
              <w:rPr>
                <w:rFonts w:cs="Arial"/>
                <w:szCs w:val="20"/>
              </w:rPr>
              <w:t xml:space="preserve">. Současně významně nenarůstá ani skrytá nezaměstnanost (ve formě dočasného „úniku“ do ekonomické neaktivity). </w:t>
            </w:r>
          </w:p>
        </w:tc>
      </w:tr>
      <w:tr w:rsidR="009D4785" w:rsidRPr="00D82DBD" w14:paraId="7892EE25" w14:textId="77777777" w:rsidTr="00A96D94">
        <w:trPr>
          <w:trHeight w:val="145"/>
        </w:trPr>
        <w:tc>
          <w:tcPr>
            <w:tcW w:w="1713" w:type="dxa"/>
            <w:tcMar>
              <w:left w:w="0" w:type="dxa"/>
            </w:tcMar>
          </w:tcPr>
          <w:p w14:paraId="597ED119" w14:textId="77777777" w:rsidR="009D4785" w:rsidRPr="00461673" w:rsidRDefault="009D4785" w:rsidP="00A96D94">
            <w:pPr>
              <w:pStyle w:val="Marginlie"/>
              <w:rPr>
                <w:color w:val="0D0D0D" w:themeColor="text1" w:themeTint="F2"/>
              </w:rPr>
            </w:pPr>
            <w:r>
              <w:rPr>
                <w:color w:val="0D0D0D" w:themeColor="text1" w:themeTint="F2"/>
              </w:rPr>
              <w:t>R</w:t>
            </w:r>
            <w:r w:rsidRPr="002F4E55">
              <w:rPr>
                <w:color w:val="0D0D0D" w:themeColor="text1" w:themeTint="F2"/>
              </w:rPr>
              <w:t xml:space="preserve">egistrovaných </w:t>
            </w:r>
            <w:r>
              <w:rPr>
                <w:color w:val="0D0D0D" w:themeColor="text1" w:themeTint="F2"/>
              </w:rPr>
              <w:t xml:space="preserve">uchazečů o práci mírně přibylo. Jejich podíl na populaci v produktivním věku byl nejvyšší od ledna 2017. </w:t>
            </w:r>
          </w:p>
          <w:p w14:paraId="712887CB" w14:textId="77777777" w:rsidR="009D4785" w:rsidRPr="008659E6" w:rsidRDefault="009D4785" w:rsidP="00A96D94">
            <w:pPr>
              <w:pStyle w:val="Marginlie"/>
              <w:rPr>
                <w:color w:val="0D0D0D" w:themeColor="text1" w:themeTint="F2"/>
                <w:spacing w:val="-5"/>
              </w:rPr>
            </w:pPr>
          </w:p>
        </w:tc>
        <w:tc>
          <w:tcPr>
            <w:tcW w:w="189" w:type="dxa"/>
            <w:tcMar>
              <w:left w:w="0" w:type="dxa"/>
            </w:tcMar>
          </w:tcPr>
          <w:p w14:paraId="3AEE5D2C" w14:textId="77777777" w:rsidR="009D4785" w:rsidRPr="008659E6" w:rsidRDefault="009D4785" w:rsidP="00A96D94">
            <w:pPr>
              <w:pStyle w:val="Textpoznpodarou"/>
              <w:spacing w:after="120"/>
              <w:jc w:val="both"/>
              <w:rPr>
                <w:color w:val="0D0D0D" w:themeColor="text1" w:themeTint="F2"/>
                <w:spacing w:val="-4"/>
              </w:rPr>
            </w:pPr>
          </w:p>
        </w:tc>
        <w:tc>
          <w:tcPr>
            <w:tcW w:w="7772" w:type="dxa"/>
            <w:tcMar>
              <w:left w:w="0" w:type="dxa"/>
            </w:tcMar>
          </w:tcPr>
          <w:p w14:paraId="65794683" w14:textId="77777777" w:rsidR="009D4785" w:rsidRPr="00903591" w:rsidRDefault="009D4785" w:rsidP="00A96D94">
            <w:pPr>
              <w:spacing w:after="200"/>
              <w:rPr>
                <w:rFonts w:cs="Arial"/>
                <w:szCs w:val="20"/>
              </w:rPr>
            </w:pPr>
            <w:r w:rsidRPr="00903591">
              <w:rPr>
                <w:color w:val="0D0D0D" w:themeColor="text1" w:themeTint="F2"/>
              </w:rPr>
              <w:t>Významnější ochlazení tuzemského pracovního trhu dosud nenaznačují ani údaje z úřadů práce (ÚP).</w:t>
            </w:r>
            <w:r w:rsidRPr="00903591">
              <w:rPr>
                <w:rStyle w:val="normaltextrun"/>
                <w:rFonts w:cs="Arial"/>
                <w:szCs w:val="20"/>
              </w:rPr>
              <w:t xml:space="preserve"> </w:t>
            </w:r>
            <w:r w:rsidRPr="00903591">
              <w:rPr>
                <w:rStyle w:val="normaltextrun"/>
                <w:rFonts w:eastAsiaTheme="majorEastAsia" w:cs="Arial"/>
                <w:szCs w:val="20"/>
              </w:rPr>
              <w:t xml:space="preserve">Sezonně neočištěný podíl registrovaných uchazečů o práci na celkové populaci 15 až 64letých dosáhl na konci letošního ledna 5,1 % (muži: 4,9 %, ženy: 5,4 %). To je meziročně o 0,8 p. b. více, jde o nejvýraznější zhoršení od vrcholu pandemie (březen 2021) Mírný růst nezaměstnanosti probíhal nepřetržitě i po celý rok </w:t>
            </w:r>
            <w:r w:rsidRPr="00903591">
              <w:rPr>
                <w:rStyle w:val="normaltextrun"/>
                <w:rFonts w:eastAsiaTheme="majorEastAsia" w:cs="Arial"/>
                <w:szCs w:val="20"/>
              </w:rPr>
              <w:lastRenderedPageBreak/>
              <w:t xml:space="preserve">2024, loni se meziroční tempo růstu postupně lehce zvyšovalo. </w:t>
            </w:r>
            <w:proofErr w:type="gramStart"/>
            <w:r w:rsidRPr="00903591">
              <w:rPr>
                <w:rStyle w:val="normaltextrun"/>
                <w:rFonts w:eastAsiaTheme="majorEastAsia" w:cs="Arial"/>
                <w:szCs w:val="20"/>
              </w:rPr>
              <w:t>Vyšší</w:t>
            </w:r>
            <w:proofErr w:type="gramEnd"/>
            <w:r w:rsidRPr="00903591">
              <w:rPr>
                <w:rStyle w:val="normaltextrun"/>
                <w:rFonts w:eastAsiaTheme="majorEastAsia" w:cs="Arial"/>
                <w:szCs w:val="20"/>
              </w:rPr>
              <w:t xml:space="preserve"> než aktuální nezaměstnanost byla naposledy v lednu 2017. </w:t>
            </w:r>
            <w:r w:rsidRPr="00903591">
              <w:rPr>
                <w:rFonts w:cs="Arial"/>
                <w:szCs w:val="20"/>
              </w:rPr>
              <w:t>Nezaměstnanost je tradičně výrazně regionálně diferencovaná</w:t>
            </w:r>
            <w:r w:rsidRPr="00903591">
              <w:rPr>
                <w:rStyle w:val="Znakapoznpodarou"/>
                <w:szCs w:val="20"/>
              </w:rPr>
              <w:footnoteReference w:id="110"/>
            </w:r>
            <w:r w:rsidRPr="00903591">
              <w:rPr>
                <w:rFonts w:cs="Arial"/>
                <w:szCs w:val="20"/>
              </w:rPr>
              <w:t xml:space="preserve">. </w:t>
            </w:r>
            <w:r w:rsidRPr="00903591">
              <w:rPr>
                <w:rStyle w:val="normaltextrun"/>
                <w:rFonts w:eastAsiaTheme="majorEastAsia" w:cs="Arial"/>
                <w:szCs w:val="20"/>
              </w:rPr>
              <w:t>Nynější nárůst registrovaných uchazečů o práci může (kromě běžné sezónnosti) souviset i s vyšší aktivitou ÚP v oblasti poradenství a</w:t>
            </w:r>
            <w:r>
              <w:rPr>
                <w:rStyle w:val="normaltextrun"/>
                <w:rFonts w:eastAsiaTheme="majorEastAsia" w:cs="Arial"/>
                <w:szCs w:val="20"/>
              </w:rPr>
              <w:t> </w:t>
            </w:r>
            <w:r w:rsidRPr="00903591">
              <w:rPr>
                <w:rStyle w:val="normaltextrun"/>
                <w:rFonts w:eastAsiaTheme="majorEastAsia" w:cs="Arial"/>
                <w:szCs w:val="20"/>
              </w:rPr>
              <w:t>rekvalifikací a také s flexibilnějšími možnostmi kontaktu ÚP (digitálně na dálku). Lze předpokládat, že se již může projevovat i větší odvaha lidí měnit nevyhovující pracovní místa (např. s motivací k vyššímu výdělku či zvýšenou podporou v prvních měsících nezaměstnanosti, jež platí od ledna 2026). Nelze rovněž vyloučit, že část osob, jež měly v posledních měsících úmysl odejít ze zaměstnání, si svůj odchod načasovala až na období platnosti vyšších podpor v nezaměstnanosti.</w:t>
            </w:r>
          </w:p>
        </w:tc>
      </w:tr>
      <w:tr w:rsidR="009D4785" w:rsidRPr="00B43216" w14:paraId="70CB8DA3" w14:textId="77777777" w:rsidTr="00A96D94">
        <w:trPr>
          <w:trHeight w:val="155"/>
        </w:trPr>
        <w:tc>
          <w:tcPr>
            <w:tcW w:w="1713" w:type="dxa"/>
            <w:vMerge w:val="restart"/>
            <w:tcMar>
              <w:left w:w="0" w:type="dxa"/>
            </w:tcMar>
          </w:tcPr>
          <w:p w14:paraId="37C70A7C" w14:textId="77777777" w:rsidR="009D4785" w:rsidRPr="00B43216" w:rsidRDefault="009D4785" w:rsidP="00A96D94">
            <w:pPr>
              <w:pStyle w:val="Marginlie"/>
              <w:spacing w:after="120"/>
              <w:rPr>
                <w:spacing w:val="-4"/>
              </w:rPr>
            </w:pPr>
          </w:p>
        </w:tc>
        <w:tc>
          <w:tcPr>
            <w:tcW w:w="189" w:type="dxa"/>
            <w:vMerge w:val="restart"/>
            <w:tcMar>
              <w:left w:w="0" w:type="dxa"/>
            </w:tcMar>
          </w:tcPr>
          <w:p w14:paraId="69EA196D" w14:textId="77777777" w:rsidR="009D4785" w:rsidRPr="00B43216" w:rsidRDefault="009D4785" w:rsidP="00A96D94">
            <w:pPr>
              <w:pStyle w:val="Textpoznpodarou"/>
              <w:spacing w:after="120"/>
              <w:jc w:val="both"/>
              <w:rPr>
                <w:spacing w:val="-4"/>
              </w:rPr>
            </w:pPr>
          </w:p>
        </w:tc>
        <w:tc>
          <w:tcPr>
            <w:tcW w:w="7772" w:type="dxa"/>
            <w:tcMar>
              <w:left w:w="0" w:type="dxa"/>
            </w:tcMar>
          </w:tcPr>
          <w:p w14:paraId="54DE5765" w14:textId="2A26E854" w:rsidR="009D4785" w:rsidRPr="00903591" w:rsidRDefault="009D4785" w:rsidP="00A96D94">
            <w:pPr>
              <w:spacing w:after="0"/>
              <w:rPr>
                <w:rFonts w:cs="Arial"/>
                <w:b/>
                <w:bCs/>
              </w:rPr>
            </w:pPr>
            <w:r w:rsidRPr="00903591">
              <w:rPr>
                <w:b/>
              </w:rPr>
              <w:t>Graf č. 1</w:t>
            </w:r>
            <w:r w:rsidR="00281666">
              <w:rPr>
                <w:b/>
              </w:rPr>
              <w:t>5</w:t>
            </w:r>
            <w:r w:rsidRPr="00903591">
              <w:rPr>
                <w:b/>
              </w:rPr>
              <w:t xml:space="preserve"> </w:t>
            </w:r>
            <w:r w:rsidRPr="00903591">
              <w:rPr>
                <w:rFonts w:cs="Arial"/>
                <w:b/>
              </w:rPr>
              <w:t xml:space="preserve">Obecná míra nezaměstnanosti </w:t>
            </w:r>
            <w:r w:rsidRPr="00903591">
              <w:rPr>
                <w:rFonts w:cs="Arial"/>
                <w:bCs/>
              </w:rPr>
              <w:t>(v %, věk 15 až 64 let)</w:t>
            </w:r>
            <w:r w:rsidRPr="00903591">
              <w:rPr>
                <w:rFonts w:cs="Arial"/>
                <w:b/>
              </w:rPr>
              <w:t>,</w:t>
            </w:r>
            <w:r w:rsidRPr="00903591">
              <w:rPr>
                <w:rFonts w:cs="Arial"/>
                <w:bCs/>
              </w:rPr>
              <w:t xml:space="preserve"> </w:t>
            </w:r>
            <w:r w:rsidRPr="00903591">
              <w:rPr>
                <w:rFonts w:cs="Arial"/>
                <w:b/>
                <w:bCs/>
              </w:rPr>
              <w:t>očekávání vývoje nezaměstnanosti ze strany domácností*</w:t>
            </w:r>
            <w:r w:rsidRPr="00903591">
              <w:rPr>
                <w:rFonts w:cs="Arial"/>
                <w:bCs/>
              </w:rPr>
              <w:t xml:space="preserve"> (v p. b.), </w:t>
            </w:r>
            <w:r w:rsidRPr="00903591">
              <w:rPr>
                <w:rFonts w:cs="Arial"/>
                <w:b/>
                <w:bCs/>
              </w:rPr>
              <w:t xml:space="preserve">volná pracovní místa a pracující cizinci v pozici zaměstnanců** </w:t>
            </w:r>
            <w:r w:rsidRPr="00903591">
              <w:rPr>
                <w:rFonts w:cs="Arial"/>
                <w:bCs/>
              </w:rPr>
              <w:t>(v tis.)</w:t>
            </w:r>
          </w:p>
        </w:tc>
      </w:tr>
      <w:tr w:rsidR="009D4785" w:rsidRPr="00B43216" w14:paraId="072083CF" w14:textId="77777777" w:rsidTr="00A96D94">
        <w:tblPrEx>
          <w:tblCellMar>
            <w:left w:w="70" w:type="dxa"/>
            <w:right w:w="70" w:type="dxa"/>
          </w:tblCellMar>
        </w:tblPrEx>
        <w:trPr>
          <w:trHeight w:val="155"/>
        </w:trPr>
        <w:tc>
          <w:tcPr>
            <w:tcW w:w="1713" w:type="dxa"/>
            <w:vMerge/>
          </w:tcPr>
          <w:p w14:paraId="4C059F26" w14:textId="77777777" w:rsidR="009D4785" w:rsidRPr="00B43216" w:rsidRDefault="009D4785" w:rsidP="00A96D94">
            <w:pPr>
              <w:pStyle w:val="Marginlie"/>
              <w:spacing w:after="120"/>
              <w:rPr>
                <w:spacing w:val="-4"/>
              </w:rPr>
            </w:pPr>
          </w:p>
        </w:tc>
        <w:tc>
          <w:tcPr>
            <w:tcW w:w="189" w:type="dxa"/>
            <w:vMerge/>
          </w:tcPr>
          <w:p w14:paraId="0EB7553E" w14:textId="77777777" w:rsidR="009D4785" w:rsidRPr="00B43216" w:rsidRDefault="009D4785" w:rsidP="00A96D94">
            <w:pPr>
              <w:pStyle w:val="Textpoznpodarou"/>
              <w:spacing w:after="120"/>
              <w:jc w:val="both"/>
              <w:rPr>
                <w:spacing w:val="-4"/>
              </w:rPr>
            </w:pPr>
          </w:p>
        </w:tc>
        <w:tc>
          <w:tcPr>
            <w:tcW w:w="7772" w:type="dxa"/>
          </w:tcPr>
          <w:p w14:paraId="2A4DD63C" w14:textId="77777777" w:rsidR="009D4785" w:rsidRPr="00903591" w:rsidRDefault="009D4785" w:rsidP="00A96D94">
            <w:pPr>
              <w:spacing w:after="40"/>
            </w:pPr>
            <w:r w:rsidRPr="00903591">
              <w:rPr>
                <w:noProof/>
              </w:rPr>
              <w:drawing>
                <wp:inline distT="0" distB="0" distL="0" distR="0" wp14:anchorId="68141BD8" wp14:editId="4A7A799D">
                  <wp:extent cx="4828032" cy="3604260"/>
                  <wp:effectExtent l="0" t="0" r="0" b="0"/>
                  <wp:docPr id="388662487" name="Graf 1">
                    <a:extLst xmlns:a="http://schemas.openxmlformats.org/drawingml/2006/main">
                      <a:ext uri="{FF2B5EF4-FFF2-40B4-BE49-F238E27FC236}">
                        <a16:creationId xmlns:a16="http://schemas.microsoft.com/office/drawing/2014/main" id="{00000000-0008-0000-3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9D4785" w:rsidRPr="00B43216" w14:paraId="0417C40F" w14:textId="77777777" w:rsidTr="00A96D94">
        <w:trPr>
          <w:trHeight w:val="132"/>
        </w:trPr>
        <w:tc>
          <w:tcPr>
            <w:tcW w:w="1713" w:type="dxa"/>
            <w:vMerge/>
            <w:tcMar>
              <w:left w:w="0" w:type="dxa"/>
            </w:tcMar>
          </w:tcPr>
          <w:p w14:paraId="056D3EAC" w14:textId="77777777" w:rsidR="009D4785" w:rsidRPr="00B43216" w:rsidRDefault="009D4785" w:rsidP="00A96D94">
            <w:pPr>
              <w:pStyle w:val="Marginlie"/>
              <w:rPr>
                <w:spacing w:val="-4"/>
              </w:rPr>
            </w:pPr>
          </w:p>
        </w:tc>
        <w:tc>
          <w:tcPr>
            <w:tcW w:w="189" w:type="dxa"/>
            <w:vMerge/>
            <w:tcMar>
              <w:left w:w="0" w:type="dxa"/>
            </w:tcMar>
          </w:tcPr>
          <w:p w14:paraId="4B09EEE0" w14:textId="77777777" w:rsidR="009D4785" w:rsidRPr="00B43216" w:rsidRDefault="009D4785" w:rsidP="00A96D94">
            <w:pPr>
              <w:pStyle w:val="Textpoznpodarou"/>
              <w:jc w:val="both"/>
              <w:rPr>
                <w:spacing w:val="-4"/>
              </w:rPr>
            </w:pPr>
          </w:p>
        </w:tc>
        <w:tc>
          <w:tcPr>
            <w:tcW w:w="7772" w:type="dxa"/>
            <w:tcMar>
              <w:left w:w="0" w:type="dxa"/>
            </w:tcMar>
          </w:tcPr>
          <w:p w14:paraId="571DEF86" w14:textId="77777777" w:rsidR="009D4785" w:rsidRPr="00903591" w:rsidRDefault="009D4785" w:rsidP="00A96D94">
            <w:pPr>
              <w:spacing w:before="60" w:after="0" w:line="240" w:lineRule="auto"/>
              <w:rPr>
                <w:rFonts w:cs="Arial"/>
                <w:color w:val="0D0D0D" w:themeColor="text1" w:themeTint="F2"/>
                <w:sz w:val="14"/>
                <w:szCs w:val="14"/>
              </w:rPr>
            </w:pPr>
            <w:r w:rsidRPr="00903591">
              <w:rPr>
                <w:rFonts w:cs="Arial"/>
                <w:color w:val="0D0D0D" w:themeColor="text1" w:themeTint="F2"/>
                <w:sz w:val="14"/>
                <w:szCs w:val="14"/>
              </w:rPr>
              <w:t>Pozn.: Míry nezaměstnanosti jsou očištěny pomocí trendcyklu.</w:t>
            </w:r>
          </w:p>
          <w:p w14:paraId="327AD3F4" w14:textId="77777777" w:rsidR="009D4785" w:rsidRPr="00903591" w:rsidRDefault="009D4785" w:rsidP="00A96D94">
            <w:pPr>
              <w:spacing w:after="0" w:line="240" w:lineRule="auto"/>
              <w:rPr>
                <w:rFonts w:cs="Arial"/>
                <w:color w:val="0D0D0D" w:themeColor="text1" w:themeTint="F2"/>
                <w:sz w:val="14"/>
                <w:szCs w:val="14"/>
              </w:rPr>
            </w:pPr>
            <w:r w:rsidRPr="00903591">
              <w:rPr>
                <w:rFonts w:cs="Arial"/>
                <w:color w:val="0D0D0D" w:themeColor="text1" w:themeTint="F2"/>
                <w:sz w:val="14"/>
                <w:szCs w:val="14"/>
              </w:rPr>
              <w:t>VPM = pouze volná pracovní místa s délkou evidence do šesti měsíců. (stav na konci čtvrtletí)</w:t>
            </w:r>
            <w:r>
              <w:rPr>
                <w:rFonts w:cs="Arial"/>
                <w:color w:val="0D0D0D" w:themeColor="text1" w:themeTint="F2"/>
                <w:sz w:val="14"/>
                <w:szCs w:val="14"/>
              </w:rPr>
              <w:t>.</w:t>
            </w:r>
          </w:p>
          <w:p w14:paraId="2D21FD2D" w14:textId="77777777" w:rsidR="009D4785" w:rsidRPr="00903591" w:rsidRDefault="009D4785" w:rsidP="00A96D94">
            <w:pPr>
              <w:spacing w:after="0" w:line="240" w:lineRule="auto"/>
              <w:rPr>
                <w:rFonts w:cs="Arial"/>
                <w:color w:val="0D0D0D" w:themeColor="text1" w:themeTint="F2"/>
                <w:sz w:val="14"/>
                <w:szCs w:val="14"/>
              </w:rPr>
            </w:pPr>
            <w:r w:rsidRPr="00903591">
              <w:rPr>
                <w:rFonts w:cs="Arial"/>
                <w:color w:val="0D0D0D" w:themeColor="text1" w:themeTint="F2"/>
                <w:sz w:val="14"/>
                <w:szCs w:val="14"/>
              </w:rPr>
              <w:t>*Sezónně očištěné saldo očekávání nezaměstnanosti v nejbližších 12 měsících (rozdíl mezi procentuální četností odpovědí domácností, růst a pokles vyjádřený v procentních bodech). Vztahuje se k prostřednímu měsíci daného čtvrtletí.</w:t>
            </w:r>
          </w:p>
          <w:p w14:paraId="0BFA7068" w14:textId="77777777" w:rsidR="009D4785" w:rsidRPr="00903591" w:rsidRDefault="009D4785" w:rsidP="00A96D94">
            <w:pPr>
              <w:spacing w:after="0" w:line="240" w:lineRule="auto"/>
              <w:rPr>
                <w:rFonts w:cs="Arial"/>
                <w:color w:val="0D0D0D" w:themeColor="text1" w:themeTint="F2"/>
                <w:sz w:val="14"/>
                <w:szCs w:val="14"/>
              </w:rPr>
            </w:pPr>
            <w:r w:rsidRPr="00903591">
              <w:rPr>
                <w:rFonts w:cs="Arial"/>
                <w:color w:val="0D0D0D" w:themeColor="text1" w:themeTint="F2"/>
                <w:sz w:val="14"/>
                <w:szCs w:val="14"/>
              </w:rPr>
              <w:t>**Počet cizinců v postavení zaměstnanců evidovaných na úřadech práce v ČR (na konci příslušného čtvrtletí).</w:t>
            </w:r>
          </w:p>
          <w:p w14:paraId="21B6FD15" w14:textId="77777777" w:rsidR="009D4785" w:rsidRPr="00903591" w:rsidRDefault="009D4785" w:rsidP="00A96D94">
            <w:pPr>
              <w:spacing w:after="200" w:line="240" w:lineRule="auto"/>
              <w:rPr>
                <w:rFonts w:cs="Arial"/>
                <w:color w:val="0D0D0D" w:themeColor="text1" w:themeTint="F2"/>
                <w:sz w:val="14"/>
                <w:szCs w:val="14"/>
              </w:rPr>
            </w:pPr>
            <w:r w:rsidRPr="00903591">
              <w:rPr>
                <w:rFonts w:cs="Arial"/>
                <w:color w:val="0D0D0D" w:themeColor="text1" w:themeTint="F2"/>
                <w:sz w:val="14"/>
                <w:szCs w:val="14"/>
              </w:rPr>
              <w:t>Zdroj: ČSÚ (VŠPS, konjunkturální průzkum), MPSV (VPM registrovaná na úřadech práce v ČR, zaměstnaní cizinci)</w:t>
            </w:r>
          </w:p>
        </w:tc>
      </w:tr>
      <w:tr w:rsidR="009D4785" w:rsidRPr="00016778" w14:paraId="0C088357" w14:textId="77777777" w:rsidTr="00A96D94">
        <w:trPr>
          <w:trHeight w:val="132"/>
        </w:trPr>
        <w:tc>
          <w:tcPr>
            <w:tcW w:w="1713" w:type="dxa"/>
            <w:tcMar>
              <w:left w:w="0" w:type="dxa"/>
            </w:tcMar>
          </w:tcPr>
          <w:p w14:paraId="1EC9141F" w14:textId="77777777" w:rsidR="009D4785" w:rsidRPr="00F96464" w:rsidRDefault="009D4785" w:rsidP="00A96D94">
            <w:pPr>
              <w:pStyle w:val="Marginlie"/>
              <w:rPr>
                <w:spacing w:val="0"/>
              </w:rPr>
            </w:pPr>
            <w:r w:rsidRPr="00F96464">
              <w:rPr>
                <w:spacing w:val="0"/>
              </w:rPr>
              <w:t>Zrychlení růstu ekonomiky se l</w:t>
            </w:r>
            <w:r>
              <w:rPr>
                <w:spacing w:val="0"/>
              </w:rPr>
              <w:t>oni příliš neprojevilo</w:t>
            </w:r>
            <w:r w:rsidRPr="00F96464">
              <w:rPr>
                <w:spacing w:val="0"/>
              </w:rPr>
              <w:t xml:space="preserve"> do vyšší nabídky volných míst prostřednictvím ÚP</w:t>
            </w:r>
            <w:r>
              <w:rPr>
                <w:spacing w:val="0"/>
              </w:rPr>
              <w:t>.</w:t>
            </w:r>
          </w:p>
        </w:tc>
        <w:tc>
          <w:tcPr>
            <w:tcW w:w="189" w:type="dxa"/>
            <w:tcMar>
              <w:left w:w="0" w:type="dxa"/>
            </w:tcMar>
          </w:tcPr>
          <w:p w14:paraId="2315A43B" w14:textId="77777777" w:rsidR="009D4785" w:rsidRPr="00016778" w:rsidRDefault="009D4785" w:rsidP="00A96D94">
            <w:pPr>
              <w:pStyle w:val="Textpoznpodarou"/>
              <w:jc w:val="both"/>
              <w:rPr>
                <w:color w:val="0D0D0D" w:themeColor="text1" w:themeTint="F2"/>
                <w:spacing w:val="-4"/>
              </w:rPr>
            </w:pPr>
          </w:p>
        </w:tc>
        <w:tc>
          <w:tcPr>
            <w:tcW w:w="7772" w:type="dxa"/>
            <w:tcMar>
              <w:left w:w="0" w:type="dxa"/>
            </w:tcMar>
          </w:tcPr>
          <w:p w14:paraId="104A4367" w14:textId="77777777" w:rsidR="009D4785" w:rsidRPr="00903591" w:rsidRDefault="009D4785" w:rsidP="00A96D94">
            <w:pPr>
              <w:pStyle w:val="paragraph"/>
              <w:spacing w:before="0" w:beforeAutospacing="0" w:after="240" w:afterAutospacing="0" w:line="276" w:lineRule="auto"/>
              <w:jc w:val="both"/>
              <w:textAlignment w:val="baseline"/>
              <w:rPr>
                <w:rStyle w:val="normaltextrun"/>
                <w:rFonts w:ascii="Arial" w:eastAsiaTheme="majorEastAsia" w:hAnsi="Arial" w:cs="Arial"/>
                <w:sz w:val="20"/>
                <w:szCs w:val="20"/>
              </w:rPr>
            </w:pPr>
            <w:r w:rsidRPr="00903591">
              <w:rPr>
                <w:rStyle w:val="normaltextrun"/>
                <w:rFonts w:ascii="Arial" w:eastAsiaTheme="majorEastAsia" w:hAnsi="Arial" w:cs="Arial"/>
                <w:sz w:val="20"/>
                <w:szCs w:val="20"/>
              </w:rPr>
              <w:t>Úřady práce evidovaly letos na konci ledna 86,4 tis. volných míst</w:t>
            </w:r>
            <w:r w:rsidRPr="00903591">
              <w:rPr>
                <w:rStyle w:val="Znakapoznpodarou"/>
                <w:rFonts w:ascii="Arial" w:hAnsi="Arial" w:cs="Arial"/>
                <w:color w:val="0D0D0D" w:themeColor="text1" w:themeTint="F2"/>
                <w:sz w:val="20"/>
                <w:szCs w:val="20"/>
              </w:rPr>
              <w:footnoteReference w:id="111"/>
            </w:r>
            <w:r w:rsidRPr="00903591">
              <w:rPr>
                <w:rStyle w:val="normaltextrun"/>
                <w:rFonts w:ascii="Arial" w:eastAsiaTheme="majorEastAsia" w:hAnsi="Arial" w:cs="Arial"/>
                <w:sz w:val="20"/>
                <w:szCs w:val="20"/>
              </w:rPr>
              <w:t xml:space="preserve"> (v zásadě jen místa s</w:t>
            </w:r>
            <w:r>
              <w:rPr>
                <w:rStyle w:val="normaltextrun"/>
                <w:rFonts w:ascii="Arial" w:eastAsiaTheme="majorEastAsia" w:hAnsi="Arial" w:cs="Arial"/>
                <w:sz w:val="20"/>
                <w:szCs w:val="20"/>
              </w:rPr>
              <w:t> </w:t>
            </w:r>
            <w:r w:rsidRPr="00903591">
              <w:rPr>
                <w:rStyle w:val="normaltextrun"/>
                <w:rFonts w:ascii="Arial" w:eastAsiaTheme="majorEastAsia" w:hAnsi="Arial" w:cs="Arial"/>
                <w:sz w:val="20"/>
                <w:szCs w:val="20"/>
              </w:rPr>
              <w:t>dobou evidence kratší než šest měsíců). Bylo jich čtvrtý měsíc v řadě meziměsíčně méně (a současně srovnatelně jako na konci ledna 2025</w:t>
            </w:r>
            <w:r>
              <w:rPr>
                <w:rStyle w:val="normaltextrun"/>
                <w:rFonts w:ascii="Arial" w:eastAsiaTheme="majorEastAsia" w:hAnsi="Arial" w:cs="Arial"/>
                <w:sz w:val="20"/>
                <w:szCs w:val="20"/>
              </w:rPr>
              <w:t xml:space="preserve">, </w:t>
            </w:r>
            <w:r w:rsidRPr="00903591">
              <w:rPr>
                <w:rStyle w:val="normaltextrun"/>
                <w:rFonts w:ascii="Arial" w:eastAsiaTheme="majorEastAsia" w:hAnsi="Arial" w:cs="Arial"/>
                <w:sz w:val="20"/>
                <w:szCs w:val="20"/>
              </w:rPr>
              <w:t xml:space="preserve">83,3 tis.). Vývoj míst během loňského roku v zásadě odpovídal standardním sezónním vlivům. Dopad zrychlujícího </w:t>
            </w:r>
            <w:r w:rsidRPr="00903591">
              <w:rPr>
                <w:rStyle w:val="normaltextrun"/>
                <w:rFonts w:ascii="Arial" w:eastAsiaTheme="majorEastAsia" w:hAnsi="Arial" w:cs="Arial"/>
                <w:sz w:val="20"/>
                <w:szCs w:val="20"/>
              </w:rPr>
              <w:lastRenderedPageBreak/>
              <w:t>růstu ekonomiky není zatím na nabídce míst příliš patrný</w:t>
            </w:r>
            <w:r w:rsidRPr="00903591">
              <w:rPr>
                <w:rStyle w:val="Znakapoznpodarou"/>
                <w:rFonts w:ascii="Arial" w:eastAsiaTheme="majorEastAsia" w:hAnsi="Arial"/>
                <w:sz w:val="20"/>
                <w:szCs w:val="20"/>
              </w:rPr>
              <w:footnoteReference w:id="112"/>
            </w:r>
            <w:r w:rsidRPr="00903591">
              <w:rPr>
                <w:rStyle w:val="normaltextrun"/>
                <w:rFonts w:ascii="Arial" w:eastAsiaTheme="majorEastAsia" w:hAnsi="Arial" w:cs="Arial"/>
                <w:sz w:val="20"/>
                <w:szCs w:val="20"/>
              </w:rPr>
              <w:t>. Na 1 volné místo připadalo aktuálně v Česku 4,4 uchazeče (vč. osob dočasně nedosažitelných). Přetrvával významný strukturální nesoulad nabídky a poptávky z kvalifikačního</w:t>
            </w:r>
            <w:r w:rsidRPr="00903591">
              <w:rPr>
                <w:rFonts w:ascii="Arial" w:hAnsi="Arial" w:cs="Arial"/>
                <w:color w:val="0D0D0D" w:themeColor="text1" w:themeTint="F2"/>
                <w:sz w:val="20"/>
                <w:szCs w:val="20"/>
                <w:vertAlign w:val="superscript"/>
              </w:rPr>
              <w:footnoteReference w:id="113"/>
            </w:r>
            <w:r w:rsidRPr="00903591">
              <w:rPr>
                <w:rStyle w:val="normaltextrun"/>
                <w:rFonts w:ascii="Arial" w:eastAsiaTheme="majorEastAsia" w:hAnsi="Arial" w:cs="Arial"/>
                <w:sz w:val="20"/>
                <w:szCs w:val="20"/>
              </w:rPr>
              <w:t xml:space="preserve"> i regionálního pohledu</w:t>
            </w:r>
            <w:r w:rsidRPr="00903591">
              <w:rPr>
                <w:rStyle w:val="Znakapoznpodarou"/>
                <w:rFonts w:ascii="Arial" w:eastAsiaTheme="majorEastAsia" w:hAnsi="Arial" w:cs="Arial"/>
                <w:sz w:val="20"/>
                <w:szCs w:val="20"/>
              </w:rPr>
              <w:footnoteReference w:id="114"/>
            </w:r>
            <w:r w:rsidRPr="00903591">
              <w:rPr>
                <w:rStyle w:val="normaltextrun"/>
                <w:rFonts w:ascii="Arial" w:eastAsiaTheme="majorEastAsia" w:hAnsi="Arial" w:cs="Arial"/>
                <w:sz w:val="20"/>
                <w:szCs w:val="20"/>
              </w:rPr>
              <w:t>. Obavy lidí z růstu nezaměstnanosti (vyjádřené v rámci konjunkturálních průzkumů) v 1. pololet</w:t>
            </w:r>
            <w:r>
              <w:rPr>
                <w:rStyle w:val="normaltextrun"/>
                <w:rFonts w:ascii="Arial" w:eastAsiaTheme="majorEastAsia" w:hAnsi="Arial" w:cs="Arial"/>
                <w:sz w:val="20"/>
                <w:szCs w:val="20"/>
              </w:rPr>
              <w:t>í</w:t>
            </w:r>
            <w:r w:rsidRPr="00903591">
              <w:rPr>
                <w:rStyle w:val="normaltextrun"/>
                <w:rFonts w:ascii="Arial" w:eastAsiaTheme="majorEastAsia" w:hAnsi="Arial" w:cs="Arial"/>
                <w:sz w:val="20"/>
                <w:szCs w:val="20"/>
              </w:rPr>
              <w:t xml:space="preserve"> 2025 narůstaly, následně došlo ke stabilizaci a během podzimních měsíců se významně snížily, a</w:t>
            </w:r>
            <w:r>
              <w:rPr>
                <w:rStyle w:val="normaltextrun"/>
                <w:rFonts w:ascii="Arial" w:eastAsiaTheme="majorEastAsia" w:hAnsi="Arial" w:cs="Arial"/>
                <w:sz w:val="20"/>
                <w:szCs w:val="20"/>
              </w:rPr>
              <w:t xml:space="preserve"> tak se</w:t>
            </w:r>
            <w:r w:rsidRPr="00903591">
              <w:rPr>
                <w:rStyle w:val="normaltextrun"/>
                <w:rFonts w:ascii="Arial" w:eastAsiaTheme="majorEastAsia" w:hAnsi="Arial" w:cs="Arial"/>
                <w:sz w:val="20"/>
                <w:szCs w:val="20"/>
              </w:rPr>
              <w:t xml:space="preserve"> na počátku roku 2026 pohybovaly </w:t>
            </w:r>
            <w:r>
              <w:rPr>
                <w:rStyle w:val="normaltextrun"/>
                <w:rFonts w:ascii="Arial" w:eastAsiaTheme="majorEastAsia" w:hAnsi="Arial" w:cs="Arial"/>
                <w:sz w:val="20"/>
                <w:szCs w:val="20"/>
              </w:rPr>
              <w:t xml:space="preserve">pod </w:t>
            </w:r>
            <w:r w:rsidRPr="00903591">
              <w:rPr>
                <w:rStyle w:val="normaltextrun"/>
                <w:rFonts w:ascii="Arial" w:eastAsiaTheme="majorEastAsia" w:hAnsi="Arial" w:cs="Arial"/>
                <w:sz w:val="20"/>
                <w:szCs w:val="20"/>
              </w:rPr>
              <w:t>dlouhodobým průměrem.</w:t>
            </w:r>
          </w:p>
        </w:tc>
      </w:tr>
      <w:tr w:rsidR="009D4785" w:rsidRPr="00016778" w14:paraId="360F7789" w14:textId="77777777" w:rsidTr="00A96D94">
        <w:trPr>
          <w:trHeight w:val="132"/>
        </w:trPr>
        <w:tc>
          <w:tcPr>
            <w:tcW w:w="1713" w:type="dxa"/>
            <w:tcMar>
              <w:left w:w="0" w:type="dxa"/>
            </w:tcMar>
          </w:tcPr>
          <w:p w14:paraId="3DA34792" w14:textId="77777777" w:rsidR="009D4785" w:rsidRDefault="009D4785" w:rsidP="00A96D94">
            <w:pPr>
              <w:pStyle w:val="Marginlie"/>
              <w:rPr>
                <w:color w:val="0D0D0D" w:themeColor="text1" w:themeTint="F2"/>
                <w:spacing w:val="0"/>
              </w:rPr>
            </w:pPr>
            <w:r>
              <w:rPr>
                <w:color w:val="0D0D0D" w:themeColor="text1" w:themeTint="F2"/>
                <w:spacing w:val="0"/>
              </w:rPr>
              <w:lastRenderedPageBreak/>
              <w:t xml:space="preserve">Tempo růstu nominálních mezd se během loňského roku příliš neměnilo. </w:t>
            </w:r>
          </w:p>
          <w:p w14:paraId="3BFD70E6" w14:textId="77777777" w:rsidR="009D4785" w:rsidRDefault="009D4785" w:rsidP="00A96D94">
            <w:pPr>
              <w:pStyle w:val="Marginlie"/>
              <w:rPr>
                <w:color w:val="0D0D0D" w:themeColor="text1" w:themeTint="F2"/>
                <w:spacing w:val="0"/>
              </w:rPr>
            </w:pPr>
          </w:p>
          <w:p w14:paraId="04E0FEA0" w14:textId="77777777" w:rsidR="009D4785" w:rsidRDefault="009D4785" w:rsidP="00A96D94">
            <w:pPr>
              <w:pStyle w:val="Marginlie"/>
              <w:rPr>
                <w:color w:val="0D0D0D" w:themeColor="text1" w:themeTint="F2"/>
                <w:spacing w:val="0"/>
              </w:rPr>
            </w:pPr>
          </w:p>
          <w:p w14:paraId="4694F626" w14:textId="77777777" w:rsidR="009D4785" w:rsidRDefault="009D4785" w:rsidP="00A96D94">
            <w:pPr>
              <w:pStyle w:val="Marginlie"/>
              <w:rPr>
                <w:color w:val="0D0D0D" w:themeColor="text1" w:themeTint="F2"/>
                <w:spacing w:val="0"/>
              </w:rPr>
            </w:pPr>
          </w:p>
          <w:p w14:paraId="5BB3E838" w14:textId="77777777" w:rsidR="009D4785" w:rsidRDefault="009D4785" w:rsidP="00A96D94">
            <w:pPr>
              <w:pStyle w:val="Marginlie"/>
              <w:rPr>
                <w:color w:val="0D0D0D" w:themeColor="text1" w:themeTint="F2"/>
                <w:spacing w:val="0"/>
              </w:rPr>
            </w:pPr>
          </w:p>
          <w:p w14:paraId="1FE09313" w14:textId="77777777" w:rsidR="009D4785" w:rsidRPr="00CF65F3" w:rsidRDefault="009D4785" w:rsidP="00A96D94">
            <w:pPr>
              <w:pStyle w:val="Marginlie"/>
              <w:rPr>
                <w:color w:val="0D0D0D" w:themeColor="text1" w:themeTint="F2"/>
                <w:spacing w:val="0"/>
              </w:rPr>
            </w:pPr>
            <w:r>
              <w:rPr>
                <w:color w:val="0D0D0D" w:themeColor="text1" w:themeTint="F2"/>
                <w:spacing w:val="0"/>
              </w:rPr>
              <w:t>Mzdový růst byl podpořen z</w:t>
            </w:r>
            <w:r>
              <w:rPr>
                <w:color w:val="0D0D0D" w:themeColor="text1" w:themeTint="F2"/>
              </w:rPr>
              <w:t xml:space="preserve">ejména </w:t>
            </w:r>
            <w:r>
              <w:rPr>
                <w:color w:val="0D0D0D" w:themeColor="text1" w:themeTint="F2"/>
                <w:spacing w:val="0"/>
              </w:rPr>
              <w:t xml:space="preserve">zlepšeným výkonem ekonomiky </w:t>
            </w:r>
            <w:r>
              <w:rPr>
                <w:color w:val="0D0D0D" w:themeColor="text1" w:themeTint="F2"/>
                <w:spacing w:val="0"/>
              </w:rPr>
              <w:br/>
              <w:t>a přetrvávajícím nedostatkem volné pracovní síly v řadě oborů.</w:t>
            </w:r>
          </w:p>
        </w:tc>
        <w:tc>
          <w:tcPr>
            <w:tcW w:w="189" w:type="dxa"/>
            <w:tcMar>
              <w:left w:w="0" w:type="dxa"/>
            </w:tcMar>
          </w:tcPr>
          <w:p w14:paraId="0576F482" w14:textId="77777777" w:rsidR="009D4785" w:rsidRPr="00016778" w:rsidRDefault="009D4785" w:rsidP="00A96D94">
            <w:pPr>
              <w:pStyle w:val="Textpoznpodarou"/>
              <w:jc w:val="both"/>
              <w:rPr>
                <w:color w:val="0D0D0D" w:themeColor="text1" w:themeTint="F2"/>
                <w:spacing w:val="-4"/>
              </w:rPr>
            </w:pPr>
          </w:p>
        </w:tc>
        <w:tc>
          <w:tcPr>
            <w:tcW w:w="7772" w:type="dxa"/>
            <w:tcMar>
              <w:left w:w="0" w:type="dxa"/>
            </w:tcMar>
          </w:tcPr>
          <w:p w14:paraId="3F8EBFF8" w14:textId="77777777" w:rsidR="009D4785" w:rsidRPr="00903591" w:rsidRDefault="009D4785" w:rsidP="00A96D94">
            <w:pPr>
              <w:pStyle w:val="paragraph"/>
              <w:spacing w:before="0" w:beforeAutospacing="0" w:after="0" w:afterAutospacing="0" w:line="276" w:lineRule="auto"/>
              <w:jc w:val="both"/>
              <w:textAlignment w:val="baseline"/>
              <w:rPr>
                <w:rFonts w:ascii="Arial" w:hAnsi="Arial" w:cs="Arial"/>
                <w:color w:val="0D0D0D" w:themeColor="text1" w:themeTint="F2"/>
                <w:sz w:val="20"/>
                <w:szCs w:val="20"/>
              </w:rPr>
            </w:pPr>
            <w:r w:rsidRPr="00903591">
              <w:rPr>
                <w:rStyle w:val="normaltextrun"/>
                <w:rFonts w:ascii="Arial" w:eastAsiaTheme="majorEastAsia" w:hAnsi="Arial" w:cs="Arial"/>
                <w:color w:val="000000"/>
                <w:sz w:val="20"/>
                <w:szCs w:val="20"/>
              </w:rPr>
              <w:t>Ve 4. čtvrtletí 2025 dosáhla průměrná hrubá měsíční nominální mzda zaměstnance v</w:t>
            </w:r>
            <w:r>
              <w:rPr>
                <w:rStyle w:val="normaltextrun"/>
                <w:rFonts w:ascii="Arial" w:eastAsiaTheme="majorEastAsia" w:hAnsi="Arial" w:cs="Arial"/>
                <w:color w:val="000000"/>
                <w:sz w:val="20"/>
                <w:szCs w:val="20"/>
              </w:rPr>
              <w:t> </w:t>
            </w:r>
            <w:r w:rsidRPr="00903591">
              <w:rPr>
                <w:rStyle w:val="normaltextrun"/>
                <w:rFonts w:ascii="Arial" w:eastAsiaTheme="majorEastAsia" w:hAnsi="Arial" w:cs="Arial"/>
                <w:color w:val="000000"/>
                <w:sz w:val="20"/>
                <w:szCs w:val="20"/>
              </w:rPr>
              <w:t>národním hospodářství 52 283 korun a meziročně vzrostla o 7,4 %. Sezónně očištěná mzda posílila mezikvartálně o 1,8 %, což se nevymyká z vývoje za poslední</w:t>
            </w:r>
            <w:r>
              <w:rPr>
                <w:rStyle w:val="normaltextrun"/>
                <w:rFonts w:ascii="Arial" w:eastAsiaTheme="majorEastAsia" w:hAnsi="Arial" w:cs="Arial"/>
                <w:color w:val="000000"/>
                <w:sz w:val="20"/>
                <w:szCs w:val="20"/>
              </w:rPr>
              <w:t>ho</w:t>
            </w:r>
            <w:r w:rsidRPr="00903591">
              <w:rPr>
                <w:rStyle w:val="normaltextrun"/>
                <w:rFonts w:ascii="Arial" w:eastAsiaTheme="majorEastAsia" w:hAnsi="Arial" w:cs="Arial"/>
                <w:color w:val="000000"/>
                <w:sz w:val="20"/>
                <w:szCs w:val="20"/>
              </w:rPr>
              <w:t xml:space="preserve"> 1,5 roku. Přepočtený evidenční stav zaměstnanců se meziročně zvýšil o 0,2 % (stejně jako v úhrnu od počátku loňského roku). Průměrná </w:t>
            </w:r>
            <w:r>
              <w:rPr>
                <w:rStyle w:val="normaltextrun"/>
                <w:rFonts w:ascii="Arial" w:eastAsiaTheme="majorEastAsia" w:hAnsi="Arial" w:cs="Arial"/>
                <w:color w:val="000000"/>
                <w:sz w:val="20"/>
                <w:szCs w:val="20"/>
              </w:rPr>
              <w:t xml:space="preserve">hrubá </w:t>
            </w:r>
            <w:r w:rsidRPr="00903591">
              <w:rPr>
                <w:rStyle w:val="normaltextrun"/>
                <w:rFonts w:ascii="Arial" w:eastAsiaTheme="majorEastAsia" w:hAnsi="Arial" w:cs="Arial"/>
                <w:color w:val="000000"/>
                <w:sz w:val="20"/>
                <w:szCs w:val="20"/>
              </w:rPr>
              <w:t>měsíční mzda za celý loňský rok čítala 49</w:t>
            </w:r>
            <w:r>
              <w:rPr>
                <w:rStyle w:val="normaltextrun"/>
                <w:rFonts w:ascii="Arial" w:eastAsiaTheme="majorEastAsia" w:hAnsi="Arial" w:cs="Arial"/>
                <w:color w:val="000000"/>
                <w:sz w:val="20"/>
                <w:szCs w:val="20"/>
              </w:rPr>
              <w:t> </w:t>
            </w:r>
            <w:r w:rsidRPr="00903591">
              <w:rPr>
                <w:rStyle w:val="normaltextrun"/>
                <w:rFonts w:ascii="Arial" w:eastAsiaTheme="majorEastAsia" w:hAnsi="Arial" w:cs="Arial"/>
                <w:color w:val="000000"/>
                <w:sz w:val="20"/>
                <w:szCs w:val="20"/>
              </w:rPr>
              <w:t>215</w:t>
            </w:r>
            <w:r>
              <w:rPr>
                <w:rStyle w:val="normaltextrun"/>
                <w:rFonts w:ascii="Arial" w:eastAsiaTheme="majorEastAsia" w:hAnsi="Arial" w:cs="Arial"/>
                <w:color w:val="000000"/>
                <w:sz w:val="20"/>
                <w:szCs w:val="20"/>
              </w:rPr>
              <w:t> </w:t>
            </w:r>
            <w:r w:rsidRPr="00903591">
              <w:rPr>
                <w:rStyle w:val="normaltextrun"/>
                <w:rFonts w:ascii="Arial" w:eastAsiaTheme="majorEastAsia" w:hAnsi="Arial" w:cs="Arial"/>
                <w:color w:val="000000"/>
                <w:sz w:val="20"/>
                <w:szCs w:val="20"/>
              </w:rPr>
              <w:t>korun a vzrostla o 7,2 % (identicky i v letech 2023 a 2024). Přetrvávající svižný mzdový růst souvisí s postupným posilováním výkonu tuzemské ekonomiky, včetně růstu produktivity práce. Projevuje se i celkový nedostatek volné pracovní síly, je</w:t>
            </w:r>
            <w:r>
              <w:rPr>
                <w:rStyle w:val="normaltextrun"/>
                <w:rFonts w:ascii="Arial" w:eastAsiaTheme="majorEastAsia" w:hAnsi="Arial" w:cs="Arial"/>
                <w:color w:val="000000"/>
                <w:sz w:val="20"/>
                <w:szCs w:val="20"/>
              </w:rPr>
              <w:t>n</w:t>
            </w:r>
            <w:r w:rsidRPr="00903591">
              <w:rPr>
                <w:rStyle w:val="normaltextrun"/>
                <w:rFonts w:ascii="Arial" w:eastAsiaTheme="majorEastAsia" w:hAnsi="Arial" w:cs="Arial"/>
                <w:color w:val="000000"/>
                <w:sz w:val="20"/>
                <w:szCs w:val="20"/>
              </w:rPr>
              <w:t xml:space="preserve">ž je nejvíce viditelný ve stavebnictví, ale i </w:t>
            </w:r>
            <w:r>
              <w:rPr>
                <w:rStyle w:val="normaltextrun"/>
                <w:rFonts w:ascii="Arial" w:eastAsiaTheme="majorEastAsia" w:hAnsi="Arial" w:cs="Arial"/>
                <w:color w:val="000000"/>
                <w:sz w:val="20"/>
                <w:szCs w:val="20"/>
              </w:rPr>
              <w:t xml:space="preserve">v </w:t>
            </w:r>
            <w:r w:rsidRPr="00903591">
              <w:rPr>
                <w:rStyle w:val="normaltextrun"/>
                <w:rFonts w:ascii="Arial" w:eastAsiaTheme="majorEastAsia" w:hAnsi="Arial" w:cs="Arial"/>
                <w:color w:val="000000"/>
                <w:sz w:val="20"/>
                <w:szCs w:val="20"/>
              </w:rPr>
              <w:t xml:space="preserve">některých službách (např. v dopravě). Vzhledem k přetrvávající poměrně nízké nezaměstnanosti (i </w:t>
            </w:r>
            <w:r>
              <w:rPr>
                <w:rStyle w:val="normaltextrun"/>
                <w:rFonts w:ascii="Arial" w:eastAsiaTheme="majorEastAsia" w:hAnsi="Arial" w:cs="Arial"/>
                <w:color w:val="000000"/>
                <w:sz w:val="20"/>
                <w:szCs w:val="20"/>
              </w:rPr>
              <w:t xml:space="preserve">k </w:t>
            </w:r>
            <w:r w:rsidRPr="00903591">
              <w:rPr>
                <w:rStyle w:val="normaltextrun"/>
                <w:rFonts w:ascii="Arial" w:eastAsiaTheme="majorEastAsia" w:hAnsi="Arial" w:cs="Arial"/>
                <w:color w:val="000000"/>
                <w:sz w:val="20"/>
                <w:szCs w:val="20"/>
              </w:rPr>
              <w:t>jej</w:t>
            </w:r>
            <w:r>
              <w:rPr>
                <w:rStyle w:val="normaltextrun"/>
                <w:rFonts w:ascii="Arial" w:eastAsiaTheme="majorEastAsia" w:hAnsi="Arial" w:cs="Arial"/>
                <w:color w:val="000000"/>
                <w:sz w:val="20"/>
                <w:szCs w:val="20"/>
              </w:rPr>
              <w:t>ímu</w:t>
            </w:r>
            <w:r w:rsidRPr="00903591">
              <w:rPr>
                <w:rStyle w:val="normaltextrun"/>
                <w:rFonts w:ascii="Arial" w:eastAsiaTheme="majorEastAsia" w:hAnsi="Arial" w:cs="Arial"/>
                <w:color w:val="000000"/>
                <w:sz w:val="20"/>
                <w:szCs w:val="20"/>
              </w:rPr>
              <w:t xml:space="preserve"> stabilní</w:t>
            </w:r>
            <w:r>
              <w:rPr>
                <w:rStyle w:val="normaltextrun"/>
                <w:rFonts w:ascii="Arial" w:eastAsiaTheme="majorEastAsia" w:hAnsi="Arial" w:cs="Arial"/>
                <w:color w:val="000000"/>
                <w:sz w:val="20"/>
                <w:szCs w:val="20"/>
              </w:rPr>
              <w:t>mu</w:t>
            </w:r>
            <w:r w:rsidRPr="00903591">
              <w:rPr>
                <w:rStyle w:val="normaltextrun"/>
                <w:rFonts w:ascii="Arial" w:eastAsiaTheme="majorEastAsia" w:hAnsi="Arial" w:cs="Arial"/>
                <w:color w:val="000000"/>
                <w:sz w:val="20"/>
                <w:szCs w:val="20"/>
              </w:rPr>
              <w:t xml:space="preserve"> výhled</w:t>
            </w:r>
            <w:r>
              <w:rPr>
                <w:rStyle w:val="normaltextrun"/>
                <w:rFonts w:ascii="Arial" w:eastAsiaTheme="majorEastAsia" w:hAnsi="Arial" w:cs="Arial"/>
                <w:color w:val="000000"/>
                <w:sz w:val="20"/>
                <w:szCs w:val="20"/>
              </w:rPr>
              <w:t>u</w:t>
            </w:r>
            <w:r w:rsidRPr="00903591">
              <w:rPr>
                <w:rStyle w:val="normaltextrun"/>
                <w:rFonts w:ascii="Arial" w:eastAsiaTheme="majorEastAsia" w:hAnsi="Arial" w:cs="Arial"/>
                <w:color w:val="000000"/>
                <w:sz w:val="20"/>
                <w:szCs w:val="20"/>
              </w:rPr>
              <w:t xml:space="preserve"> na nejbližší období) a klesající</w:t>
            </w:r>
            <w:r>
              <w:rPr>
                <w:rStyle w:val="normaltextrun"/>
                <w:rFonts w:ascii="Arial" w:eastAsiaTheme="majorEastAsia" w:hAnsi="Arial" w:cs="Arial"/>
                <w:color w:val="000000"/>
                <w:sz w:val="20"/>
                <w:szCs w:val="20"/>
              </w:rPr>
              <w:t>m</w:t>
            </w:r>
            <w:r w:rsidRPr="00903591">
              <w:rPr>
                <w:rStyle w:val="normaltextrun"/>
                <w:rFonts w:ascii="Arial" w:eastAsiaTheme="majorEastAsia" w:hAnsi="Arial" w:cs="Arial"/>
                <w:color w:val="000000"/>
                <w:sz w:val="20"/>
                <w:szCs w:val="20"/>
              </w:rPr>
              <w:t xml:space="preserve"> obav</w:t>
            </w:r>
            <w:r>
              <w:rPr>
                <w:rStyle w:val="normaltextrun"/>
                <w:rFonts w:ascii="Arial" w:eastAsiaTheme="majorEastAsia" w:hAnsi="Arial" w:cs="Arial"/>
                <w:color w:val="000000"/>
                <w:sz w:val="20"/>
                <w:szCs w:val="20"/>
              </w:rPr>
              <w:t>ám</w:t>
            </w:r>
            <w:r w:rsidRPr="00903591">
              <w:rPr>
                <w:rStyle w:val="normaltextrun"/>
                <w:rFonts w:ascii="Arial" w:eastAsiaTheme="majorEastAsia" w:hAnsi="Arial" w:cs="Arial"/>
                <w:color w:val="000000"/>
                <w:sz w:val="20"/>
                <w:szCs w:val="20"/>
              </w:rPr>
              <w:t xml:space="preserve"> domácností z jejího růstu může docházet k větší fluktuaci pracovníků. Ti mohou být více motivováni ke změně pracovního místa s vidinou vyššího výdělku (mj. i vlivem státní politiky zaměstnanosti – růst nabídky rekvalifikací, zvýšení státní podpory lidem v prvních měsících nezaměstnanosti). </w:t>
            </w:r>
            <w:r w:rsidRPr="00903591">
              <w:rPr>
                <w:rStyle w:val="normaltextrun"/>
                <w:rFonts w:ascii="Arial" w:eastAsia="MS Gothic" w:hAnsi="Arial" w:cs="Arial"/>
                <w:color w:val="0D0D0D" w:themeColor="text1" w:themeTint="F2"/>
                <w:sz w:val="20"/>
                <w:szCs w:val="20"/>
              </w:rPr>
              <w:t xml:space="preserve">Na druhou stranu </w:t>
            </w:r>
            <w:r w:rsidRPr="00903591">
              <w:rPr>
                <w:rFonts w:ascii="Arial" w:hAnsi="Arial" w:cs="Arial"/>
                <w:sz w:val="20"/>
                <w:szCs w:val="20"/>
              </w:rPr>
              <w:t>m</w:t>
            </w:r>
            <w:r w:rsidRPr="00903591">
              <w:rPr>
                <w:rFonts w:ascii="Arial" w:hAnsi="Arial" w:cs="Arial"/>
                <w:color w:val="0D0D0D" w:themeColor="text1" w:themeTint="F2"/>
                <w:sz w:val="20"/>
                <w:szCs w:val="20"/>
              </w:rPr>
              <w:t>zdový růst v ekonomice stále tlumila potřeba úspor v rozpočtové sféře a také vytrvale rostoucí počet zahraničních pracovníků ze „třetích zemí“. Ti často obsazují nízkokvalifikované pozice a jejich výdělky tudíž zpravidla nedosahují úrovně občanů Česka</w:t>
            </w:r>
            <w:r w:rsidRPr="00903591">
              <w:rPr>
                <w:rStyle w:val="Znakapoznpodarou"/>
                <w:rFonts w:ascii="Arial" w:hAnsi="Arial"/>
                <w:color w:val="0D0D0D" w:themeColor="text1" w:themeTint="F2"/>
                <w:sz w:val="20"/>
                <w:szCs w:val="20"/>
              </w:rPr>
              <w:footnoteReference w:id="115"/>
            </w:r>
            <w:r w:rsidRPr="00903591">
              <w:rPr>
                <w:rFonts w:ascii="Arial" w:hAnsi="Arial" w:cs="Arial"/>
                <w:color w:val="0D0D0D" w:themeColor="text1" w:themeTint="F2"/>
                <w:sz w:val="20"/>
                <w:szCs w:val="20"/>
              </w:rPr>
              <w:t>.</w:t>
            </w:r>
          </w:p>
          <w:p w14:paraId="62677564" w14:textId="77777777" w:rsidR="009D4785" w:rsidRPr="00903591" w:rsidRDefault="009D4785" w:rsidP="00A96D94">
            <w:pPr>
              <w:pStyle w:val="paragraph"/>
              <w:spacing w:before="0" w:beforeAutospacing="0" w:after="0" w:afterAutospacing="0" w:line="276" w:lineRule="auto"/>
              <w:jc w:val="both"/>
              <w:textAlignment w:val="baseline"/>
              <w:rPr>
                <w:rStyle w:val="normaltextrun"/>
                <w:rFonts w:ascii="Arial" w:eastAsiaTheme="majorEastAsia" w:hAnsi="Arial" w:cs="Arial"/>
                <w:color w:val="000000"/>
                <w:sz w:val="20"/>
                <w:szCs w:val="20"/>
              </w:rPr>
            </w:pPr>
          </w:p>
        </w:tc>
      </w:tr>
      <w:tr w:rsidR="009D4785" w:rsidRPr="00016778" w14:paraId="045E2366" w14:textId="77777777" w:rsidTr="00A96D94">
        <w:trPr>
          <w:trHeight w:val="132"/>
        </w:trPr>
        <w:tc>
          <w:tcPr>
            <w:tcW w:w="1713" w:type="dxa"/>
            <w:tcMar>
              <w:left w:w="0" w:type="dxa"/>
            </w:tcMar>
          </w:tcPr>
          <w:p w14:paraId="0A69A66E" w14:textId="77777777" w:rsidR="009D4785" w:rsidRPr="00CB26B8" w:rsidRDefault="009D4785" w:rsidP="00A96D94">
            <w:pPr>
              <w:pStyle w:val="Marginlie"/>
              <w:rPr>
                <w:color w:val="0D0D0D" w:themeColor="text1" w:themeTint="F2"/>
                <w:spacing w:val="0"/>
              </w:rPr>
            </w:pPr>
            <w:r>
              <w:rPr>
                <w:color w:val="0D0D0D" w:themeColor="text1" w:themeTint="F2"/>
                <w:spacing w:val="0"/>
              </w:rPr>
              <w:t>Svižný růst kupní síly průměrných mezd přetrvával. Kupní síla se nacházela na úrovni z konce roku 2019.</w:t>
            </w:r>
          </w:p>
          <w:p w14:paraId="12226D68" w14:textId="77777777" w:rsidR="009D4785" w:rsidRDefault="009D4785" w:rsidP="00A96D94">
            <w:pPr>
              <w:pStyle w:val="Marginlie"/>
              <w:rPr>
                <w:color w:val="0D0D0D" w:themeColor="text1" w:themeTint="F2"/>
                <w:spacing w:val="-4"/>
              </w:rPr>
            </w:pPr>
          </w:p>
        </w:tc>
        <w:tc>
          <w:tcPr>
            <w:tcW w:w="189" w:type="dxa"/>
            <w:tcMar>
              <w:left w:w="0" w:type="dxa"/>
            </w:tcMar>
          </w:tcPr>
          <w:p w14:paraId="4DCBDF09" w14:textId="77777777" w:rsidR="009D4785" w:rsidRPr="00016778" w:rsidRDefault="009D4785" w:rsidP="00A96D94">
            <w:pPr>
              <w:pStyle w:val="Textpoznpodarou"/>
              <w:jc w:val="both"/>
              <w:rPr>
                <w:color w:val="0D0D0D" w:themeColor="text1" w:themeTint="F2"/>
                <w:spacing w:val="-4"/>
              </w:rPr>
            </w:pPr>
          </w:p>
        </w:tc>
        <w:tc>
          <w:tcPr>
            <w:tcW w:w="7772" w:type="dxa"/>
            <w:tcMar>
              <w:left w:w="0" w:type="dxa"/>
            </w:tcMar>
          </w:tcPr>
          <w:p w14:paraId="21383536" w14:textId="77777777" w:rsidR="009D4785" w:rsidRPr="00903591" w:rsidRDefault="009D4785" w:rsidP="00A96D94">
            <w:pPr>
              <w:spacing w:after="200"/>
              <w:rPr>
                <w:rFonts w:eastAsiaTheme="majorEastAsia" w:cs="Arial"/>
                <w:color w:val="000000"/>
                <w:szCs w:val="20"/>
              </w:rPr>
            </w:pPr>
            <w:r w:rsidRPr="00903591">
              <w:rPr>
                <w:rStyle w:val="normaltextrun"/>
                <w:rFonts w:eastAsiaTheme="majorEastAsia" w:cs="Arial"/>
                <w:color w:val="000000"/>
                <w:szCs w:val="20"/>
              </w:rPr>
              <w:t xml:space="preserve">Při stabilizaci vývoje spotřebitelských cen tak vystoupal meziroční růst průměrné reálné mzdy ve 4. čtvrtletí na 5,1 % (za celý loňský rok na 4,6 %, podobně i v roce 2024). Byť jde o vysoký růst, ve srovnání </w:t>
            </w:r>
            <w:r>
              <w:rPr>
                <w:rStyle w:val="normaltextrun"/>
                <w:rFonts w:eastAsiaTheme="majorEastAsia" w:cs="Arial"/>
                <w:color w:val="000000"/>
                <w:szCs w:val="20"/>
              </w:rPr>
              <w:t>s</w:t>
            </w:r>
            <w:r w:rsidRPr="00903591">
              <w:rPr>
                <w:rStyle w:val="normaltextrun"/>
                <w:rFonts w:eastAsiaTheme="majorEastAsia" w:cs="Arial"/>
                <w:color w:val="000000"/>
                <w:szCs w:val="20"/>
              </w:rPr>
              <w:t xml:space="preserve"> konjunkturními roky 2018 a 2019 zhruba o 1 p. b. zaostává. Meziročně se kupní síla mezd zvýšila ve všech hlavních odvětvích </w:t>
            </w:r>
            <w:r>
              <w:rPr>
                <w:rStyle w:val="normaltextrun"/>
                <w:rFonts w:eastAsiaTheme="majorEastAsia" w:cs="Arial"/>
                <w:color w:val="000000"/>
                <w:szCs w:val="20"/>
              </w:rPr>
              <w:br/>
            </w:r>
            <w:r w:rsidRPr="00903591">
              <w:rPr>
                <w:rStyle w:val="normaltextrun"/>
                <w:rFonts w:eastAsiaTheme="majorEastAsia" w:cs="Arial"/>
                <w:color w:val="000000"/>
                <w:szCs w:val="20"/>
              </w:rPr>
              <w:t>(vč. nejvýznamnějších oborů zpracovatelského průmyslu), což platilo i v předchozích loňských čtvrtletích. Na úrovn</w:t>
            </w:r>
            <w:r>
              <w:rPr>
                <w:rStyle w:val="normaltextrun"/>
                <w:rFonts w:eastAsiaTheme="majorEastAsia" w:cs="Arial"/>
                <w:color w:val="000000"/>
                <w:szCs w:val="20"/>
              </w:rPr>
              <w:t>i</w:t>
            </w:r>
            <w:r w:rsidRPr="00903591">
              <w:rPr>
                <w:rStyle w:val="normaltextrun"/>
                <w:rFonts w:eastAsiaTheme="majorEastAsia" w:cs="Arial"/>
                <w:color w:val="000000"/>
                <w:szCs w:val="20"/>
              </w:rPr>
              <w:t xml:space="preserve"> celé ekonomiky roste meziročně reálná mzda nepřetržitě od počátku roku 2024. Celkově se aktuální kupní síla hrubých mezd aktuálně nacházela na úrovni 4. čtvrtletí 2019, u čistých výdělků již tuto úroveň patrně mírně překročila</w:t>
            </w:r>
            <w:r w:rsidRPr="00903591">
              <w:rPr>
                <w:rStyle w:val="Znakapoznpodarou"/>
                <w:rFonts w:eastAsia="MS Gothic"/>
                <w:color w:val="0D0D0D" w:themeColor="text1" w:themeTint="F2"/>
                <w:szCs w:val="20"/>
              </w:rPr>
              <w:footnoteReference w:id="116"/>
            </w:r>
            <w:r w:rsidRPr="00903591">
              <w:rPr>
                <w:rStyle w:val="normaltextrun"/>
                <w:rFonts w:eastAsiaTheme="majorEastAsia" w:cs="Arial"/>
                <w:color w:val="000000"/>
                <w:szCs w:val="20"/>
              </w:rPr>
              <w:t>.</w:t>
            </w:r>
          </w:p>
        </w:tc>
      </w:tr>
      <w:tr w:rsidR="009D4785" w:rsidRPr="00016778" w14:paraId="338A72DB" w14:textId="77777777" w:rsidTr="00A96D94">
        <w:trPr>
          <w:trHeight w:val="132"/>
        </w:trPr>
        <w:tc>
          <w:tcPr>
            <w:tcW w:w="1713" w:type="dxa"/>
            <w:tcMar>
              <w:left w:w="0" w:type="dxa"/>
            </w:tcMar>
          </w:tcPr>
          <w:p w14:paraId="2A80BE2C" w14:textId="77777777" w:rsidR="009D4785" w:rsidRDefault="009D4785" w:rsidP="00A96D94">
            <w:pPr>
              <w:pStyle w:val="Marginlie"/>
              <w:rPr>
                <w:color w:val="0D0D0D" w:themeColor="text1" w:themeTint="F2"/>
                <w:spacing w:val="0"/>
              </w:rPr>
            </w:pPr>
            <w:r w:rsidRPr="009C466F">
              <w:rPr>
                <w:color w:val="0D0D0D" w:themeColor="text1" w:themeTint="F2"/>
                <w:spacing w:val="0"/>
              </w:rPr>
              <w:t xml:space="preserve">Mzdy rostly </w:t>
            </w:r>
            <w:r>
              <w:rPr>
                <w:color w:val="0D0D0D" w:themeColor="text1" w:themeTint="F2"/>
                <w:spacing w:val="0"/>
              </w:rPr>
              <w:t xml:space="preserve">celoročně </w:t>
            </w:r>
            <w:r w:rsidRPr="009C466F">
              <w:rPr>
                <w:color w:val="0D0D0D" w:themeColor="text1" w:themeTint="F2"/>
                <w:spacing w:val="0"/>
              </w:rPr>
              <w:t>relativně nejvíce ve vyspělých podnikových službách</w:t>
            </w:r>
            <w:r>
              <w:rPr>
                <w:color w:val="0D0D0D" w:themeColor="text1" w:themeTint="F2"/>
                <w:spacing w:val="0"/>
              </w:rPr>
              <w:t>, ve 4. čtvrtletí pak v energetice.</w:t>
            </w:r>
          </w:p>
          <w:p w14:paraId="280C67B7" w14:textId="77777777" w:rsidR="009D4785" w:rsidRDefault="009D4785" w:rsidP="00A96D94">
            <w:pPr>
              <w:pStyle w:val="Marginlie"/>
              <w:rPr>
                <w:color w:val="0D0D0D" w:themeColor="text1" w:themeTint="F2"/>
                <w:spacing w:val="0"/>
              </w:rPr>
            </w:pPr>
          </w:p>
          <w:p w14:paraId="7EF3A720" w14:textId="77777777" w:rsidR="009D4785" w:rsidRDefault="009D4785" w:rsidP="00A96D94">
            <w:pPr>
              <w:pStyle w:val="Marginlie"/>
              <w:rPr>
                <w:color w:val="0D0D0D" w:themeColor="text1" w:themeTint="F2"/>
                <w:spacing w:val="0"/>
              </w:rPr>
            </w:pPr>
          </w:p>
          <w:p w14:paraId="645F7A0C" w14:textId="77777777" w:rsidR="009D4785" w:rsidRDefault="009D4785" w:rsidP="00A96D94">
            <w:pPr>
              <w:pStyle w:val="Marginlie"/>
              <w:rPr>
                <w:color w:val="0D0D0D" w:themeColor="text1" w:themeTint="F2"/>
                <w:spacing w:val="0"/>
              </w:rPr>
            </w:pPr>
          </w:p>
          <w:p w14:paraId="3DDA0F47" w14:textId="77777777" w:rsidR="009D4785" w:rsidRDefault="009D4785" w:rsidP="00A96D94">
            <w:pPr>
              <w:pStyle w:val="Marginlie"/>
              <w:rPr>
                <w:color w:val="0D0D0D" w:themeColor="text1" w:themeTint="F2"/>
                <w:spacing w:val="0"/>
              </w:rPr>
            </w:pPr>
          </w:p>
          <w:p w14:paraId="7188E65D" w14:textId="77777777" w:rsidR="009D4785" w:rsidRPr="009C466F" w:rsidRDefault="009D4785" w:rsidP="00A96D94">
            <w:pPr>
              <w:pStyle w:val="Marginlie"/>
              <w:rPr>
                <w:color w:val="0D0D0D" w:themeColor="text1" w:themeTint="F2"/>
                <w:spacing w:val="0"/>
              </w:rPr>
            </w:pPr>
            <w:r w:rsidRPr="009C466F">
              <w:rPr>
                <w:color w:val="0D0D0D" w:themeColor="text1" w:themeTint="F2"/>
                <w:spacing w:val="0"/>
              </w:rPr>
              <w:lastRenderedPageBreak/>
              <w:t xml:space="preserve">Významně si ale polepšili i zaměstnanci </w:t>
            </w:r>
            <w:r>
              <w:rPr>
                <w:color w:val="0D0D0D" w:themeColor="text1" w:themeTint="F2"/>
                <w:spacing w:val="0"/>
              </w:rPr>
              <w:t xml:space="preserve">ve stavebnictví či </w:t>
            </w:r>
            <w:r>
              <w:rPr>
                <w:color w:val="0D0D0D" w:themeColor="text1" w:themeTint="F2"/>
                <w:spacing w:val="0"/>
              </w:rPr>
              <w:br/>
              <w:t>v</w:t>
            </w:r>
            <w:r>
              <w:rPr>
                <w:color w:val="0D0D0D" w:themeColor="text1" w:themeTint="F2"/>
              </w:rPr>
              <w:t xml:space="preserve"> </w:t>
            </w:r>
            <w:r>
              <w:rPr>
                <w:color w:val="0D0D0D" w:themeColor="text1" w:themeTint="F2"/>
                <w:spacing w:val="0"/>
              </w:rPr>
              <w:t>primárním sektoru.</w:t>
            </w:r>
          </w:p>
        </w:tc>
        <w:tc>
          <w:tcPr>
            <w:tcW w:w="189" w:type="dxa"/>
            <w:tcMar>
              <w:left w:w="0" w:type="dxa"/>
            </w:tcMar>
          </w:tcPr>
          <w:p w14:paraId="2BFA7A3E" w14:textId="77777777" w:rsidR="009D4785" w:rsidRPr="00016778" w:rsidRDefault="009D4785" w:rsidP="00A96D94">
            <w:pPr>
              <w:pStyle w:val="Textpoznpodarou"/>
              <w:jc w:val="both"/>
              <w:rPr>
                <w:color w:val="0D0D0D" w:themeColor="text1" w:themeTint="F2"/>
                <w:spacing w:val="-4"/>
              </w:rPr>
            </w:pPr>
          </w:p>
        </w:tc>
        <w:tc>
          <w:tcPr>
            <w:tcW w:w="7772" w:type="dxa"/>
            <w:tcMar>
              <w:left w:w="0" w:type="dxa"/>
            </w:tcMar>
          </w:tcPr>
          <w:p w14:paraId="43306B20" w14:textId="77777777" w:rsidR="009D4785" w:rsidRPr="00903591" w:rsidRDefault="009D4785" w:rsidP="00A96D94">
            <w:pPr>
              <w:spacing w:after="200"/>
              <w:rPr>
                <w:rFonts w:eastAsiaTheme="majorEastAsia" w:cs="Arial"/>
                <w:color w:val="000000"/>
                <w:szCs w:val="20"/>
              </w:rPr>
            </w:pPr>
            <w:r w:rsidRPr="00903591">
              <w:rPr>
                <w:rStyle w:val="normaltextrun"/>
                <w:rFonts w:eastAsiaTheme="majorEastAsia" w:cs="Arial"/>
                <w:color w:val="000000"/>
                <w:szCs w:val="20"/>
              </w:rPr>
              <w:t xml:space="preserve">Meziroční růst </w:t>
            </w:r>
            <w:r w:rsidRPr="00903591">
              <w:rPr>
                <w:rStyle w:val="normaltextrun"/>
                <w:rFonts w:eastAsiaTheme="majorEastAsia" w:cs="Arial"/>
                <w:color w:val="000000" w:themeColor="text1"/>
                <w:szCs w:val="20"/>
              </w:rPr>
              <w:t xml:space="preserve">mezd na konci loňského roku se </w:t>
            </w:r>
            <w:r>
              <w:rPr>
                <w:rStyle w:val="normaltextrun"/>
                <w:rFonts w:eastAsiaTheme="majorEastAsia" w:cs="Arial"/>
                <w:color w:val="000000" w:themeColor="text1"/>
                <w:szCs w:val="20"/>
              </w:rPr>
              <w:t xml:space="preserve">ve </w:t>
            </w:r>
            <w:r w:rsidRPr="00903591">
              <w:rPr>
                <w:rStyle w:val="normaltextrun"/>
                <w:rFonts w:eastAsiaTheme="majorEastAsia" w:cs="Arial"/>
                <w:color w:val="000000" w:themeColor="text1"/>
                <w:szCs w:val="20"/>
              </w:rPr>
              <w:t>většině odvětví příliš nelišil od temp za celý rok 202</w:t>
            </w:r>
            <w:r>
              <w:rPr>
                <w:rStyle w:val="normaltextrun"/>
                <w:rFonts w:eastAsiaTheme="majorEastAsia" w:cs="Arial"/>
                <w:color w:val="000000" w:themeColor="text1"/>
                <w:szCs w:val="20"/>
              </w:rPr>
              <w:t>5</w:t>
            </w:r>
            <w:r w:rsidRPr="00903591">
              <w:rPr>
                <w:rStyle w:val="normaltextrun"/>
                <w:rFonts w:eastAsiaTheme="majorEastAsia" w:cs="Arial"/>
                <w:color w:val="000000" w:themeColor="text1"/>
                <w:szCs w:val="20"/>
              </w:rPr>
              <w:t>. Mezi odvětvími jsou však tradičně patrné významnější rozdíly v </w:t>
            </w:r>
            <w:r w:rsidRPr="00903591">
              <w:rPr>
                <w:rStyle w:val="normaltextrun"/>
                <w:rFonts w:eastAsiaTheme="majorEastAsia" w:cs="Arial"/>
                <w:color w:val="000000"/>
                <w:szCs w:val="20"/>
              </w:rPr>
              <w:t xml:space="preserve">dynamice mezd. Ty ve 4. čtvrtletí souvisely i s výplatou mimořádných odměn </w:t>
            </w:r>
            <w:r>
              <w:rPr>
                <w:rStyle w:val="normaltextrun"/>
                <w:rFonts w:eastAsiaTheme="majorEastAsia" w:cs="Arial"/>
                <w:color w:val="000000"/>
                <w:szCs w:val="20"/>
              </w:rPr>
              <w:br/>
            </w:r>
            <w:r w:rsidRPr="00903591">
              <w:rPr>
                <w:rStyle w:val="normaltextrun"/>
                <w:rFonts w:eastAsiaTheme="majorEastAsia" w:cs="Arial"/>
                <w:color w:val="000000"/>
                <w:szCs w:val="20"/>
              </w:rPr>
              <w:t xml:space="preserve">a předvánočních bonusů. V energetice tak mzdový růst činil 15,8 % (za celý loňský rok jen o 7,8 %). Projevily se zlepšené ekonomické výsledky tohoto odvětví a nižší srovnávací mzdová základna. V profesních, vědeckých a technických činnostech pokračovala vysoká poptávka po kvalifikovaných specialistech a mzda tak ve 4. čtvrtletí </w:t>
            </w:r>
            <w:r w:rsidRPr="00903591">
              <w:rPr>
                <w:rStyle w:val="normaltextrun"/>
                <w:rFonts w:eastAsiaTheme="majorEastAsia" w:cs="Arial"/>
                <w:color w:val="000000"/>
                <w:szCs w:val="20"/>
              </w:rPr>
              <w:lastRenderedPageBreak/>
              <w:t>vzrostla o 11,8 % (podobně i</w:t>
            </w:r>
            <w:r>
              <w:rPr>
                <w:rStyle w:val="normaltextrun"/>
                <w:rFonts w:eastAsiaTheme="majorEastAsia" w:cs="Arial"/>
                <w:color w:val="000000"/>
                <w:szCs w:val="20"/>
              </w:rPr>
              <w:t> </w:t>
            </w:r>
            <w:r w:rsidRPr="00903591">
              <w:rPr>
                <w:rStyle w:val="normaltextrun"/>
                <w:rFonts w:eastAsiaTheme="majorEastAsia" w:cs="Arial"/>
                <w:color w:val="000000"/>
                <w:szCs w:val="20"/>
              </w:rPr>
              <w:t xml:space="preserve">v celoročním pohledu, kde šlo o nejvyšší růst mezi </w:t>
            </w:r>
            <w:r>
              <w:rPr>
                <w:rStyle w:val="normaltextrun"/>
                <w:rFonts w:eastAsiaTheme="majorEastAsia" w:cs="Arial"/>
                <w:color w:val="000000"/>
                <w:szCs w:val="20"/>
              </w:rPr>
              <w:t>v</w:t>
            </w:r>
            <w:r>
              <w:rPr>
                <w:rStyle w:val="normaltextrun"/>
                <w:rFonts w:eastAsiaTheme="majorEastAsia" w:cs="Arial"/>
                <w:color w:val="000000"/>
              </w:rPr>
              <w:t xml:space="preserve">šemi </w:t>
            </w:r>
            <w:r w:rsidRPr="00903591">
              <w:rPr>
                <w:rStyle w:val="normaltextrun"/>
                <w:rFonts w:eastAsiaTheme="majorEastAsia" w:cs="Arial"/>
                <w:color w:val="000000"/>
                <w:szCs w:val="20"/>
              </w:rPr>
              <w:t xml:space="preserve">odvětvími). Dařilo se ale i některým odvětvím s tradičně nízkou úrovní mezd – v zemědělství, lesnictví a rybářství výdělky rostly o 11,5 % (nejvíce od 1. čtvrtletí 2008). V pozadí růstu byly dobré hospodářské výsledky (vyšší úroda plodin, růst rentability chovů některých zvířat) i postupující modernizace výroby, jež snižuje nároky na nízkokvalifikovanou pracovní sílu (jež je i tak pro toto odvětví obtížně dostupná). Ve stavebnictví činil mzdový růst 10,9 % (byl vyšší než tempo v celé ekonomice již více než po dva roky), a to při souběžně mírně posilující zaměstnanosti. V administrativních a podpůrných činnostech byly výdělky vyšší o 9,1 % a v dopravě a skladování o rovných 8 % </w:t>
            </w:r>
            <w:r>
              <w:rPr>
                <w:rStyle w:val="normaltextrun"/>
                <w:rFonts w:eastAsiaTheme="majorEastAsia" w:cs="Arial"/>
                <w:color w:val="000000"/>
                <w:szCs w:val="20"/>
              </w:rPr>
              <w:t>–</w:t>
            </w:r>
            <w:r w:rsidRPr="00903591">
              <w:rPr>
                <w:rStyle w:val="normaltextrun"/>
                <w:rFonts w:eastAsiaTheme="majorEastAsia" w:cs="Arial"/>
                <w:color w:val="000000"/>
                <w:szCs w:val="20"/>
              </w:rPr>
              <w:t xml:space="preserve"> v obou případech při dlouhodobě klesající zaměstnanosti. To neplatí v činnostech v oblasti nemovitostí, kde navíc mzdy vzrostly o</w:t>
            </w:r>
            <w:r>
              <w:rPr>
                <w:rStyle w:val="normaltextrun"/>
                <w:rFonts w:eastAsiaTheme="majorEastAsia" w:cs="Arial"/>
                <w:color w:val="000000"/>
                <w:szCs w:val="20"/>
              </w:rPr>
              <w:t> </w:t>
            </w:r>
            <w:r w:rsidRPr="00903591">
              <w:rPr>
                <w:rStyle w:val="normaltextrun"/>
                <w:rFonts w:eastAsiaTheme="majorEastAsia" w:cs="Arial"/>
                <w:color w:val="000000"/>
                <w:szCs w:val="20"/>
              </w:rPr>
              <w:t xml:space="preserve">8,8 % a jejich úroveň se </w:t>
            </w:r>
            <w:r>
              <w:rPr>
                <w:rStyle w:val="normaltextrun"/>
                <w:rFonts w:eastAsiaTheme="majorEastAsia" w:cs="Arial"/>
                <w:color w:val="000000"/>
                <w:szCs w:val="20"/>
              </w:rPr>
              <w:t>t</w:t>
            </w:r>
            <w:r>
              <w:rPr>
                <w:rStyle w:val="normaltextrun"/>
                <w:rFonts w:eastAsiaTheme="majorEastAsia" w:cs="Arial"/>
                <w:color w:val="000000"/>
              </w:rPr>
              <w:t xml:space="preserve">ak postupně </w:t>
            </w:r>
            <w:r w:rsidRPr="00903591">
              <w:rPr>
                <w:rStyle w:val="normaltextrun"/>
                <w:rFonts w:eastAsiaTheme="majorEastAsia" w:cs="Arial"/>
                <w:color w:val="000000"/>
                <w:szCs w:val="20"/>
              </w:rPr>
              <w:t xml:space="preserve">blížila hladině celé ekonomiky. </w:t>
            </w:r>
          </w:p>
        </w:tc>
      </w:tr>
      <w:tr w:rsidR="009D4785" w:rsidRPr="00016778" w14:paraId="4C70A136" w14:textId="77777777" w:rsidTr="00A96D94">
        <w:trPr>
          <w:trHeight w:val="132"/>
        </w:trPr>
        <w:tc>
          <w:tcPr>
            <w:tcW w:w="1713" w:type="dxa"/>
            <w:tcMar>
              <w:left w:w="0" w:type="dxa"/>
            </w:tcMar>
          </w:tcPr>
          <w:p w14:paraId="6165194B" w14:textId="77777777" w:rsidR="009D4785" w:rsidRDefault="009D4785" w:rsidP="00A96D94">
            <w:pPr>
              <w:pStyle w:val="Marginlie"/>
              <w:rPr>
                <w:color w:val="0D0D0D" w:themeColor="text1" w:themeTint="F2"/>
                <w:spacing w:val="0"/>
              </w:rPr>
            </w:pPr>
            <w:r w:rsidRPr="006D35E2">
              <w:rPr>
                <w:color w:val="0D0D0D" w:themeColor="text1" w:themeTint="F2"/>
                <w:spacing w:val="0"/>
              </w:rPr>
              <w:lastRenderedPageBreak/>
              <w:t>Mzdový růst v odvětvích s významnou rolí státu loni čtvrtý rok v</w:t>
            </w:r>
            <w:r>
              <w:rPr>
                <w:color w:val="0D0D0D" w:themeColor="text1" w:themeTint="F2"/>
                <w:spacing w:val="0"/>
              </w:rPr>
              <w:t> </w:t>
            </w:r>
            <w:r w:rsidRPr="006D35E2">
              <w:rPr>
                <w:color w:val="0D0D0D" w:themeColor="text1" w:themeTint="F2"/>
                <w:spacing w:val="0"/>
              </w:rPr>
              <w:t>řadě</w:t>
            </w:r>
            <w:r>
              <w:rPr>
                <w:color w:val="0D0D0D" w:themeColor="text1" w:themeTint="F2"/>
                <w:spacing w:val="0"/>
              </w:rPr>
              <w:t xml:space="preserve"> </w:t>
            </w:r>
            <w:r>
              <w:rPr>
                <w:color w:val="0D0D0D" w:themeColor="text1" w:themeTint="F2"/>
              </w:rPr>
              <w:t>zaostal</w:t>
            </w:r>
            <w:r w:rsidRPr="006D35E2">
              <w:rPr>
                <w:color w:val="0D0D0D" w:themeColor="text1" w:themeTint="F2"/>
                <w:spacing w:val="0"/>
              </w:rPr>
              <w:t xml:space="preserve"> za celou ekonomikou.</w:t>
            </w:r>
          </w:p>
        </w:tc>
        <w:tc>
          <w:tcPr>
            <w:tcW w:w="189" w:type="dxa"/>
            <w:tcMar>
              <w:left w:w="0" w:type="dxa"/>
            </w:tcMar>
          </w:tcPr>
          <w:p w14:paraId="7E883500" w14:textId="77777777" w:rsidR="009D4785" w:rsidRPr="00016778" w:rsidRDefault="009D4785" w:rsidP="00A96D94">
            <w:pPr>
              <w:pStyle w:val="Textpoznpodarou"/>
              <w:jc w:val="both"/>
              <w:rPr>
                <w:color w:val="0D0D0D" w:themeColor="text1" w:themeTint="F2"/>
                <w:spacing w:val="-4"/>
              </w:rPr>
            </w:pPr>
          </w:p>
        </w:tc>
        <w:tc>
          <w:tcPr>
            <w:tcW w:w="7772" w:type="dxa"/>
            <w:tcMar>
              <w:left w:w="0" w:type="dxa"/>
            </w:tcMar>
          </w:tcPr>
          <w:p w14:paraId="4A662A46" w14:textId="77777777" w:rsidR="009D4785" w:rsidRPr="00903591" w:rsidRDefault="009D4785" w:rsidP="00A96D94">
            <w:pPr>
              <w:spacing w:after="200"/>
              <w:rPr>
                <w:rStyle w:val="normaltextrun"/>
                <w:rFonts w:eastAsiaTheme="majorEastAsia" w:cs="Arial"/>
                <w:color w:val="000000"/>
                <w:szCs w:val="20"/>
              </w:rPr>
            </w:pPr>
            <w:r w:rsidRPr="00903591">
              <w:rPr>
                <w:rStyle w:val="normaltextrun"/>
                <w:rFonts w:eastAsiaTheme="majorEastAsia" w:cs="Arial"/>
                <w:color w:val="000000"/>
                <w:szCs w:val="20"/>
              </w:rPr>
              <w:t>V odvětvích s významnou rolí státu se ve 4. čtvrtletí (i po celý loňský rok) mzdy zvyšovaly nejvíce v kulturních, zábavních a rekreačních činnostech, a to o 9,8 % (jejich úroveň však zůstávala stále podprůměrná, na rozdíl od zbylých oblastí veřejných služeb). Ve veřejné správě, obraně a soc. zabezpečení se průměrné mzdy zvýšily o 8,4 % (během roku jejich tempo posilovalo, naopak po celý rok 2024 byl růst velmi nízký). Slabší mzdový růst ve vzdělávání (6,6 %) i ve zdravotní a sociální péči (4,5 %) byl zčásti „obětován“ pokračujícímu svižnému růstu zaměstnanců (v obou případech činil přes 2 %). C</w:t>
            </w:r>
            <w:r w:rsidRPr="00903591">
              <w:rPr>
                <w:rStyle w:val="normaltextrun"/>
                <w:rFonts w:eastAsiaTheme="majorEastAsia" w:cs="Arial"/>
                <w:color w:val="000000"/>
              </w:rPr>
              <w:t>elkově loni mzdový růst v</w:t>
            </w:r>
            <w:r w:rsidRPr="00903591">
              <w:rPr>
                <w:rStyle w:val="normaltextrun"/>
                <w:rFonts w:eastAsiaTheme="majorEastAsia" w:cs="Arial"/>
                <w:color w:val="000000"/>
                <w:szCs w:val="20"/>
              </w:rPr>
              <w:t xml:space="preserve"> odvětvích s významnou rolí státu čtvrtý rok v řadě </w:t>
            </w:r>
            <w:r>
              <w:rPr>
                <w:rStyle w:val="normaltextrun"/>
                <w:rFonts w:eastAsiaTheme="majorEastAsia" w:cs="Arial"/>
                <w:color w:val="000000"/>
                <w:szCs w:val="20"/>
              </w:rPr>
              <w:t xml:space="preserve">zaostal </w:t>
            </w:r>
            <w:r w:rsidRPr="00903591">
              <w:rPr>
                <w:rStyle w:val="normaltextrun"/>
                <w:rFonts w:eastAsiaTheme="majorEastAsia" w:cs="Arial"/>
                <w:color w:val="000000"/>
                <w:szCs w:val="20"/>
              </w:rPr>
              <w:t>za celou ekonomikou</w:t>
            </w:r>
            <w:r>
              <w:rPr>
                <w:rStyle w:val="normaltextrun"/>
                <w:rFonts w:eastAsiaTheme="majorEastAsia" w:cs="Arial"/>
                <w:color w:val="000000"/>
                <w:szCs w:val="20"/>
              </w:rPr>
              <w:t>.</w:t>
            </w:r>
          </w:p>
        </w:tc>
      </w:tr>
      <w:tr w:rsidR="009D4785" w:rsidRPr="00716203" w14:paraId="57A56024" w14:textId="77777777" w:rsidTr="00A96D94">
        <w:trPr>
          <w:trHeight w:val="336"/>
        </w:trPr>
        <w:tc>
          <w:tcPr>
            <w:tcW w:w="1713" w:type="dxa"/>
            <w:vMerge w:val="restart"/>
            <w:tcMar>
              <w:left w:w="0" w:type="dxa"/>
            </w:tcMar>
          </w:tcPr>
          <w:p w14:paraId="17E57008" w14:textId="77777777" w:rsidR="009D4785" w:rsidRPr="00A90A79" w:rsidRDefault="009D4785" w:rsidP="00A96D94">
            <w:pPr>
              <w:pStyle w:val="Marginlie"/>
              <w:rPr>
                <w:spacing w:val="-4"/>
              </w:rPr>
            </w:pPr>
          </w:p>
        </w:tc>
        <w:tc>
          <w:tcPr>
            <w:tcW w:w="189" w:type="dxa"/>
            <w:vMerge w:val="restart"/>
            <w:tcMar>
              <w:left w:w="0" w:type="dxa"/>
            </w:tcMar>
          </w:tcPr>
          <w:p w14:paraId="5807AD75" w14:textId="77777777" w:rsidR="009D4785" w:rsidRPr="00B43216" w:rsidRDefault="009D4785" w:rsidP="00A96D94">
            <w:pPr>
              <w:pStyle w:val="Textpoznpodarou"/>
              <w:jc w:val="both"/>
              <w:rPr>
                <w:spacing w:val="-4"/>
              </w:rPr>
            </w:pPr>
          </w:p>
        </w:tc>
        <w:tc>
          <w:tcPr>
            <w:tcW w:w="7772" w:type="dxa"/>
            <w:tcMar>
              <w:left w:w="0" w:type="dxa"/>
            </w:tcMar>
          </w:tcPr>
          <w:p w14:paraId="39965771" w14:textId="21510950" w:rsidR="009D4785" w:rsidRPr="003802AE" w:rsidRDefault="009D4785" w:rsidP="00A96D94">
            <w:pPr>
              <w:spacing w:after="0"/>
              <w:jc w:val="left"/>
              <w:rPr>
                <w:rFonts w:cs="Arial"/>
                <w:b/>
                <w:color w:val="0D0D0D" w:themeColor="text1" w:themeTint="F2"/>
                <w:spacing w:val="-4"/>
                <w:szCs w:val="20"/>
              </w:rPr>
            </w:pPr>
            <w:r w:rsidRPr="00BE517C">
              <w:rPr>
                <w:rFonts w:cs="Arial"/>
                <w:b/>
                <w:color w:val="0D0D0D" w:themeColor="text1" w:themeTint="F2"/>
                <w:spacing w:val="-6"/>
                <w:szCs w:val="20"/>
              </w:rPr>
              <w:t>Graf č. 1</w:t>
            </w:r>
            <w:r w:rsidR="00281666">
              <w:rPr>
                <w:rFonts w:cs="Arial"/>
                <w:b/>
                <w:color w:val="0D0D0D" w:themeColor="text1" w:themeTint="F2"/>
                <w:spacing w:val="-6"/>
                <w:szCs w:val="20"/>
              </w:rPr>
              <w:t>6</w:t>
            </w:r>
            <w:r w:rsidRPr="00BE517C">
              <w:rPr>
                <w:rFonts w:cs="Arial"/>
                <w:b/>
                <w:color w:val="0D0D0D" w:themeColor="text1" w:themeTint="F2"/>
                <w:spacing w:val="-6"/>
                <w:szCs w:val="20"/>
              </w:rPr>
              <w:t xml:space="preserve"> </w:t>
            </w:r>
            <w:r w:rsidRPr="00A90A79">
              <w:rPr>
                <w:rFonts w:cs="Arial"/>
                <w:b/>
                <w:color w:val="0D0D0D" w:themeColor="text1" w:themeTint="F2"/>
                <w:spacing w:val="-4"/>
                <w:szCs w:val="20"/>
              </w:rPr>
              <w:t>Průměrná nominální i reálná mzda a produktivita</w:t>
            </w:r>
            <w:r w:rsidRPr="00A90A79">
              <w:rPr>
                <w:rFonts w:cs="Arial"/>
                <w:color w:val="0D0D0D" w:themeColor="text1" w:themeTint="F2"/>
                <w:spacing w:val="-4"/>
                <w:szCs w:val="20"/>
              </w:rPr>
              <w:t xml:space="preserve"> </w:t>
            </w:r>
            <w:r w:rsidRPr="00A90A79">
              <w:rPr>
                <w:rFonts w:cs="Arial"/>
                <w:b/>
                <w:color w:val="0D0D0D" w:themeColor="text1" w:themeTint="F2"/>
                <w:spacing w:val="-4"/>
                <w:szCs w:val="20"/>
              </w:rPr>
              <w:t>práce</w:t>
            </w:r>
            <w:r>
              <w:rPr>
                <w:rFonts w:cs="Arial"/>
                <w:b/>
                <w:color w:val="0D0D0D" w:themeColor="text1" w:themeTint="F2"/>
                <w:spacing w:val="-4"/>
                <w:szCs w:val="20"/>
              </w:rPr>
              <w:t xml:space="preserve"> v národním hospodářství </w:t>
            </w:r>
            <w:r w:rsidRPr="00BE517C">
              <w:rPr>
                <w:rFonts w:cs="Arial"/>
                <w:color w:val="0D0D0D" w:themeColor="text1" w:themeTint="F2"/>
                <w:spacing w:val="-6"/>
                <w:szCs w:val="20"/>
              </w:rPr>
              <w:t>(meziroční změna, v %</w:t>
            </w:r>
            <w:r>
              <w:rPr>
                <w:rFonts w:cs="Arial"/>
                <w:color w:val="0D0D0D" w:themeColor="text1" w:themeTint="F2"/>
                <w:spacing w:val="-6"/>
                <w:szCs w:val="20"/>
              </w:rPr>
              <w:t>)</w:t>
            </w:r>
          </w:p>
        </w:tc>
      </w:tr>
      <w:tr w:rsidR="009D4785" w:rsidRPr="00716203" w14:paraId="3CA46743" w14:textId="77777777" w:rsidTr="00A96D94">
        <w:tblPrEx>
          <w:tblCellMar>
            <w:left w:w="70" w:type="dxa"/>
            <w:right w:w="70" w:type="dxa"/>
          </w:tblCellMar>
        </w:tblPrEx>
        <w:trPr>
          <w:trHeight w:val="1935"/>
        </w:trPr>
        <w:tc>
          <w:tcPr>
            <w:tcW w:w="1713" w:type="dxa"/>
            <w:vMerge/>
          </w:tcPr>
          <w:p w14:paraId="7E6639F6" w14:textId="77777777" w:rsidR="009D4785" w:rsidRPr="00A90A79" w:rsidRDefault="009D4785" w:rsidP="00A96D94">
            <w:pPr>
              <w:pStyle w:val="Marginlie"/>
              <w:rPr>
                <w:spacing w:val="-4"/>
              </w:rPr>
            </w:pPr>
          </w:p>
        </w:tc>
        <w:tc>
          <w:tcPr>
            <w:tcW w:w="189" w:type="dxa"/>
            <w:vMerge/>
          </w:tcPr>
          <w:p w14:paraId="32CAA05C" w14:textId="77777777" w:rsidR="009D4785" w:rsidRPr="00B43216" w:rsidRDefault="009D4785" w:rsidP="00A96D94">
            <w:pPr>
              <w:pStyle w:val="Textpoznpodarou"/>
              <w:jc w:val="both"/>
              <w:rPr>
                <w:spacing w:val="-4"/>
              </w:rPr>
            </w:pPr>
          </w:p>
        </w:tc>
        <w:tc>
          <w:tcPr>
            <w:tcW w:w="7772" w:type="dxa"/>
          </w:tcPr>
          <w:p w14:paraId="2276A4FE" w14:textId="77777777" w:rsidR="009D4785" w:rsidRPr="00A90A79" w:rsidRDefault="009D4785" w:rsidP="00A96D94">
            <w:pPr>
              <w:spacing w:before="40" w:after="40"/>
              <w:rPr>
                <w:rFonts w:cs="Arial"/>
                <w:b/>
                <w:color w:val="0D0D0D" w:themeColor="text1" w:themeTint="F2"/>
                <w:spacing w:val="-4"/>
                <w:szCs w:val="20"/>
              </w:rPr>
            </w:pPr>
            <w:r>
              <w:rPr>
                <w:noProof/>
              </w:rPr>
              <w:drawing>
                <wp:inline distT="0" distB="0" distL="0" distR="0" wp14:anchorId="6A0BFFA3" wp14:editId="0B2E9806">
                  <wp:extent cx="4787265" cy="3578087"/>
                  <wp:effectExtent l="0" t="0" r="0" b="3810"/>
                  <wp:docPr id="158745360" name="Graf 1">
                    <a:extLst xmlns:a="http://schemas.openxmlformats.org/drawingml/2006/main">
                      <a:ext uri="{FF2B5EF4-FFF2-40B4-BE49-F238E27FC236}">
                        <a16:creationId xmlns:a16="http://schemas.microsoft.com/office/drawing/2014/main" id="{00000000-0008-0000-3A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r w:rsidR="009D4785" w:rsidRPr="00716203" w14:paraId="5C2F531C" w14:textId="77777777" w:rsidTr="00A96D94">
        <w:trPr>
          <w:trHeight w:val="475"/>
        </w:trPr>
        <w:tc>
          <w:tcPr>
            <w:tcW w:w="1713" w:type="dxa"/>
            <w:vMerge/>
            <w:tcMar>
              <w:left w:w="0" w:type="dxa"/>
            </w:tcMar>
          </w:tcPr>
          <w:p w14:paraId="0A1A37A8" w14:textId="77777777" w:rsidR="009D4785" w:rsidRPr="00A90A79" w:rsidRDefault="009D4785" w:rsidP="00A96D94">
            <w:pPr>
              <w:pStyle w:val="Marginlie"/>
              <w:rPr>
                <w:spacing w:val="-4"/>
              </w:rPr>
            </w:pPr>
          </w:p>
        </w:tc>
        <w:tc>
          <w:tcPr>
            <w:tcW w:w="189" w:type="dxa"/>
            <w:vMerge/>
            <w:tcMar>
              <w:left w:w="0" w:type="dxa"/>
            </w:tcMar>
          </w:tcPr>
          <w:p w14:paraId="2AD5D1FE" w14:textId="77777777" w:rsidR="009D4785" w:rsidRPr="00B43216" w:rsidRDefault="009D4785" w:rsidP="00A96D94">
            <w:pPr>
              <w:pStyle w:val="Textpoznpodarou"/>
              <w:jc w:val="both"/>
              <w:rPr>
                <w:spacing w:val="-4"/>
              </w:rPr>
            </w:pPr>
          </w:p>
        </w:tc>
        <w:tc>
          <w:tcPr>
            <w:tcW w:w="7772" w:type="dxa"/>
            <w:tcMar>
              <w:left w:w="0" w:type="dxa"/>
            </w:tcMar>
          </w:tcPr>
          <w:p w14:paraId="67E5CC52" w14:textId="77777777" w:rsidR="009D4785" w:rsidRDefault="009D4785" w:rsidP="00A96D94">
            <w:pPr>
              <w:spacing w:after="0" w:line="240" w:lineRule="auto"/>
              <w:rPr>
                <w:rFonts w:cs="Arial"/>
                <w:color w:val="0D0D0D" w:themeColor="text1" w:themeTint="F2"/>
                <w:spacing w:val="-4"/>
                <w:sz w:val="14"/>
                <w:szCs w:val="14"/>
              </w:rPr>
            </w:pPr>
            <w:r>
              <w:rPr>
                <w:rFonts w:cs="Arial"/>
                <w:color w:val="0D0D0D" w:themeColor="text1" w:themeTint="F2"/>
                <w:spacing w:val="-4"/>
                <w:sz w:val="14"/>
                <w:szCs w:val="14"/>
              </w:rPr>
              <w:t>*</w:t>
            </w:r>
            <w:r w:rsidRPr="00A90A79">
              <w:rPr>
                <w:rFonts w:cs="Arial"/>
                <w:color w:val="0D0D0D" w:themeColor="text1" w:themeTint="F2"/>
                <w:spacing w:val="-4"/>
                <w:sz w:val="14"/>
                <w:szCs w:val="14"/>
              </w:rPr>
              <w:t>Zahrnuj</w:t>
            </w:r>
            <w:r>
              <w:rPr>
                <w:rFonts w:cs="Arial"/>
                <w:color w:val="0D0D0D" w:themeColor="text1" w:themeTint="F2"/>
                <w:spacing w:val="-4"/>
                <w:sz w:val="14"/>
                <w:szCs w:val="14"/>
              </w:rPr>
              <w:t>e odvětví s významnou rolí vládního sektoru</w:t>
            </w:r>
            <w:r w:rsidRPr="00A90A79">
              <w:rPr>
                <w:rFonts w:cs="Arial"/>
                <w:color w:val="0D0D0D" w:themeColor="text1" w:themeTint="F2"/>
                <w:spacing w:val="-4"/>
                <w:sz w:val="14"/>
                <w:szCs w:val="14"/>
              </w:rPr>
              <w:t>: Veřejná správa a obrana, povinné sociální zabezpečení; Vzdělávání; Zdravotní a sociální péče; Kulturn</w:t>
            </w:r>
            <w:r>
              <w:rPr>
                <w:rFonts w:cs="Arial"/>
                <w:color w:val="0D0D0D" w:themeColor="text1" w:themeTint="F2"/>
                <w:spacing w:val="-4"/>
                <w:sz w:val="14"/>
                <w:szCs w:val="14"/>
              </w:rPr>
              <w:t>í, zábavní a rekreační činnosti.</w:t>
            </w:r>
          </w:p>
          <w:p w14:paraId="75DC57D4" w14:textId="77777777" w:rsidR="009D4785" w:rsidRDefault="009D4785" w:rsidP="00A96D94">
            <w:pPr>
              <w:spacing w:after="0" w:line="240" w:lineRule="auto"/>
              <w:rPr>
                <w:rFonts w:cs="Arial"/>
                <w:color w:val="0D0D0D" w:themeColor="text1" w:themeTint="F2"/>
                <w:spacing w:val="-4"/>
                <w:sz w:val="14"/>
                <w:szCs w:val="14"/>
              </w:rPr>
            </w:pPr>
            <w:r>
              <w:rPr>
                <w:rFonts w:cs="Arial"/>
                <w:color w:val="0D0D0D" w:themeColor="text1" w:themeTint="F2"/>
                <w:spacing w:val="-4"/>
                <w:sz w:val="14"/>
                <w:szCs w:val="14"/>
              </w:rPr>
              <w:t xml:space="preserve">**Vyjadřuje HDP v celé ekonomice (ve </w:t>
            </w:r>
            <w:r w:rsidRPr="00BF2767">
              <w:rPr>
                <w:rFonts w:cs="Arial"/>
                <w:color w:val="0D0D0D" w:themeColor="text1" w:themeTint="F2"/>
                <w:spacing w:val="-4"/>
                <w:sz w:val="14"/>
                <w:szCs w:val="14"/>
              </w:rPr>
              <w:t>srovnateln</w:t>
            </w:r>
            <w:r>
              <w:rPr>
                <w:rFonts w:cs="Arial"/>
                <w:color w:val="0D0D0D" w:themeColor="text1" w:themeTint="F2"/>
                <w:spacing w:val="-4"/>
                <w:sz w:val="14"/>
                <w:szCs w:val="14"/>
              </w:rPr>
              <w:t>ých</w:t>
            </w:r>
            <w:r w:rsidRPr="00BF2767">
              <w:rPr>
                <w:rFonts w:cs="Arial"/>
                <w:color w:val="0D0D0D" w:themeColor="text1" w:themeTint="F2"/>
                <w:spacing w:val="-4"/>
                <w:sz w:val="14"/>
                <w:szCs w:val="14"/>
              </w:rPr>
              <w:t xml:space="preserve"> cen</w:t>
            </w:r>
            <w:r>
              <w:rPr>
                <w:rFonts w:cs="Arial"/>
                <w:color w:val="0D0D0D" w:themeColor="text1" w:themeTint="F2"/>
                <w:spacing w:val="-4"/>
                <w:sz w:val="14"/>
                <w:szCs w:val="14"/>
              </w:rPr>
              <w:t>ách</w:t>
            </w:r>
            <w:r w:rsidRPr="00BF2767">
              <w:rPr>
                <w:rFonts w:cs="Arial"/>
                <w:color w:val="0D0D0D" w:themeColor="text1" w:themeTint="F2"/>
                <w:spacing w:val="-4"/>
                <w:sz w:val="14"/>
                <w:szCs w:val="14"/>
              </w:rPr>
              <w:t xml:space="preserve"> roku 2020</w:t>
            </w:r>
            <w:r>
              <w:rPr>
                <w:rFonts w:cs="Arial"/>
                <w:color w:val="0D0D0D" w:themeColor="text1" w:themeTint="F2"/>
                <w:spacing w:val="-4"/>
                <w:sz w:val="14"/>
                <w:szCs w:val="14"/>
              </w:rPr>
              <w:t xml:space="preserve">) vztažený na pracovníka (ve fyzických osobách). </w:t>
            </w:r>
          </w:p>
          <w:p w14:paraId="21224B64" w14:textId="77777777" w:rsidR="009D4785" w:rsidRDefault="009D4785" w:rsidP="00A96D94">
            <w:pPr>
              <w:spacing w:after="0" w:line="240" w:lineRule="auto"/>
              <w:rPr>
                <w:rFonts w:cs="Arial"/>
                <w:color w:val="0D0D0D" w:themeColor="text1" w:themeTint="F2"/>
                <w:spacing w:val="-4"/>
                <w:sz w:val="14"/>
                <w:szCs w:val="14"/>
              </w:rPr>
            </w:pPr>
            <w:r>
              <w:rPr>
                <w:rFonts w:cs="Arial"/>
                <w:color w:val="0D0D0D" w:themeColor="text1" w:themeTint="F2"/>
                <w:spacing w:val="-4"/>
                <w:sz w:val="14"/>
                <w:szCs w:val="14"/>
              </w:rPr>
              <w:t xml:space="preserve">***Vyjadřuje HDP v celé ekonomice (ve </w:t>
            </w:r>
            <w:r w:rsidRPr="00BF2767">
              <w:rPr>
                <w:rFonts w:cs="Arial"/>
                <w:color w:val="0D0D0D" w:themeColor="text1" w:themeTint="F2"/>
                <w:spacing w:val="-4"/>
                <w:sz w:val="14"/>
                <w:szCs w:val="14"/>
              </w:rPr>
              <w:t>srovnateln</w:t>
            </w:r>
            <w:r>
              <w:rPr>
                <w:rFonts w:cs="Arial"/>
                <w:color w:val="0D0D0D" w:themeColor="text1" w:themeTint="F2"/>
                <w:spacing w:val="-4"/>
                <w:sz w:val="14"/>
                <w:szCs w:val="14"/>
              </w:rPr>
              <w:t>ých</w:t>
            </w:r>
            <w:r w:rsidRPr="00BF2767">
              <w:rPr>
                <w:rFonts w:cs="Arial"/>
                <w:color w:val="0D0D0D" w:themeColor="text1" w:themeTint="F2"/>
                <w:spacing w:val="-4"/>
                <w:sz w:val="14"/>
                <w:szCs w:val="14"/>
              </w:rPr>
              <w:t xml:space="preserve"> cen</w:t>
            </w:r>
            <w:r>
              <w:rPr>
                <w:rFonts w:cs="Arial"/>
                <w:color w:val="0D0D0D" w:themeColor="text1" w:themeTint="F2"/>
                <w:spacing w:val="-4"/>
                <w:sz w:val="14"/>
                <w:szCs w:val="14"/>
              </w:rPr>
              <w:t>ách</w:t>
            </w:r>
            <w:r w:rsidRPr="00BF2767">
              <w:rPr>
                <w:rFonts w:cs="Arial"/>
                <w:color w:val="0D0D0D" w:themeColor="text1" w:themeTint="F2"/>
                <w:spacing w:val="-4"/>
                <w:sz w:val="14"/>
                <w:szCs w:val="14"/>
              </w:rPr>
              <w:t xml:space="preserve"> roku 2020</w:t>
            </w:r>
            <w:r>
              <w:rPr>
                <w:rFonts w:cs="Arial"/>
                <w:color w:val="0D0D0D" w:themeColor="text1" w:themeTint="F2"/>
                <w:spacing w:val="-4"/>
                <w:sz w:val="14"/>
                <w:szCs w:val="14"/>
              </w:rPr>
              <w:t xml:space="preserve">) vztažený na celkový počet odpracovaných hodin. </w:t>
            </w:r>
          </w:p>
          <w:p w14:paraId="3BB2FA0B" w14:textId="77777777" w:rsidR="009D4785" w:rsidRPr="00163F5D" w:rsidRDefault="009D4785" w:rsidP="00A96D94">
            <w:pPr>
              <w:spacing w:line="240" w:lineRule="auto"/>
              <w:rPr>
                <w:rFonts w:cs="Arial"/>
                <w:color w:val="0D0D0D" w:themeColor="text1" w:themeTint="F2"/>
                <w:spacing w:val="-4"/>
                <w:sz w:val="14"/>
                <w:szCs w:val="14"/>
              </w:rPr>
            </w:pPr>
            <w:r>
              <w:rPr>
                <w:rFonts w:cs="Arial"/>
                <w:color w:val="0D0D0D" w:themeColor="text1" w:themeTint="F2"/>
                <w:spacing w:val="-4"/>
                <w:sz w:val="14"/>
                <w:szCs w:val="14"/>
              </w:rPr>
              <w:t xml:space="preserve"> </w:t>
            </w:r>
            <w:r w:rsidRPr="00A90A79">
              <w:rPr>
                <w:rFonts w:cs="Arial"/>
                <w:color w:val="0D0D0D" w:themeColor="text1" w:themeTint="F2"/>
                <w:spacing w:val="-4"/>
                <w:sz w:val="14"/>
                <w:szCs w:val="14"/>
              </w:rPr>
              <w:t>Zdroj: ČSÚ</w:t>
            </w:r>
          </w:p>
        </w:tc>
      </w:tr>
      <w:tr w:rsidR="009D4785" w:rsidRPr="00716203" w14:paraId="612D2609" w14:textId="77777777" w:rsidTr="00A96D94">
        <w:trPr>
          <w:trHeight w:val="475"/>
        </w:trPr>
        <w:tc>
          <w:tcPr>
            <w:tcW w:w="1713" w:type="dxa"/>
            <w:tcMar>
              <w:left w:w="0" w:type="dxa"/>
            </w:tcMar>
          </w:tcPr>
          <w:p w14:paraId="1E942E38" w14:textId="77777777" w:rsidR="009D4785" w:rsidRDefault="009D4785" w:rsidP="00A96D94">
            <w:pPr>
              <w:pStyle w:val="Marginlie"/>
              <w:rPr>
                <w:color w:val="0D0D0D" w:themeColor="text1" w:themeTint="F2"/>
                <w:spacing w:val="0"/>
              </w:rPr>
            </w:pPr>
            <w:r>
              <w:rPr>
                <w:color w:val="0D0D0D" w:themeColor="text1" w:themeTint="F2"/>
                <w:spacing w:val="0"/>
              </w:rPr>
              <w:t xml:space="preserve">Do přetrvávajících umírněných mzdových temp v průmyslu se promítají složité </w:t>
            </w:r>
            <w:r>
              <w:rPr>
                <w:color w:val="0D0D0D" w:themeColor="text1" w:themeTint="F2"/>
                <w:spacing w:val="0"/>
              </w:rPr>
              <w:lastRenderedPageBreak/>
              <w:t>ekonomické podmínky tohoto odvětví.</w:t>
            </w:r>
          </w:p>
          <w:p w14:paraId="35BDD40A" w14:textId="77777777" w:rsidR="009D4785" w:rsidRDefault="009D4785" w:rsidP="00A96D94">
            <w:pPr>
              <w:pStyle w:val="Marginlie"/>
              <w:rPr>
                <w:color w:val="0D0D0D" w:themeColor="text1" w:themeTint="F2"/>
              </w:rPr>
            </w:pPr>
          </w:p>
          <w:p w14:paraId="4E7C583A" w14:textId="77777777" w:rsidR="009D4785" w:rsidRDefault="009D4785" w:rsidP="00A96D94">
            <w:pPr>
              <w:pStyle w:val="Marginlie"/>
              <w:rPr>
                <w:color w:val="0D0D0D" w:themeColor="text1" w:themeTint="F2"/>
              </w:rPr>
            </w:pPr>
          </w:p>
          <w:p w14:paraId="135185AF" w14:textId="77777777" w:rsidR="009D4785" w:rsidRDefault="009D4785" w:rsidP="00A96D94">
            <w:pPr>
              <w:pStyle w:val="Marginlie"/>
              <w:rPr>
                <w:color w:val="0D0D0D" w:themeColor="text1" w:themeTint="F2"/>
              </w:rPr>
            </w:pPr>
          </w:p>
          <w:p w14:paraId="39825188" w14:textId="77777777" w:rsidR="009D4785" w:rsidRDefault="009D4785" w:rsidP="00A96D94">
            <w:pPr>
              <w:pStyle w:val="Marginlie"/>
              <w:rPr>
                <w:color w:val="0D0D0D" w:themeColor="text1" w:themeTint="F2"/>
              </w:rPr>
            </w:pPr>
          </w:p>
          <w:p w14:paraId="577EA8C5" w14:textId="77777777" w:rsidR="009D4785" w:rsidRDefault="009D4785" w:rsidP="00A96D94">
            <w:pPr>
              <w:pStyle w:val="Marginlie"/>
              <w:rPr>
                <w:color w:val="0D0D0D" w:themeColor="text1" w:themeTint="F2"/>
                <w:spacing w:val="0"/>
              </w:rPr>
            </w:pPr>
          </w:p>
          <w:p w14:paraId="311D69A8" w14:textId="77777777" w:rsidR="009D4785" w:rsidRDefault="009D4785" w:rsidP="00A96D94">
            <w:pPr>
              <w:pStyle w:val="Marginlie"/>
              <w:rPr>
                <w:color w:val="0D0D0D" w:themeColor="text1" w:themeTint="F2"/>
                <w:spacing w:val="0"/>
              </w:rPr>
            </w:pPr>
          </w:p>
          <w:p w14:paraId="506B0E93" w14:textId="77777777" w:rsidR="009D4785" w:rsidRDefault="009D4785" w:rsidP="00A96D94">
            <w:pPr>
              <w:pStyle w:val="Marginlie"/>
              <w:rPr>
                <w:color w:val="0D0D0D" w:themeColor="text1" w:themeTint="F2"/>
                <w:spacing w:val="0"/>
              </w:rPr>
            </w:pPr>
          </w:p>
          <w:p w14:paraId="361AEE40" w14:textId="77777777" w:rsidR="009D4785" w:rsidRDefault="009D4785" w:rsidP="00A96D94">
            <w:pPr>
              <w:pStyle w:val="Marginlie"/>
              <w:rPr>
                <w:color w:val="0D0D0D" w:themeColor="text1" w:themeTint="F2"/>
                <w:spacing w:val="0"/>
              </w:rPr>
            </w:pPr>
            <w:r>
              <w:rPr>
                <w:color w:val="0D0D0D" w:themeColor="text1" w:themeTint="F2"/>
                <w:spacing w:val="0"/>
              </w:rPr>
              <w:t xml:space="preserve">V peněžnictví </w:t>
            </w:r>
            <w:r>
              <w:rPr>
                <w:color w:val="0D0D0D" w:themeColor="text1" w:themeTint="F2"/>
                <w:spacing w:val="0"/>
              </w:rPr>
              <w:br/>
              <w:t>a pojišťovnictví bylo relativní mzdové tempo nadále podprůměrné.</w:t>
            </w:r>
          </w:p>
        </w:tc>
        <w:tc>
          <w:tcPr>
            <w:tcW w:w="189" w:type="dxa"/>
            <w:tcMar>
              <w:left w:w="0" w:type="dxa"/>
            </w:tcMar>
          </w:tcPr>
          <w:p w14:paraId="4232E6B7" w14:textId="77777777" w:rsidR="009D4785" w:rsidRPr="00B43216" w:rsidRDefault="009D4785" w:rsidP="00A96D94">
            <w:pPr>
              <w:pStyle w:val="Textpoznpodarou"/>
              <w:jc w:val="both"/>
              <w:rPr>
                <w:spacing w:val="-4"/>
              </w:rPr>
            </w:pPr>
          </w:p>
        </w:tc>
        <w:tc>
          <w:tcPr>
            <w:tcW w:w="7772" w:type="dxa"/>
            <w:tcMar>
              <w:left w:w="0" w:type="dxa"/>
            </w:tcMar>
          </w:tcPr>
          <w:p w14:paraId="35C9CFAD" w14:textId="77777777" w:rsidR="009D4785" w:rsidRPr="00903591" w:rsidRDefault="009D4785" w:rsidP="00A96D94">
            <w:pPr>
              <w:pStyle w:val="paragraph"/>
              <w:spacing w:before="0" w:beforeAutospacing="0" w:after="0" w:afterAutospacing="0" w:line="276" w:lineRule="auto"/>
              <w:jc w:val="both"/>
              <w:textAlignment w:val="baseline"/>
              <w:rPr>
                <w:rStyle w:val="normaltextrun"/>
                <w:rFonts w:ascii="Arial" w:eastAsiaTheme="majorEastAsia" w:hAnsi="Arial" w:cs="Arial"/>
                <w:color w:val="000000"/>
                <w:sz w:val="20"/>
                <w:szCs w:val="20"/>
              </w:rPr>
            </w:pPr>
            <w:r w:rsidRPr="00903591">
              <w:rPr>
                <w:rStyle w:val="normaltextrun"/>
                <w:rFonts w:ascii="Arial" w:eastAsiaTheme="majorEastAsia" w:hAnsi="Arial" w:cs="Arial"/>
                <w:color w:val="000000"/>
                <w:sz w:val="20"/>
                <w:szCs w:val="20"/>
              </w:rPr>
              <w:t xml:space="preserve">Slabší hospodářské výsledky spolu se stále významnými nákladovými tlaky se propsaly do relativně umírněného růstu mezd ve zpracovatelském průmyslu, jenž ve 4. čtvrtletí 2025 činil 6,8 % (za celý rok 6,6 %). Z hlavních oborů se výdělky zvýšily nejvíce ve výrobě </w:t>
            </w:r>
            <w:r w:rsidRPr="00903591">
              <w:rPr>
                <w:rStyle w:val="normaltextrun"/>
                <w:rFonts w:ascii="Arial" w:eastAsiaTheme="majorEastAsia" w:hAnsi="Arial" w:cs="Arial"/>
                <w:color w:val="000000"/>
                <w:sz w:val="20"/>
                <w:szCs w:val="20"/>
              </w:rPr>
              <w:lastRenderedPageBreak/>
              <w:t xml:space="preserve">motorových vozidel (+7,5 %, na 59,4 tis. korun měsíčně), nejméně v jeho subdodavatelském oboru – gumárenství a </w:t>
            </w:r>
            <w:proofErr w:type="spellStart"/>
            <w:r w:rsidRPr="00903591">
              <w:rPr>
                <w:rStyle w:val="normaltextrun"/>
                <w:rFonts w:ascii="Arial" w:eastAsiaTheme="majorEastAsia" w:hAnsi="Arial" w:cs="Arial"/>
                <w:color w:val="000000"/>
                <w:sz w:val="20"/>
                <w:szCs w:val="20"/>
              </w:rPr>
              <w:t>plastikářství</w:t>
            </w:r>
            <w:proofErr w:type="spellEnd"/>
            <w:r w:rsidRPr="00903591">
              <w:rPr>
                <w:rStyle w:val="normaltextrun"/>
                <w:rFonts w:ascii="Arial" w:eastAsiaTheme="majorEastAsia" w:hAnsi="Arial" w:cs="Arial"/>
                <w:color w:val="000000"/>
                <w:sz w:val="20"/>
                <w:szCs w:val="20"/>
              </w:rPr>
              <w:t xml:space="preserve"> (+5,1 %). Nadále platí, že z hlavních zpracovatelských oborů se počet zaměstnanců zvyšuje jen v potravinářství (v oblasti </w:t>
            </w:r>
            <w:proofErr w:type="spellStart"/>
            <w:r w:rsidRPr="00903591">
              <w:rPr>
                <w:rStyle w:val="normaltextrun"/>
                <w:rFonts w:ascii="Arial" w:eastAsiaTheme="majorEastAsia" w:hAnsi="Arial" w:cs="Arial"/>
                <w:color w:val="000000"/>
                <w:sz w:val="20"/>
                <w:szCs w:val="20"/>
              </w:rPr>
              <w:t>automotive</w:t>
            </w:r>
            <w:proofErr w:type="spellEnd"/>
            <w:r w:rsidRPr="00903591">
              <w:rPr>
                <w:rStyle w:val="normaltextrun"/>
                <w:rFonts w:ascii="Arial" w:eastAsiaTheme="majorEastAsia" w:hAnsi="Arial" w:cs="Arial"/>
                <w:color w:val="000000"/>
                <w:sz w:val="20"/>
                <w:szCs w:val="20"/>
              </w:rPr>
              <w:t xml:space="preserve"> je naopak pokles jeden z nejvyšších: okolo 3 %). V těžbě a</w:t>
            </w:r>
            <w:r>
              <w:rPr>
                <w:rStyle w:val="normaltextrun"/>
                <w:rFonts w:ascii="Arial" w:eastAsiaTheme="majorEastAsia" w:hAnsi="Arial" w:cs="Arial"/>
                <w:color w:val="000000"/>
                <w:sz w:val="20"/>
                <w:szCs w:val="20"/>
              </w:rPr>
              <w:t> </w:t>
            </w:r>
            <w:r w:rsidRPr="00903591">
              <w:rPr>
                <w:rStyle w:val="normaltextrun"/>
                <w:rFonts w:ascii="Arial" w:eastAsiaTheme="majorEastAsia" w:hAnsi="Arial" w:cs="Arial"/>
                <w:color w:val="000000"/>
                <w:sz w:val="20"/>
                <w:szCs w:val="20"/>
              </w:rPr>
              <w:t>dobývání meziročně ubyla skoro desetina pracovníků a průměrná mzda rostla druhým rokem slabším tempem (loni ve 4. čtvrtletí o 4,7 %) a její úroveň (hlavně v celoročním pohledu) se již významně nelišila od celé ekonomiky. V odvětví obchodu, soustřeďujícím skoro třetinu zaměstnanců celého tržního segmentu služeb, se mzdy ve 4. čtvrtletí zvýšily o 7,1 % (celoročně o 6,4 %). Podobně tomu bylo v ubytování a stravování a pohostinství a též v informačních a komunikačních činnostech (ICT). I tak však průměrné výdělky v ICT (90,7 tis. korun) zůstaly mezi odvětvími na špici a oproti ubytování a stravování a</w:t>
            </w:r>
            <w:r>
              <w:rPr>
                <w:rStyle w:val="normaltextrun"/>
                <w:rFonts w:ascii="Arial" w:eastAsiaTheme="majorEastAsia" w:hAnsi="Arial" w:cs="Arial"/>
                <w:color w:val="000000"/>
                <w:sz w:val="20"/>
                <w:szCs w:val="20"/>
              </w:rPr>
              <w:t> </w:t>
            </w:r>
            <w:r w:rsidRPr="00903591">
              <w:rPr>
                <w:rStyle w:val="normaltextrun"/>
                <w:rFonts w:ascii="Arial" w:eastAsiaTheme="majorEastAsia" w:hAnsi="Arial" w:cs="Arial"/>
                <w:color w:val="000000"/>
                <w:sz w:val="20"/>
                <w:szCs w:val="20"/>
              </w:rPr>
              <w:t>pohostinství byly trojnásobně</w:t>
            </w:r>
            <w:r>
              <w:rPr>
                <w:rStyle w:val="normaltextrun"/>
                <w:rFonts w:ascii="Arial" w:eastAsiaTheme="majorEastAsia" w:hAnsi="Arial" w:cs="Arial"/>
                <w:color w:val="000000"/>
                <w:sz w:val="20"/>
                <w:szCs w:val="20"/>
              </w:rPr>
              <w:t xml:space="preserve"> vyšší</w:t>
            </w:r>
            <w:r w:rsidRPr="00903591">
              <w:rPr>
                <w:rStyle w:val="normaltextrun"/>
                <w:rFonts w:ascii="Arial" w:eastAsiaTheme="majorEastAsia" w:hAnsi="Arial" w:cs="Arial"/>
                <w:color w:val="000000"/>
                <w:sz w:val="20"/>
                <w:szCs w:val="20"/>
              </w:rPr>
              <w:t>. V peněžnictví a pojišťovnictví se mzdy zvýšily jen o 3,7 % (za celý loňský rok o 5,2 %, šlo o již třetí rok v řadě o podprůměrné tempo). V</w:t>
            </w:r>
            <w:r>
              <w:rPr>
                <w:rStyle w:val="normaltextrun"/>
                <w:rFonts w:ascii="Arial" w:eastAsiaTheme="majorEastAsia" w:hAnsi="Arial" w:cs="Arial"/>
                <w:color w:val="000000"/>
                <w:sz w:val="20"/>
                <w:szCs w:val="20"/>
              </w:rPr>
              <w:t> </w:t>
            </w:r>
            <w:r w:rsidRPr="00903591">
              <w:rPr>
                <w:rStyle w:val="normaltextrun"/>
                <w:rFonts w:ascii="Arial" w:eastAsiaTheme="majorEastAsia" w:hAnsi="Arial" w:cs="Arial"/>
                <w:color w:val="000000"/>
                <w:sz w:val="20"/>
                <w:szCs w:val="20"/>
              </w:rPr>
              <w:t xml:space="preserve">tomto odvětví však hrají relativně nezanedbatelnou roli i nemzdové finanční benefity (jejichž význam mohl posílit vlivem mírného zvýšení zdanění osob s vysokými příjmy – ve vazbě na konsolidační balíček platný od roku 2024). Nejslabší růst mezd nastal v malém </w:t>
            </w:r>
            <w:proofErr w:type="spellStart"/>
            <w:r w:rsidRPr="00903591">
              <w:rPr>
                <w:rStyle w:val="normaltextrun"/>
                <w:rFonts w:ascii="Arial" w:eastAsiaTheme="majorEastAsia" w:hAnsi="Arial" w:cs="Arial"/>
                <w:color w:val="000000"/>
                <w:sz w:val="20"/>
                <w:szCs w:val="20"/>
              </w:rPr>
              <w:t>nízkovýdělečném</w:t>
            </w:r>
            <w:proofErr w:type="spellEnd"/>
            <w:r w:rsidRPr="00903591">
              <w:rPr>
                <w:rStyle w:val="normaltextrun"/>
                <w:rFonts w:ascii="Arial" w:eastAsiaTheme="majorEastAsia" w:hAnsi="Arial" w:cs="Arial"/>
                <w:color w:val="000000"/>
                <w:sz w:val="20"/>
                <w:szCs w:val="20"/>
              </w:rPr>
              <w:t xml:space="preserve"> odvětví ostatních činností služeb (+3,4 %)</w:t>
            </w:r>
            <w:r w:rsidRPr="00903591">
              <w:rPr>
                <w:rStyle w:val="Znakapoznpodarou"/>
                <w:rFonts w:ascii="Arial" w:eastAsia="MS Gothic" w:hAnsi="Arial" w:cs="Arial"/>
                <w:color w:val="0D0D0D" w:themeColor="text1" w:themeTint="F2"/>
                <w:sz w:val="20"/>
                <w:szCs w:val="20"/>
              </w:rPr>
              <w:footnoteReference w:id="117"/>
            </w:r>
            <w:r w:rsidRPr="00903591">
              <w:rPr>
                <w:rStyle w:val="normaltextrun"/>
                <w:rFonts w:ascii="Arial" w:eastAsiaTheme="majorEastAsia" w:hAnsi="Arial" w:cs="Arial"/>
                <w:color w:val="000000"/>
                <w:sz w:val="20"/>
                <w:szCs w:val="20"/>
              </w:rPr>
              <w:t>.</w:t>
            </w:r>
          </w:p>
          <w:p w14:paraId="1A30E77B" w14:textId="77777777" w:rsidR="009D4785" w:rsidRPr="009A2DB7" w:rsidRDefault="009D4785" w:rsidP="00A96D94">
            <w:pPr>
              <w:pStyle w:val="paragraph"/>
              <w:spacing w:before="0" w:beforeAutospacing="0" w:after="0" w:afterAutospacing="0" w:line="276" w:lineRule="auto"/>
              <w:jc w:val="both"/>
              <w:textAlignment w:val="baseline"/>
              <w:rPr>
                <w:rStyle w:val="normaltextrun"/>
                <w:rFonts w:ascii="Arial" w:eastAsiaTheme="majorEastAsia" w:hAnsi="Arial" w:cs="Arial"/>
                <w:color w:val="000000"/>
                <w:sz w:val="20"/>
                <w:szCs w:val="20"/>
              </w:rPr>
            </w:pPr>
          </w:p>
        </w:tc>
      </w:tr>
      <w:tr w:rsidR="009D4785" w:rsidRPr="00716203" w14:paraId="293804FA" w14:textId="77777777" w:rsidTr="00A96D94">
        <w:trPr>
          <w:trHeight w:val="475"/>
        </w:trPr>
        <w:tc>
          <w:tcPr>
            <w:tcW w:w="1713" w:type="dxa"/>
            <w:tcMar>
              <w:left w:w="0" w:type="dxa"/>
            </w:tcMar>
          </w:tcPr>
          <w:p w14:paraId="1C1904A2" w14:textId="77777777" w:rsidR="009D4785" w:rsidRPr="00A90A79" w:rsidRDefault="009D4785" w:rsidP="00A96D94">
            <w:pPr>
              <w:pStyle w:val="Marginlie"/>
              <w:rPr>
                <w:spacing w:val="-4"/>
              </w:rPr>
            </w:pPr>
            <w:r>
              <w:rPr>
                <w:color w:val="0D0D0D" w:themeColor="text1" w:themeTint="F2"/>
                <w:spacing w:val="0"/>
              </w:rPr>
              <w:lastRenderedPageBreak/>
              <w:t>Relativně nejvyšší růst mezd i zaměstnanosti vykázala mezi kraji nadále Praha.</w:t>
            </w:r>
          </w:p>
        </w:tc>
        <w:tc>
          <w:tcPr>
            <w:tcW w:w="189" w:type="dxa"/>
            <w:tcMar>
              <w:left w:w="0" w:type="dxa"/>
            </w:tcMar>
          </w:tcPr>
          <w:p w14:paraId="06D37AC5" w14:textId="77777777" w:rsidR="009D4785" w:rsidRPr="00B43216" w:rsidRDefault="009D4785" w:rsidP="00A96D94">
            <w:pPr>
              <w:pStyle w:val="Textpoznpodarou"/>
              <w:jc w:val="both"/>
              <w:rPr>
                <w:spacing w:val="-4"/>
              </w:rPr>
            </w:pPr>
          </w:p>
        </w:tc>
        <w:tc>
          <w:tcPr>
            <w:tcW w:w="7772" w:type="dxa"/>
            <w:tcMar>
              <w:left w:w="0" w:type="dxa"/>
            </w:tcMar>
          </w:tcPr>
          <w:p w14:paraId="7A1988B7" w14:textId="77777777" w:rsidR="009D4785" w:rsidRDefault="009D4785" w:rsidP="00A96D94">
            <w:pPr>
              <w:pStyle w:val="paragraph"/>
              <w:spacing w:before="0" w:beforeAutospacing="0" w:after="0" w:afterAutospacing="0" w:line="276" w:lineRule="auto"/>
              <w:jc w:val="both"/>
              <w:textAlignment w:val="baseline"/>
              <w:rPr>
                <w:rStyle w:val="normaltextrun"/>
                <w:rFonts w:ascii="Arial" w:eastAsiaTheme="majorEastAsia" w:hAnsi="Arial" w:cs="Arial"/>
                <w:color w:val="000000"/>
                <w:sz w:val="20"/>
                <w:szCs w:val="20"/>
              </w:rPr>
            </w:pPr>
            <w:r w:rsidRPr="009A2DB7">
              <w:rPr>
                <w:rStyle w:val="normaltextrun"/>
                <w:rFonts w:ascii="Arial" w:eastAsiaTheme="majorEastAsia" w:hAnsi="Arial" w:cs="Arial"/>
                <w:color w:val="000000"/>
                <w:sz w:val="20"/>
                <w:szCs w:val="20"/>
              </w:rPr>
              <w:t xml:space="preserve">Mezi regiony rostly </w:t>
            </w:r>
            <w:r>
              <w:rPr>
                <w:rStyle w:val="normaltextrun"/>
                <w:rFonts w:ascii="Arial" w:eastAsiaTheme="majorEastAsia" w:hAnsi="Arial" w:cs="Arial"/>
                <w:color w:val="000000"/>
                <w:sz w:val="20"/>
                <w:szCs w:val="20"/>
              </w:rPr>
              <w:t xml:space="preserve">loni </w:t>
            </w:r>
            <w:r w:rsidRPr="009A2DB7">
              <w:rPr>
                <w:rStyle w:val="normaltextrun"/>
                <w:rFonts w:ascii="Arial" w:eastAsiaTheme="majorEastAsia" w:hAnsi="Arial" w:cs="Arial"/>
                <w:color w:val="000000"/>
                <w:sz w:val="20"/>
                <w:szCs w:val="20"/>
              </w:rPr>
              <w:t xml:space="preserve">ve </w:t>
            </w:r>
            <w:r>
              <w:rPr>
                <w:rStyle w:val="normaltextrun"/>
                <w:rFonts w:ascii="Arial" w:eastAsiaTheme="majorEastAsia" w:hAnsi="Arial" w:cs="Arial"/>
                <w:color w:val="000000"/>
                <w:sz w:val="20"/>
                <w:szCs w:val="20"/>
              </w:rPr>
              <w:t>4</w:t>
            </w:r>
            <w:r w:rsidRPr="009A2DB7">
              <w:rPr>
                <w:rStyle w:val="normaltextrun"/>
                <w:rFonts w:ascii="Arial" w:eastAsiaTheme="majorEastAsia" w:hAnsi="Arial" w:cs="Arial"/>
                <w:color w:val="000000"/>
                <w:sz w:val="20"/>
                <w:szCs w:val="20"/>
              </w:rPr>
              <w:t>. čtvrtletí průměrné nominální mzdy meziročně nejvíce v Praze (+</w:t>
            </w:r>
            <w:r>
              <w:rPr>
                <w:rStyle w:val="normaltextrun"/>
                <w:rFonts w:ascii="Arial" w:eastAsiaTheme="majorEastAsia" w:hAnsi="Arial" w:cs="Arial"/>
                <w:color w:val="000000"/>
                <w:sz w:val="20"/>
                <w:szCs w:val="20"/>
              </w:rPr>
              <w:t>7,8</w:t>
            </w:r>
            <w:r w:rsidRPr="009A2DB7">
              <w:rPr>
                <w:rStyle w:val="normaltextrun"/>
                <w:rFonts w:ascii="Arial" w:eastAsiaTheme="majorEastAsia" w:hAnsi="Arial" w:cs="Arial"/>
                <w:color w:val="000000"/>
                <w:sz w:val="20"/>
                <w:szCs w:val="20"/>
              </w:rPr>
              <w:t xml:space="preserve"> %</w:t>
            </w:r>
            <w:r>
              <w:rPr>
                <w:rStyle w:val="normaltextrun"/>
                <w:rFonts w:ascii="Arial" w:eastAsiaTheme="majorEastAsia" w:hAnsi="Arial" w:cs="Arial"/>
                <w:color w:val="000000"/>
                <w:sz w:val="20"/>
                <w:szCs w:val="20"/>
              </w:rPr>
              <w:t>, z ostatních krajů v Pardubickém (+7,7 %), Jihomoravském (+7,5 %</w:t>
            </w:r>
            <w:r w:rsidRPr="009A2DB7">
              <w:rPr>
                <w:rStyle w:val="normaltextrun"/>
                <w:rFonts w:ascii="Arial" w:eastAsiaTheme="majorEastAsia" w:hAnsi="Arial" w:cs="Arial"/>
                <w:color w:val="000000"/>
                <w:sz w:val="20"/>
                <w:szCs w:val="20"/>
              </w:rPr>
              <w:t>)</w:t>
            </w:r>
            <w:r>
              <w:rPr>
                <w:rStyle w:val="normaltextrun"/>
                <w:rFonts w:ascii="Arial" w:eastAsiaTheme="majorEastAsia" w:hAnsi="Arial" w:cs="Arial"/>
                <w:color w:val="000000"/>
                <w:sz w:val="20"/>
                <w:szCs w:val="20"/>
              </w:rPr>
              <w:t xml:space="preserve"> a také Moravskoslezském (+7,4 %), ve kterém to ale na rozdíl od výše uvedených regionů bylo spojeno s poklesem zaměstnanosti.</w:t>
            </w:r>
            <w:r w:rsidRPr="009A2DB7">
              <w:rPr>
                <w:rStyle w:val="normaltextrun"/>
                <w:rFonts w:ascii="Arial" w:eastAsiaTheme="majorEastAsia" w:hAnsi="Arial" w:cs="Arial"/>
                <w:color w:val="000000"/>
                <w:sz w:val="20"/>
                <w:szCs w:val="20"/>
              </w:rPr>
              <w:t xml:space="preserve"> </w:t>
            </w:r>
            <w:r>
              <w:rPr>
                <w:rStyle w:val="normaltextrun"/>
                <w:rFonts w:ascii="Arial" w:eastAsiaTheme="majorEastAsia" w:hAnsi="Arial" w:cs="Arial"/>
                <w:color w:val="000000"/>
                <w:sz w:val="20"/>
                <w:szCs w:val="20"/>
              </w:rPr>
              <w:t>N</w:t>
            </w:r>
            <w:r w:rsidRPr="009A2DB7">
              <w:rPr>
                <w:rStyle w:val="normaltextrun"/>
                <w:rFonts w:ascii="Arial" w:eastAsiaTheme="majorEastAsia" w:hAnsi="Arial" w:cs="Arial"/>
                <w:color w:val="000000"/>
                <w:sz w:val="20"/>
                <w:szCs w:val="20"/>
              </w:rPr>
              <w:t xml:space="preserve">ejméně </w:t>
            </w:r>
            <w:r>
              <w:rPr>
                <w:rStyle w:val="normaltextrun"/>
                <w:rFonts w:ascii="Arial" w:eastAsiaTheme="majorEastAsia" w:hAnsi="Arial" w:cs="Arial"/>
                <w:color w:val="000000"/>
                <w:sz w:val="20"/>
                <w:szCs w:val="20"/>
              </w:rPr>
              <w:t>se mzdy zvyšovaly v kraji Karlovarském, Libereckém a Zlínském (od 6,1 % do 6,3 %)</w:t>
            </w:r>
            <w:r w:rsidRPr="009A2DB7">
              <w:rPr>
                <w:rStyle w:val="normaltextrun"/>
                <w:rFonts w:ascii="Arial" w:eastAsiaTheme="majorEastAsia" w:hAnsi="Arial" w:cs="Arial"/>
                <w:color w:val="000000"/>
                <w:sz w:val="20"/>
                <w:szCs w:val="20"/>
              </w:rPr>
              <w:t>.</w:t>
            </w:r>
            <w:r>
              <w:rPr>
                <w:rStyle w:val="normaltextrun"/>
                <w:rFonts w:ascii="Arial" w:eastAsiaTheme="majorEastAsia" w:hAnsi="Arial" w:cs="Arial"/>
                <w:color w:val="000000"/>
                <w:sz w:val="20"/>
                <w:szCs w:val="20"/>
              </w:rPr>
              <w:t xml:space="preserve"> Téměř identický obraz byl patrný i za celý rok 2025. </w:t>
            </w:r>
            <w:r w:rsidRPr="00D27E97">
              <w:rPr>
                <w:rStyle w:val="normaltextrun"/>
                <w:rFonts w:ascii="Arial" w:eastAsiaTheme="majorEastAsia" w:hAnsi="Arial" w:cs="Arial"/>
                <w:color w:val="000000"/>
                <w:sz w:val="20"/>
                <w:szCs w:val="20"/>
              </w:rPr>
              <w:t xml:space="preserve">Mzdová hladina </w:t>
            </w:r>
            <w:r>
              <w:rPr>
                <w:rStyle w:val="normaltextrun"/>
                <w:rFonts w:ascii="Arial" w:eastAsiaTheme="majorEastAsia" w:hAnsi="Arial" w:cs="Arial"/>
                <w:color w:val="000000"/>
                <w:sz w:val="20"/>
                <w:szCs w:val="20"/>
              </w:rPr>
              <w:t xml:space="preserve">aktuálně </w:t>
            </w:r>
            <w:r w:rsidRPr="00D27E97">
              <w:rPr>
                <w:rStyle w:val="normaltextrun"/>
                <w:rFonts w:ascii="Arial" w:eastAsiaTheme="majorEastAsia" w:hAnsi="Arial" w:cs="Arial"/>
                <w:color w:val="000000"/>
                <w:sz w:val="20"/>
                <w:szCs w:val="20"/>
              </w:rPr>
              <w:t>převyš</w:t>
            </w:r>
            <w:r>
              <w:rPr>
                <w:rStyle w:val="normaltextrun"/>
                <w:rFonts w:ascii="Arial" w:eastAsiaTheme="majorEastAsia" w:hAnsi="Arial" w:cs="Arial"/>
                <w:color w:val="000000"/>
                <w:sz w:val="20"/>
                <w:szCs w:val="20"/>
              </w:rPr>
              <w:t>uje</w:t>
            </w:r>
            <w:r w:rsidRPr="00D27E97">
              <w:rPr>
                <w:rStyle w:val="normaltextrun"/>
                <w:rFonts w:ascii="Arial" w:eastAsiaTheme="majorEastAsia" w:hAnsi="Arial" w:cs="Arial"/>
                <w:color w:val="000000"/>
                <w:sz w:val="20"/>
                <w:szCs w:val="20"/>
              </w:rPr>
              <w:t xml:space="preserve"> úroveň celé ekonomiky jen </w:t>
            </w:r>
            <w:r>
              <w:rPr>
                <w:rStyle w:val="normaltextrun"/>
                <w:rFonts w:ascii="Arial" w:eastAsiaTheme="majorEastAsia" w:hAnsi="Arial" w:cs="Arial"/>
                <w:color w:val="000000"/>
                <w:sz w:val="20"/>
                <w:szCs w:val="20"/>
              </w:rPr>
              <w:t>v</w:t>
            </w:r>
            <w:r>
              <w:rPr>
                <w:rStyle w:val="normaltextrun"/>
                <w:rFonts w:ascii="Arial" w:eastAsiaTheme="majorEastAsia" w:hAnsi="Arial" w:cs="Arial"/>
                <w:color w:val="000000"/>
              </w:rPr>
              <w:t xml:space="preserve"> </w:t>
            </w:r>
            <w:r w:rsidRPr="00D27E97">
              <w:rPr>
                <w:rStyle w:val="normaltextrun"/>
                <w:rFonts w:ascii="Arial" w:eastAsiaTheme="majorEastAsia" w:hAnsi="Arial" w:cs="Arial"/>
                <w:color w:val="000000"/>
                <w:sz w:val="20"/>
                <w:szCs w:val="20"/>
              </w:rPr>
              <w:t>Praze (+2</w:t>
            </w:r>
            <w:r>
              <w:rPr>
                <w:rStyle w:val="normaltextrun"/>
                <w:rFonts w:ascii="Arial" w:eastAsiaTheme="majorEastAsia" w:hAnsi="Arial" w:cs="Arial"/>
                <w:color w:val="000000"/>
                <w:sz w:val="20"/>
                <w:szCs w:val="20"/>
              </w:rPr>
              <w:t>4</w:t>
            </w:r>
            <w:r w:rsidRPr="00D27E97">
              <w:rPr>
                <w:rStyle w:val="normaltextrun"/>
                <w:rFonts w:ascii="Arial" w:eastAsiaTheme="majorEastAsia" w:hAnsi="Arial" w:cs="Arial"/>
                <w:color w:val="000000"/>
                <w:sz w:val="20"/>
                <w:szCs w:val="20"/>
              </w:rPr>
              <w:t xml:space="preserve"> %) a těsně pod průměrem byla</w:t>
            </w:r>
            <w:r>
              <w:rPr>
                <w:rStyle w:val="normaltextrun"/>
                <w:rFonts w:ascii="Arial" w:eastAsiaTheme="majorEastAsia" w:hAnsi="Arial" w:cs="Arial"/>
                <w:color w:val="000000"/>
                <w:sz w:val="20"/>
                <w:szCs w:val="20"/>
              </w:rPr>
              <w:t xml:space="preserve"> v</w:t>
            </w:r>
            <w:r w:rsidRPr="00D27E97">
              <w:rPr>
                <w:rStyle w:val="normaltextrun"/>
                <w:rFonts w:ascii="Arial" w:eastAsiaTheme="majorEastAsia" w:hAnsi="Arial" w:cs="Arial"/>
                <w:color w:val="000000"/>
                <w:sz w:val="20"/>
                <w:szCs w:val="20"/>
              </w:rPr>
              <w:t xml:space="preserve"> kraji Středočeském a Jihomoravském, naopak zaostávala nejvíce v kraji Karlovarském (</w:t>
            </w:r>
            <w:r>
              <w:rPr>
                <w:rStyle w:val="normaltextrun"/>
                <w:rFonts w:ascii="Arial" w:eastAsiaTheme="majorEastAsia" w:hAnsi="Arial" w:cs="Arial"/>
                <w:color w:val="000000"/>
                <w:sz w:val="20"/>
                <w:szCs w:val="20"/>
              </w:rPr>
              <w:t>−</w:t>
            </w:r>
            <w:r w:rsidRPr="00D27E97">
              <w:rPr>
                <w:rStyle w:val="normaltextrun"/>
                <w:rFonts w:ascii="Arial" w:eastAsiaTheme="majorEastAsia" w:hAnsi="Arial" w:cs="Arial"/>
                <w:color w:val="000000"/>
                <w:sz w:val="20"/>
                <w:szCs w:val="20"/>
              </w:rPr>
              <w:t xml:space="preserve">14 %) a o desetinu v Libereckém, </w:t>
            </w:r>
            <w:r>
              <w:rPr>
                <w:rStyle w:val="normaltextrun"/>
                <w:rFonts w:ascii="Arial" w:eastAsiaTheme="majorEastAsia" w:hAnsi="Arial" w:cs="Arial"/>
                <w:color w:val="000000"/>
                <w:sz w:val="20"/>
                <w:szCs w:val="20"/>
              </w:rPr>
              <w:t>Olomouckém,</w:t>
            </w:r>
            <w:r w:rsidRPr="00D27E97">
              <w:rPr>
                <w:rStyle w:val="normaltextrun"/>
                <w:rFonts w:ascii="Arial" w:eastAsiaTheme="majorEastAsia" w:hAnsi="Arial" w:cs="Arial"/>
                <w:color w:val="000000"/>
                <w:sz w:val="20"/>
                <w:szCs w:val="20"/>
              </w:rPr>
              <w:t xml:space="preserve"> Zlínském </w:t>
            </w:r>
            <w:r>
              <w:rPr>
                <w:rStyle w:val="normaltextrun"/>
                <w:rFonts w:ascii="Arial" w:eastAsiaTheme="majorEastAsia" w:hAnsi="Arial" w:cs="Arial"/>
                <w:color w:val="000000"/>
                <w:sz w:val="20"/>
                <w:szCs w:val="20"/>
              </w:rPr>
              <w:t xml:space="preserve">a Moravskoslezském </w:t>
            </w:r>
            <w:r w:rsidRPr="00D27E97">
              <w:rPr>
                <w:rStyle w:val="normaltextrun"/>
                <w:rFonts w:ascii="Arial" w:eastAsiaTheme="majorEastAsia" w:hAnsi="Arial" w:cs="Arial"/>
                <w:color w:val="000000"/>
                <w:sz w:val="20"/>
                <w:szCs w:val="20"/>
              </w:rPr>
              <w:t>kraji.</w:t>
            </w:r>
          </w:p>
          <w:p w14:paraId="409EDAAD" w14:textId="77777777" w:rsidR="009D4785" w:rsidRDefault="009D4785" w:rsidP="00A96D94">
            <w:pPr>
              <w:spacing w:after="0"/>
              <w:rPr>
                <w:rFonts w:cs="Arial"/>
                <w:color w:val="0D0D0D" w:themeColor="text1" w:themeTint="F2"/>
                <w:spacing w:val="-4"/>
                <w:sz w:val="14"/>
                <w:szCs w:val="14"/>
              </w:rPr>
            </w:pPr>
          </w:p>
        </w:tc>
      </w:tr>
      <w:tr w:rsidR="009D4785" w:rsidRPr="00716203" w14:paraId="5152B5E3" w14:textId="77777777" w:rsidTr="00A96D94">
        <w:trPr>
          <w:trHeight w:val="475"/>
        </w:trPr>
        <w:tc>
          <w:tcPr>
            <w:tcW w:w="1713" w:type="dxa"/>
            <w:tcMar>
              <w:left w:w="0" w:type="dxa"/>
            </w:tcMar>
          </w:tcPr>
          <w:p w14:paraId="6523B466" w14:textId="77777777" w:rsidR="009D4785" w:rsidRDefault="009D4785" w:rsidP="00A96D94">
            <w:pPr>
              <w:pStyle w:val="Marginlie"/>
              <w:rPr>
                <w:color w:val="0D0D0D" w:themeColor="text1" w:themeTint="F2"/>
                <w:spacing w:val="-4"/>
              </w:rPr>
            </w:pPr>
            <w:r>
              <w:rPr>
                <w:color w:val="0D0D0D" w:themeColor="text1" w:themeTint="F2"/>
                <w:spacing w:val="-4"/>
              </w:rPr>
              <w:t>Mzdový růst</w:t>
            </w:r>
            <w:r w:rsidRPr="00A3758A">
              <w:rPr>
                <w:color w:val="0D0D0D" w:themeColor="text1" w:themeTint="F2"/>
                <w:spacing w:val="-4"/>
              </w:rPr>
              <w:t xml:space="preserve"> nejhůře placený</w:t>
            </w:r>
            <w:r>
              <w:rPr>
                <w:color w:val="0D0D0D" w:themeColor="text1" w:themeTint="F2"/>
                <w:spacing w:val="-4"/>
              </w:rPr>
              <w:t>ch</w:t>
            </w:r>
            <w:r w:rsidRPr="00A3758A">
              <w:rPr>
                <w:color w:val="0D0D0D" w:themeColor="text1" w:themeTint="F2"/>
                <w:spacing w:val="-4"/>
              </w:rPr>
              <w:t xml:space="preserve"> zaměstnanců</w:t>
            </w:r>
            <w:r>
              <w:rPr>
                <w:color w:val="0D0D0D" w:themeColor="text1" w:themeTint="F2"/>
                <w:spacing w:val="-4"/>
              </w:rPr>
              <w:t xml:space="preserve"> na konci roku výrazně zrychlil</w:t>
            </w:r>
            <w:r w:rsidRPr="00A3758A">
              <w:rPr>
                <w:color w:val="0D0D0D" w:themeColor="text1" w:themeTint="F2"/>
                <w:spacing w:val="-4"/>
              </w:rPr>
              <w:t xml:space="preserve">. </w:t>
            </w:r>
          </w:p>
          <w:p w14:paraId="25CC9522" w14:textId="77777777" w:rsidR="009D4785" w:rsidRDefault="009D4785" w:rsidP="00A96D94">
            <w:pPr>
              <w:pStyle w:val="Marginlie"/>
              <w:rPr>
                <w:color w:val="0D0D0D" w:themeColor="text1" w:themeTint="F2"/>
                <w:spacing w:val="-4"/>
              </w:rPr>
            </w:pPr>
          </w:p>
          <w:p w14:paraId="3481F84B" w14:textId="77777777" w:rsidR="009D4785" w:rsidRDefault="009D4785" w:rsidP="00A96D94">
            <w:pPr>
              <w:pStyle w:val="Marginlie"/>
              <w:rPr>
                <w:color w:val="0D0D0D" w:themeColor="text1" w:themeTint="F2"/>
                <w:spacing w:val="-4"/>
              </w:rPr>
            </w:pPr>
          </w:p>
          <w:p w14:paraId="791F1EE6" w14:textId="77777777" w:rsidR="009D4785" w:rsidRDefault="009D4785" w:rsidP="00A96D94">
            <w:pPr>
              <w:pStyle w:val="Marginlie"/>
              <w:rPr>
                <w:color w:val="0D0D0D" w:themeColor="text1" w:themeTint="F2"/>
                <w:spacing w:val="-4"/>
              </w:rPr>
            </w:pPr>
          </w:p>
          <w:p w14:paraId="39F14C99" w14:textId="77777777" w:rsidR="009D4785" w:rsidRPr="00A90A79" w:rsidRDefault="009D4785" w:rsidP="00A96D94">
            <w:pPr>
              <w:pStyle w:val="Marginlie"/>
              <w:rPr>
                <w:spacing w:val="-4"/>
              </w:rPr>
            </w:pPr>
            <w:r w:rsidRPr="00A3758A">
              <w:rPr>
                <w:color w:val="0D0D0D" w:themeColor="text1" w:themeTint="F2"/>
                <w:spacing w:val="-4"/>
              </w:rPr>
              <w:t xml:space="preserve">Celkové mzdové diference </w:t>
            </w:r>
            <w:r>
              <w:rPr>
                <w:color w:val="0D0D0D" w:themeColor="text1" w:themeTint="F2"/>
                <w:spacing w:val="-4"/>
              </w:rPr>
              <w:t xml:space="preserve">meziročně narostly. Mezera ve výdělcích mezi muži </w:t>
            </w:r>
            <w:r>
              <w:rPr>
                <w:color w:val="0D0D0D" w:themeColor="text1" w:themeTint="F2"/>
                <w:spacing w:val="-4"/>
              </w:rPr>
              <w:br/>
              <w:t>a ženami se ale zúžila.</w:t>
            </w:r>
          </w:p>
        </w:tc>
        <w:tc>
          <w:tcPr>
            <w:tcW w:w="189" w:type="dxa"/>
            <w:tcMar>
              <w:left w:w="0" w:type="dxa"/>
            </w:tcMar>
          </w:tcPr>
          <w:p w14:paraId="79146AE9" w14:textId="77777777" w:rsidR="009D4785" w:rsidRPr="00B43216" w:rsidRDefault="009D4785" w:rsidP="00A96D94">
            <w:pPr>
              <w:pStyle w:val="Textpoznpodarou"/>
              <w:jc w:val="both"/>
              <w:rPr>
                <w:spacing w:val="-4"/>
              </w:rPr>
            </w:pPr>
          </w:p>
        </w:tc>
        <w:tc>
          <w:tcPr>
            <w:tcW w:w="7772" w:type="dxa"/>
            <w:tcMar>
              <w:left w:w="0" w:type="dxa"/>
            </w:tcMar>
          </w:tcPr>
          <w:p w14:paraId="1F566AFA" w14:textId="77777777" w:rsidR="009D4785" w:rsidRPr="00321922" w:rsidRDefault="009D4785" w:rsidP="00A96D94">
            <w:pPr>
              <w:pStyle w:val="paragraph"/>
              <w:spacing w:before="0" w:beforeAutospacing="0" w:after="0" w:afterAutospacing="0" w:line="276" w:lineRule="auto"/>
              <w:jc w:val="both"/>
              <w:textAlignment w:val="baseline"/>
              <w:rPr>
                <w:rFonts w:ascii="Arial" w:eastAsiaTheme="majorEastAsia" w:hAnsi="Arial" w:cs="Arial"/>
                <w:color w:val="000000"/>
                <w:sz w:val="20"/>
                <w:szCs w:val="20"/>
              </w:rPr>
            </w:pPr>
            <w:r w:rsidRPr="00D27E97">
              <w:rPr>
                <w:rStyle w:val="normaltextrun"/>
                <w:rFonts w:ascii="Arial" w:eastAsiaTheme="majorEastAsia" w:hAnsi="Arial" w:cs="Arial"/>
                <w:color w:val="000000"/>
                <w:sz w:val="20"/>
                <w:szCs w:val="20"/>
              </w:rPr>
              <w:t xml:space="preserve">Medián mezd </w:t>
            </w:r>
            <w:r>
              <w:rPr>
                <w:rStyle w:val="normaltextrun"/>
                <w:rFonts w:ascii="Arial" w:eastAsiaTheme="majorEastAsia" w:hAnsi="Arial" w:cs="Arial"/>
                <w:color w:val="000000"/>
                <w:sz w:val="20"/>
                <w:szCs w:val="20"/>
              </w:rPr>
              <w:t xml:space="preserve">dosáhl </w:t>
            </w:r>
            <w:r w:rsidRPr="00D27E97">
              <w:rPr>
                <w:rStyle w:val="normaltextrun"/>
                <w:rFonts w:ascii="Arial" w:eastAsiaTheme="majorEastAsia" w:hAnsi="Arial" w:cs="Arial"/>
                <w:color w:val="000000"/>
                <w:sz w:val="20"/>
                <w:szCs w:val="20"/>
              </w:rPr>
              <w:t xml:space="preserve">ve </w:t>
            </w:r>
            <w:r>
              <w:rPr>
                <w:rStyle w:val="normaltextrun"/>
                <w:rFonts w:ascii="Arial" w:eastAsiaTheme="majorEastAsia" w:hAnsi="Arial" w:cs="Arial"/>
                <w:color w:val="000000"/>
                <w:sz w:val="20"/>
                <w:szCs w:val="20"/>
              </w:rPr>
              <w:t>4</w:t>
            </w:r>
            <w:r w:rsidRPr="00D27E97">
              <w:rPr>
                <w:rStyle w:val="normaltextrun"/>
                <w:rFonts w:ascii="Arial" w:eastAsiaTheme="majorEastAsia" w:hAnsi="Arial" w:cs="Arial"/>
                <w:color w:val="000000"/>
                <w:sz w:val="20"/>
                <w:szCs w:val="20"/>
              </w:rPr>
              <w:t>. čtvrtletí 4</w:t>
            </w:r>
            <w:r>
              <w:rPr>
                <w:rStyle w:val="normaltextrun"/>
                <w:rFonts w:ascii="Arial" w:eastAsiaTheme="majorEastAsia" w:hAnsi="Arial" w:cs="Arial"/>
                <w:color w:val="000000"/>
                <w:sz w:val="20"/>
                <w:szCs w:val="20"/>
              </w:rPr>
              <w:t>5</w:t>
            </w:r>
            <w:r w:rsidRPr="00D27E97">
              <w:rPr>
                <w:rStyle w:val="normaltextrun"/>
                <w:rFonts w:ascii="Arial" w:eastAsiaTheme="majorEastAsia" w:hAnsi="Arial" w:cs="Arial"/>
                <w:color w:val="000000"/>
                <w:sz w:val="20"/>
                <w:szCs w:val="20"/>
              </w:rPr>
              <w:t>,</w:t>
            </w:r>
            <w:r>
              <w:rPr>
                <w:rStyle w:val="normaltextrun"/>
                <w:rFonts w:ascii="Arial" w:eastAsiaTheme="majorEastAsia" w:hAnsi="Arial" w:cs="Arial"/>
                <w:color w:val="000000"/>
                <w:sz w:val="20"/>
                <w:szCs w:val="20"/>
              </w:rPr>
              <w:t>5</w:t>
            </w:r>
            <w:r w:rsidRPr="00D27E97">
              <w:rPr>
                <w:rStyle w:val="normaltextrun"/>
                <w:rFonts w:ascii="Arial" w:eastAsiaTheme="majorEastAsia" w:hAnsi="Arial" w:cs="Arial"/>
                <w:color w:val="000000"/>
                <w:sz w:val="20"/>
                <w:szCs w:val="20"/>
              </w:rPr>
              <w:t xml:space="preserve"> tis. korun</w:t>
            </w:r>
            <w:r>
              <w:rPr>
                <w:rStyle w:val="normaltextrun"/>
                <w:rFonts w:ascii="Arial" w:eastAsiaTheme="majorEastAsia" w:hAnsi="Arial" w:cs="Arial"/>
                <w:color w:val="000000"/>
                <w:sz w:val="20"/>
                <w:szCs w:val="20"/>
              </w:rPr>
              <w:t xml:space="preserve"> měsíčně</w:t>
            </w:r>
            <w:r w:rsidRPr="00D27E97">
              <w:rPr>
                <w:rStyle w:val="normaltextrun"/>
                <w:rFonts w:ascii="Arial" w:eastAsiaTheme="majorEastAsia" w:hAnsi="Arial" w:cs="Arial"/>
                <w:color w:val="000000"/>
                <w:sz w:val="20"/>
                <w:szCs w:val="20"/>
              </w:rPr>
              <w:t xml:space="preserve"> </w:t>
            </w:r>
            <w:r>
              <w:rPr>
                <w:rStyle w:val="normaltextrun"/>
                <w:rFonts w:ascii="Arial" w:eastAsiaTheme="majorEastAsia" w:hAnsi="Arial" w:cs="Arial"/>
                <w:color w:val="000000"/>
                <w:sz w:val="20"/>
                <w:szCs w:val="20"/>
              </w:rPr>
              <w:t xml:space="preserve">a </w:t>
            </w:r>
            <w:r w:rsidRPr="00D27E97">
              <w:rPr>
                <w:rStyle w:val="normaltextrun"/>
                <w:rFonts w:ascii="Arial" w:eastAsiaTheme="majorEastAsia" w:hAnsi="Arial" w:cs="Arial"/>
                <w:color w:val="000000"/>
                <w:sz w:val="20"/>
                <w:szCs w:val="20"/>
              </w:rPr>
              <w:t xml:space="preserve">vzrostl meziročně o </w:t>
            </w:r>
            <w:r>
              <w:rPr>
                <w:rStyle w:val="normaltextrun"/>
                <w:rFonts w:ascii="Arial" w:eastAsiaTheme="majorEastAsia" w:hAnsi="Arial" w:cs="Arial"/>
                <w:color w:val="000000"/>
                <w:sz w:val="20"/>
                <w:szCs w:val="20"/>
              </w:rPr>
              <w:t>8</w:t>
            </w:r>
            <w:r w:rsidRPr="00D27E97">
              <w:rPr>
                <w:rStyle w:val="normaltextrun"/>
                <w:rFonts w:ascii="Arial" w:eastAsiaTheme="majorEastAsia" w:hAnsi="Arial" w:cs="Arial"/>
                <w:color w:val="000000"/>
                <w:sz w:val="20"/>
                <w:szCs w:val="20"/>
              </w:rPr>
              <w:t>,</w:t>
            </w:r>
            <w:r>
              <w:rPr>
                <w:rStyle w:val="normaltextrun"/>
                <w:rFonts w:ascii="Arial" w:eastAsiaTheme="majorEastAsia" w:hAnsi="Arial" w:cs="Arial"/>
                <w:color w:val="000000"/>
                <w:sz w:val="20"/>
                <w:szCs w:val="20"/>
              </w:rPr>
              <w:t>8</w:t>
            </w:r>
            <w:r w:rsidRPr="00D27E97">
              <w:rPr>
                <w:rStyle w:val="normaltextrun"/>
                <w:rFonts w:ascii="Arial" w:eastAsiaTheme="majorEastAsia" w:hAnsi="Arial" w:cs="Arial"/>
                <w:color w:val="000000"/>
                <w:sz w:val="20"/>
                <w:szCs w:val="20"/>
              </w:rPr>
              <w:t xml:space="preserve"> %</w:t>
            </w:r>
            <w:r>
              <w:rPr>
                <w:rStyle w:val="normaltextrun"/>
                <w:rFonts w:ascii="Arial" w:eastAsiaTheme="majorEastAsia" w:hAnsi="Arial" w:cs="Arial"/>
                <w:color w:val="000000"/>
                <w:sz w:val="20"/>
                <w:szCs w:val="20"/>
              </w:rPr>
              <w:t xml:space="preserve">, tedy nejvíce za posledních čtyři a půl roku (celoroční mzdový medián dosáhl loni 44,3 tis. korun, meziročně +6,4 %). Rychleji rostl na konci roku u žen (9,5 %, na 42,7 tis.). </w:t>
            </w:r>
            <w:r w:rsidRPr="00D27E97">
              <w:rPr>
                <w:rStyle w:val="normaltextrun"/>
                <w:rFonts w:ascii="Arial" w:eastAsiaTheme="majorEastAsia" w:hAnsi="Arial" w:cs="Arial"/>
                <w:color w:val="000000"/>
                <w:sz w:val="20"/>
                <w:szCs w:val="20"/>
              </w:rPr>
              <w:t xml:space="preserve">Desetina zaměstnanců s nejnižšími mzdami pobírala hrubou </w:t>
            </w:r>
            <w:r>
              <w:rPr>
                <w:rStyle w:val="normaltextrun"/>
                <w:rFonts w:ascii="Arial" w:eastAsiaTheme="majorEastAsia" w:hAnsi="Arial" w:cs="Arial"/>
                <w:color w:val="000000"/>
                <w:sz w:val="20"/>
                <w:szCs w:val="20"/>
              </w:rPr>
              <w:t xml:space="preserve">měsíční </w:t>
            </w:r>
            <w:r w:rsidRPr="00D27E97">
              <w:rPr>
                <w:rStyle w:val="normaltextrun"/>
                <w:rFonts w:ascii="Arial" w:eastAsiaTheme="majorEastAsia" w:hAnsi="Arial" w:cs="Arial"/>
                <w:color w:val="000000"/>
                <w:sz w:val="20"/>
                <w:szCs w:val="20"/>
              </w:rPr>
              <w:t>mzdu pod hranicí 2</w:t>
            </w:r>
            <w:r>
              <w:rPr>
                <w:rStyle w:val="normaltextrun"/>
                <w:rFonts w:ascii="Arial" w:eastAsiaTheme="majorEastAsia" w:hAnsi="Arial" w:cs="Arial"/>
                <w:color w:val="000000"/>
                <w:sz w:val="20"/>
                <w:szCs w:val="20"/>
              </w:rPr>
              <w:t>3,3 tis.</w:t>
            </w:r>
            <w:r w:rsidRPr="00D27E97">
              <w:rPr>
                <w:rStyle w:val="normaltextrun"/>
                <w:rFonts w:ascii="Arial" w:eastAsiaTheme="majorEastAsia" w:hAnsi="Arial" w:cs="Arial"/>
                <w:color w:val="000000"/>
                <w:sz w:val="20"/>
                <w:szCs w:val="20"/>
              </w:rPr>
              <w:t> korun (dolní decil meziročně vzrostl o </w:t>
            </w:r>
            <w:r>
              <w:rPr>
                <w:rStyle w:val="normaltextrun"/>
                <w:rFonts w:ascii="Arial" w:eastAsiaTheme="majorEastAsia" w:hAnsi="Arial" w:cs="Arial"/>
                <w:color w:val="000000"/>
                <w:sz w:val="20"/>
                <w:szCs w:val="20"/>
              </w:rPr>
              <w:t>vysokých 13,8</w:t>
            </w:r>
            <w:r w:rsidRPr="00D27E97">
              <w:rPr>
                <w:rStyle w:val="normaltextrun"/>
                <w:rFonts w:ascii="Arial" w:eastAsiaTheme="majorEastAsia" w:hAnsi="Arial" w:cs="Arial"/>
                <w:color w:val="000000"/>
                <w:sz w:val="20"/>
                <w:szCs w:val="20"/>
              </w:rPr>
              <w:t> %), desetina s nejvyššími mzdami měla výdělky nad hranicí 8</w:t>
            </w:r>
            <w:r>
              <w:rPr>
                <w:rStyle w:val="normaltextrun"/>
                <w:rFonts w:ascii="Arial" w:eastAsiaTheme="majorEastAsia" w:hAnsi="Arial" w:cs="Arial"/>
                <w:color w:val="000000"/>
                <w:sz w:val="20"/>
                <w:szCs w:val="20"/>
              </w:rPr>
              <w:t xml:space="preserve">9,0 tis. </w:t>
            </w:r>
            <w:r w:rsidRPr="00D27E97">
              <w:rPr>
                <w:rStyle w:val="normaltextrun"/>
                <w:rFonts w:ascii="Arial" w:eastAsiaTheme="majorEastAsia" w:hAnsi="Arial" w:cs="Arial"/>
                <w:color w:val="000000"/>
                <w:sz w:val="20"/>
                <w:szCs w:val="20"/>
              </w:rPr>
              <w:t>korun (horní decil se zvýšil o</w:t>
            </w:r>
            <w:r>
              <w:rPr>
                <w:rStyle w:val="normaltextrun"/>
                <w:rFonts w:ascii="Arial" w:eastAsiaTheme="majorEastAsia" w:hAnsi="Arial" w:cs="Arial"/>
                <w:color w:val="000000"/>
                <w:sz w:val="20"/>
                <w:szCs w:val="20"/>
              </w:rPr>
              <w:t xml:space="preserve"> 7,8</w:t>
            </w:r>
            <w:r w:rsidRPr="00D27E97">
              <w:rPr>
                <w:rStyle w:val="normaltextrun"/>
                <w:rFonts w:ascii="Arial" w:eastAsiaTheme="majorEastAsia" w:hAnsi="Arial" w:cs="Arial"/>
                <w:color w:val="000000"/>
                <w:sz w:val="20"/>
                <w:szCs w:val="20"/>
              </w:rPr>
              <w:t xml:space="preserve"> %). Celkové mzdové diference se </w:t>
            </w:r>
            <w:r>
              <w:rPr>
                <w:rStyle w:val="normaltextrun"/>
                <w:rFonts w:ascii="Arial" w:eastAsiaTheme="majorEastAsia" w:hAnsi="Arial" w:cs="Arial"/>
                <w:color w:val="000000"/>
                <w:sz w:val="20"/>
                <w:szCs w:val="20"/>
              </w:rPr>
              <w:t>t</w:t>
            </w:r>
            <w:r w:rsidRPr="00A06E07">
              <w:rPr>
                <w:rStyle w:val="normaltextrun"/>
                <w:rFonts w:ascii="Arial" w:eastAsiaTheme="majorEastAsia" w:hAnsi="Arial" w:cs="Arial"/>
                <w:color w:val="000000"/>
                <w:sz w:val="20"/>
                <w:szCs w:val="20"/>
              </w:rPr>
              <w:t xml:space="preserve">ak ve 4. čtvrtletí </w:t>
            </w:r>
            <w:r w:rsidRPr="00D27E97">
              <w:rPr>
                <w:rStyle w:val="normaltextrun"/>
                <w:rFonts w:ascii="Arial" w:eastAsiaTheme="majorEastAsia" w:hAnsi="Arial" w:cs="Arial"/>
                <w:color w:val="000000"/>
                <w:sz w:val="20"/>
                <w:szCs w:val="20"/>
              </w:rPr>
              <w:t xml:space="preserve">meziročně </w:t>
            </w:r>
            <w:r>
              <w:rPr>
                <w:rStyle w:val="normaltextrun"/>
                <w:rFonts w:ascii="Arial" w:eastAsiaTheme="majorEastAsia" w:hAnsi="Arial" w:cs="Arial"/>
                <w:color w:val="000000"/>
                <w:sz w:val="20"/>
                <w:szCs w:val="20"/>
              </w:rPr>
              <w:t>snížily (v předchozí části loňského roku se však téměř neměnily)</w:t>
            </w:r>
            <w:r w:rsidRPr="00D27E97">
              <w:rPr>
                <w:rStyle w:val="normaltextrun"/>
                <w:rFonts w:ascii="Arial" w:eastAsiaTheme="majorEastAsia" w:hAnsi="Arial" w:cs="Arial"/>
                <w:color w:val="000000"/>
                <w:sz w:val="20"/>
                <w:szCs w:val="20"/>
              </w:rPr>
              <w:t xml:space="preserve">. Mezera v prostředních výdělcích dle pohlaví </w:t>
            </w:r>
            <w:r>
              <w:rPr>
                <w:rStyle w:val="normaltextrun"/>
                <w:rFonts w:ascii="Arial" w:eastAsiaTheme="majorEastAsia" w:hAnsi="Arial" w:cs="Arial"/>
                <w:color w:val="000000"/>
                <w:sz w:val="20"/>
                <w:szCs w:val="20"/>
              </w:rPr>
              <w:t>klesla o 1 p. b. a činila</w:t>
            </w:r>
            <w:r w:rsidRPr="00D27E97">
              <w:rPr>
                <w:rStyle w:val="normaltextrun"/>
                <w:rFonts w:ascii="Arial" w:eastAsiaTheme="majorEastAsia" w:hAnsi="Arial" w:cs="Arial"/>
                <w:color w:val="000000"/>
                <w:sz w:val="20"/>
                <w:szCs w:val="20"/>
              </w:rPr>
              <w:t xml:space="preserve"> 1</w:t>
            </w:r>
            <w:r>
              <w:rPr>
                <w:rStyle w:val="normaltextrun"/>
                <w:rFonts w:ascii="Arial" w:eastAsiaTheme="majorEastAsia" w:hAnsi="Arial" w:cs="Arial"/>
                <w:color w:val="000000"/>
                <w:sz w:val="20"/>
                <w:szCs w:val="20"/>
              </w:rPr>
              <w:t>1</w:t>
            </w:r>
            <w:r w:rsidRPr="00D27E97">
              <w:rPr>
                <w:rStyle w:val="normaltextrun"/>
                <w:rFonts w:ascii="Arial" w:eastAsiaTheme="majorEastAsia" w:hAnsi="Arial" w:cs="Arial"/>
                <w:color w:val="000000"/>
                <w:sz w:val="20"/>
                <w:szCs w:val="20"/>
              </w:rPr>
              <w:t>,</w:t>
            </w:r>
            <w:r>
              <w:rPr>
                <w:rStyle w:val="normaltextrun"/>
                <w:rFonts w:ascii="Arial" w:eastAsiaTheme="majorEastAsia" w:hAnsi="Arial" w:cs="Arial"/>
                <w:color w:val="000000"/>
                <w:sz w:val="20"/>
                <w:szCs w:val="20"/>
              </w:rPr>
              <w:t>7</w:t>
            </w:r>
            <w:r w:rsidRPr="00D27E97">
              <w:rPr>
                <w:rStyle w:val="normaltextrun"/>
                <w:rFonts w:ascii="Arial" w:eastAsiaTheme="majorEastAsia" w:hAnsi="Arial" w:cs="Arial"/>
                <w:color w:val="000000"/>
                <w:sz w:val="20"/>
                <w:szCs w:val="20"/>
              </w:rPr>
              <w:t> %</w:t>
            </w:r>
            <w:r>
              <w:rPr>
                <w:rStyle w:val="normaltextrun"/>
                <w:rFonts w:ascii="Arial" w:eastAsiaTheme="majorEastAsia" w:hAnsi="Arial" w:cs="Arial"/>
                <w:color w:val="000000"/>
                <w:sz w:val="20"/>
                <w:szCs w:val="20"/>
              </w:rPr>
              <w:t xml:space="preserve"> (u výdělků na dolním decilu byl rozdíl jen 3,8 %)</w:t>
            </w:r>
            <w:r w:rsidRPr="00D27E97">
              <w:rPr>
                <w:rStyle w:val="normaltextrun"/>
                <w:rFonts w:ascii="Arial" w:eastAsiaTheme="majorEastAsia" w:hAnsi="Arial" w:cs="Arial"/>
                <w:color w:val="000000"/>
                <w:sz w:val="20"/>
                <w:szCs w:val="20"/>
              </w:rPr>
              <w:t>.</w:t>
            </w:r>
            <w:r>
              <w:rPr>
                <w:rStyle w:val="normaltextrun"/>
                <w:rFonts w:ascii="Arial" w:eastAsiaTheme="majorEastAsia" w:hAnsi="Arial" w:cs="Arial"/>
                <w:color w:val="000000"/>
                <w:sz w:val="20"/>
                <w:szCs w:val="20"/>
              </w:rPr>
              <w:t xml:space="preserve"> Relativně nejvíce tak rostly celkově nejnižší mzdy, hlavně díky řadě odvětví tržních služeb (ale zčásti i státu – např. v kultuře a sociálních službách), kde se prohlubuje nedostatek volné pracovní síly a zároveň má stále (i po zrušení zaručených mezd v tržní sféře) dílčí vliv i pokračující růst zákonné minimální mzdy. </w:t>
            </w:r>
          </w:p>
        </w:tc>
      </w:tr>
    </w:tbl>
    <w:p w14:paraId="6D18A0BA" w14:textId="77777777" w:rsidR="009D4785" w:rsidRPr="00A40EDD" w:rsidRDefault="009D4785" w:rsidP="009D4785">
      <w:pPr>
        <w:spacing w:after="0" w:line="240" w:lineRule="auto"/>
        <w:jc w:val="left"/>
        <w:rPr>
          <w:rFonts w:eastAsia="MS Gothic"/>
          <w:b/>
          <w:bCs/>
          <w:color w:val="86BF5E"/>
          <w:sz w:val="6"/>
          <w:szCs w:val="6"/>
        </w:rPr>
      </w:pPr>
    </w:p>
    <w:p w14:paraId="7AD46FB7" w14:textId="77777777" w:rsidR="009D4785" w:rsidRDefault="009D4785">
      <w:pPr>
        <w:spacing w:after="0" w:line="240" w:lineRule="auto"/>
        <w:jc w:val="left"/>
        <w:rPr>
          <w:rFonts w:eastAsia="MS Gothic"/>
          <w:b/>
          <w:bCs/>
          <w:color w:val="86BF5E"/>
          <w:sz w:val="32"/>
          <w:szCs w:val="28"/>
        </w:rPr>
      </w:pPr>
      <w:r>
        <w:br w:type="page"/>
      </w:r>
    </w:p>
    <w:p w14:paraId="1012B969" w14:textId="1937556A" w:rsidR="00C65C22" w:rsidRDefault="00C65C22" w:rsidP="00C65C22">
      <w:pPr>
        <w:pStyle w:val="Nadpis1"/>
      </w:pPr>
      <w:bookmarkStart w:id="28" w:name="_Toc224903151"/>
      <w:r>
        <w:lastRenderedPageBreak/>
        <w:t>7. Měnové podmínky</w:t>
      </w:r>
      <w:bookmarkEnd w:id="28"/>
    </w:p>
    <w:tbl>
      <w:tblPr>
        <w:tblW w:w="9641" w:type="dxa"/>
        <w:tblInd w:w="-15" w:type="dxa"/>
        <w:tblCellMar>
          <w:left w:w="0" w:type="dxa"/>
          <w:right w:w="0" w:type="dxa"/>
        </w:tblCellMar>
        <w:tblLook w:val="00A0" w:firstRow="1" w:lastRow="0" w:firstColumn="1" w:lastColumn="0" w:noHBand="0" w:noVBand="0"/>
      </w:tblPr>
      <w:tblGrid>
        <w:gridCol w:w="1802"/>
        <w:gridCol w:w="229"/>
        <w:gridCol w:w="7610"/>
      </w:tblGrid>
      <w:tr w:rsidR="00C65C22" w:rsidRPr="0037004A" w14:paraId="3B53E859" w14:textId="77777777" w:rsidTr="00E87182">
        <w:trPr>
          <w:trHeight w:val="145"/>
        </w:trPr>
        <w:tc>
          <w:tcPr>
            <w:tcW w:w="1802" w:type="dxa"/>
          </w:tcPr>
          <w:p w14:paraId="395FBB66" w14:textId="77777777" w:rsidR="00C65C22" w:rsidRDefault="00C65C22" w:rsidP="00E87182">
            <w:pPr>
              <w:pStyle w:val="Marginlie"/>
              <w:rPr>
                <w:lang w:eastAsia="en-US"/>
              </w:rPr>
            </w:pPr>
            <w:proofErr w:type="spellStart"/>
            <w:r>
              <w:rPr>
                <w:lang w:eastAsia="en-US"/>
              </w:rPr>
              <w:t>Měnověpolitické</w:t>
            </w:r>
            <w:proofErr w:type="spellEnd"/>
            <w:r>
              <w:rPr>
                <w:lang w:eastAsia="en-US"/>
              </w:rPr>
              <w:t xml:space="preserve"> úrokové sazby se od května nezměnily.</w:t>
            </w:r>
          </w:p>
        </w:tc>
        <w:tc>
          <w:tcPr>
            <w:tcW w:w="229" w:type="dxa"/>
          </w:tcPr>
          <w:p w14:paraId="28A5121F" w14:textId="77777777" w:rsidR="00C65C22" w:rsidRDefault="00C65C22" w:rsidP="00E87182">
            <w:pPr>
              <w:pStyle w:val="Textpoznpodarou"/>
              <w:jc w:val="both"/>
              <w:rPr>
                <w:spacing w:val="-4"/>
                <w:lang w:eastAsia="en-US"/>
              </w:rPr>
            </w:pPr>
          </w:p>
        </w:tc>
        <w:tc>
          <w:tcPr>
            <w:tcW w:w="7610" w:type="dxa"/>
          </w:tcPr>
          <w:p w14:paraId="5FB4EF79" w14:textId="1DB0CDCF" w:rsidR="00C65C22" w:rsidRPr="0037004A" w:rsidRDefault="00C65C22" w:rsidP="00E87182">
            <w:pPr>
              <w:rPr>
                <w:spacing w:val="-2"/>
                <w:lang w:eastAsia="en-US"/>
              </w:rPr>
            </w:pPr>
            <w:r>
              <w:rPr>
                <w:spacing w:val="-2"/>
                <w:lang w:eastAsia="en-US"/>
              </w:rPr>
              <w:t xml:space="preserve">Stabilizace inflace v roce 2025 znamenala rovněž pauzu v procesu redukce </w:t>
            </w:r>
            <w:proofErr w:type="spellStart"/>
            <w:r>
              <w:rPr>
                <w:spacing w:val="-2"/>
                <w:lang w:eastAsia="en-US"/>
              </w:rPr>
              <w:t>měnověpolitických</w:t>
            </w:r>
            <w:proofErr w:type="spellEnd"/>
            <w:r>
              <w:rPr>
                <w:spacing w:val="-2"/>
                <w:lang w:eastAsia="en-US"/>
              </w:rPr>
              <w:t xml:space="preserve"> sazeb. Po posledním snížení, ke kterému došlo v loňském květnu, zůstala až do konce roku dvoutýdenní </w:t>
            </w:r>
            <w:proofErr w:type="spellStart"/>
            <w:r>
              <w:rPr>
                <w:spacing w:val="-2"/>
                <w:lang w:eastAsia="en-US"/>
              </w:rPr>
              <w:t>repo</w:t>
            </w:r>
            <w:proofErr w:type="spellEnd"/>
            <w:r>
              <w:rPr>
                <w:spacing w:val="-2"/>
                <w:lang w:eastAsia="en-US"/>
              </w:rPr>
              <w:t xml:space="preserve"> sazba na 3,50 %, diskontní sazba na 2,50 % a lombardní sazba na 4,50 %</w:t>
            </w:r>
            <w:r w:rsidRPr="0037004A">
              <w:rPr>
                <w:rStyle w:val="Znakapoznpodarou"/>
                <w:spacing w:val="-2"/>
                <w:lang w:eastAsia="en-US"/>
              </w:rPr>
              <w:footnoteReference w:id="118"/>
            </w:r>
            <w:r>
              <w:rPr>
                <w:spacing w:val="-2"/>
                <w:lang w:eastAsia="en-US"/>
              </w:rPr>
              <w:t>. Po většinu loňského roku také koruna posilovala vůči euru i dolaru, což působilo protiinflačně. Kurz vůči euru posílil z 25,175 CZK/EUR na počátku ledna až na 24,245 CZK/EUR ke konci prosince. V průměru za 4. čtvrtletí dosáhl kurz 25,273 CZK/EUR. Meziročně byl silnější o 98 haléřů (3,9 %) a mezičtvrtletně o</w:t>
            </w:r>
            <w:r w:rsidR="00B10325">
              <w:rPr>
                <w:spacing w:val="-2"/>
                <w:lang w:eastAsia="en-US"/>
              </w:rPr>
              <w:t> </w:t>
            </w:r>
            <w:r>
              <w:rPr>
                <w:spacing w:val="-2"/>
                <w:lang w:eastAsia="en-US"/>
              </w:rPr>
              <w:t>23</w:t>
            </w:r>
            <w:r w:rsidR="00B10325">
              <w:rPr>
                <w:spacing w:val="-2"/>
                <w:lang w:eastAsia="en-US"/>
              </w:rPr>
              <w:t> </w:t>
            </w:r>
            <w:r>
              <w:rPr>
                <w:spacing w:val="-2"/>
                <w:lang w:eastAsia="en-US"/>
              </w:rPr>
              <w:t>haléřů (0,9 %). Kurz koruny vůči dolaru dosahoval na počátku ledna 24,398 CZK/USD a do konce prosince posílil na 20,632 CZK/USD. V průměru za 4. čtvrtletí kurz činil 20,866 CZK/USD a byl meziročně silnější o 2 koruny 77 haléřů (11,7 %) a</w:t>
            </w:r>
            <w:r w:rsidR="00B10325">
              <w:rPr>
                <w:spacing w:val="-2"/>
                <w:lang w:eastAsia="en-US"/>
              </w:rPr>
              <w:t> </w:t>
            </w:r>
            <w:r>
              <w:rPr>
                <w:spacing w:val="-2"/>
                <w:lang w:eastAsia="en-US"/>
              </w:rPr>
              <w:t xml:space="preserve">mezičtvrtletně o 51 haléřů (0,1 %). </w:t>
            </w:r>
          </w:p>
        </w:tc>
      </w:tr>
      <w:tr w:rsidR="00C65C22" w14:paraId="7BB31825" w14:textId="77777777" w:rsidTr="00E87182">
        <w:trPr>
          <w:trHeight w:val="145"/>
        </w:trPr>
        <w:tc>
          <w:tcPr>
            <w:tcW w:w="1802" w:type="dxa"/>
          </w:tcPr>
          <w:p w14:paraId="1D056DAF" w14:textId="77777777" w:rsidR="00C65C22" w:rsidRDefault="00C65C22" w:rsidP="00E87182">
            <w:pPr>
              <w:pStyle w:val="Marginlie"/>
              <w:rPr>
                <w:lang w:eastAsia="en-US"/>
              </w:rPr>
            </w:pPr>
            <w:r>
              <w:rPr>
                <w:lang w:eastAsia="en-US"/>
              </w:rPr>
              <w:t>Rostly výnosy vládních dluhopisů.</w:t>
            </w:r>
          </w:p>
        </w:tc>
        <w:tc>
          <w:tcPr>
            <w:tcW w:w="229" w:type="dxa"/>
          </w:tcPr>
          <w:p w14:paraId="744D93C2" w14:textId="77777777" w:rsidR="00C65C22" w:rsidRDefault="00C65C22" w:rsidP="00E87182">
            <w:pPr>
              <w:pStyle w:val="Textpoznpodarou"/>
              <w:jc w:val="both"/>
              <w:rPr>
                <w:spacing w:val="-4"/>
                <w:lang w:eastAsia="en-US"/>
              </w:rPr>
            </w:pPr>
          </w:p>
        </w:tc>
        <w:tc>
          <w:tcPr>
            <w:tcW w:w="7610" w:type="dxa"/>
          </w:tcPr>
          <w:p w14:paraId="5F2A7ABA" w14:textId="77777777" w:rsidR="00C65C22" w:rsidRDefault="00C65C22" w:rsidP="00E87182">
            <w:pPr>
              <w:rPr>
                <w:spacing w:val="-1"/>
                <w:lang w:eastAsia="en-US"/>
              </w:rPr>
            </w:pPr>
            <w:r>
              <w:rPr>
                <w:spacing w:val="-1"/>
                <w:lang w:eastAsia="en-US"/>
              </w:rPr>
              <w:t>V závěrečné čtvrtině roku byly u sazeb mezibankovního trhu patrné mírné posuny směrem vzhůru</w:t>
            </w:r>
            <w:r>
              <w:rPr>
                <w:rStyle w:val="Znakapoznpodarou"/>
                <w:spacing w:val="-1"/>
                <w:lang w:eastAsia="en-US"/>
              </w:rPr>
              <w:footnoteReference w:id="119"/>
            </w:r>
            <w:r>
              <w:rPr>
                <w:spacing w:val="-1"/>
                <w:lang w:eastAsia="en-US"/>
              </w:rPr>
              <w:t xml:space="preserve"> a zlomil se tak předchozí trend postupného poklesu. Ke konci prosince tak dosahovala tříměsíční sazba PRIBOR 3,54 % (+0,05 p. b.), šestiměsíční 3,57 % (+0,09 p. b.) a roční 3,60 % (+0,12 p. b.). Zvýšení bylo zaznamenáno rovněž v oblasti úrokových sazeb vládních dluhopisů. Ty se splatností do dvou let byly ke konci prosince 2025 úročeny v průměru 3,60 % (+0,05 p. b.), u střednědobých dluhopisů se splatností do 5 let dosáhl výnos 4,12 % (+0,19 p. b.) a u dlouhodobých dluhopisů 4,46 % </w:t>
            </w:r>
            <w:r>
              <w:rPr>
                <w:spacing w:val="-1"/>
                <w:lang w:eastAsia="en-US"/>
              </w:rPr>
              <w:br/>
              <w:t xml:space="preserve">(+0,22 p. b.).    </w:t>
            </w:r>
          </w:p>
        </w:tc>
      </w:tr>
      <w:tr w:rsidR="00C65C22" w14:paraId="0786E34E" w14:textId="77777777" w:rsidTr="00E87182">
        <w:trPr>
          <w:trHeight w:val="145"/>
        </w:trPr>
        <w:tc>
          <w:tcPr>
            <w:tcW w:w="1802" w:type="dxa"/>
          </w:tcPr>
          <w:p w14:paraId="20B236D5" w14:textId="77777777" w:rsidR="00C65C22" w:rsidRDefault="00C65C22" w:rsidP="00E87182">
            <w:pPr>
              <w:pStyle w:val="Marginlie"/>
              <w:rPr>
                <w:lang w:eastAsia="en-US"/>
              </w:rPr>
            </w:pPr>
            <w:r>
              <w:rPr>
                <w:lang w:eastAsia="en-US"/>
              </w:rPr>
              <w:t>Domácnosti a vládní instituce přispěly nejvíce k růstu vkladů.</w:t>
            </w:r>
          </w:p>
        </w:tc>
        <w:tc>
          <w:tcPr>
            <w:tcW w:w="229" w:type="dxa"/>
          </w:tcPr>
          <w:p w14:paraId="6FEE58BA" w14:textId="77777777" w:rsidR="00C65C22" w:rsidRDefault="00C65C22" w:rsidP="00E87182">
            <w:pPr>
              <w:pStyle w:val="Textpoznpodarou"/>
              <w:jc w:val="both"/>
              <w:rPr>
                <w:spacing w:val="-4"/>
                <w:lang w:eastAsia="en-US"/>
              </w:rPr>
            </w:pPr>
          </w:p>
        </w:tc>
        <w:tc>
          <w:tcPr>
            <w:tcW w:w="7610" w:type="dxa"/>
          </w:tcPr>
          <w:p w14:paraId="25CEBF20" w14:textId="77777777" w:rsidR="00C65C22" w:rsidRDefault="00C65C22" w:rsidP="00E87182">
            <w:pPr>
              <w:rPr>
                <w:spacing w:val="-3"/>
                <w:lang w:eastAsia="en-US"/>
              </w:rPr>
            </w:pPr>
            <w:r>
              <w:rPr>
                <w:spacing w:val="-3"/>
                <w:lang w:eastAsia="en-US"/>
              </w:rPr>
              <w:t>Změny v řádu setin procentního bodu směrem vzhůru byly zaznamenány u průměrného úročení jednodenních vkladů (1,44 % ke konci roku 2025), běžných účtů (0,14 %) i vkladů s dohodnutou splatností domácností (2,89 %). Podobně neměnné bylo průměrné úročení vkladů nefinančních podniků, ať šlo o běžné účty (0,57 % ke konci prosince), nebo vklady s dohodnutou splatností (2,90 %). Celkový objem vkladů uložených v českých bankách ke konci roku 2025 dosáhl 7 663,8 bil. korun a meziročně se zvýšil o 442,3 mld. (6,1 %). Po útlumu trvajícím šest čtvrtletí došlo k opětovnému oživení tempa růstu objemu termínovaných vkladů (+238,8 mld. korun, 10,1 %). Netermínované vklady meziročně vzrostly o 203,5 mld. (4,2 %). Z pohledu jednotlivých sektorů k meziročnímu nárůstu vkladů v podobné výši přispěly domácnosti</w:t>
            </w:r>
            <w:r>
              <w:rPr>
                <w:rStyle w:val="Znakapoznpodarou"/>
                <w:spacing w:val="-3"/>
                <w:lang w:eastAsia="en-US"/>
              </w:rPr>
              <w:footnoteReference w:id="120"/>
            </w:r>
            <w:r>
              <w:rPr>
                <w:spacing w:val="-3"/>
                <w:lang w:eastAsia="en-US"/>
              </w:rPr>
              <w:t xml:space="preserve"> (+182,9 mld. korun) a vládní instituce (+182,9 mld.). Mírnější byly pak nárůsty u finančních institucí (+34,3 mld. korun) a nefinančních podniků (+29,0 mld.). </w:t>
            </w:r>
          </w:p>
        </w:tc>
      </w:tr>
      <w:tr w:rsidR="00C65C22" w14:paraId="34B8D1D4" w14:textId="77777777" w:rsidTr="00E87182">
        <w:trPr>
          <w:trHeight w:val="145"/>
        </w:trPr>
        <w:tc>
          <w:tcPr>
            <w:tcW w:w="1802" w:type="dxa"/>
          </w:tcPr>
          <w:p w14:paraId="5CCACF0C" w14:textId="77777777" w:rsidR="00C65C22" w:rsidRDefault="00C65C22" w:rsidP="00E87182">
            <w:pPr>
              <w:pStyle w:val="Marginlie"/>
              <w:rPr>
                <w:lang w:eastAsia="en-US"/>
              </w:rPr>
            </w:pPr>
            <w:r>
              <w:rPr>
                <w:lang w:eastAsia="en-US"/>
              </w:rPr>
              <w:t>Objem nových hypotečních smluv výrazně táhla nahoru ostatní nová ujednání.</w:t>
            </w:r>
          </w:p>
        </w:tc>
        <w:tc>
          <w:tcPr>
            <w:tcW w:w="229" w:type="dxa"/>
          </w:tcPr>
          <w:p w14:paraId="6B75E389" w14:textId="77777777" w:rsidR="00C65C22" w:rsidRDefault="00C65C22" w:rsidP="00E87182">
            <w:pPr>
              <w:pStyle w:val="Textpoznpodarou"/>
              <w:jc w:val="both"/>
              <w:rPr>
                <w:spacing w:val="-4"/>
                <w:lang w:eastAsia="en-US"/>
              </w:rPr>
            </w:pPr>
          </w:p>
        </w:tc>
        <w:tc>
          <w:tcPr>
            <w:tcW w:w="7610" w:type="dxa"/>
          </w:tcPr>
          <w:p w14:paraId="24A6F95B" w14:textId="77777777" w:rsidR="00C65C22" w:rsidRDefault="00C65C22" w:rsidP="00E87182">
            <w:pPr>
              <w:rPr>
                <w:lang w:eastAsia="en-US"/>
              </w:rPr>
            </w:pPr>
            <w:r>
              <w:rPr>
                <w:lang w:eastAsia="en-US"/>
              </w:rPr>
              <w:t xml:space="preserve">Průměrné úročení spotřebních úvěrů domácností ke konci prosince dosáhlo 7,98 % a v porovnání s koncem září se nezměnilo. Mírný posun v řádu setin směrem dolů byl zachycen u úrokových sazeb úvěrů na bydlení (4,57 %). Mezi jednotlivými délkami fixace byly rozdíly. Zatímco u fixací do 1 roku a nad 10 let průměrné úročení znatelně kleslo, v kategorii mezi 5 a 10 lety došlo k navýšení a úročení u nejčastěji využívané fixace mezi 1 rokem a 5 lety se téměř nezměnilo. Ve 4. čtvrtletí opět posílilo meziroční tempo růstu objemu poskytnutých úvěrů na spotřebu, které vzrostly o 38,4 mld. korun (11,0 %). Objem úvěrů na bydlení byl ke konci prosince vyšší o 151,3 mld. korun </w:t>
            </w:r>
            <w:r>
              <w:rPr>
                <w:lang w:eastAsia="en-US"/>
              </w:rPr>
              <w:br/>
              <w:t>(7,7 %) a také zde došlo ke zrychlení růstu, především pod vlivem hypoték, ale také překlenovacích úvěrů ze stavebního spoření, které byly meziročně vyšší o více než pětinu. Objem nových hypotečních smluv</w:t>
            </w:r>
            <w:r>
              <w:rPr>
                <w:rStyle w:val="Znakapoznpodarou"/>
                <w:lang w:eastAsia="en-US"/>
              </w:rPr>
              <w:footnoteReference w:id="121"/>
            </w:r>
            <w:r>
              <w:rPr>
                <w:lang w:eastAsia="en-US"/>
              </w:rPr>
              <w:t xml:space="preserve"> ve 4. čtvrtletí 2025 dosáhl 192,1 mld. korun, z toho čisté nové úvěry byly 85,9 mld., refinancované úvěry 18,0 mld. a ostatní nová ujednání 88,3 mld. Ostatní nová ujednání také nejvíce přispívala k celkovému </w:t>
            </w:r>
            <w:r>
              <w:rPr>
                <w:lang w:eastAsia="en-US"/>
              </w:rPr>
              <w:lastRenderedPageBreak/>
              <w:t>růstu objemu nových smluv. Za celý rok 2025 byly uzavřeny nové hypoteční smlouvy ve výši 691,3 mld. korun (meziročně +218,0 mld.), čímž byl nominálně překonán rekordní rok 2021. Čisté nové úvěry tvořily 320,1 mld. korun z nových smluv a ostatní ujednání 315,0 mld. Celkové zadlužení domácností ke konci prosince dosahovalo 2 661,7 mld. korun a meziročně bylo vyšší o 10,3 %.</w:t>
            </w:r>
          </w:p>
        </w:tc>
      </w:tr>
      <w:tr w:rsidR="00C65C22" w14:paraId="3F7D438B" w14:textId="77777777" w:rsidTr="00E87182">
        <w:trPr>
          <w:trHeight w:val="145"/>
        </w:trPr>
        <w:tc>
          <w:tcPr>
            <w:tcW w:w="1802" w:type="dxa"/>
          </w:tcPr>
          <w:p w14:paraId="31568D94" w14:textId="77777777" w:rsidR="00C65C22" w:rsidRDefault="00C65C22" w:rsidP="00E87182">
            <w:pPr>
              <w:pStyle w:val="Marginlie"/>
              <w:rPr>
                <w:lang w:eastAsia="en-US"/>
              </w:rPr>
            </w:pPr>
            <w:r>
              <w:rPr>
                <w:lang w:eastAsia="en-US"/>
              </w:rPr>
              <w:lastRenderedPageBreak/>
              <w:t>Klesal podíl úvěrů v cizí měně poskytnutých nefinančním podnikům.</w:t>
            </w:r>
          </w:p>
        </w:tc>
        <w:tc>
          <w:tcPr>
            <w:tcW w:w="229" w:type="dxa"/>
          </w:tcPr>
          <w:p w14:paraId="60823F41" w14:textId="77777777" w:rsidR="00C65C22" w:rsidRDefault="00C65C22" w:rsidP="00E87182">
            <w:pPr>
              <w:pStyle w:val="Textpoznpodarou"/>
              <w:jc w:val="both"/>
              <w:rPr>
                <w:spacing w:val="-4"/>
                <w:lang w:eastAsia="en-US"/>
              </w:rPr>
            </w:pPr>
          </w:p>
        </w:tc>
        <w:tc>
          <w:tcPr>
            <w:tcW w:w="7610" w:type="dxa"/>
          </w:tcPr>
          <w:p w14:paraId="7FC18E4E" w14:textId="5FE8A6B8" w:rsidR="00C65C22" w:rsidRDefault="00C65C22" w:rsidP="00E87182">
            <w:pPr>
              <w:rPr>
                <w:lang w:eastAsia="en-US"/>
              </w:rPr>
            </w:pPr>
            <w:r>
              <w:rPr>
                <w:lang w:eastAsia="en-US"/>
              </w:rPr>
              <w:t>Průměrné úročení úvěrů do 7,5 mil. korun pro nefinanční podniky ke konci prosince dosahovalo 5,63 % (+0,13 p. b.), mezi 7,5 a 30 mil. korun 5,30 % (−0,05 p. b.) a nad 30 mil. korun 5,13 % (+0,06 p. b.). Celkový objem úvěrů a pohledávek nefinančních podniků byl ke konci prosince meziročně vyšší o 2,9 %. K navýšení přispívaly pouze úvěry v korunách, jejichž objem byl vyšší o 10,9 %. Ty v cizích měnách klesly o 4,4 % a spolu s tím i podíl úvěrů v cizí měně na celkových úvěrech, který dosáhl ke konci roku 2025 48,2 %</w:t>
            </w:r>
            <w:r>
              <w:rPr>
                <w:rStyle w:val="Znakapoznpodarou"/>
                <w:lang w:eastAsia="en-US"/>
              </w:rPr>
              <w:footnoteReference w:id="122"/>
            </w:r>
            <w:r>
              <w:rPr>
                <w:lang w:eastAsia="en-US"/>
              </w:rPr>
              <w:t>. Největší nárůst objemu poskytnutých úvěrů byl ke konci prosince v odvětví informačních a komunikačních činností (58,9 %</w:t>
            </w:r>
            <w:r>
              <w:rPr>
                <w:rStyle w:val="Znakapoznpodarou"/>
                <w:lang w:eastAsia="en-US"/>
              </w:rPr>
              <w:footnoteReference w:id="123"/>
            </w:r>
            <w:r>
              <w:rPr>
                <w:lang w:eastAsia="en-US"/>
              </w:rPr>
              <w:t xml:space="preserve">), ve veřejné správě a obraně, povinném sociálním zabezpečení, vzdělávání a zdravotní a sociální péči (26,3 %). Dál trvalo dvojciferné meziroční navyšování úvěrů v ubytování a stravování (18,6 %). </w:t>
            </w:r>
            <w:r w:rsidR="00F73990">
              <w:rPr>
                <w:lang w:eastAsia="en-US"/>
              </w:rPr>
              <w:t xml:space="preserve">Oproti tomu objem poskytnutých úvěrů </w:t>
            </w:r>
            <w:r w:rsidR="00974071">
              <w:rPr>
                <w:lang w:eastAsia="en-US"/>
              </w:rPr>
              <w:t xml:space="preserve">meziročně </w:t>
            </w:r>
            <w:r w:rsidR="00F73990">
              <w:rPr>
                <w:lang w:eastAsia="en-US"/>
              </w:rPr>
              <w:t xml:space="preserve">klesl v oboru </w:t>
            </w:r>
            <w:r>
              <w:rPr>
                <w:lang w:eastAsia="en-US"/>
              </w:rPr>
              <w:t>těžby a</w:t>
            </w:r>
            <w:r w:rsidR="00974071">
              <w:rPr>
                <w:lang w:eastAsia="en-US"/>
              </w:rPr>
              <w:t> </w:t>
            </w:r>
            <w:r>
              <w:rPr>
                <w:lang w:eastAsia="en-US"/>
              </w:rPr>
              <w:t>dobývání (−34,0</w:t>
            </w:r>
            <w:r w:rsidR="00F73990">
              <w:rPr>
                <w:lang w:eastAsia="en-US"/>
              </w:rPr>
              <w:t> </w:t>
            </w:r>
            <w:r>
              <w:rPr>
                <w:lang w:eastAsia="en-US"/>
              </w:rPr>
              <w:t>%)</w:t>
            </w:r>
            <w:r w:rsidR="00F73990">
              <w:rPr>
                <w:lang w:eastAsia="en-US"/>
              </w:rPr>
              <w:t xml:space="preserve">, </w:t>
            </w:r>
            <w:r>
              <w:rPr>
                <w:lang w:eastAsia="en-US"/>
              </w:rPr>
              <w:t xml:space="preserve">ve zpracovatelském průmyslu a </w:t>
            </w:r>
            <w:r w:rsidR="00F73990">
              <w:rPr>
                <w:lang w:eastAsia="en-US"/>
              </w:rPr>
              <w:t xml:space="preserve">v </w:t>
            </w:r>
            <w:r>
              <w:rPr>
                <w:lang w:eastAsia="en-US"/>
              </w:rPr>
              <w:t xml:space="preserve">profesních, vědeckých, technických a administrativních činnostech (shodně −4,2 %) a dopravě a skladování (−1,0 %). </w:t>
            </w:r>
          </w:p>
        </w:tc>
      </w:tr>
      <w:tr w:rsidR="00C65C22" w14:paraId="5D6714CE" w14:textId="77777777" w:rsidTr="00E87182">
        <w:trPr>
          <w:trHeight w:val="304"/>
        </w:trPr>
        <w:tc>
          <w:tcPr>
            <w:tcW w:w="1802" w:type="dxa"/>
            <w:vMerge w:val="restart"/>
          </w:tcPr>
          <w:p w14:paraId="4394F30D" w14:textId="77777777" w:rsidR="00C65C22" w:rsidRDefault="00C65C22" w:rsidP="00E87182">
            <w:pPr>
              <w:pStyle w:val="Marginlie"/>
              <w:rPr>
                <w:lang w:eastAsia="en-US"/>
              </w:rPr>
            </w:pPr>
          </w:p>
        </w:tc>
        <w:tc>
          <w:tcPr>
            <w:tcW w:w="229" w:type="dxa"/>
            <w:vMerge w:val="restart"/>
          </w:tcPr>
          <w:p w14:paraId="443D2578" w14:textId="77777777" w:rsidR="00C65C22" w:rsidRDefault="00C65C22" w:rsidP="00E87182">
            <w:pPr>
              <w:pStyle w:val="Textpoznpodarou"/>
              <w:jc w:val="both"/>
              <w:rPr>
                <w:spacing w:val="-4"/>
                <w:lang w:eastAsia="en-US"/>
              </w:rPr>
            </w:pPr>
          </w:p>
        </w:tc>
        <w:tc>
          <w:tcPr>
            <w:tcW w:w="7610" w:type="dxa"/>
            <w:hideMark/>
          </w:tcPr>
          <w:p w14:paraId="78D34E13" w14:textId="54AEB091" w:rsidR="00C65C22" w:rsidRPr="00D721B4" w:rsidRDefault="00C65C22" w:rsidP="00E87182">
            <w:pPr>
              <w:spacing w:after="0"/>
              <w:rPr>
                <w:szCs w:val="20"/>
                <w:lang w:eastAsia="en-US"/>
              </w:rPr>
            </w:pPr>
            <w:r>
              <w:rPr>
                <w:rFonts w:cs="Arial"/>
                <w:b/>
                <w:bCs/>
                <w:color w:val="000000"/>
                <w:szCs w:val="20"/>
                <w:lang w:eastAsia="en-US"/>
              </w:rPr>
              <w:t>Graf č. 1</w:t>
            </w:r>
            <w:r w:rsidR="00281666">
              <w:rPr>
                <w:rFonts w:cs="Arial"/>
                <w:b/>
                <w:bCs/>
                <w:color w:val="000000"/>
                <w:szCs w:val="20"/>
                <w:lang w:eastAsia="en-US"/>
              </w:rPr>
              <w:t>7</w:t>
            </w:r>
            <w:r w:rsidRPr="00D721B4">
              <w:rPr>
                <w:rFonts w:cs="Arial"/>
                <w:b/>
                <w:bCs/>
                <w:color w:val="000000"/>
                <w:szCs w:val="20"/>
                <w:lang w:eastAsia="en-US"/>
              </w:rPr>
              <w:t xml:space="preserve"> </w:t>
            </w:r>
            <w:r w:rsidRPr="00D721B4">
              <w:rPr>
                <w:b/>
                <w:spacing w:val="-4"/>
                <w:szCs w:val="20"/>
                <w:lang w:eastAsia="en-US"/>
              </w:rPr>
              <w:t xml:space="preserve">Tržní úrokové sazby </w:t>
            </w:r>
            <w:r w:rsidRPr="00D721B4">
              <w:rPr>
                <w:bCs/>
                <w:spacing w:val="-4"/>
                <w:szCs w:val="20"/>
                <w:lang w:eastAsia="en-US"/>
              </w:rPr>
              <w:t>(v</w:t>
            </w:r>
            <w:r>
              <w:rPr>
                <w:bCs/>
                <w:spacing w:val="-4"/>
                <w:szCs w:val="20"/>
                <w:lang w:eastAsia="en-US"/>
              </w:rPr>
              <w:t> %</w:t>
            </w:r>
            <w:r w:rsidRPr="00D721B4">
              <w:rPr>
                <w:bCs/>
                <w:spacing w:val="-4"/>
                <w:szCs w:val="20"/>
                <w:lang w:eastAsia="en-US"/>
              </w:rPr>
              <w:t>)</w:t>
            </w:r>
          </w:p>
        </w:tc>
      </w:tr>
      <w:tr w:rsidR="00C65C22" w14:paraId="47DE5639" w14:textId="77777777" w:rsidTr="00E87182">
        <w:tblPrEx>
          <w:tblCellMar>
            <w:left w:w="70" w:type="dxa"/>
            <w:right w:w="70" w:type="dxa"/>
          </w:tblCellMar>
        </w:tblPrEx>
        <w:trPr>
          <w:trHeight w:val="170"/>
        </w:trPr>
        <w:tc>
          <w:tcPr>
            <w:tcW w:w="1802" w:type="dxa"/>
            <w:vMerge/>
            <w:vAlign w:val="center"/>
            <w:hideMark/>
          </w:tcPr>
          <w:p w14:paraId="5695FDDF" w14:textId="77777777" w:rsidR="00C65C22" w:rsidRDefault="00C65C22" w:rsidP="00E87182">
            <w:pPr>
              <w:spacing w:after="0" w:line="240" w:lineRule="auto"/>
              <w:jc w:val="left"/>
              <w:rPr>
                <w:spacing w:val="-2"/>
                <w:sz w:val="16"/>
                <w:szCs w:val="16"/>
                <w:lang w:eastAsia="en-US"/>
              </w:rPr>
            </w:pPr>
          </w:p>
        </w:tc>
        <w:tc>
          <w:tcPr>
            <w:tcW w:w="229" w:type="dxa"/>
            <w:vMerge/>
            <w:vAlign w:val="center"/>
            <w:hideMark/>
          </w:tcPr>
          <w:p w14:paraId="53394873" w14:textId="77777777" w:rsidR="00C65C22" w:rsidRDefault="00C65C22" w:rsidP="00E87182">
            <w:pPr>
              <w:spacing w:after="0" w:line="240" w:lineRule="auto"/>
              <w:jc w:val="left"/>
              <w:rPr>
                <w:rFonts w:eastAsia="Calibri"/>
                <w:spacing w:val="-4"/>
                <w:szCs w:val="20"/>
                <w:lang w:eastAsia="en-US"/>
              </w:rPr>
            </w:pPr>
          </w:p>
        </w:tc>
        <w:tc>
          <w:tcPr>
            <w:tcW w:w="7610" w:type="dxa"/>
            <w:hideMark/>
          </w:tcPr>
          <w:p w14:paraId="579D47F5" w14:textId="77777777" w:rsidR="00C65C22" w:rsidRDefault="00C65C22" w:rsidP="00E87182">
            <w:pPr>
              <w:spacing w:after="0"/>
              <w:rPr>
                <w:sz w:val="14"/>
                <w:szCs w:val="14"/>
                <w:lang w:eastAsia="en-US"/>
              </w:rPr>
            </w:pPr>
            <w:r>
              <w:rPr>
                <w:noProof/>
              </w:rPr>
              <w:drawing>
                <wp:inline distT="0" distB="0" distL="0" distR="0" wp14:anchorId="234D34D5" wp14:editId="63F094C3">
                  <wp:extent cx="4737600" cy="3553200"/>
                  <wp:effectExtent l="0" t="0" r="6350" b="0"/>
                  <wp:docPr id="1103302119" name="Graf 1">
                    <a:extLst xmlns:a="http://schemas.openxmlformats.org/drawingml/2006/main">
                      <a:ext uri="{FF2B5EF4-FFF2-40B4-BE49-F238E27FC236}">
                        <a16:creationId xmlns:a16="http://schemas.microsoft.com/office/drawing/2014/main" id="{00000000-0008-0000-0A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r w:rsidR="00C65C22" w14:paraId="79B2195D" w14:textId="77777777" w:rsidTr="00E87182">
        <w:trPr>
          <w:trHeight w:val="170"/>
        </w:trPr>
        <w:tc>
          <w:tcPr>
            <w:tcW w:w="0" w:type="auto"/>
            <w:vMerge/>
            <w:vAlign w:val="center"/>
            <w:hideMark/>
          </w:tcPr>
          <w:p w14:paraId="379EA8D7" w14:textId="77777777" w:rsidR="00C65C22" w:rsidRDefault="00C65C22" w:rsidP="00E87182">
            <w:pPr>
              <w:spacing w:after="0" w:line="240" w:lineRule="auto"/>
              <w:jc w:val="left"/>
              <w:rPr>
                <w:spacing w:val="-2"/>
                <w:sz w:val="16"/>
                <w:szCs w:val="16"/>
                <w:lang w:eastAsia="en-US"/>
              </w:rPr>
            </w:pPr>
          </w:p>
        </w:tc>
        <w:tc>
          <w:tcPr>
            <w:tcW w:w="0" w:type="auto"/>
            <w:vMerge/>
            <w:vAlign w:val="center"/>
            <w:hideMark/>
          </w:tcPr>
          <w:p w14:paraId="5CC01BAB" w14:textId="77777777" w:rsidR="00C65C22" w:rsidRDefault="00C65C22" w:rsidP="00E87182">
            <w:pPr>
              <w:spacing w:after="0" w:line="240" w:lineRule="auto"/>
              <w:jc w:val="left"/>
              <w:rPr>
                <w:rFonts w:eastAsia="Calibri"/>
                <w:spacing w:val="-4"/>
                <w:szCs w:val="20"/>
                <w:lang w:eastAsia="en-US"/>
              </w:rPr>
            </w:pPr>
          </w:p>
        </w:tc>
        <w:tc>
          <w:tcPr>
            <w:tcW w:w="7610" w:type="dxa"/>
            <w:hideMark/>
          </w:tcPr>
          <w:p w14:paraId="50F2479C" w14:textId="77777777" w:rsidR="00C65C22" w:rsidRDefault="00C65C22" w:rsidP="00E87182">
            <w:pPr>
              <w:spacing w:after="0"/>
              <w:rPr>
                <w:sz w:val="14"/>
                <w:szCs w:val="14"/>
                <w:lang w:eastAsia="en-US"/>
              </w:rPr>
            </w:pPr>
            <w:r>
              <w:rPr>
                <w:sz w:val="14"/>
                <w:szCs w:val="14"/>
                <w:lang w:eastAsia="en-US"/>
              </w:rPr>
              <w:t>Zdroj: ARAD, ČNB</w:t>
            </w:r>
          </w:p>
        </w:tc>
      </w:tr>
    </w:tbl>
    <w:p w14:paraId="408401FE" w14:textId="77777777" w:rsidR="00C65C22" w:rsidRPr="00BB286B" w:rsidRDefault="00C65C22" w:rsidP="00C65C22">
      <w:pPr>
        <w:spacing w:after="0" w:line="240" w:lineRule="auto"/>
        <w:jc w:val="left"/>
        <w:rPr>
          <w:rFonts w:eastAsia="MS Gothic"/>
          <w:b/>
          <w:bCs/>
          <w:color w:val="71818C"/>
          <w:sz w:val="32"/>
          <w:szCs w:val="32"/>
          <w:highlight w:val="yellow"/>
        </w:rPr>
      </w:pPr>
    </w:p>
    <w:p w14:paraId="43A33D07" w14:textId="77777777" w:rsidR="00C65C22" w:rsidRDefault="00C65C22">
      <w:pPr>
        <w:spacing w:after="0" w:line="240" w:lineRule="auto"/>
        <w:jc w:val="left"/>
        <w:rPr>
          <w:rFonts w:eastAsia="MS Gothic"/>
          <w:b/>
          <w:bCs/>
          <w:color w:val="86BF5E"/>
          <w:sz w:val="32"/>
          <w:szCs w:val="32"/>
          <w:highlight w:val="yellow"/>
        </w:rPr>
      </w:pPr>
      <w:r>
        <w:rPr>
          <w:szCs w:val="32"/>
          <w:highlight w:val="yellow"/>
        </w:rPr>
        <w:br w:type="page"/>
      </w:r>
    </w:p>
    <w:p w14:paraId="6F18F4B3" w14:textId="77777777" w:rsidR="00EC313D" w:rsidRPr="00FC6700" w:rsidRDefault="00EC313D" w:rsidP="00EC313D">
      <w:pPr>
        <w:pStyle w:val="Nadpis1"/>
      </w:pPr>
      <w:bookmarkStart w:id="29" w:name="_Toc224903152"/>
      <w:r w:rsidRPr="00FC6700">
        <w:rPr>
          <w:szCs w:val="32"/>
        </w:rPr>
        <w:lastRenderedPageBreak/>
        <w:t>8</w:t>
      </w:r>
      <w:r w:rsidRPr="00FC6700">
        <w:t>. Státní rozpočet</w:t>
      </w:r>
      <w:bookmarkEnd w:id="29"/>
    </w:p>
    <w:tbl>
      <w:tblPr>
        <w:tblW w:w="9669" w:type="dxa"/>
        <w:tblInd w:w="-20" w:type="dxa"/>
        <w:tblLayout w:type="fixed"/>
        <w:tblCellMar>
          <w:left w:w="0" w:type="dxa"/>
          <w:right w:w="0" w:type="dxa"/>
        </w:tblCellMar>
        <w:tblLook w:val="00A0" w:firstRow="1" w:lastRow="0" w:firstColumn="1" w:lastColumn="0" w:noHBand="0" w:noVBand="0"/>
      </w:tblPr>
      <w:tblGrid>
        <w:gridCol w:w="1810"/>
        <w:gridCol w:w="203"/>
        <w:gridCol w:w="7656"/>
      </w:tblGrid>
      <w:tr w:rsidR="00EC313D" w:rsidRPr="00FC6700" w14:paraId="151BD63C" w14:textId="77777777" w:rsidTr="00E87182">
        <w:trPr>
          <w:trHeight w:val="60"/>
        </w:trPr>
        <w:tc>
          <w:tcPr>
            <w:tcW w:w="1810" w:type="dxa"/>
            <w:tcMar>
              <w:left w:w="0" w:type="dxa"/>
            </w:tcMar>
          </w:tcPr>
          <w:p w14:paraId="2B705C42" w14:textId="77777777" w:rsidR="00EC313D" w:rsidRDefault="00EC313D" w:rsidP="00E87182">
            <w:pPr>
              <w:pStyle w:val="Marginlie"/>
              <w:rPr>
                <w:spacing w:val="0"/>
              </w:rPr>
            </w:pPr>
            <w:r>
              <w:rPr>
                <w:spacing w:val="0"/>
              </w:rPr>
              <w:t>Schodek SR se loni meziročně mírně prohloubil a po dlouhé době překročil výši ze schváleného rozpočtu. Schodek se však po očištění o</w:t>
            </w:r>
            <w:r w:rsidRPr="00FC6700">
              <w:rPr>
                <w:spacing w:val="0"/>
              </w:rPr>
              <w:t> </w:t>
            </w:r>
            <w:r>
              <w:rPr>
                <w:spacing w:val="0"/>
              </w:rPr>
              <w:t>příjmy a výdaje na projekty EU nadále snižoval.</w:t>
            </w:r>
          </w:p>
          <w:p w14:paraId="109012BE" w14:textId="77777777" w:rsidR="00EC313D" w:rsidRPr="00FC6700" w:rsidRDefault="00EC313D" w:rsidP="00E87182">
            <w:pPr>
              <w:pStyle w:val="Marginlie"/>
              <w:rPr>
                <w:spacing w:val="0"/>
              </w:rPr>
            </w:pPr>
            <w:r w:rsidRPr="00FC6700">
              <w:rPr>
                <w:spacing w:val="0"/>
              </w:rPr>
              <w:t>.</w:t>
            </w:r>
          </w:p>
        </w:tc>
        <w:tc>
          <w:tcPr>
            <w:tcW w:w="203" w:type="dxa"/>
            <w:tcMar>
              <w:left w:w="0" w:type="dxa"/>
            </w:tcMar>
          </w:tcPr>
          <w:p w14:paraId="022BB06F" w14:textId="77777777" w:rsidR="00EC313D" w:rsidRPr="00FC6700" w:rsidRDefault="00EC313D" w:rsidP="00E87182">
            <w:pPr>
              <w:pStyle w:val="Textpoznpodarou"/>
              <w:jc w:val="both"/>
            </w:pPr>
          </w:p>
        </w:tc>
        <w:tc>
          <w:tcPr>
            <w:tcW w:w="7656" w:type="dxa"/>
            <w:tcMar>
              <w:left w:w="0" w:type="dxa"/>
            </w:tcMar>
          </w:tcPr>
          <w:p w14:paraId="611C48A5" w14:textId="77777777" w:rsidR="00EC313D" w:rsidRPr="00B07959" w:rsidRDefault="00EC313D" w:rsidP="00E87182">
            <w:pPr>
              <w:spacing w:after="200"/>
            </w:pPr>
            <w:r w:rsidRPr="00B07959">
              <w:t>Hospodaření státního rozpočtu (SR)</w:t>
            </w:r>
            <w:r w:rsidRPr="00B07959">
              <w:rPr>
                <w:rStyle w:val="Znakapoznpodarou"/>
              </w:rPr>
              <w:footnoteReference w:id="124"/>
            </w:r>
            <w:r w:rsidRPr="00B07959">
              <w:t xml:space="preserve"> skončilo v roce 2025 schodkem ve výši </w:t>
            </w:r>
            <w:r w:rsidRPr="00B07959">
              <w:br/>
              <w:t>290,7 mld. korun, meziročně hlubším o téměř 20 mld. korun a současně nejvýraznějším za poslední tři roky. Poprvé po roce 2011 byl současně dosažený schodek horší než rozpočtové očekávání</w:t>
            </w:r>
            <w:r w:rsidRPr="00B07959">
              <w:rPr>
                <w:rStyle w:val="Znakapoznpodarou"/>
              </w:rPr>
              <w:footnoteReference w:id="125"/>
            </w:r>
            <w:r w:rsidRPr="00B07959">
              <w:t>. Saldo SR očištěné o prostředky z rozpočtu EU</w:t>
            </w:r>
            <w:r w:rsidRPr="00B07959">
              <w:rPr>
                <w:rStyle w:val="Znakapoznpodarou"/>
              </w:rPr>
              <w:footnoteReference w:id="126"/>
            </w:r>
            <w:r w:rsidRPr="00B07959">
              <w:t xml:space="preserve"> dosáhlo loni </w:t>
            </w:r>
            <w:r w:rsidRPr="00B07959">
              <w:br/>
              <w:t>249,9 mld. korun, a byť ani ono výše uvedené očekávání nenaplnilo, naznačilo trend mírného snižování takto vyjádřeného výsledku hospodaření. Ten souvisí s lehkým posilováním růstu tuzemského hospodářství i ekonomik některých důležitých obchodních partnerů. Vedle toho na příjmovou i výdajovou stranu rozpočtu začínaly postupně více působit dopady konsolidačního ozdravného balíčku (schváleného v roce 2023). Zřetelný vliv má zde rovněž změna rozpočtového určení daní (RUD), jež od ledna 2025 opět zvýšila podíl na výnosu některých váhově významných daní ve prospěch SR</w:t>
            </w:r>
            <w:r w:rsidRPr="00B07959">
              <w:rPr>
                <w:rStyle w:val="Znakapoznpodarou"/>
              </w:rPr>
              <w:footnoteReference w:id="127"/>
            </w:r>
            <w:r w:rsidRPr="00B07959">
              <w:t>.</w:t>
            </w:r>
          </w:p>
        </w:tc>
      </w:tr>
      <w:tr w:rsidR="00EC313D" w:rsidRPr="00FC6700" w14:paraId="39D33C7C" w14:textId="77777777" w:rsidTr="00E87182">
        <w:trPr>
          <w:trHeight w:val="60"/>
        </w:trPr>
        <w:tc>
          <w:tcPr>
            <w:tcW w:w="1810" w:type="dxa"/>
            <w:tcMar>
              <w:left w:w="0" w:type="dxa"/>
            </w:tcMar>
          </w:tcPr>
          <w:p w14:paraId="67F682AD" w14:textId="77777777" w:rsidR="00EC313D" w:rsidRPr="00FC6700" w:rsidRDefault="00EC313D" w:rsidP="00E87182">
            <w:pPr>
              <w:pStyle w:val="Marginlie"/>
              <w:rPr>
                <w:spacing w:val="0"/>
              </w:rPr>
            </w:pPr>
            <w:r>
              <w:rPr>
                <w:spacing w:val="0"/>
              </w:rPr>
              <w:t xml:space="preserve">Růst celkových příjmů byl tažen </w:t>
            </w:r>
            <w:r w:rsidRPr="00FC6700">
              <w:rPr>
                <w:spacing w:val="0"/>
              </w:rPr>
              <w:t xml:space="preserve">zejména svižně </w:t>
            </w:r>
            <w:r>
              <w:rPr>
                <w:spacing w:val="0"/>
              </w:rPr>
              <w:t>posilujícím daňovým inkasem</w:t>
            </w:r>
            <w:r w:rsidRPr="00FC6700">
              <w:rPr>
                <w:spacing w:val="0"/>
              </w:rPr>
              <w:t xml:space="preserve"> i výběr</w:t>
            </w:r>
            <w:r>
              <w:rPr>
                <w:spacing w:val="0"/>
              </w:rPr>
              <w:t>em</w:t>
            </w:r>
            <w:r w:rsidRPr="00FC6700">
              <w:rPr>
                <w:spacing w:val="0"/>
              </w:rPr>
              <w:t xml:space="preserve"> pojistného za sociální zabezpečení.</w:t>
            </w:r>
            <w:r>
              <w:rPr>
                <w:spacing w:val="0"/>
              </w:rPr>
              <w:t xml:space="preserve"> Opačně působily hlavně nižší příjmy z rozpočtu EU.</w:t>
            </w:r>
          </w:p>
        </w:tc>
        <w:tc>
          <w:tcPr>
            <w:tcW w:w="203" w:type="dxa"/>
            <w:tcMar>
              <w:left w:w="0" w:type="dxa"/>
            </w:tcMar>
          </w:tcPr>
          <w:p w14:paraId="7700209A" w14:textId="77777777" w:rsidR="00EC313D" w:rsidRPr="00FC6700" w:rsidRDefault="00EC313D" w:rsidP="00E87182">
            <w:pPr>
              <w:pStyle w:val="Textpoznpodarou"/>
              <w:jc w:val="both"/>
            </w:pPr>
          </w:p>
        </w:tc>
        <w:tc>
          <w:tcPr>
            <w:tcW w:w="7656" w:type="dxa"/>
            <w:tcMar>
              <w:left w:w="0" w:type="dxa"/>
            </w:tcMar>
          </w:tcPr>
          <w:p w14:paraId="5AEFBA84" w14:textId="5011EEF0" w:rsidR="00EC313D" w:rsidRPr="00B07959" w:rsidRDefault="00EC313D" w:rsidP="00E87182">
            <w:pPr>
              <w:spacing w:after="200"/>
              <w:rPr>
                <w:color w:val="0D0D0D" w:themeColor="text1" w:themeTint="F2"/>
              </w:rPr>
            </w:pPr>
            <w:r w:rsidRPr="00B07959">
              <w:rPr>
                <w:color w:val="0D0D0D" w:themeColor="text1" w:themeTint="F2"/>
              </w:rPr>
              <w:t>Celkové příjmy SR loni meziročně vzrostly o 5,9 % (+116 mld. korun). Posílily téměř všechny klíčové příjmové položky (kromě příjmů z rozpočtu EU). Největší vliv na loňský růst měly nadále svižně rostoucí daňové příjmy (+9,5</w:t>
            </w:r>
            <w:r w:rsidRPr="00B07959">
              <w:t> </w:t>
            </w:r>
            <w:r w:rsidRPr="00B07959">
              <w:rPr>
                <w:color w:val="0D0D0D" w:themeColor="text1" w:themeTint="F2"/>
              </w:rPr>
              <w:t>%, +92 mld. korun) tažené hlavně vyšším výběrem DPH a běžné korporátní daně. Podstatný vliv měl i stabilně se zvyšující výběr pojistného na sociální zabezpečení vč. aktivní politiky zaměstnanosti (+7,1</w:t>
            </w:r>
            <w:r w:rsidRPr="00B07959">
              <w:t> </w:t>
            </w:r>
            <w:r w:rsidRPr="00B07959">
              <w:rPr>
                <w:color w:val="0D0D0D" w:themeColor="text1" w:themeTint="F2"/>
              </w:rPr>
              <w:t>%,</w:t>
            </w:r>
            <w:r w:rsidR="00F92283">
              <w:rPr>
                <w:color w:val="0D0D0D" w:themeColor="text1" w:themeTint="F2"/>
              </w:rPr>
              <w:t xml:space="preserve"> </w:t>
            </w:r>
            <w:r w:rsidRPr="00B07959">
              <w:rPr>
                <w:color w:val="0D0D0D" w:themeColor="text1" w:themeTint="F2"/>
              </w:rPr>
              <w:t>+54 mld. korun) pramenící z </w:t>
            </w:r>
            <w:r w:rsidRPr="00B07959">
              <w:t>dobré kondice trhu práce vyznačující se vyšší zaměstnaností doprovázenou posilujícími průměrnými výdělky v podnikové sféře. K růstu tohoto inkasa, jež však velmi mírně zaostalo za rozpočtovým očekáváním, přispívaly v menší míře i legislativní úpravy v souvislosti s konsolidací SR</w:t>
            </w:r>
            <w:r w:rsidRPr="00B07959">
              <w:rPr>
                <w:rStyle w:val="Znakapoznpodarou"/>
              </w:rPr>
              <w:footnoteReference w:id="128"/>
            </w:r>
            <w:r w:rsidRPr="00B07959">
              <w:t>. Růst celkových příjmů SR byl naopak tlumen především nižšími příjmy z rozpočtu EU a</w:t>
            </w:r>
            <w:r w:rsidR="00B07959">
              <w:t> </w:t>
            </w:r>
            <w:r w:rsidRPr="00B07959">
              <w:t xml:space="preserve">finančních </w:t>
            </w:r>
            <w:r w:rsidR="00F92283" w:rsidRPr="00B07959">
              <w:t>mechanismů (</w:t>
            </w:r>
            <w:r w:rsidRPr="00B07959">
              <w:t>−29,5</w:t>
            </w:r>
            <w:r w:rsidR="00C41D07" w:rsidRPr="00B07959">
              <w:t> </w:t>
            </w:r>
            <w:r w:rsidRPr="00B07959">
              <w:t>mld. korun) a i slabším převodem výnosů z majetkové účasti státu (−12,5 mld.).</w:t>
            </w:r>
          </w:p>
        </w:tc>
      </w:tr>
      <w:tr w:rsidR="00EC313D" w:rsidRPr="00FC6700" w14:paraId="375CBB1A" w14:textId="77777777" w:rsidTr="00E87182">
        <w:trPr>
          <w:trHeight w:val="60"/>
        </w:trPr>
        <w:tc>
          <w:tcPr>
            <w:tcW w:w="1810" w:type="dxa"/>
            <w:tcMar>
              <w:left w:w="0" w:type="dxa"/>
            </w:tcMar>
          </w:tcPr>
          <w:p w14:paraId="77C4356A" w14:textId="77777777" w:rsidR="00EC313D" w:rsidRPr="00FC6700" w:rsidRDefault="00EC313D" w:rsidP="00E87182">
            <w:pPr>
              <w:pStyle w:val="Marginlie"/>
              <w:rPr>
                <w:spacing w:val="0"/>
              </w:rPr>
            </w:pPr>
            <w:r w:rsidRPr="00FC6700">
              <w:rPr>
                <w:spacing w:val="0"/>
              </w:rPr>
              <w:t xml:space="preserve">Růst celostátního daňového inkasa </w:t>
            </w:r>
            <w:r>
              <w:rPr>
                <w:spacing w:val="0"/>
              </w:rPr>
              <w:t>byl podpořen hlavně vyšším výběrem DPH a běžné korporátní daně.</w:t>
            </w:r>
          </w:p>
        </w:tc>
        <w:tc>
          <w:tcPr>
            <w:tcW w:w="203" w:type="dxa"/>
            <w:tcMar>
              <w:left w:w="0" w:type="dxa"/>
            </w:tcMar>
          </w:tcPr>
          <w:p w14:paraId="3D421194" w14:textId="77777777" w:rsidR="00EC313D" w:rsidRPr="00FC6700" w:rsidRDefault="00EC313D" w:rsidP="00E87182">
            <w:pPr>
              <w:pStyle w:val="Textpoznpodarou"/>
              <w:jc w:val="both"/>
            </w:pPr>
          </w:p>
        </w:tc>
        <w:tc>
          <w:tcPr>
            <w:tcW w:w="7656" w:type="dxa"/>
            <w:tcMar>
              <w:left w:w="0" w:type="dxa"/>
            </w:tcMar>
          </w:tcPr>
          <w:p w14:paraId="2AA92E2A" w14:textId="77777777" w:rsidR="00EC313D" w:rsidRPr="00B07959" w:rsidRDefault="00EC313D" w:rsidP="00E87182">
            <w:pPr>
              <w:spacing w:after="200"/>
              <w:rPr>
                <w:color w:val="0D0D0D" w:themeColor="text1" w:themeTint="F2"/>
              </w:rPr>
            </w:pPr>
            <w:r w:rsidRPr="00B07959">
              <w:rPr>
                <w:color w:val="0D0D0D" w:themeColor="text1" w:themeTint="F2"/>
              </w:rPr>
              <w:t>Celostátní daňové inkaso bez pojistného (zohledňující příjmy na úrovni všech veřejných rozpočtů) se loňský rok zvýšilo o 8,1 % (jeho růst ve srovnání s rokem 2024 výrazně zrychlil). K růstu inkasa přispěly shodně celou třetinou DPH a také běžná korporátní daň, jejíž role oproti loňskému roku posílila. Naopak slábl vliv spotřební daně, daně z příjmů fyzických osob i daně z nemovitostí (její výběr předloni skokově vzrostl vlivem zákonné úpravy).</w:t>
            </w:r>
          </w:p>
        </w:tc>
      </w:tr>
      <w:tr w:rsidR="00EC313D" w:rsidRPr="00FC6700" w14:paraId="68A8C249" w14:textId="77777777" w:rsidTr="00E87182">
        <w:trPr>
          <w:trHeight w:val="60"/>
        </w:trPr>
        <w:tc>
          <w:tcPr>
            <w:tcW w:w="1810" w:type="dxa"/>
            <w:tcMar>
              <w:left w:w="0" w:type="dxa"/>
            </w:tcMar>
          </w:tcPr>
          <w:p w14:paraId="7B82B6F9" w14:textId="77777777" w:rsidR="00EC313D" w:rsidRPr="00FC6700" w:rsidRDefault="00EC313D" w:rsidP="00E87182">
            <w:pPr>
              <w:pStyle w:val="Marginlie"/>
              <w:rPr>
                <w:spacing w:val="0"/>
              </w:rPr>
            </w:pPr>
            <w:r w:rsidRPr="00FC6700">
              <w:rPr>
                <w:spacing w:val="0"/>
              </w:rPr>
              <w:t xml:space="preserve">Růst inkasa DPH zrychloval díky posilující spotřebě domácností </w:t>
            </w:r>
            <w:r w:rsidRPr="00FC6700">
              <w:rPr>
                <w:spacing w:val="0"/>
              </w:rPr>
              <w:br/>
              <w:t xml:space="preserve">i vládních institucí. Přesto </w:t>
            </w:r>
            <w:r>
              <w:rPr>
                <w:spacing w:val="0"/>
              </w:rPr>
              <w:t>loni</w:t>
            </w:r>
            <w:r w:rsidRPr="00FC6700">
              <w:rPr>
                <w:spacing w:val="0"/>
              </w:rPr>
              <w:t xml:space="preserve"> </w:t>
            </w:r>
            <w:r>
              <w:rPr>
                <w:spacing w:val="0"/>
              </w:rPr>
              <w:t>nepatrně</w:t>
            </w:r>
            <w:r w:rsidRPr="00FC6700">
              <w:rPr>
                <w:spacing w:val="0"/>
              </w:rPr>
              <w:t xml:space="preserve"> </w:t>
            </w:r>
            <w:r>
              <w:rPr>
                <w:spacing w:val="0"/>
              </w:rPr>
              <w:t xml:space="preserve">zaostal </w:t>
            </w:r>
            <w:r w:rsidRPr="00FC6700">
              <w:rPr>
                <w:spacing w:val="0"/>
              </w:rPr>
              <w:t>za rozpočtovým očekáváním.</w:t>
            </w:r>
          </w:p>
        </w:tc>
        <w:tc>
          <w:tcPr>
            <w:tcW w:w="203" w:type="dxa"/>
            <w:tcMar>
              <w:left w:w="0" w:type="dxa"/>
            </w:tcMar>
          </w:tcPr>
          <w:p w14:paraId="60B26930" w14:textId="77777777" w:rsidR="00EC313D" w:rsidRPr="00FC6700" w:rsidRDefault="00EC313D" w:rsidP="00E87182">
            <w:pPr>
              <w:pStyle w:val="Textpoznpodarou"/>
              <w:jc w:val="both"/>
            </w:pPr>
          </w:p>
        </w:tc>
        <w:tc>
          <w:tcPr>
            <w:tcW w:w="7656" w:type="dxa"/>
            <w:tcMar>
              <w:left w:w="0" w:type="dxa"/>
            </w:tcMar>
          </w:tcPr>
          <w:p w14:paraId="377A44A8" w14:textId="5B084DD8" w:rsidR="00EC313D" w:rsidRPr="00B07959" w:rsidRDefault="00EC313D" w:rsidP="00974071">
            <w:r w:rsidRPr="00B07959">
              <w:t>Na váhově dominantní dani – DPH – plynulo do SR loni</w:t>
            </w:r>
            <w:r w:rsidRPr="00B07959">
              <w:rPr>
                <w:color w:val="0D0D0D" w:themeColor="text1" w:themeTint="F2"/>
              </w:rPr>
              <w:t xml:space="preserve"> meziročně </w:t>
            </w:r>
            <w:r w:rsidRPr="00B07959">
              <w:t xml:space="preserve">o 8,4 % více </w:t>
            </w:r>
            <w:r w:rsidRPr="00B07959">
              <w:br/>
              <w:t xml:space="preserve">(+32,1 mld. korun). Byť růst během roku mírně sílil, zůstalo celoroční inkaso nepatrně za rozpočtovým očekáváním (podobný jev nastal ve výraznější míře i v předchozích dvou letech). Inkaso nadále příznivě ovlivňovaly rostoucí příjmy domácností (především díky svižné mzdové dynamice), jež postupně vedly k posílení spotřebitelské důvěry. Pozitivní vliv měla i vyšší spotřeba sektoru vládních institucí. SR těžil i ze změny RUD, jež dle odhadů MF přinesla SR u této daně navíc zhruba 6 mld. korun. Dílčí vliv měly dále i aktuální legislativní změny (hlavně zrušení osvobození v oblasti finančních </w:t>
            </w:r>
            <w:r w:rsidRPr="00B07959">
              <w:lastRenderedPageBreak/>
              <w:t>služeb) a na meziroční srovnání stále ještě působil okrajově i dopad úprav sazeb daně</w:t>
            </w:r>
            <w:r w:rsidRPr="00B07959">
              <w:rPr>
                <w:rStyle w:val="Znakapoznpodarou"/>
              </w:rPr>
              <w:footnoteReference w:id="129"/>
            </w:r>
            <w:r w:rsidRPr="00B07959">
              <w:t xml:space="preserve"> zavedených v rámci tzv. konsolidačního balíčku</w:t>
            </w:r>
            <w:r w:rsidRPr="00B07959">
              <w:rPr>
                <w:rStyle w:val="Znakapoznpodarou"/>
              </w:rPr>
              <w:footnoteReference w:id="130"/>
            </w:r>
            <w:r w:rsidRPr="00B07959">
              <w:t>.</w:t>
            </w:r>
          </w:p>
        </w:tc>
      </w:tr>
      <w:tr w:rsidR="00EC313D" w:rsidRPr="00FC6700" w14:paraId="38D7E14A" w14:textId="77777777" w:rsidTr="00E87182">
        <w:trPr>
          <w:trHeight w:val="60"/>
        </w:trPr>
        <w:tc>
          <w:tcPr>
            <w:tcW w:w="1810" w:type="dxa"/>
            <w:tcMar>
              <w:left w:w="0" w:type="dxa"/>
            </w:tcMar>
          </w:tcPr>
          <w:p w14:paraId="2D3261E2" w14:textId="77777777" w:rsidR="00EC313D" w:rsidRPr="00FC6700" w:rsidRDefault="00EC313D" w:rsidP="00E87182">
            <w:pPr>
              <w:pStyle w:val="Marginlie"/>
              <w:rPr>
                <w:spacing w:val="0"/>
              </w:rPr>
            </w:pPr>
            <w:r w:rsidRPr="00FC6700">
              <w:rPr>
                <w:spacing w:val="0"/>
              </w:rPr>
              <w:lastRenderedPageBreak/>
              <w:t xml:space="preserve">Růst výběru spotřebních daní probíhal u všech klíčových položek </w:t>
            </w:r>
            <w:r w:rsidRPr="00FC6700">
              <w:rPr>
                <w:spacing w:val="0"/>
              </w:rPr>
              <w:br/>
              <w:t xml:space="preserve">a současně překonával rozpočtová očekávání. Projevovaly se dopady zvyšování sazeb daně </w:t>
            </w:r>
            <w:r w:rsidRPr="00FC6700">
              <w:rPr>
                <w:spacing w:val="0"/>
              </w:rPr>
              <w:br/>
              <w:t>i zrychlování růstu ekonomiky.</w:t>
            </w:r>
          </w:p>
        </w:tc>
        <w:tc>
          <w:tcPr>
            <w:tcW w:w="203" w:type="dxa"/>
            <w:tcMar>
              <w:left w:w="0" w:type="dxa"/>
            </w:tcMar>
          </w:tcPr>
          <w:p w14:paraId="00E1DC25" w14:textId="77777777" w:rsidR="00EC313D" w:rsidRPr="00FC6700" w:rsidRDefault="00EC313D" w:rsidP="00E87182">
            <w:pPr>
              <w:pStyle w:val="Textpoznpodarou"/>
              <w:jc w:val="both"/>
            </w:pPr>
          </w:p>
        </w:tc>
        <w:tc>
          <w:tcPr>
            <w:tcW w:w="7656" w:type="dxa"/>
            <w:tcMar>
              <w:left w:w="0" w:type="dxa"/>
            </w:tcMar>
          </w:tcPr>
          <w:p w14:paraId="73C71E07" w14:textId="77777777" w:rsidR="00EC313D" w:rsidRPr="00B07959" w:rsidRDefault="00EC313D" w:rsidP="00E87182">
            <w:pPr>
              <w:spacing w:after="200"/>
            </w:pPr>
            <w:r w:rsidRPr="00B07959">
              <w:rPr>
                <w:szCs w:val="20"/>
              </w:rPr>
              <w:t xml:space="preserve">Na spotřebních daních (vč. energetických daní) získal SR meziročně o 2,4 % více </w:t>
            </w:r>
            <w:r w:rsidRPr="00B07959">
              <w:rPr>
                <w:szCs w:val="20"/>
              </w:rPr>
              <w:br/>
              <w:t>(+3,9 mld. korun). Růst nastal u všech klíčových položek daně a současně překonával rozpočtová očekávání (v posledních letech tomu bylo spíše opačně). Na vyšším inkasu se z více než poloviny podílely daně z tabákových a souvisejících výrobků, jejichž inkaso vzrostlo o rovná 4 %. Zřetelně se zde projevuje dopad navýšení sazby daně</w:t>
            </w:r>
            <w:r w:rsidRPr="00B07959">
              <w:rPr>
                <w:rStyle w:val="Znakapoznpodarou"/>
                <w:szCs w:val="20"/>
              </w:rPr>
              <w:footnoteReference w:id="131"/>
            </w:r>
            <w:r w:rsidRPr="00B07959">
              <w:rPr>
                <w:szCs w:val="20"/>
              </w:rPr>
              <w:t xml:space="preserve">, růst inkasa současně během loňského roku zvolňoval (s tím, jak vyprchává efekt předzásobení výrobky s nižší sazbou daně). </w:t>
            </w:r>
            <w:r w:rsidRPr="00B07959">
              <w:t xml:space="preserve">Výběr váhově tradičně nejvýznamnější spotřební daně – z minerálních olejů – rostl loni mírněji (+1,5 %). </w:t>
            </w:r>
            <w:r w:rsidRPr="00B07959">
              <w:rPr>
                <w:szCs w:val="20"/>
              </w:rPr>
              <w:t>Zlepšený výkon ekonomiky</w:t>
            </w:r>
            <w:r w:rsidRPr="00B07959">
              <w:t xml:space="preserve"> podněcoval poptávku po silniční nákladní dopravě, roli hrál i velmi příznivý vývoji maloobchodních cen PHM</w:t>
            </w:r>
            <w:r w:rsidRPr="00B07959">
              <w:rPr>
                <w:rStyle w:val="Znakapoznpodarou"/>
              </w:rPr>
              <w:footnoteReference w:id="132"/>
            </w:r>
            <w:r w:rsidRPr="00B07959">
              <w:t>. Z ostatních váhově řádově menších spotřebních daní měly na vývoj celkového inkasa významnější vliv již jen odvody z výkonu solárních elektráren (+0,4 mld. korun), především díky rozšiřování jejich sítě</w:t>
            </w:r>
            <w:r w:rsidRPr="00B07959">
              <w:rPr>
                <w:rStyle w:val="Znakapoznpodarou"/>
              </w:rPr>
              <w:footnoteReference w:id="133"/>
            </w:r>
            <w:r w:rsidRPr="00B07959">
              <w:t xml:space="preserve">. </w:t>
            </w:r>
          </w:p>
        </w:tc>
      </w:tr>
      <w:tr w:rsidR="00EC313D" w:rsidRPr="00FC6700" w14:paraId="7E308FE1" w14:textId="77777777" w:rsidTr="00E87182">
        <w:trPr>
          <w:trHeight w:val="60"/>
        </w:trPr>
        <w:tc>
          <w:tcPr>
            <w:tcW w:w="1810" w:type="dxa"/>
            <w:tcMar>
              <w:left w:w="0" w:type="dxa"/>
            </w:tcMar>
          </w:tcPr>
          <w:p w14:paraId="4CEAA4BB" w14:textId="77777777" w:rsidR="00EC313D" w:rsidRPr="00FC6700" w:rsidRDefault="00EC313D" w:rsidP="00E87182">
            <w:pPr>
              <w:pStyle w:val="Marginlie"/>
              <w:rPr>
                <w:spacing w:val="0"/>
              </w:rPr>
            </w:pPr>
            <w:r w:rsidRPr="00FC6700">
              <w:rPr>
                <w:spacing w:val="0"/>
              </w:rPr>
              <w:t>Výběr korporátní daně byl ovlivněn růstem její sazby i zlepšeným výkonem ekonomiky. Stejně jako inkaso mimořádných firemních daní překračoval rozpočtové očekávání.</w:t>
            </w:r>
          </w:p>
        </w:tc>
        <w:tc>
          <w:tcPr>
            <w:tcW w:w="203" w:type="dxa"/>
            <w:tcMar>
              <w:left w:w="0" w:type="dxa"/>
            </w:tcMar>
          </w:tcPr>
          <w:p w14:paraId="60BE7365" w14:textId="77777777" w:rsidR="00EC313D" w:rsidRPr="00FC6700" w:rsidRDefault="00EC313D" w:rsidP="00E87182">
            <w:pPr>
              <w:pStyle w:val="Textpoznpodarou"/>
              <w:jc w:val="both"/>
            </w:pPr>
          </w:p>
        </w:tc>
        <w:tc>
          <w:tcPr>
            <w:tcW w:w="7656" w:type="dxa"/>
            <w:tcMar>
              <w:left w:w="0" w:type="dxa"/>
            </w:tcMar>
          </w:tcPr>
          <w:p w14:paraId="055DE541" w14:textId="77777777" w:rsidR="00EC313D" w:rsidRPr="00B07959" w:rsidRDefault="00EC313D" w:rsidP="00E87182">
            <w:pPr>
              <w:spacing w:after="200"/>
              <w:rPr>
                <w:szCs w:val="20"/>
              </w:rPr>
            </w:pPr>
            <w:r w:rsidRPr="00B07959">
              <w:rPr>
                <w:szCs w:val="20"/>
              </w:rPr>
              <w:t xml:space="preserve">Na </w:t>
            </w:r>
            <w:r w:rsidRPr="00B07959">
              <w:rPr>
                <w:color w:val="0D0D0D" w:themeColor="text1" w:themeTint="F2"/>
                <w:szCs w:val="20"/>
              </w:rPr>
              <w:t xml:space="preserve">korporátní dani (bez </w:t>
            </w:r>
            <w:r w:rsidRPr="00B07959">
              <w:rPr>
                <w:szCs w:val="20"/>
              </w:rPr>
              <w:t xml:space="preserve">mimořádných daní) inkasoval SR loni meziročně o 15,7 % více (+30,1 mld. korun) a tempo růstu výběru o polovinu předčilo rozpočtové očekávání. Ve 2. pololetí 2025 růst inkasa zrychlil, neboť se naplno projevil dopad plošného zvýšení sazby daně z 19 % na 21 % (zejména celoročním zúčtováním daně). Ve čtvrtletních zálohách daně se zároveň postupně odrážel také vliv oživení tuzemské ekonomiky. Podobně jako v roce 2024 mělo naopak na výběr daně negativní (ale jen dílčí) účinek osvobození výnosů ze státních dluhopisů či prodloužení účinnosti </w:t>
            </w:r>
            <w:r w:rsidRPr="00B07959">
              <w:t>mimořádných odpisů. Kromě běžné korporátní daně plynulo dosud loni do SR 38,4 mld. korun na dani z neočekávaných zisků</w:t>
            </w:r>
            <w:r w:rsidRPr="00B07959">
              <w:rPr>
                <w:rStyle w:val="Znakapoznpodarou"/>
                <w:color w:val="0D0D0D" w:themeColor="text1" w:themeTint="F2"/>
              </w:rPr>
              <w:footnoteReference w:id="134"/>
            </w:r>
            <w:r w:rsidRPr="00B07959">
              <w:t>, meziročně o 4,6 % více.</w:t>
            </w:r>
          </w:p>
        </w:tc>
      </w:tr>
      <w:tr w:rsidR="00EC313D" w:rsidRPr="00FC6700" w14:paraId="5149BC2C" w14:textId="77777777" w:rsidTr="00E87182">
        <w:trPr>
          <w:trHeight w:val="60"/>
        </w:trPr>
        <w:tc>
          <w:tcPr>
            <w:tcW w:w="1810" w:type="dxa"/>
            <w:tcMar>
              <w:left w:w="0" w:type="dxa"/>
            </w:tcMar>
          </w:tcPr>
          <w:p w14:paraId="280C9D75" w14:textId="77777777" w:rsidR="00EC313D" w:rsidRPr="00FC6700" w:rsidRDefault="00EC313D" w:rsidP="00E87182">
            <w:pPr>
              <w:pStyle w:val="Marginlie"/>
              <w:rPr>
                <w:spacing w:val="0"/>
              </w:rPr>
            </w:pPr>
            <w:r w:rsidRPr="00FC6700">
              <w:rPr>
                <w:spacing w:val="0"/>
              </w:rPr>
              <w:t xml:space="preserve">K pokračujícímu svižnému růstu inkasa DPFO nadále přispívali zejména zaměstnanci. </w:t>
            </w:r>
            <w:r>
              <w:rPr>
                <w:spacing w:val="0"/>
              </w:rPr>
              <w:t>Inkaso d</w:t>
            </w:r>
            <w:r w:rsidRPr="00FC6700">
              <w:rPr>
                <w:spacing w:val="0"/>
              </w:rPr>
              <w:t>a</w:t>
            </w:r>
            <w:r>
              <w:rPr>
                <w:spacing w:val="0"/>
              </w:rPr>
              <w:t>ně</w:t>
            </w:r>
            <w:r w:rsidRPr="00FC6700">
              <w:rPr>
                <w:spacing w:val="0"/>
              </w:rPr>
              <w:t xml:space="preserve"> odveden</w:t>
            </w:r>
            <w:r>
              <w:rPr>
                <w:spacing w:val="0"/>
              </w:rPr>
              <w:t>é</w:t>
            </w:r>
            <w:r w:rsidRPr="00FC6700">
              <w:rPr>
                <w:spacing w:val="0"/>
              </w:rPr>
              <w:t xml:space="preserve"> plátci současně</w:t>
            </w:r>
            <w:r>
              <w:rPr>
                <w:spacing w:val="0"/>
              </w:rPr>
              <w:t xml:space="preserve"> nepatrně zaostalo</w:t>
            </w:r>
            <w:r w:rsidRPr="00FC6700">
              <w:rPr>
                <w:spacing w:val="0"/>
              </w:rPr>
              <w:t xml:space="preserve"> </w:t>
            </w:r>
            <w:r>
              <w:rPr>
                <w:spacing w:val="0"/>
              </w:rPr>
              <w:t xml:space="preserve">za </w:t>
            </w:r>
            <w:r w:rsidRPr="00FC6700">
              <w:rPr>
                <w:spacing w:val="0"/>
              </w:rPr>
              <w:t>rozpočtov</w:t>
            </w:r>
            <w:r>
              <w:rPr>
                <w:spacing w:val="0"/>
              </w:rPr>
              <w:t>ým</w:t>
            </w:r>
            <w:r w:rsidRPr="00FC6700">
              <w:rPr>
                <w:spacing w:val="0"/>
              </w:rPr>
              <w:t xml:space="preserve"> očekávání</w:t>
            </w:r>
            <w:r>
              <w:rPr>
                <w:spacing w:val="0"/>
              </w:rPr>
              <w:t>m.</w:t>
            </w:r>
          </w:p>
          <w:p w14:paraId="07014894" w14:textId="77777777" w:rsidR="00EC313D" w:rsidRPr="00FC6700" w:rsidRDefault="00EC313D" w:rsidP="00E87182">
            <w:pPr>
              <w:pStyle w:val="Marginlie"/>
              <w:rPr>
                <w:spacing w:val="0"/>
              </w:rPr>
            </w:pPr>
          </w:p>
          <w:p w14:paraId="574A1CA6" w14:textId="77777777" w:rsidR="00EC313D" w:rsidRPr="00FC6700" w:rsidRDefault="00EC313D" w:rsidP="00E87182">
            <w:pPr>
              <w:pStyle w:val="Marginlie"/>
              <w:rPr>
                <w:spacing w:val="0"/>
              </w:rPr>
            </w:pPr>
          </w:p>
          <w:p w14:paraId="5139DFB3" w14:textId="77777777" w:rsidR="00EC313D" w:rsidRPr="00FC6700" w:rsidRDefault="00EC313D" w:rsidP="00E87182">
            <w:pPr>
              <w:pStyle w:val="Marginlie"/>
              <w:rPr>
                <w:spacing w:val="0"/>
              </w:rPr>
            </w:pPr>
          </w:p>
          <w:p w14:paraId="3447B63C" w14:textId="77777777" w:rsidR="00EC313D" w:rsidRPr="00FC6700" w:rsidRDefault="00EC313D" w:rsidP="00E87182">
            <w:pPr>
              <w:pStyle w:val="Marginlie"/>
              <w:rPr>
                <w:spacing w:val="0"/>
              </w:rPr>
            </w:pPr>
          </w:p>
        </w:tc>
        <w:tc>
          <w:tcPr>
            <w:tcW w:w="203" w:type="dxa"/>
            <w:tcMar>
              <w:left w:w="0" w:type="dxa"/>
            </w:tcMar>
          </w:tcPr>
          <w:p w14:paraId="3E26FE54" w14:textId="77777777" w:rsidR="00EC313D" w:rsidRPr="00FC6700" w:rsidRDefault="00EC313D" w:rsidP="00E87182">
            <w:pPr>
              <w:pStyle w:val="Textpoznpodarou"/>
              <w:jc w:val="both"/>
            </w:pPr>
          </w:p>
        </w:tc>
        <w:tc>
          <w:tcPr>
            <w:tcW w:w="7656" w:type="dxa"/>
            <w:tcMar>
              <w:left w:w="0" w:type="dxa"/>
            </w:tcMar>
          </w:tcPr>
          <w:p w14:paraId="78F7B0E2" w14:textId="77777777" w:rsidR="00EC313D" w:rsidRPr="00B07959" w:rsidRDefault="00EC313D" w:rsidP="00E87182">
            <w:pPr>
              <w:spacing w:after="200"/>
              <w:rPr>
                <w:szCs w:val="20"/>
              </w:rPr>
            </w:pPr>
            <w:r w:rsidRPr="00B07959">
              <w:rPr>
                <w:color w:val="0D0D0D" w:themeColor="text1" w:themeTint="F2"/>
              </w:rPr>
              <w:t>Výběr daně z příjmů fyzických osob (DPFO) rostl loni meziročně dvojciferným tempem čtvrtý rok v řadě (+12,1 %, +20,4 mld. korun). Stejně jako u korporátní daně je její výnos do SR navýšen změnou RUD</w:t>
            </w:r>
            <w:r w:rsidRPr="00B07959">
              <w:rPr>
                <w:rStyle w:val="Znakapoznpodarou"/>
                <w:color w:val="0D0D0D" w:themeColor="text1" w:themeTint="F2"/>
              </w:rPr>
              <w:footnoteReference w:id="135"/>
            </w:r>
            <w:r w:rsidRPr="00B07959">
              <w:rPr>
                <w:color w:val="0D0D0D" w:themeColor="text1" w:themeTint="F2"/>
              </w:rPr>
              <w:t>. Za vyšším inkasem DPFO stála hlavně daň odvedená plátci (resp. ze závislé činnosti), jež posílila o 12,8 % (na 145,3 mld. korun). Příznivě se zde projevila přetrvávající dobrá kondice trhu práce (vyšší zaměstnanost i svižný nominální růst průměrné mzdy v podnikové sféře) a zčásti ještě i legislativní změny z roku 2024 (především snížení pásma pro druhou zvýšenou sazbu této daně, zrušení či omezení vybraných slev na dani a v menší míře i úprava zdanění vybraných nepeněžních benefitů</w:t>
            </w:r>
            <w:r w:rsidRPr="00B07959">
              <w:rPr>
                <w:rStyle w:val="Znakapoznpodarou"/>
                <w:color w:val="0D0D0D" w:themeColor="text1" w:themeTint="F2"/>
              </w:rPr>
              <w:footnoteReference w:id="136"/>
            </w:r>
            <w:r w:rsidRPr="00B07959">
              <w:rPr>
                <w:color w:val="0D0D0D" w:themeColor="text1" w:themeTint="F2"/>
              </w:rPr>
              <w:t>). I přes dynamický růst výše uvedené daně její loňské inkaso nepřekročilo rozpočtové očekávání (na rozdíl od všech dalších druhů přímých daní).</w:t>
            </w:r>
          </w:p>
        </w:tc>
      </w:tr>
      <w:tr w:rsidR="00EC313D" w:rsidRPr="00FC6700" w14:paraId="6F2AD339" w14:textId="77777777" w:rsidTr="00E87182">
        <w:trPr>
          <w:trHeight w:val="60"/>
        </w:trPr>
        <w:tc>
          <w:tcPr>
            <w:tcW w:w="1810" w:type="dxa"/>
            <w:tcMar>
              <w:left w:w="0" w:type="dxa"/>
            </w:tcMar>
          </w:tcPr>
          <w:p w14:paraId="14C4B762" w14:textId="77777777" w:rsidR="00EC313D" w:rsidRPr="00FC6700" w:rsidRDefault="00EC313D" w:rsidP="00E87182">
            <w:pPr>
              <w:pStyle w:val="Marginlie"/>
              <w:rPr>
                <w:spacing w:val="0"/>
              </w:rPr>
            </w:pPr>
            <w:r w:rsidRPr="00FC6700">
              <w:rPr>
                <w:spacing w:val="0"/>
              </w:rPr>
              <w:lastRenderedPageBreak/>
              <w:t>Růst výběru DPFO od poplatníků výrazně zrychlil, zejména díky zákonným úpravám.</w:t>
            </w:r>
          </w:p>
          <w:p w14:paraId="59BBE472" w14:textId="77777777" w:rsidR="00EC313D" w:rsidRPr="00FC6700" w:rsidRDefault="00EC313D" w:rsidP="00E87182">
            <w:pPr>
              <w:pStyle w:val="Marginlie"/>
              <w:rPr>
                <w:spacing w:val="0"/>
              </w:rPr>
            </w:pPr>
            <w:r w:rsidRPr="00FC6700">
              <w:rPr>
                <w:spacing w:val="0"/>
              </w:rPr>
              <w:t xml:space="preserve">Pokles úrokových sazeb na vkladech </w:t>
            </w:r>
            <w:r>
              <w:rPr>
                <w:spacing w:val="0"/>
              </w:rPr>
              <w:t>přispěl k</w:t>
            </w:r>
            <w:r w:rsidRPr="00FC6700">
              <w:rPr>
                <w:spacing w:val="0"/>
              </w:rPr>
              <w:t> nižším</w:t>
            </w:r>
            <w:r>
              <w:rPr>
                <w:spacing w:val="0"/>
              </w:rPr>
              <w:t>u</w:t>
            </w:r>
            <w:r w:rsidRPr="00FC6700">
              <w:rPr>
                <w:spacing w:val="0"/>
              </w:rPr>
              <w:t xml:space="preserve"> inkasu DPFO vybírané srážkou.</w:t>
            </w:r>
          </w:p>
        </w:tc>
        <w:tc>
          <w:tcPr>
            <w:tcW w:w="203" w:type="dxa"/>
            <w:tcMar>
              <w:left w:w="0" w:type="dxa"/>
            </w:tcMar>
          </w:tcPr>
          <w:p w14:paraId="1837CBF3" w14:textId="77777777" w:rsidR="00EC313D" w:rsidRPr="00FC6700" w:rsidRDefault="00EC313D" w:rsidP="00E87182">
            <w:pPr>
              <w:pStyle w:val="Textpoznpodarou"/>
              <w:jc w:val="both"/>
            </w:pPr>
          </w:p>
        </w:tc>
        <w:tc>
          <w:tcPr>
            <w:tcW w:w="7656" w:type="dxa"/>
            <w:tcMar>
              <w:left w:w="0" w:type="dxa"/>
            </w:tcMar>
          </w:tcPr>
          <w:p w14:paraId="2F97D749" w14:textId="77777777" w:rsidR="00EC313D" w:rsidRPr="00F92283" w:rsidRDefault="00EC313D" w:rsidP="00E87182">
            <w:pPr>
              <w:spacing w:after="200"/>
              <w:rPr>
                <w:color w:val="0D0D0D" w:themeColor="text1" w:themeTint="F2"/>
              </w:rPr>
            </w:pPr>
            <w:r w:rsidRPr="00F92283">
              <w:rPr>
                <w:color w:val="0D0D0D" w:themeColor="text1" w:themeTint="F2"/>
              </w:rPr>
              <w:t>Přestože výběr DPFO placené poplatníky (hlavně ze samostatné výdělečné činnosti) loni výrazně zrychlil a výše inkasa (14,5 mld. korun) byla meziročně skoro o polovinu vyšší, její příspěvek k růstu celkových příjmů SR plynoucích z DPFO byl nadále spíše okrajový. Růst výběru této daně od poplatníků pramenil z vyššího počtu drobných podnikatelů i dopadů konsolidačního balíčku (snížení hranice příjmů pro druhou, vyšší daňovou sazbu, zrušení či omezení některých daňových slev). Inkaso DPFO vybírané srážkou se vloni naopak meziročně snížilo (o 2,4 %, na 29,7 mld. korun). S očekávaným poklesem úrokových sazeb na vkladech skončilo pro SR předchozí čtyřleté období dynamického růstu příjmů z této daně. Efekt poklesu sazeb je částečně tlumen přetrvávající, relativně vysokou mírou úspor domácností. Do aktuálního poklesu inkasa se může promítat i nižší počet osob pracujících na dohody mimo hlavní pracovní poměr.</w:t>
            </w:r>
          </w:p>
        </w:tc>
      </w:tr>
      <w:tr w:rsidR="00EC313D" w:rsidRPr="00FC6700" w14:paraId="5A15FBA9" w14:textId="77777777" w:rsidTr="00E87182">
        <w:trPr>
          <w:trHeight w:val="60"/>
        </w:trPr>
        <w:tc>
          <w:tcPr>
            <w:tcW w:w="1810" w:type="dxa"/>
            <w:tcMar>
              <w:left w:w="0" w:type="dxa"/>
            </w:tcMar>
          </w:tcPr>
          <w:p w14:paraId="58F62B64" w14:textId="77777777" w:rsidR="00EC313D" w:rsidRPr="00FC6700" w:rsidRDefault="00EC313D" w:rsidP="00E87182">
            <w:pPr>
              <w:pStyle w:val="Marginlie"/>
              <w:rPr>
                <w:spacing w:val="0"/>
              </w:rPr>
            </w:pPr>
            <w:r w:rsidRPr="00FC6700">
              <w:rPr>
                <w:spacing w:val="0"/>
              </w:rPr>
              <w:t> </w:t>
            </w:r>
          </w:p>
        </w:tc>
        <w:tc>
          <w:tcPr>
            <w:tcW w:w="203" w:type="dxa"/>
            <w:tcMar>
              <w:left w:w="0" w:type="dxa"/>
            </w:tcMar>
          </w:tcPr>
          <w:p w14:paraId="76EB7491" w14:textId="77777777" w:rsidR="00EC313D" w:rsidRPr="00FC6700" w:rsidRDefault="00EC313D" w:rsidP="00E87182">
            <w:pPr>
              <w:pStyle w:val="Textpoznpodarou"/>
              <w:jc w:val="both"/>
            </w:pPr>
          </w:p>
        </w:tc>
        <w:tc>
          <w:tcPr>
            <w:tcW w:w="7656" w:type="dxa"/>
            <w:tcMar>
              <w:left w:w="0" w:type="dxa"/>
            </w:tcMar>
          </w:tcPr>
          <w:p w14:paraId="41E3C554" w14:textId="77777777" w:rsidR="00EC313D" w:rsidRPr="00F92283" w:rsidRDefault="00EC313D" w:rsidP="00E87182">
            <w:pPr>
              <w:spacing w:after="20"/>
              <w:rPr>
                <w:color w:val="0D0D0D" w:themeColor="text1" w:themeTint="F2"/>
              </w:rPr>
            </w:pPr>
            <w:r w:rsidRPr="00F92283">
              <w:rPr>
                <w:rFonts w:cs="Arial"/>
                <w:b/>
                <w:bCs/>
                <w:color w:val="000000"/>
                <w:szCs w:val="20"/>
              </w:rPr>
              <w:t xml:space="preserve">Graf č. 18 Příspěvek dílčích příjmů k meziročnímu růstu souhrnného celostátního inkasa daňových příjmů </w:t>
            </w:r>
            <w:r w:rsidRPr="00F92283">
              <w:rPr>
                <w:rFonts w:cs="Arial"/>
                <w:bCs/>
                <w:color w:val="000000"/>
                <w:szCs w:val="20"/>
              </w:rPr>
              <w:t xml:space="preserve">(v p. b.), </w:t>
            </w:r>
            <w:r w:rsidRPr="00F92283">
              <w:rPr>
                <w:rFonts w:cs="Arial"/>
                <w:b/>
                <w:bCs/>
                <w:color w:val="000000"/>
                <w:szCs w:val="20"/>
              </w:rPr>
              <w:t>meziroční růst příjmů pojistného na sociální zabezpečení</w:t>
            </w:r>
            <w:r w:rsidRPr="00F92283">
              <w:rPr>
                <w:rFonts w:cs="Arial"/>
                <w:bCs/>
                <w:color w:val="000000"/>
                <w:szCs w:val="20"/>
              </w:rPr>
              <w:t xml:space="preserve"> (%) </w:t>
            </w:r>
            <w:r w:rsidRPr="00F92283">
              <w:rPr>
                <w:rFonts w:cs="Arial"/>
                <w:b/>
                <w:bCs/>
                <w:color w:val="000000"/>
                <w:szCs w:val="20"/>
              </w:rPr>
              <w:t xml:space="preserve">a saldo státního rozpočtu </w:t>
            </w:r>
            <w:r w:rsidRPr="00F92283">
              <w:rPr>
                <w:rFonts w:cs="Arial"/>
                <w:bCs/>
                <w:color w:val="000000"/>
                <w:szCs w:val="20"/>
              </w:rPr>
              <w:t>(v mld. korun)</w:t>
            </w:r>
          </w:p>
        </w:tc>
      </w:tr>
      <w:tr w:rsidR="00EC313D" w:rsidRPr="00FC6700" w14:paraId="75382D5C" w14:textId="77777777" w:rsidTr="00E87182">
        <w:trPr>
          <w:trHeight w:val="60"/>
        </w:trPr>
        <w:tc>
          <w:tcPr>
            <w:tcW w:w="1810" w:type="dxa"/>
            <w:tcMar>
              <w:left w:w="0" w:type="dxa"/>
            </w:tcMar>
          </w:tcPr>
          <w:p w14:paraId="18645B90" w14:textId="77777777" w:rsidR="00EC313D" w:rsidRPr="00FC6700" w:rsidRDefault="00EC313D" w:rsidP="00E87182">
            <w:pPr>
              <w:pStyle w:val="Marginlie"/>
              <w:rPr>
                <w:spacing w:val="0"/>
              </w:rPr>
            </w:pPr>
          </w:p>
        </w:tc>
        <w:tc>
          <w:tcPr>
            <w:tcW w:w="203" w:type="dxa"/>
            <w:tcMar>
              <w:left w:w="0" w:type="dxa"/>
            </w:tcMar>
          </w:tcPr>
          <w:p w14:paraId="5D195CA2" w14:textId="77777777" w:rsidR="00EC313D" w:rsidRPr="00FC6700" w:rsidRDefault="00EC313D" w:rsidP="00E87182">
            <w:pPr>
              <w:pStyle w:val="Textpoznpodarou"/>
              <w:jc w:val="both"/>
            </w:pPr>
          </w:p>
          <w:p w14:paraId="31038AF8" w14:textId="77777777" w:rsidR="00EC313D" w:rsidRPr="00FC6700" w:rsidRDefault="00EC313D" w:rsidP="00E87182">
            <w:pPr>
              <w:pStyle w:val="Textpoznpodarou"/>
              <w:jc w:val="both"/>
            </w:pPr>
          </w:p>
        </w:tc>
        <w:tc>
          <w:tcPr>
            <w:tcW w:w="7656" w:type="dxa"/>
            <w:tcMar>
              <w:left w:w="0" w:type="dxa"/>
            </w:tcMar>
          </w:tcPr>
          <w:p w14:paraId="6FF716F2" w14:textId="77777777" w:rsidR="00EC313D" w:rsidRPr="00F92283" w:rsidRDefault="00EC313D" w:rsidP="00E87182">
            <w:pPr>
              <w:spacing w:before="20" w:after="20"/>
              <w:rPr>
                <w:color w:val="0D0D0D" w:themeColor="text1" w:themeTint="F2"/>
              </w:rPr>
            </w:pPr>
            <w:r w:rsidRPr="00F92283">
              <w:rPr>
                <w:noProof/>
              </w:rPr>
              <w:drawing>
                <wp:inline distT="0" distB="0" distL="0" distR="0" wp14:anchorId="647BFD4F" wp14:editId="03B1BE08">
                  <wp:extent cx="4772660" cy="3279140"/>
                  <wp:effectExtent l="0" t="0" r="8890" b="4445"/>
                  <wp:docPr id="1182993584" name="Graf 1">
                    <a:extLst xmlns:a="http://schemas.openxmlformats.org/drawingml/2006/main">
                      <a:ext uri="{FF2B5EF4-FFF2-40B4-BE49-F238E27FC236}">
                        <a16:creationId xmlns:a16="http://schemas.microsoft.com/office/drawing/2014/main" id="{00000000-0008-0000-19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r w:rsidR="00EC313D" w:rsidRPr="00FC6700" w14:paraId="49970212" w14:textId="77777777" w:rsidTr="00E87182">
        <w:tblPrEx>
          <w:tblCellMar>
            <w:left w:w="70" w:type="dxa"/>
            <w:right w:w="70" w:type="dxa"/>
          </w:tblCellMar>
        </w:tblPrEx>
        <w:trPr>
          <w:trHeight w:val="170"/>
        </w:trPr>
        <w:tc>
          <w:tcPr>
            <w:tcW w:w="1810" w:type="dxa"/>
          </w:tcPr>
          <w:p w14:paraId="07310E8C" w14:textId="77777777" w:rsidR="00EC313D" w:rsidRPr="00FC6700" w:rsidRDefault="00EC313D" w:rsidP="00E87182">
            <w:pPr>
              <w:pStyle w:val="Marginlie"/>
              <w:rPr>
                <w:spacing w:val="0"/>
              </w:rPr>
            </w:pPr>
          </w:p>
        </w:tc>
        <w:tc>
          <w:tcPr>
            <w:tcW w:w="203" w:type="dxa"/>
          </w:tcPr>
          <w:p w14:paraId="0007C889" w14:textId="77777777" w:rsidR="00EC313D" w:rsidRPr="00FC6700" w:rsidRDefault="00EC313D" w:rsidP="00E87182">
            <w:pPr>
              <w:pStyle w:val="Textpoznpodarou"/>
              <w:jc w:val="both"/>
            </w:pPr>
          </w:p>
        </w:tc>
        <w:tc>
          <w:tcPr>
            <w:tcW w:w="7656" w:type="dxa"/>
          </w:tcPr>
          <w:p w14:paraId="45A4E1AC" w14:textId="77777777" w:rsidR="00EC313D" w:rsidRPr="00F92283" w:rsidRDefault="00EC313D" w:rsidP="00E87182">
            <w:pPr>
              <w:tabs>
                <w:tab w:val="right" w:pos="7683"/>
              </w:tabs>
              <w:spacing w:after="0" w:line="240" w:lineRule="auto"/>
              <w:jc w:val="left"/>
              <w:rPr>
                <w:sz w:val="14"/>
                <w:szCs w:val="14"/>
              </w:rPr>
            </w:pPr>
            <w:r w:rsidRPr="00F92283">
              <w:rPr>
                <w:sz w:val="14"/>
                <w:szCs w:val="14"/>
              </w:rPr>
              <w:t>*Zahrnují i příspěvky na státní politiku zaměstnanosti.</w:t>
            </w:r>
          </w:p>
          <w:p w14:paraId="61725C46" w14:textId="77777777" w:rsidR="00EC313D" w:rsidRPr="00F92283" w:rsidRDefault="00EC313D" w:rsidP="00E87182">
            <w:pPr>
              <w:tabs>
                <w:tab w:val="right" w:pos="7683"/>
              </w:tabs>
              <w:spacing w:after="0" w:line="240" w:lineRule="auto"/>
              <w:jc w:val="left"/>
              <w:rPr>
                <w:sz w:val="14"/>
                <w:szCs w:val="14"/>
              </w:rPr>
            </w:pPr>
            <w:r w:rsidRPr="00F92283">
              <w:rPr>
                <w:sz w:val="14"/>
                <w:szCs w:val="14"/>
              </w:rPr>
              <w:t>**Saldo očištěné o prostředky na programy/projekty z rozpočtu EU a finančních mechanismů, které byly předfinancovány ze SR a následně jsou propláceny z rozpočtu EU a FM. Roční údaje jsou k dispozici počínaje rokem 2010.</w:t>
            </w:r>
          </w:p>
          <w:p w14:paraId="7B4ADA45" w14:textId="77777777" w:rsidR="00EC313D" w:rsidRPr="00F92283" w:rsidRDefault="00EC313D" w:rsidP="00E87182">
            <w:pPr>
              <w:tabs>
                <w:tab w:val="right" w:pos="7683"/>
              </w:tabs>
              <w:spacing w:after="0" w:line="240" w:lineRule="auto"/>
              <w:jc w:val="left"/>
              <w:rPr>
                <w:sz w:val="16"/>
                <w:szCs w:val="16"/>
              </w:rPr>
            </w:pPr>
            <w:r w:rsidRPr="00F92283">
              <w:rPr>
                <w:sz w:val="14"/>
                <w:szCs w:val="14"/>
              </w:rPr>
              <w:t>FO = fyzické osoby, PO = právnické osoby. Ostatní daně z příjmů FO zahrnují daně placené poplatníky (zejména z drobného podnikání) a dále daně vybírané srážkou (např. bankovní vklady, pracovní dohody).</w:t>
            </w:r>
          </w:p>
          <w:p w14:paraId="01A4780A" w14:textId="77777777" w:rsidR="00EC313D" w:rsidRPr="00F92283" w:rsidRDefault="00EC313D" w:rsidP="00E87182">
            <w:pPr>
              <w:spacing w:after="0" w:line="240" w:lineRule="auto"/>
              <w:rPr>
                <w:sz w:val="14"/>
                <w:szCs w:val="14"/>
              </w:rPr>
            </w:pPr>
            <w:r w:rsidRPr="00F92283">
              <w:rPr>
                <w:sz w:val="14"/>
                <w:szCs w:val="14"/>
              </w:rPr>
              <w:t>Ostatní daně a poplatky obsahují zejména daň z nemovitých věcí, daň z hazardních her, dálniční poplatek, mýtné a od roku 2023 nově rovněž odvod z nadměrných příjmů a neočekávaných zisků.</w:t>
            </w:r>
          </w:p>
          <w:p w14:paraId="1D9DCB90" w14:textId="77777777" w:rsidR="00EC313D" w:rsidRPr="00F92283" w:rsidRDefault="00EC313D" w:rsidP="00E87182">
            <w:pPr>
              <w:spacing w:after="200" w:line="240" w:lineRule="auto"/>
              <w:rPr>
                <w:rFonts w:cs="Arial"/>
                <w:b/>
                <w:bCs/>
                <w:color w:val="000000"/>
                <w:szCs w:val="20"/>
              </w:rPr>
            </w:pPr>
            <w:r w:rsidRPr="00F92283">
              <w:rPr>
                <w:sz w:val="14"/>
                <w:szCs w:val="14"/>
              </w:rPr>
              <w:t>Zdroj: MF ČR</w:t>
            </w:r>
          </w:p>
        </w:tc>
      </w:tr>
      <w:tr w:rsidR="00EC313D" w:rsidRPr="00FC6700" w14:paraId="766C6B82" w14:textId="77777777" w:rsidTr="00E87182">
        <w:trPr>
          <w:trHeight w:val="170"/>
        </w:trPr>
        <w:tc>
          <w:tcPr>
            <w:tcW w:w="1810" w:type="dxa"/>
            <w:tcMar>
              <w:left w:w="0" w:type="dxa"/>
            </w:tcMar>
          </w:tcPr>
          <w:p w14:paraId="413738B4" w14:textId="77777777" w:rsidR="00EC313D" w:rsidRPr="003B7A8B" w:rsidRDefault="00EC313D" w:rsidP="00E87182">
            <w:pPr>
              <w:pStyle w:val="Marginlie"/>
              <w:rPr>
                <w:spacing w:val="0"/>
              </w:rPr>
            </w:pPr>
            <w:r w:rsidRPr="003B7A8B">
              <w:rPr>
                <w:color w:val="0D0D0D" w:themeColor="text1" w:themeTint="F2"/>
                <w:spacing w:val="0"/>
                <w:szCs w:val="20"/>
              </w:rPr>
              <w:t>Nedaňové a kapitálové příjmy i přijaté transfery SR se loni v úhrnu meziročně</w:t>
            </w:r>
            <w:r>
              <w:rPr>
                <w:spacing w:val="0"/>
              </w:rPr>
              <w:t xml:space="preserve"> snížily </w:t>
            </w:r>
            <w:r w:rsidRPr="003B7A8B">
              <w:rPr>
                <w:spacing w:val="0"/>
              </w:rPr>
              <w:t>druh</w:t>
            </w:r>
            <w:r>
              <w:rPr>
                <w:spacing w:val="0"/>
              </w:rPr>
              <w:t>ý</w:t>
            </w:r>
            <w:r w:rsidRPr="003B7A8B">
              <w:rPr>
                <w:spacing w:val="0"/>
              </w:rPr>
              <w:t xml:space="preserve"> rok v řadě. </w:t>
            </w:r>
            <w:r>
              <w:rPr>
                <w:spacing w:val="0"/>
              </w:rPr>
              <w:t>V roce 2025 se na tom nejvíce podílely nižší příjmy z rozpočtu EU a FM.</w:t>
            </w:r>
          </w:p>
        </w:tc>
        <w:tc>
          <w:tcPr>
            <w:tcW w:w="203" w:type="dxa"/>
            <w:tcMar>
              <w:left w:w="0" w:type="dxa"/>
            </w:tcMar>
          </w:tcPr>
          <w:p w14:paraId="7E87308C" w14:textId="77777777" w:rsidR="00EC313D" w:rsidRPr="003B7A8B" w:rsidRDefault="00EC313D" w:rsidP="00E87182">
            <w:pPr>
              <w:pStyle w:val="Textpoznpodarou"/>
              <w:jc w:val="both"/>
            </w:pPr>
          </w:p>
        </w:tc>
        <w:tc>
          <w:tcPr>
            <w:tcW w:w="7656" w:type="dxa"/>
            <w:tcMar>
              <w:left w:w="0" w:type="dxa"/>
            </w:tcMar>
          </w:tcPr>
          <w:p w14:paraId="235E5EED" w14:textId="689F3D72" w:rsidR="00EC313D" w:rsidRPr="00F92283" w:rsidRDefault="00EC313D" w:rsidP="00E87182">
            <w:pPr>
              <w:spacing w:after="200"/>
              <w:rPr>
                <w:color w:val="0D0D0D" w:themeColor="text1" w:themeTint="F2"/>
                <w:szCs w:val="20"/>
              </w:rPr>
            </w:pPr>
            <w:r w:rsidRPr="00F92283">
              <w:rPr>
                <w:color w:val="0D0D0D" w:themeColor="text1" w:themeTint="F2"/>
                <w:szCs w:val="20"/>
              </w:rPr>
              <w:t>Nedaňové a kapitálové příjmy i přijaté transfery SR se loni v úhrnu meziročně snížily o 11,9 % (–29,6 mld korun), podobným tempem klesly druhý rok v řadě. Jejich výběr v roce 2025 navíc významně zaostal za rozpočtovým očekáváním</w:t>
            </w:r>
            <w:r w:rsidRPr="00F92283">
              <w:rPr>
                <w:rStyle w:val="Znakapoznpodarou"/>
                <w:color w:val="0D0D0D" w:themeColor="text1" w:themeTint="F2"/>
                <w:szCs w:val="20"/>
              </w:rPr>
              <w:footnoteReference w:id="137"/>
            </w:r>
            <w:r w:rsidRPr="00F92283">
              <w:rPr>
                <w:color w:val="0D0D0D" w:themeColor="text1" w:themeTint="F2"/>
                <w:szCs w:val="20"/>
              </w:rPr>
              <w:t>. Nízká úroveň plnění nedaňových příjmů souvisela hlavně s meziročním poklesem inkasa u váhově dominantní položky – příjmů z rozpočtu EU (vč. finančních mechanismů – FM) – bezmála o pětinu. Úplné zastavení příjmů na krytí předfinancovaných výdajů ze staršího programového období EU (2014–2020) nebylo kompenzováno posilujícím náběhem příjmů</w:t>
            </w:r>
            <w:r w:rsidR="006C70EB" w:rsidRPr="00F92283">
              <w:rPr>
                <w:color w:val="0D0D0D" w:themeColor="text1" w:themeTint="F2"/>
                <w:szCs w:val="20"/>
              </w:rPr>
              <w:t xml:space="preserve"> </w:t>
            </w:r>
            <w:r w:rsidRPr="00F92283">
              <w:rPr>
                <w:color w:val="0D0D0D" w:themeColor="text1" w:themeTint="F2"/>
                <w:szCs w:val="20"/>
              </w:rPr>
              <w:t>z aktuálního období 2021–2027 (+16,5 mld. korun, hlavně</w:t>
            </w:r>
            <w:r w:rsidR="006C70EB" w:rsidRPr="00F92283">
              <w:rPr>
                <w:color w:val="0D0D0D" w:themeColor="text1" w:themeTint="F2"/>
                <w:szCs w:val="20"/>
              </w:rPr>
              <w:t xml:space="preserve"> </w:t>
            </w:r>
            <w:r w:rsidRPr="00F92283">
              <w:rPr>
                <w:color w:val="0D0D0D" w:themeColor="text1" w:themeTint="F2"/>
                <w:szCs w:val="20"/>
              </w:rPr>
              <w:t>v</w:t>
            </w:r>
            <w:r w:rsidR="006C70EB" w:rsidRPr="00F92283">
              <w:rPr>
                <w:color w:val="0D0D0D" w:themeColor="text1" w:themeTint="F2"/>
                <w:szCs w:val="20"/>
              </w:rPr>
              <w:t> </w:t>
            </w:r>
            <w:r w:rsidRPr="00F92283">
              <w:rPr>
                <w:color w:val="0D0D0D" w:themeColor="text1" w:themeTint="F2"/>
                <w:szCs w:val="20"/>
              </w:rPr>
              <w:t>oblasti</w:t>
            </w:r>
            <w:r w:rsidR="006C70EB" w:rsidRPr="00F92283">
              <w:rPr>
                <w:color w:val="0D0D0D" w:themeColor="text1" w:themeTint="F2"/>
                <w:szCs w:val="20"/>
              </w:rPr>
              <w:t xml:space="preserve"> </w:t>
            </w:r>
            <w:r w:rsidRPr="00F92283">
              <w:rPr>
                <w:color w:val="0D0D0D" w:themeColor="text1" w:themeTint="F2"/>
                <w:szCs w:val="20"/>
              </w:rPr>
              <w:t>dopravy</w:t>
            </w:r>
            <w:r w:rsidR="006C70EB" w:rsidRPr="00F92283">
              <w:rPr>
                <w:color w:val="0D0D0D" w:themeColor="text1" w:themeTint="F2"/>
                <w:szCs w:val="20"/>
              </w:rPr>
              <w:t xml:space="preserve"> </w:t>
            </w:r>
            <w:r w:rsidRPr="00F92283">
              <w:t>a</w:t>
            </w:r>
            <w:r w:rsidR="00C41D07" w:rsidRPr="00F92283">
              <w:t> </w:t>
            </w:r>
            <w:r w:rsidRPr="00F92283">
              <w:t>Integrovaného</w:t>
            </w:r>
            <w:r w:rsidRPr="00F92283">
              <w:rPr>
                <w:color w:val="0D0D0D" w:themeColor="text1" w:themeTint="F2"/>
                <w:szCs w:val="20"/>
              </w:rPr>
              <w:t xml:space="preserve"> operačního programu) a dále prostředky</w:t>
            </w:r>
            <w:r w:rsidR="006C70EB" w:rsidRPr="00F92283">
              <w:rPr>
                <w:color w:val="0D0D0D" w:themeColor="text1" w:themeTint="F2"/>
                <w:szCs w:val="20"/>
              </w:rPr>
              <w:t xml:space="preserve"> </w:t>
            </w:r>
            <w:r w:rsidRPr="00F92283">
              <w:rPr>
                <w:color w:val="0D0D0D" w:themeColor="text1" w:themeTint="F2"/>
                <w:szCs w:val="20"/>
              </w:rPr>
              <w:t xml:space="preserve">z Národního plánu obnovy. Dalším významným faktorem nenaplnění příjmů byl pokračující výraznější </w:t>
            </w:r>
            <w:r w:rsidRPr="00F92283">
              <w:rPr>
                <w:color w:val="0D0D0D" w:themeColor="text1" w:themeTint="F2"/>
                <w:szCs w:val="20"/>
              </w:rPr>
              <w:lastRenderedPageBreak/>
              <w:t>pokles příjmů z prodeje emisních povolenek (o 16,5 %, za dva roky o 26,3 %, na loňských 13,7 mld. korun</w:t>
            </w:r>
            <w:r w:rsidRPr="00F92283">
              <w:rPr>
                <w:rStyle w:val="Znakapoznpodarou"/>
                <w:color w:val="0D0D0D" w:themeColor="text1" w:themeTint="F2"/>
                <w:szCs w:val="20"/>
              </w:rPr>
              <w:footnoteReference w:id="138"/>
            </w:r>
            <w:r w:rsidRPr="00F92283">
              <w:rPr>
                <w:color w:val="0D0D0D" w:themeColor="text1" w:themeTint="F2"/>
                <w:szCs w:val="20"/>
              </w:rPr>
              <w:t xml:space="preserve">) a dále nižší výnosy z majetkové účasti státu, zejména v energetice. </w:t>
            </w:r>
          </w:p>
        </w:tc>
      </w:tr>
      <w:tr w:rsidR="00EC313D" w:rsidRPr="00FC6700" w14:paraId="480BB40E" w14:textId="77777777" w:rsidTr="00E87182">
        <w:trPr>
          <w:trHeight w:val="170"/>
        </w:trPr>
        <w:tc>
          <w:tcPr>
            <w:tcW w:w="1810" w:type="dxa"/>
            <w:tcMar>
              <w:left w:w="0" w:type="dxa"/>
            </w:tcMar>
          </w:tcPr>
          <w:p w14:paraId="38654A05" w14:textId="77777777" w:rsidR="00EC313D" w:rsidRPr="00FC6700" w:rsidRDefault="00EC313D" w:rsidP="00E87182">
            <w:pPr>
              <w:pStyle w:val="Marginlie"/>
              <w:rPr>
                <w:spacing w:val="0"/>
              </w:rPr>
            </w:pPr>
            <w:r>
              <w:rPr>
                <w:spacing w:val="0"/>
              </w:rPr>
              <w:lastRenderedPageBreak/>
              <w:t xml:space="preserve">Meziroční růst celkových výdajů SR loni zrychlil </w:t>
            </w:r>
            <w:r>
              <w:rPr>
                <w:spacing w:val="0"/>
              </w:rPr>
              <w:br/>
              <w:t>a současně překročil rozpočtové očekávání.</w:t>
            </w:r>
          </w:p>
          <w:p w14:paraId="20D57BF5" w14:textId="77777777" w:rsidR="00EC313D" w:rsidRPr="00FC6700" w:rsidRDefault="00EC313D" w:rsidP="00E87182">
            <w:pPr>
              <w:pStyle w:val="Marginlie"/>
              <w:rPr>
                <w:spacing w:val="0"/>
              </w:rPr>
            </w:pPr>
          </w:p>
          <w:p w14:paraId="39012D30" w14:textId="77777777" w:rsidR="00EC313D" w:rsidRDefault="00EC313D" w:rsidP="00E87182">
            <w:pPr>
              <w:pStyle w:val="Marginlie"/>
              <w:rPr>
                <w:spacing w:val="0"/>
              </w:rPr>
            </w:pPr>
          </w:p>
          <w:p w14:paraId="7D2F5357" w14:textId="77777777" w:rsidR="00EC313D" w:rsidRDefault="00EC313D" w:rsidP="00E87182">
            <w:pPr>
              <w:pStyle w:val="Marginlie"/>
              <w:rPr>
                <w:spacing w:val="0"/>
              </w:rPr>
            </w:pPr>
          </w:p>
          <w:p w14:paraId="1B9D26B2" w14:textId="77777777" w:rsidR="00EC313D" w:rsidRPr="00FC6700" w:rsidRDefault="00EC313D" w:rsidP="00E87182">
            <w:pPr>
              <w:pStyle w:val="Marginlie"/>
              <w:rPr>
                <w:spacing w:val="0"/>
              </w:rPr>
            </w:pPr>
          </w:p>
          <w:p w14:paraId="76E23854" w14:textId="77777777" w:rsidR="00EC313D" w:rsidRPr="00FC6700" w:rsidRDefault="00EC313D" w:rsidP="00E87182">
            <w:pPr>
              <w:pStyle w:val="Marginlie"/>
              <w:rPr>
                <w:spacing w:val="0"/>
              </w:rPr>
            </w:pPr>
          </w:p>
          <w:p w14:paraId="5F97DB29" w14:textId="77777777" w:rsidR="00EC313D" w:rsidRPr="00FC6700" w:rsidRDefault="00EC313D" w:rsidP="00E87182">
            <w:pPr>
              <w:pStyle w:val="Marginlie"/>
              <w:rPr>
                <w:spacing w:val="0"/>
              </w:rPr>
            </w:pPr>
            <w:r w:rsidRPr="00FC6700">
              <w:rPr>
                <w:spacing w:val="0"/>
              </w:rPr>
              <w:t>K růstu běžných výdajů přispěly nejvíce běžné transfery územním rozpočtům, zejména přímých výdajů na vzdělávání.</w:t>
            </w:r>
          </w:p>
        </w:tc>
        <w:tc>
          <w:tcPr>
            <w:tcW w:w="203" w:type="dxa"/>
            <w:tcMar>
              <w:left w:w="0" w:type="dxa"/>
            </w:tcMar>
          </w:tcPr>
          <w:p w14:paraId="5FBF9C6B" w14:textId="77777777" w:rsidR="00EC313D" w:rsidRPr="00FC6700" w:rsidRDefault="00EC313D" w:rsidP="00E87182">
            <w:pPr>
              <w:pStyle w:val="Textpoznpodarou"/>
              <w:jc w:val="both"/>
            </w:pPr>
          </w:p>
        </w:tc>
        <w:tc>
          <w:tcPr>
            <w:tcW w:w="7656" w:type="dxa"/>
            <w:tcMar>
              <w:left w:w="0" w:type="dxa"/>
            </w:tcMar>
          </w:tcPr>
          <w:p w14:paraId="54E09D9F" w14:textId="77777777" w:rsidR="00EC313D" w:rsidRPr="00F92283" w:rsidRDefault="00EC313D" w:rsidP="00E87182">
            <w:pPr>
              <w:spacing w:after="200"/>
              <w:rPr>
                <w:color w:val="0D0D0D" w:themeColor="text1" w:themeTint="F2"/>
                <w:szCs w:val="20"/>
              </w:rPr>
            </w:pPr>
            <w:r w:rsidRPr="00F92283">
              <w:rPr>
                <w:color w:val="0D0D0D" w:themeColor="text1" w:themeTint="F2"/>
              </w:rPr>
              <w:t xml:space="preserve">Celkové výdaje SR v roce 2025 meziročně vzrostly o 6,0 %, což ve srovnání s předloňským tempem znamenalo významné zrychlení. To je způsobeno zejména tím, že v roce 2024 se naplno projevoval útlum podpory domácností i firem zasažených dříve vysokými cenami energií. Také již tehdy došlo ke stabilizaci růstu spotřebitelských cen, což se brzy promítlo i v nižším tlaku na valorizaci širokého spektra sociálních dávek. Loňské čerpání výdajů na rozdíl od předchozích tří let mírně překročilo rozpočtové očekávání. </w:t>
            </w:r>
            <w:r w:rsidRPr="00F92283">
              <w:rPr>
                <w:color w:val="0D0D0D" w:themeColor="text1" w:themeTint="F2"/>
                <w:szCs w:val="20"/>
              </w:rPr>
              <w:t>K meziročnímu růstu celkových výdajů přispěly loni jak běžné výdaje (+85,1 mld. korun), tak investice, jejichž vliv byl nezvykle vysoký (+49,9 mld.). V rámci běžných výdajů měly nejvýraznější vliv vyšší transfery územním rozpočtům, jež vystoupaly na 281 mld. korun a</w:t>
            </w:r>
            <w:r w:rsidRPr="00F92283">
              <w:rPr>
                <w:color w:val="0D0D0D" w:themeColor="text1" w:themeTint="F2"/>
              </w:rPr>
              <w:t> </w:t>
            </w:r>
            <w:r w:rsidRPr="00F92283">
              <w:rPr>
                <w:color w:val="0D0D0D" w:themeColor="text1" w:themeTint="F2"/>
                <w:szCs w:val="20"/>
              </w:rPr>
              <w:t>meziročně vzrostly o 8,5 %. Vyšší výdaje souvisí hlavně s posílením prostředků na regionální školství, primárně na zvýšení platů</w:t>
            </w:r>
            <w:r w:rsidRPr="00F92283">
              <w:rPr>
                <w:rStyle w:val="Znakapoznpodarou"/>
                <w:color w:val="0D0D0D" w:themeColor="text1" w:themeTint="F2"/>
                <w:szCs w:val="20"/>
              </w:rPr>
              <w:footnoteReference w:id="139"/>
            </w:r>
            <w:r w:rsidRPr="00F92283">
              <w:rPr>
                <w:color w:val="0D0D0D" w:themeColor="text1" w:themeTint="F2"/>
                <w:szCs w:val="20"/>
              </w:rPr>
              <w:t xml:space="preserve"> (včetně doplnění chybějících zdrojů na platy nepedagogických pracovníků), na spolufinancování nevýzkumných vzdělávacích projektů podporovaných EU a též na sociální služby. Naopak méně prostředků směřovalo na oblast integrace uprchlíků z Ukrajiny (kompenzační příspěvek na ubytování, ukrajinští asistenti pedagogů).</w:t>
            </w:r>
          </w:p>
        </w:tc>
      </w:tr>
      <w:tr w:rsidR="00EC313D" w:rsidRPr="00FC6700" w14:paraId="436436C2" w14:textId="77777777" w:rsidTr="00E87182">
        <w:trPr>
          <w:trHeight w:val="170"/>
        </w:trPr>
        <w:tc>
          <w:tcPr>
            <w:tcW w:w="1810" w:type="dxa"/>
            <w:tcMar>
              <w:left w:w="0" w:type="dxa"/>
            </w:tcMar>
          </w:tcPr>
          <w:p w14:paraId="04074805" w14:textId="77777777" w:rsidR="00EC313D" w:rsidRPr="00FC6700" w:rsidRDefault="00EC313D" w:rsidP="00E87182">
            <w:pPr>
              <w:pStyle w:val="Marginlie"/>
              <w:rPr>
                <w:spacing w:val="0"/>
              </w:rPr>
            </w:pPr>
            <w:r w:rsidRPr="00FC6700">
              <w:rPr>
                <w:spacing w:val="0"/>
              </w:rPr>
              <w:t xml:space="preserve">Výdaje na důchody rostly nejméně za posledních </w:t>
            </w:r>
            <w:r w:rsidRPr="00FC6700">
              <w:rPr>
                <w:spacing w:val="0"/>
              </w:rPr>
              <w:br/>
              <w:t xml:space="preserve">11 let. Projevil se vliv zmírněné valorizace </w:t>
            </w:r>
            <w:r w:rsidRPr="00FC6700">
              <w:rPr>
                <w:spacing w:val="0"/>
              </w:rPr>
              <w:br/>
              <w:t>i zpřísnění podmínek pro přiznání předčasných penzí.</w:t>
            </w:r>
          </w:p>
          <w:p w14:paraId="26628D82" w14:textId="77777777" w:rsidR="00EC313D" w:rsidRPr="00FC6700" w:rsidRDefault="00EC313D" w:rsidP="00E87182">
            <w:pPr>
              <w:pStyle w:val="Marginlie"/>
              <w:rPr>
                <w:spacing w:val="0"/>
              </w:rPr>
            </w:pPr>
          </w:p>
        </w:tc>
        <w:tc>
          <w:tcPr>
            <w:tcW w:w="203" w:type="dxa"/>
            <w:tcMar>
              <w:left w:w="0" w:type="dxa"/>
            </w:tcMar>
          </w:tcPr>
          <w:p w14:paraId="2DDB75B7" w14:textId="77777777" w:rsidR="00EC313D" w:rsidRPr="00FC6700" w:rsidRDefault="00EC313D" w:rsidP="00E87182">
            <w:pPr>
              <w:pStyle w:val="Textpoznpodarou"/>
              <w:jc w:val="both"/>
            </w:pPr>
          </w:p>
        </w:tc>
        <w:tc>
          <w:tcPr>
            <w:tcW w:w="7656" w:type="dxa"/>
            <w:tcMar>
              <w:left w:w="0" w:type="dxa"/>
            </w:tcMar>
          </w:tcPr>
          <w:p w14:paraId="573FBDE1" w14:textId="77777777" w:rsidR="00EC313D" w:rsidRPr="00F92283" w:rsidRDefault="00EC313D" w:rsidP="00E87182">
            <w:pPr>
              <w:rPr>
                <w:color w:val="0D0D0D" w:themeColor="text1" w:themeTint="F2"/>
                <w:szCs w:val="20"/>
              </w:rPr>
            </w:pPr>
            <w:r w:rsidRPr="00F92283">
              <w:rPr>
                <w:color w:val="0D0D0D" w:themeColor="text1" w:themeTint="F2"/>
                <w:szCs w:val="20"/>
              </w:rPr>
              <w:t>I přes rozpočtově očekávaný skromnější růst (+1,2 %</w:t>
            </w:r>
            <w:r w:rsidRPr="00F92283">
              <w:rPr>
                <w:rStyle w:val="Znakapoznpodarou"/>
                <w:color w:val="0D0D0D" w:themeColor="text1" w:themeTint="F2"/>
                <w:szCs w:val="20"/>
              </w:rPr>
              <w:footnoteReference w:id="140"/>
            </w:r>
            <w:r w:rsidRPr="00F92283">
              <w:rPr>
                <w:color w:val="0D0D0D" w:themeColor="text1" w:themeTint="F2"/>
                <w:szCs w:val="20"/>
              </w:rPr>
              <w:t xml:space="preserve">) přispěly loni k posílení celkových výdajů SR významně i výdaje na sociální dávky (+17,7 mld. korun). </w:t>
            </w:r>
            <w:r w:rsidRPr="00F92283">
              <w:rPr>
                <w:color w:val="0D0D0D" w:themeColor="text1" w:themeTint="F2"/>
              </w:rPr>
              <w:t>Mírně přes tři čtvrtiny z nich připadají dlouhodobě na dávky důchodového pojištění. Na důchody vydal SR loni meziročně o 0,8 % více, šlo o nejnižší růst za posledních jedenáct let. Zklidnění vývoje spotřebitelských cen se odrazilo v poměrně nevýznamné valorizaci důchodů</w:t>
            </w:r>
            <w:r w:rsidRPr="00F92283">
              <w:rPr>
                <w:rStyle w:val="Znakapoznpodarou"/>
                <w:color w:val="0D0D0D" w:themeColor="text1" w:themeTint="F2"/>
              </w:rPr>
              <w:footnoteReference w:id="141"/>
            </w:r>
            <w:r w:rsidRPr="00F92283">
              <w:rPr>
                <w:color w:val="0D0D0D" w:themeColor="text1" w:themeTint="F2"/>
              </w:rPr>
              <w:t>, počet jejich příjemců se navíc mírně snížil (o 0,6 %), což souviselo se zpřísněnými pravidly pro odchod do předčasného důchodu</w:t>
            </w:r>
            <w:r w:rsidRPr="00F92283">
              <w:rPr>
                <w:rStyle w:val="Znakapoznpodarou"/>
                <w:color w:val="0D0D0D" w:themeColor="text1" w:themeTint="F2"/>
              </w:rPr>
              <w:footnoteReference w:id="142"/>
            </w:r>
            <w:r w:rsidRPr="00F92283">
              <w:rPr>
                <w:color w:val="0D0D0D" w:themeColor="text1" w:themeTint="F2"/>
              </w:rPr>
              <w:t>. Byť meziroční růst výběru pojistného na důchody loni druhým rokem v řadě mírně zvolnil (na +6,4 %), deficit</w:t>
            </w:r>
            <w:r w:rsidRPr="00F92283">
              <w:rPr>
                <w:rFonts w:cs="Arial"/>
                <w:color w:val="0D0D0D" w:themeColor="text1" w:themeTint="F2"/>
              </w:rPr>
              <w:t xml:space="preserve"> systému důchodového pojištění</w:t>
            </w:r>
            <w:r w:rsidRPr="00F92283">
              <w:rPr>
                <w:rStyle w:val="Znakapoznpodarou"/>
                <w:color w:val="0D0D0D" w:themeColor="text1" w:themeTint="F2"/>
              </w:rPr>
              <w:footnoteReference w:id="143"/>
            </w:r>
            <w:r w:rsidRPr="00F92283">
              <w:rPr>
                <w:rFonts w:cs="Arial"/>
                <w:color w:val="0D0D0D" w:themeColor="text1" w:themeTint="F2"/>
              </w:rPr>
              <w:t xml:space="preserve"> zásadně klesl (na 9,2 mld. korun, z 50,7 mld. v roce 2024) a byl nejnižší za poslední čtyři roky.</w:t>
            </w:r>
          </w:p>
        </w:tc>
      </w:tr>
      <w:tr w:rsidR="00EC313D" w:rsidRPr="00FC6700" w14:paraId="1A91DBAC" w14:textId="77777777" w:rsidTr="00E87182">
        <w:trPr>
          <w:trHeight w:val="170"/>
        </w:trPr>
        <w:tc>
          <w:tcPr>
            <w:tcW w:w="1810" w:type="dxa"/>
            <w:tcMar>
              <w:left w:w="0" w:type="dxa"/>
            </w:tcMar>
          </w:tcPr>
          <w:p w14:paraId="76957808" w14:textId="77777777" w:rsidR="00EC313D" w:rsidRPr="00FC6700" w:rsidRDefault="00EC313D" w:rsidP="00E87182">
            <w:pPr>
              <w:pStyle w:val="Marginlie"/>
              <w:rPr>
                <w:spacing w:val="0"/>
              </w:rPr>
            </w:pPr>
            <w:r w:rsidRPr="00FC6700">
              <w:rPr>
                <w:spacing w:val="0"/>
              </w:rPr>
              <w:t>Růst výdajů na nedůchodové sociální dávky zrychlil především vlivem svižně rostoucích příspěvků na péči. Rostlo čerpání u drtivé většiny ostatních druhů dávek.</w:t>
            </w:r>
          </w:p>
          <w:p w14:paraId="5F2AB6A7" w14:textId="77777777" w:rsidR="00EC313D" w:rsidRPr="00FC6700" w:rsidRDefault="00EC313D" w:rsidP="00E87182">
            <w:pPr>
              <w:pStyle w:val="Marginlie"/>
              <w:rPr>
                <w:spacing w:val="0"/>
              </w:rPr>
            </w:pPr>
          </w:p>
          <w:p w14:paraId="04AE064E" w14:textId="77777777" w:rsidR="00EC313D" w:rsidRPr="00FC6700" w:rsidRDefault="00EC313D" w:rsidP="00E87182">
            <w:pPr>
              <w:pStyle w:val="Marginlie"/>
              <w:rPr>
                <w:spacing w:val="0"/>
              </w:rPr>
            </w:pPr>
          </w:p>
          <w:p w14:paraId="23348573" w14:textId="77777777" w:rsidR="00EC313D" w:rsidRPr="00FC6700" w:rsidRDefault="00EC313D" w:rsidP="00E87182">
            <w:pPr>
              <w:pStyle w:val="Marginlie"/>
              <w:rPr>
                <w:spacing w:val="0"/>
              </w:rPr>
            </w:pPr>
          </w:p>
          <w:p w14:paraId="30F05F93" w14:textId="77777777" w:rsidR="00EC313D" w:rsidRPr="00FC6700" w:rsidRDefault="00EC313D" w:rsidP="00E87182">
            <w:pPr>
              <w:pStyle w:val="Marginlie"/>
              <w:rPr>
                <w:spacing w:val="0"/>
              </w:rPr>
            </w:pPr>
          </w:p>
          <w:p w14:paraId="108F593B" w14:textId="77777777" w:rsidR="00EC313D" w:rsidRPr="00FC6700" w:rsidRDefault="00EC313D" w:rsidP="00E87182">
            <w:pPr>
              <w:pStyle w:val="Marginlie"/>
              <w:rPr>
                <w:spacing w:val="0"/>
              </w:rPr>
            </w:pPr>
          </w:p>
          <w:p w14:paraId="665EE334" w14:textId="77777777" w:rsidR="00EC313D" w:rsidRPr="00FC6700" w:rsidRDefault="00EC313D" w:rsidP="00E87182">
            <w:pPr>
              <w:pStyle w:val="Marginlie"/>
              <w:rPr>
                <w:spacing w:val="0"/>
              </w:rPr>
            </w:pPr>
            <w:r w:rsidRPr="00FC6700">
              <w:rPr>
                <w:spacing w:val="0"/>
              </w:rPr>
              <w:t>V menším okruhu dávek se projevoval dlouhodobější pokles čerpání kvůli klesající porodnosti.</w:t>
            </w:r>
          </w:p>
          <w:p w14:paraId="613F39A0" w14:textId="77777777" w:rsidR="00EC313D" w:rsidRPr="00FC6700" w:rsidRDefault="00EC313D" w:rsidP="00E87182">
            <w:pPr>
              <w:pStyle w:val="Marginlie"/>
              <w:rPr>
                <w:spacing w:val="0"/>
              </w:rPr>
            </w:pPr>
            <w:r w:rsidRPr="00FC6700">
              <w:rPr>
                <w:spacing w:val="0"/>
              </w:rPr>
              <w:t>Bilance nemocenského pojištění skončila druhý rok v řadě v přebytku, nejvyšším po roce 2008.</w:t>
            </w:r>
          </w:p>
          <w:p w14:paraId="51929301" w14:textId="77777777" w:rsidR="00EC313D" w:rsidRPr="00FC6700" w:rsidRDefault="00EC313D" w:rsidP="00E87182">
            <w:pPr>
              <w:pStyle w:val="Marginlie"/>
              <w:rPr>
                <w:spacing w:val="0"/>
              </w:rPr>
            </w:pPr>
          </w:p>
        </w:tc>
        <w:tc>
          <w:tcPr>
            <w:tcW w:w="203" w:type="dxa"/>
            <w:tcMar>
              <w:left w:w="0" w:type="dxa"/>
            </w:tcMar>
          </w:tcPr>
          <w:p w14:paraId="7F1E6C12" w14:textId="77777777" w:rsidR="00EC313D" w:rsidRPr="00FC6700" w:rsidRDefault="00EC313D" w:rsidP="00E87182">
            <w:pPr>
              <w:pStyle w:val="Textpoznpodarou"/>
              <w:jc w:val="both"/>
            </w:pPr>
          </w:p>
        </w:tc>
        <w:tc>
          <w:tcPr>
            <w:tcW w:w="7656" w:type="dxa"/>
            <w:tcMar>
              <w:left w:w="0" w:type="dxa"/>
            </w:tcMar>
          </w:tcPr>
          <w:p w14:paraId="4D24DF28" w14:textId="77777777" w:rsidR="00EC313D" w:rsidRPr="00F92283" w:rsidRDefault="00EC313D" w:rsidP="00E87182">
            <w:pPr>
              <w:spacing w:after="200"/>
              <w:rPr>
                <w:color w:val="0D0D0D" w:themeColor="text1" w:themeTint="F2"/>
                <w:szCs w:val="20"/>
              </w:rPr>
            </w:pPr>
            <w:r w:rsidRPr="00F92283">
              <w:rPr>
                <w:color w:val="0D0D0D" w:themeColor="text1" w:themeTint="F2"/>
                <w:szCs w:val="20"/>
              </w:rPr>
              <w:t>Meziroční růst výdajů na ostatní (nedůchodové) sociální dávky se loni druhým rokem v řadě pohyboval mírně nad 6 % (a na rozdíl od roku 2024 byl rozhodujícím faktorem růstu celkových výdajů na sociální dávky – příspěvek +11,8 mld. korun). K meziročnímu růstu výdajů, jenž převyšoval rozpočtové očekávání, došlo téměř u všech důležitých druhů dávek. Klíčovou roli zde sehrálo navýšení objemově významných příspěvků na péči pro dlouhodobě nemocné (+5,2 mld. korun, +12,4 %</w:t>
            </w:r>
            <w:r w:rsidRPr="00F92283">
              <w:rPr>
                <w:rStyle w:val="Znakapoznpodarou"/>
                <w:color w:val="0D0D0D" w:themeColor="text1" w:themeTint="F2"/>
              </w:rPr>
              <w:footnoteReference w:id="144"/>
            </w:r>
            <w:r w:rsidRPr="00F92283">
              <w:rPr>
                <w:color w:val="0D0D0D" w:themeColor="text1" w:themeTint="F2"/>
                <w:szCs w:val="20"/>
              </w:rPr>
              <w:t xml:space="preserve">). Třetím rokem v řadě rostlo čerpání podpor v nezaměstnanosti (loni o 2,0 mld. korun, +15,8 %) jak vlivem mírně </w:t>
            </w:r>
            <w:r w:rsidRPr="00F92283">
              <w:rPr>
                <w:color w:val="0D0D0D" w:themeColor="text1" w:themeTint="F2"/>
                <w:szCs w:val="20"/>
              </w:rPr>
              <w:lastRenderedPageBreak/>
              <w:t>rostoucího počtu uchazečů o práci s nárokem na podporu, tak především prostřednictvím vyšší průměrné úrovně podpory (související s růstem mezd v ekonomice). Současně pokračoval i růst dávek hmotné nouze (+0,5 mld. korun, +4,1 %), zejména vlivem vyšších humanitárních dávek pro ukrajinské uprchlíky (+20,4 %)</w:t>
            </w:r>
            <w:r w:rsidRPr="00F92283">
              <w:rPr>
                <w:rStyle w:val="Znakapoznpodarou"/>
                <w:color w:val="0D0D0D" w:themeColor="text1" w:themeTint="F2"/>
                <w:szCs w:val="20"/>
              </w:rPr>
              <w:footnoteReference w:id="145"/>
            </w:r>
            <w:r w:rsidRPr="00F92283">
              <w:rPr>
                <w:color w:val="0D0D0D" w:themeColor="text1" w:themeTint="F2"/>
                <w:szCs w:val="20"/>
              </w:rPr>
              <w:t>. Dlouhodobě rostoucí dávky státní sociální podpory a pěstounské péče loni posílily celkově o 4,0 %, hlavně kvůli příspěvkům na bydlení (+3,2 mld. korun, +16 %)</w:t>
            </w:r>
            <w:r w:rsidRPr="00F92283">
              <w:rPr>
                <w:rStyle w:val="Znakapoznpodarou"/>
                <w:color w:val="0D0D0D" w:themeColor="text1" w:themeTint="F2"/>
                <w:szCs w:val="20"/>
              </w:rPr>
              <w:footnoteReference w:id="146"/>
            </w:r>
            <w:r w:rsidRPr="00F92283">
              <w:rPr>
                <w:color w:val="0D0D0D" w:themeColor="text1" w:themeTint="F2"/>
                <w:szCs w:val="20"/>
              </w:rPr>
              <w:t xml:space="preserve">. Opačný vliv měl pokles rodičovských příspěvků i přídavků na dítě (celkově o 1,7 mld. korun), </w:t>
            </w:r>
            <w:r w:rsidRPr="00F92283">
              <w:rPr>
                <w:color w:val="0D0D0D" w:themeColor="text1" w:themeTint="F2"/>
              </w:rPr>
              <w:t>u</w:t>
            </w:r>
            <w:r w:rsidRPr="00F92283">
              <w:rPr>
                <w:color w:val="0D0D0D" w:themeColor="text1" w:themeTint="F2"/>
                <w:szCs w:val="20"/>
              </w:rPr>
              <w:t> </w:t>
            </w:r>
            <w:r w:rsidRPr="00F92283">
              <w:rPr>
                <w:color w:val="0D0D0D" w:themeColor="text1" w:themeTint="F2"/>
              </w:rPr>
              <w:t xml:space="preserve">nichž jde však o </w:t>
            </w:r>
            <w:r w:rsidRPr="00F92283">
              <w:rPr>
                <w:color w:val="0D0D0D" w:themeColor="text1" w:themeTint="F2"/>
                <w:szCs w:val="20"/>
              </w:rPr>
              <w:t xml:space="preserve">dlouhodobější jev související se snižující se porodností. Čerpání dávek </w:t>
            </w:r>
            <w:r w:rsidRPr="00F92283">
              <w:rPr>
                <w:color w:val="0D0D0D" w:themeColor="text1" w:themeTint="F2"/>
              </w:rPr>
              <w:t>nemocenského pojištění se mírně zvyšovalo druhý rok v řadě (loni o 1,4 mld. korun, +2,9 %)</w:t>
            </w:r>
            <w:r w:rsidRPr="00F92283">
              <w:rPr>
                <w:rStyle w:val="Znakapoznpodarou"/>
                <w:color w:val="0D0D0D" w:themeColor="text1" w:themeTint="F2"/>
              </w:rPr>
              <w:footnoteReference w:id="147"/>
            </w:r>
            <w:r w:rsidRPr="00F92283">
              <w:rPr>
                <w:color w:val="0D0D0D" w:themeColor="text1" w:themeTint="F2"/>
              </w:rPr>
              <w:t>.</w:t>
            </w:r>
            <w:r w:rsidRPr="00F92283">
              <w:rPr>
                <w:color w:val="0D0D0D" w:themeColor="text1" w:themeTint="F2"/>
                <w:szCs w:val="20"/>
              </w:rPr>
              <w:t xml:space="preserve"> </w:t>
            </w:r>
            <w:r w:rsidRPr="00F92283">
              <w:rPr>
                <w:color w:val="0D0D0D" w:themeColor="text1" w:themeTint="F2"/>
              </w:rPr>
              <w:t>K růstu přispěly hlavně dávky nemocenské</w:t>
            </w:r>
            <w:r w:rsidRPr="00F92283">
              <w:rPr>
                <w:rStyle w:val="Znakapoznpodarou"/>
                <w:color w:val="0D0D0D" w:themeColor="text1" w:themeTint="F2"/>
              </w:rPr>
              <w:footnoteReference w:id="148"/>
            </w:r>
            <w:r w:rsidRPr="00F92283">
              <w:rPr>
                <w:color w:val="0D0D0D" w:themeColor="text1" w:themeTint="F2"/>
              </w:rPr>
              <w:t>, naopak objem peněžité pomoci v mateřství klesal počtvrté v řadě. Příjmy z pojistného placeného zaměstnanými osobami se loni meziročně zvýšily o 8,2 %, zčásti stále vlivem zákonné úpravy ve vazbě na konsolidační balíček</w:t>
            </w:r>
            <w:r w:rsidRPr="00F92283">
              <w:rPr>
                <w:rStyle w:val="Znakapoznpodarou"/>
                <w:color w:val="0D0D0D" w:themeColor="text1" w:themeTint="F2"/>
              </w:rPr>
              <w:footnoteReference w:id="149"/>
            </w:r>
            <w:r w:rsidRPr="00F92283">
              <w:rPr>
                <w:color w:val="0D0D0D" w:themeColor="text1" w:themeTint="F2"/>
              </w:rPr>
              <w:t xml:space="preserve">. Díky tomu se </w:t>
            </w:r>
            <w:r w:rsidRPr="00F92283">
              <w:rPr>
                <w:rFonts w:cs="Arial"/>
                <w:color w:val="0D0D0D" w:themeColor="text1" w:themeTint="F2"/>
              </w:rPr>
              <w:t>bilance nemocenského pojištění</w:t>
            </w:r>
            <w:r w:rsidRPr="00F92283">
              <w:rPr>
                <w:rStyle w:val="Znakapoznpodarou"/>
                <w:color w:val="0D0D0D" w:themeColor="text1" w:themeTint="F2"/>
              </w:rPr>
              <w:footnoteReference w:id="150"/>
            </w:r>
            <w:r w:rsidRPr="00F92283">
              <w:rPr>
                <w:rFonts w:cs="Arial"/>
                <w:color w:val="0D0D0D" w:themeColor="text1" w:themeTint="F2"/>
              </w:rPr>
              <w:t xml:space="preserve"> dostala předloni poprvé po roce 2018 do mírného přebytku, jenž se v roce 2025 dále zvýšil až na 13,5</w:t>
            </w:r>
            <w:r w:rsidRPr="00F92283">
              <w:rPr>
                <w:color w:val="0D0D0D" w:themeColor="text1" w:themeTint="F2"/>
              </w:rPr>
              <w:t> </w:t>
            </w:r>
            <w:r w:rsidRPr="00F92283">
              <w:rPr>
                <w:rFonts w:cs="Arial"/>
                <w:color w:val="0D0D0D" w:themeColor="text1" w:themeTint="F2"/>
              </w:rPr>
              <w:t>mld. korun (maximum po roce 2008).</w:t>
            </w:r>
          </w:p>
        </w:tc>
      </w:tr>
      <w:tr w:rsidR="00EC313D" w:rsidRPr="002F2349" w14:paraId="7D828E53" w14:textId="77777777" w:rsidTr="00E87182">
        <w:trPr>
          <w:trHeight w:val="170"/>
        </w:trPr>
        <w:tc>
          <w:tcPr>
            <w:tcW w:w="1810" w:type="dxa"/>
            <w:tcMar>
              <w:left w:w="0" w:type="dxa"/>
            </w:tcMar>
          </w:tcPr>
          <w:p w14:paraId="68A51CAA" w14:textId="77777777" w:rsidR="00EC313D" w:rsidRDefault="00EC313D" w:rsidP="00E87182">
            <w:pPr>
              <w:pStyle w:val="Marginlie"/>
              <w:rPr>
                <w:spacing w:val="0"/>
              </w:rPr>
            </w:pPr>
            <w:r>
              <w:rPr>
                <w:spacing w:val="0"/>
              </w:rPr>
              <w:lastRenderedPageBreak/>
              <w:t>Neinvestiční nákupy rostly svižně druhým rokem v řadě, zejména vlivem výdajů na obranu a bezpečnost.</w:t>
            </w:r>
          </w:p>
          <w:p w14:paraId="21499507" w14:textId="77777777" w:rsidR="00EC313D" w:rsidRDefault="00EC313D" w:rsidP="00E87182">
            <w:pPr>
              <w:pStyle w:val="Marginlie"/>
              <w:rPr>
                <w:spacing w:val="0"/>
              </w:rPr>
            </w:pPr>
          </w:p>
          <w:p w14:paraId="1EE6FD45" w14:textId="77777777" w:rsidR="00EC313D" w:rsidRDefault="00EC313D" w:rsidP="00E87182">
            <w:pPr>
              <w:pStyle w:val="Marginlie"/>
              <w:rPr>
                <w:spacing w:val="0"/>
              </w:rPr>
            </w:pPr>
          </w:p>
          <w:p w14:paraId="1E8EFDBC" w14:textId="77777777" w:rsidR="00EC313D" w:rsidRDefault="00EC313D" w:rsidP="00E87182">
            <w:pPr>
              <w:pStyle w:val="Marginlie"/>
              <w:rPr>
                <w:spacing w:val="0"/>
              </w:rPr>
            </w:pPr>
          </w:p>
          <w:p w14:paraId="6EA8DB94" w14:textId="77777777" w:rsidR="00EC313D" w:rsidRDefault="00EC313D" w:rsidP="00E87182">
            <w:pPr>
              <w:pStyle w:val="Marginlie"/>
              <w:rPr>
                <w:spacing w:val="0"/>
              </w:rPr>
            </w:pPr>
          </w:p>
          <w:p w14:paraId="5EFCA524" w14:textId="77777777" w:rsidR="00EC313D" w:rsidRDefault="00EC313D" w:rsidP="00E87182">
            <w:pPr>
              <w:pStyle w:val="Marginlie"/>
              <w:rPr>
                <w:spacing w:val="0"/>
              </w:rPr>
            </w:pPr>
          </w:p>
          <w:p w14:paraId="1D5830F8" w14:textId="77777777" w:rsidR="00EC313D" w:rsidRDefault="00EC313D" w:rsidP="00E87182">
            <w:pPr>
              <w:pStyle w:val="Marginlie"/>
              <w:rPr>
                <w:spacing w:val="0"/>
              </w:rPr>
            </w:pPr>
          </w:p>
          <w:p w14:paraId="5B5B5A3B" w14:textId="77777777" w:rsidR="00EC313D" w:rsidRDefault="00EC313D" w:rsidP="00E87182">
            <w:pPr>
              <w:pStyle w:val="Marginlie"/>
              <w:rPr>
                <w:spacing w:val="0"/>
              </w:rPr>
            </w:pPr>
          </w:p>
          <w:p w14:paraId="5AA175DB" w14:textId="77777777" w:rsidR="00EC313D" w:rsidRPr="00FC6700" w:rsidRDefault="00EC313D" w:rsidP="00E87182">
            <w:pPr>
              <w:pStyle w:val="Marginlie"/>
              <w:rPr>
                <w:spacing w:val="0"/>
              </w:rPr>
            </w:pPr>
            <w:r>
              <w:rPr>
                <w:spacing w:val="0"/>
              </w:rPr>
              <w:t xml:space="preserve">Výše státního dluhu </w:t>
            </w:r>
            <w:r>
              <w:rPr>
                <w:spacing w:val="0"/>
              </w:rPr>
              <w:br/>
              <w:t>i úrokových výdajů na jeho obsluhu se zvýšily o desetinu.</w:t>
            </w:r>
          </w:p>
        </w:tc>
        <w:tc>
          <w:tcPr>
            <w:tcW w:w="203" w:type="dxa"/>
            <w:tcMar>
              <w:left w:w="0" w:type="dxa"/>
            </w:tcMar>
          </w:tcPr>
          <w:p w14:paraId="7F332606" w14:textId="77777777" w:rsidR="00EC313D" w:rsidRPr="00FC6700" w:rsidRDefault="00EC313D" w:rsidP="00E87182">
            <w:pPr>
              <w:pStyle w:val="Textpoznpodarou"/>
              <w:jc w:val="both"/>
            </w:pPr>
          </w:p>
        </w:tc>
        <w:tc>
          <w:tcPr>
            <w:tcW w:w="7656" w:type="dxa"/>
            <w:tcMar>
              <w:left w:w="0" w:type="dxa"/>
            </w:tcMar>
          </w:tcPr>
          <w:p w14:paraId="6846C1B8" w14:textId="4005206C" w:rsidR="00EC313D" w:rsidRPr="00F92283" w:rsidRDefault="00EC313D" w:rsidP="00E87182">
            <w:pPr>
              <w:spacing w:after="200"/>
              <w:rPr>
                <w:szCs w:val="20"/>
              </w:rPr>
            </w:pPr>
            <w:r w:rsidRPr="00F92283">
              <w:t>Neinvestiční nákupy a související výdaje (bez obsluhy státního dluhu) vzrostly loni meziročně (+15,9 %, +15,0 mld. korun). Ke svižnému růstu, jenž nastal druhý rok v řadě, loni přispěly hlavně vyšší výdaje na konci roku. Vliv úspor ve výdajích za nákup vody, paliv, energií a údržby byl tlumen posílením nákupů materiálu (zejména na obranu a bezpečnost) a kompenzační platbou v oblasti telekomunikací.</w:t>
            </w:r>
            <w:r w:rsidRPr="00F92283">
              <w:rPr>
                <w:szCs w:val="20"/>
              </w:rPr>
              <w:t xml:space="preserve"> Čisté výdaje na obsluhu státního dluhu</w:t>
            </w:r>
            <w:r w:rsidRPr="00F92283">
              <w:rPr>
                <w:vertAlign w:val="superscript"/>
              </w:rPr>
              <w:footnoteReference w:id="151"/>
            </w:r>
            <w:r w:rsidRPr="00F92283">
              <w:rPr>
                <w:szCs w:val="20"/>
              </w:rPr>
              <w:t>, zahrnující převážně úroky, loni meziročně vzrostly o 10,7 % a vystoupaly na rekordních 98,1 mld. korun a téměř dvojnásobek výše z roku 2022. Kromě rostoucího objemu plánovaných splátek byly ovlivněny i výší úrokových sazeb tuzemských vládních dluhopisů, jež v posledních letech rostly a loni patřily v rámci EU k nadprůměrným. Výše státního dluhu ČR dosáhla loni na konci prosince 3 678 mld. korun a meziročně se zvýšila o 9,3 % (růst druhým rokem mírně zrychlil). Loňský vývoj dluhu souvisí primárně s nárůstem potřeby financování kvůli vyššímu objemu plánovaných splátek dřívějších dluhopisů, přijatých zápůjček a úvěrů. Zčásti se projevil také dopad rostoucího schodku SR v roce 2025. K pokrytí potřeby financování byly tradičně využity zejména emise korunových střednědobých a dlouhodobých státních dluhopisů</w:t>
            </w:r>
            <w:r w:rsidRPr="00F92283">
              <w:rPr>
                <w:rStyle w:val="Znakapoznpodarou"/>
                <w:szCs w:val="20"/>
              </w:rPr>
              <w:footnoteReference w:id="152"/>
            </w:r>
            <w:r w:rsidRPr="00F92283">
              <w:rPr>
                <w:szCs w:val="20"/>
              </w:rPr>
              <w:t xml:space="preserve">, více než v letech 2023 i 2024 posloužily také krátkodobé dluhové nástroje. Loňské navýšení celkového dluhu bylo taženo hlavně vnitřní zadlužeností (+297 mld. korun), vliv měl ale i vnější dluh (+16 mld.), jenž rostl druhý rok v řadě (na aktuální výši celkového dluhu se ovšem podílel pouze z 5,4 %). </w:t>
            </w:r>
          </w:p>
        </w:tc>
      </w:tr>
      <w:tr w:rsidR="00EC313D" w:rsidRPr="00FC6700" w14:paraId="2DA04873" w14:textId="77777777" w:rsidTr="00E87182">
        <w:trPr>
          <w:trHeight w:val="170"/>
        </w:trPr>
        <w:tc>
          <w:tcPr>
            <w:tcW w:w="1810" w:type="dxa"/>
            <w:tcMar>
              <w:left w:w="0" w:type="dxa"/>
            </w:tcMar>
          </w:tcPr>
          <w:p w14:paraId="149B083B" w14:textId="77777777" w:rsidR="00EC313D" w:rsidRPr="00FC6700" w:rsidRDefault="00EC313D" w:rsidP="00E87182">
            <w:pPr>
              <w:pStyle w:val="Marginlie"/>
              <w:rPr>
                <w:spacing w:val="0"/>
              </w:rPr>
            </w:pPr>
            <w:r>
              <w:rPr>
                <w:spacing w:val="0"/>
              </w:rPr>
              <w:t xml:space="preserve">Růst výdajů na platy </w:t>
            </w:r>
            <w:r w:rsidRPr="00FC6700">
              <w:rPr>
                <w:color w:val="0D0D0D" w:themeColor="text1" w:themeTint="F2"/>
              </w:rPr>
              <w:t>v organizačních složkách státu</w:t>
            </w:r>
            <w:r>
              <w:rPr>
                <w:color w:val="0D0D0D" w:themeColor="text1" w:themeTint="F2"/>
              </w:rPr>
              <w:t xml:space="preserve"> i dotace příspěvkovým organizacím zrychlily.</w:t>
            </w:r>
          </w:p>
        </w:tc>
        <w:tc>
          <w:tcPr>
            <w:tcW w:w="203" w:type="dxa"/>
            <w:tcMar>
              <w:left w:w="0" w:type="dxa"/>
            </w:tcMar>
          </w:tcPr>
          <w:p w14:paraId="1A977F80" w14:textId="77777777" w:rsidR="00EC313D" w:rsidRPr="00FC6700" w:rsidRDefault="00EC313D" w:rsidP="00E87182">
            <w:pPr>
              <w:pStyle w:val="Textpoznpodarou"/>
              <w:jc w:val="both"/>
            </w:pPr>
          </w:p>
        </w:tc>
        <w:tc>
          <w:tcPr>
            <w:tcW w:w="7656" w:type="dxa"/>
            <w:tcMar>
              <w:left w:w="0" w:type="dxa"/>
            </w:tcMar>
          </w:tcPr>
          <w:p w14:paraId="41031097" w14:textId="77777777" w:rsidR="00EC313D" w:rsidRPr="00F92283" w:rsidRDefault="00EC313D" w:rsidP="00E87182">
            <w:pPr>
              <w:spacing w:after="200"/>
              <w:rPr>
                <w:color w:val="0D0D0D" w:themeColor="text1" w:themeTint="F2"/>
              </w:rPr>
            </w:pPr>
            <w:r w:rsidRPr="00F92283">
              <w:rPr>
                <w:color w:val="0D0D0D" w:themeColor="text1" w:themeTint="F2"/>
              </w:rPr>
              <w:t>Výdaje na platy v organizačních složkách státu se po faktické stagnaci v roce 2024 loni zvýšily o 7,1 % (+12,2 mld. korun)</w:t>
            </w:r>
            <w:r w:rsidRPr="00F92283">
              <w:rPr>
                <w:rStyle w:val="Znakapoznpodarou"/>
                <w:color w:val="0D0D0D" w:themeColor="text1" w:themeTint="F2"/>
              </w:rPr>
              <w:footnoteReference w:id="153"/>
            </w:r>
            <w:r w:rsidRPr="00F92283">
              <w:rPr>
                <w:color w:val="0D0D0D" w:themeColor="text1" w:themeTint="F2"/>
              </w:rPr>
              <w:t xml:space="preserve">. Loni citelně zrychlil také růst </w:t>
            </w:r>
            <w:r w:rsidRPr="00F92283">
              <w:rPr>
                <w:color w:val="0D0D0D" w:themeColor="text1" w:themeTint="F2"/>
                <w:szCs w:val="20"/>
              </w:rPr>
              <w:t xml:space="preserve">běžných dotací příspěvkovým a podobným organizacím, když výdaje vzrostly o 10,2 % (+9,2 mld. korun), a to jak vlivem vyšších příspěvků na běžný provoz vysokých škol, tak podpory </w:t>
            </w:r>
            <w:r w:rsidRPr="00F92283">
              <w:rPr>
                <w:color w:val="0D0D0D" w:themeColor="text1" w:themeTint="F2"/>
                <w:szCs w:val="20"/>
              </w:rPr>
              <w:lastRenderedPageBreak/>
              <w:t xml:space="preserve">výzkumu, vývoje a inovací ve vysokoškolském i vládním sektoru. Posílily také výdaje organizacím v oblasti obrany. Svižně, ale na rozdíl od příspěvkových organizací v souladu s očekáváním rozpočtu, vzrostly i </w:t>
            </w:r>
            <w:r w:rsidRPr="00F92283">
              <w:rPr>
                <w:color w:val="0D0D0D" w:themeColor="text1" w:themeTint="F2"/>
              </w:rPr>
              <w:t xml:space="preserve">běžné transfery neziskovým organizacím (+12,4 %, +3,0 mld. korun), a to hlavně vlivem vyšší podpory evropských projektů v oblasti zaměstnanosti, posílením dotací v oblasti sportu, církevních škol, pěstounské péče a sociálních služeb. </w:t>
            </w:r>
          </w:p>
        </w:tc>
      </w:tr>
      <w:tr w:rsidR="00EC313D" w:rsidRPr="00FC6700" w14:paraId="76A88AD1" w14:textId="77777777" w:rsidTr="00E87182">
        <w:trPr>
          <w:trHeight w:val="170"/>
        </w:trPr>
        <w:tc>
          <w:tcPr>
            <w:tcW w:w="1810" w:type="dxa"/>
            <w:tcMar>
              <w:left w:w="0" w:type="dxa"/>
            </w:tcMar>
          </w:tcPr>
          <w:p w14:paraId="79082436" w14:textId="77777777" w:rsidR="00EC313D" w:rsidRPr="00FC6700" w:rsidRDefault="00EC313D" w:rsidP="00E87182">
            <w:pPr>
              <w:pStyle w:val="Marginlie"/>
              <w:rPr>
                <w:spacing w:val="0"/>
              </w:rPr>
            </w:pPr>
            <w:r>
              <w:rPr>
                <w:spacing w:val="0"/>
              </w:rPr>
              <w:lastRenderedPageBreak/>
              <w:t xml:space="preserve">Útlum dotační podpory podnikatelům </w:t>
            </w:r>
            <w:r w:rsidRPr="00FC6700">
              <w:rPr>
                <w:spacing w:val="0"/>
              </w:rPr>
              <w:t xml:space="preserve">vázaný na vysoké ceny energií byl kompenzován růstem dotací na </w:t>
            </w:r>
            <w:r>
              <w:rPr>
                <w:spacing w:val="0"/>
              </w:rPr>
              <w:t>OZE. Celkové dotace loni výrazně překročily rozpočtové očekávání.</w:t>
            </w:r>
          </w:p>
        </w:tc>
        <w:tc>
          <w:tcPr>
            <w:tcW w:w="203" w:type="dxa"/>
            <w:tcMar>
              <w:left w:w="0" w:type="dxa"/>
            </w:tcMar>
          </w:tcPr>
          <w:p w14:paraId="486233E9" w14:textId="77777777" w:rsidR="00EC313D" w:rsidRPr="00FC6700" w:rsidRDefault="00EC313D" w:rsidP="00E87182">
            <w:pPr>
              <w:pStyle w:val="Textpoznpodarou"/>
              <w:jc w:val="both"/>
            </w:pPr>
          </w:p>
        </w:tc>
        <w:tc>
          <w:tcPr>
            <w:tcW w:w="7656" w:type="dxa"/>
            <w:tcMar>
              <w:left w:w="0" w:type="dxa"/>
            </w:tcMar>
          </w:tcPr>
          <w:p w14:paraId="7A6E5B11" w14:textId="1FB99931" w:rsidR="00EC313D" w:rsidRPr="00F92283" w:rsidRDefault="00EC313D" w:rsidP="00E87182">
            <w:pPr>
              <w:spacing w:after="200"/>
              <w:rPr>
                <w:color w:val="0D0D0D" w:themeColor="text1" w:themeTint="F2"/>
                <w:szCs w:val="20"/>
              </w:rPr>
            </w:pPr>
            <w:r w:rsidRPr="00F92283">
              <w:rPr>
                <w:color w:val="0D0D0D" w:themeColor="text1" w:themeTint="F2"/>
              </w:rPr>
              <w:t xml:space="preserve">Běžné transfery podnikatelům loni sice meziročně vzrostly o 4,1 %, ale jejich výše </w:t>
            </w:r>
            <w:r w:rsidRPr="00F92283">
              <w:rPr>
                <w:color w:val="0D0D0D" w:themeColor="text1" w:themeTint="F2"/>
              </w:rPr>
              <w:br/>
              <w:t>(69,3 mld. korun) byla druhá nejnižší za posledních šest let. Stále se ještě projevoval efekt očekávaného útlumu většiny dotací v energetice</w:t>
            </w:r>
            <w:r w:rsidRPr="00F92283">
              <w:rPr>
                <w:rStyle w:val="Znakapoznpodarou"/>
                <w:color w:val="0D0D0D" w:themeColor="text1" w:themeTint="F2"/>
              </w:rPr>
              <w:footnoteReference w:id="154"/>
            </w:r>
            <w:r w:rsidRPr="00F92283">
              <w:rPr>
                <w:color w:val="0D0D0D" w:themeColor="text1" w:themeTint="F2"/>
              </w:rPr>
              <w:t>. Tento vliv byl ovšem kompenzován rostoucími dotacemi na obnovitelné zdroje energie (OZE), jež meziročně významně posílily (+44</w:t>
            </w:r>
            <w:r w:rsidRPr="00F92283">
              <w:rPr>
                <w:color w:val="0D0D0D" w:themeColor="text1" w:themeTint="F2"/>
                <w:szCs w:val="20"/>
              </w:rPr>
              <w:t> </w:t>
            </w:r>
            <w:r w:rsidRPr="00F92283">
              <w:rPr>
                <w:color w:val="0D0D0D" w:themeColor="text1" w:themeTint="F2"/>
              </w:rPr>
              <w:t>%, na 25,9 mld. korun). Mimo to rostly i dotace firmám na evropské projekty (zejména v rámci Národního plánu obnovy) a výdaje na aktivní politiku zaměstnanosti a také vzrostl příspěvek na podporu zaměstnávání osob se zdravotním postižením. Celkové neinvestiční dotace podnikatelům loni výrazně předčily rozpočtové očekávání – proti původnímu plánu o 22,1 mld. korun (z toho v oblasti OZE o 17,4 mld.).</w:t>
            </w:r>
          </w:p>
        </w:tc>
      </w:tr>
      <w:tr w:rsidR="00EC313D" w:rsidRPr="00FC6700" w14:paraId="795402A6" w14:textId="77777777" w:rsidTr="00E87182">
        <w:trPr>
          <w:trHeight w:val="170"/>
        </w:trPr>
        <w:tc>
          <w:tcPr>
            <w:tcW w:w="1810" w:type="dxa"/>
            <w:tcMar>
              <w:left w:w="0" w:type="dxa"/>
            </w:tcMar>
          </w:tcPr>
          <w:p w14:paraId="0944AD85" w14:textId="77777777" w:rsidR="00EC313D" w:rsidRPr="00FC6700" w:rsidRDefault="00EC313D" w:rsidP="00E87182">
            <w:pPr>
              <w:pStyle w:val="Marginlie"/>
              <w:rPr>
                <w:spacing w:val="0"/>
              </w:rPr>
            </w:pPr>
          </w:p>
        </w:tc>
        <w:tc>
          <w:tcPr>
            <w:tcW w:w="203" w:type="dxa"/>
            <w:tcMar>
              <w:left w:w="0" w:type="dxa"/>
            </w:tcMar>
          </w:tcPr>
          <w:p w14:paraId="2AC17879" w14:textId="77777777" w:rsidR="00EC313D" w:rsidRPr="00FC6700" w:rsidRDefault="00EC313D" w:rsidP="00E87182">
            <w:pPr>
              <w:pStyle w:val="Textpoznpodarou"/>
              <w:jc w:val="both"/>
            </w:pPr>
          </w:p>
        </w:tc>
        <w:tc>
          <w:tcPr>
            <w:tcW w:w="7656" w:type="dxa"/>
            <w:tcMar>
              <w:left w:w="0" w:type="dxa"/>
            </w:tcMar>
          </w:tcPr>
          <w:p w14:paraId="5B37736D" w14:textId="77777777" w:rsidR="00EC313D" w:rsidRPr="00FC6700" w:rsidRDefault="00EC313D" w:rsidP="00E87182">
            <w:pPr>
              <w:spacing w:after="20"/>
              <w:rPr>
                <w:color w:val="0D0D0D" w:themeColor="text1" w:themeTint="F2"/>
              </w:rPr>
            </w:pPr>
            <w:r w:rsidRPr="00FC6700">
              <w:rPr>
                <w:b/>
              </w:rPr>
              <w:t xml:space="preserve">Graf č. 19 </w:t>
            </w:r>
            <w:r w:rsidRPr="00FC6700">
              <w:rPr>
                <w:rFonts w:cs="Arial"/>
                <w:b/>
                <w:bCs/>
              </w:rPr>
              <w:t xml:space="preserve">Vybrané výdaje státního rozpočtu </w:t>
            </w:r>
            <w:r w:rsidRPr="00FC6700">
              <w:rPr>
                <w:rFonts w:cs="Arial"/>
              </w:rPr>
              <w:t>(v mld. korun)</w:t>
            </w:r>
          </w:p>
        </w:tc>
      </w:tr>
      <w:tr w:rsidR="00EC313D" w:rsidRPr="00FC6700" w14:paraId="22B71B2D" w14:textId="77777777" w:rsidTr="00E87182">
        <w:trPr>
          <w:trHeight w:val="170"/>
        </w:trPr>
        <w:tc>
          <w:tcPr>
            <w:tcW w:w="1810" w:type="dxa"/>
            <w:tcMar>
              <w:left w:w="0" w:type="dxa"/>
            </w:tcMar>
          </w:tcPr>
          <w:p w14:paraId="26F68348" w14:textId="77777777" w:rsidR="00EC313D" w:rsidRPr="00FC6700" w:rsidRDefault="00EC313D" w:rsidP="00E87182">
            <w:pPr>
              <w:pStyle w:val="Marginlie"/>
              <w:rPr>
                <w:spacing w:val="0"/>
              </w:rPr>
            </w:pPr>
          </w:p>
        </w:tc>
        <w:tc>
          <w:tcPr>
            <w:tcW w:w="203" w:type="dxa"/>
            <w:tcMar>
              <w:left w:w="0" w:type="dxa"/>
            </w:tcMar>
          </w:tcPr>
          <w:p w14:paraId="5A172710" w14:textId="77777777" w:rsidR="00EC313D" w:rsidRPr="00FC6700" w:rsidRDefault="00EC313D" w:rsidP="00E87182">
            <w:pPr>
              <w:pStyle w:val="Textpoznpodarou"/>
              <w:jc w:val="both"/>
            </w:pPr>
          </w:p>
        </w:tc>
        <w:tc>
          <w:tcPr>
            <w:tcW w:w="7656" w:type="dxa"/>
            <w:tcMar>
              <w:left w:w="0" w:type="dxa"/>
            </w:tcMar>
          </w:tcPr>
          <w:p w14:paraId="45427CB6" w14:textId="77777777" w:rsidR="00EC313D" w:rsidRPr="00FC6700" w:rsidRDefault="00EC313D" w:rsidP="00E87182">
            <w:pPr>
              <w:spacing w:before="20" w:after="20"/>
              <w:rPr>
                <w:color w:val="0D0D0D" w:themeColor="text1" w:themeTint="F2"/>
              </w:rPr>
            </w:pPr>
            <w:r>
              <w:rPr>
                <w:noProof/>
              </w:rPr>
              <w:drawing>
                <wp:inline distT="0" distB="0" distL="0" distR="0" wp14:anchorId="54D3F5D2" wp14:editId="628A6CFA">
                  <wp:extent cx="4750751" cy="3545498"/>
                  <wp:effectExtent l="0" t="0" r="0" b="0"/>
                  <wp:docPr id="136072417" name="Graf 1">
                    <a:extLst xmlns:a="http://schemas.openxmlformats.org/drawingml/2006/main">
                      <a:ext uri="{FF2B5EF4-FFF2-40B4-BE49-F238E27FC236}">
                        <a16:creationId xmlns:a16="http://schemas.microsoft.com/office/drawing/2014/main" id="{00000000-0008-0000-26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r w:rsidR="00EC313D" w:rsidRPr="00FC6700" w14:paraId="723D302E" w14:textId="77777777" w:rsidTr="00E87182">
        <w:trPr>
          <w:trHeight w:val="170"/>
        </w:trPr>
        <w:tc>
          <w:tcPr>
            <w:tcW w:w="1810" w:type="dxa"/>
            <w:tcMar>
              <w:left w:w="0" w:type="dxa"/>
            </w:tcMar>
          </w:tcPr>
          <w:p w14:paraId="659A44A5" w14:textId="77777777" w:rsidR="00EC313D" w:rsidRPr="00FC6700" w:rsidRDefault="00EC313D" w:rsidP="00E87182">
            <w:pPr>
              <w:pStyle w:val="Marginlie"/>
              <w:rPr>
                <w:spacing w:val="0"/>
              </w:rPr>
            </w:pPr>
          </w:p>
        </w:tc>
        <w:tc>
          <w:tcPr>
            <w:tcW w:w="203" w:type="dxa"/>
            <w:tcMar>
              <w:left w:w="0" w:type="dxa"/>
            </w:tcMar>
          </w:tcPr>
          <w:p w14:paraId="6A4849BA" w14:textId="77777777" w:rsidR="00EC313D" w:rsidRPr="00FC6700" w:rsidRDefault="00EC313D" w:rsidP="00E87182">
            <w:pPr>
              <w:pStyle w:val="Textpoznpodarou"/>
              <w:jc w:val="both"/>
            </w:pPr>
          </w:p>
        </w:tc>
        <w:tc>
          <w:tcPr>
            <w:tcW w:w="7656" w:type="dxa"/>
            <w:tcMar>
              <w:left w:w="0" w:type="dxa"/>
            </w:tcMar>
          </w:tcPr>
          <w:p w14:paraId="724151F6" w14:textId="77777777" w:rsidR="00EC313D" w:rsidRPr="00FC6700" w:rsidRDefault="00EC313D" w:rsidP="00E87182">
            <w:pPr>
              <w:pStyle w:val="Textpoznpodarou"/>
              <w:rPr>
                <w:sz w:val="14"/>
                <w:szCs w:val="14"/>
              </w:rPr>
            </w:pPr>
            <w:r w:rsidRPr="00FC6700">
              <w:rPr>
                <w:sz w:val="14"/>
                <w:szCs w:val="14"/>
              </w:rPr>
              <w:t>* Pokrývají výdaje na platy v organizačních složkách státu. Nezahrnují například mzdové výdaje na regionální školství.</w:t>
            </w:r>
          </w:p>
          <w:p w14:paraId="4EF25210" w14:textId="77777777" w:rsidR="00EC313D" w:rsidRPr="00FC6700" w:rsidRDefault="00EC313D" w:rsidP="00E87182">
            <w:pPr>
              <w:pStyle w:val="Textpoznpodarou"/>
              <w:rPr>
                <w:sz w:val="14"/>
                <w:szCs w:val="14"/>
              </w:rPr>
            </w:pPr>
            <w:r w:rsidRPr="00FC6700">
              <w:rPr>
                <w:sz w:val="14"/>
                <w:szCs w:val="14"/>
              </w:rPr>
              <w:t>** Obsahuje také dávky pěstounské péče.</w:t>
            </w:r>
          </w:p>
          <w:p w14:paraId="414307DA" w14:textId="77777777" w:rsidR="00EC313D" w:rsidRPr="00FC6700" w:rsidRDefault="00EC313D" w:rsidP="00E87182">
            <w:pPr>
              <w:pStyle w:val="Textpoznpodarou"/>
              <w:rPr>
                <w:sz w:val="14"/>
                <w:szCs w:val="14"/>
              </w:rPr>
            </w:pPr>
            <w:r w:rsidRPr="00FC6700">
              <w:rPr>
                <w:sz w:val="14"/>
                <w:szCs w:val="14"/>
              </w:rPr>
              <w:t>*** Zahrnují dávky pomoci v hmotné nouzi, dávky osobám se zdravotním postižením, příspěvek na péči dle zákona o soc. službách. Jsou zde obsaženy i dávky humanitární pomoci poskytnuté občanům Ukrajiny.</w:t>
            </w:r>
          </w:p>
          <w:p w14:paraId="43912072" w14:textId="77777777" w:rsidR="00EC313D" w:rsidRPr="00FC6700" w:rsidRDefault="00EC313D" w:rsidP="00E87182">
            <w:pPr>
              <w:pStyle w:val="Textpoznpodarou"/>
              <w:rPr>
                <w:sz w:val="14"/>
                <w:szCs w:val="14"/>
              </w:rPr>
            </w:pPr>
            <w:r w:rsidRPr="00FC6700">
              <w:rPr>
                <w:sz w:val="14"/>
                <w:szCs w:val="14"/>
              </w:rPr>
              <w:t>**** Obsahují zejména výdaje na nákup služeb, materiálu, energií či ostatních služeb (např. výdaje na opravy a údržbu).</w:t>
            </w:r>
          </w:p>
          <w:p w14:paraId="31967E9F" w14:textId="77777777" w:rsidR="00EC313D" w:rsidRPr="00FC6700" w:rsidRDefault="00EC313D" w:rsidP="00E87182">
            <w:pPr>
              <w:pStyle w:val="Textpoznpodarou"/>
              <w:rPr>
                <w:sz w:val="14"/>
                <w:szCs w:val="14"/>
              </w:rPr>
            </w:pPr>
            <w:r w:rsidRPr="00FC6700">
              <w:rPr>
                <w:sz w:val="14"/>
                <w:szCs w:val="14"/>
              </w:rPr>
              <w:t xml:space="preserve">***** Čisté výdaje odpovídají saldu rozpočtové kapitoly Státní dluh (č. 396). </w:t>
            </w:r>
          </w:p>
          <w:p w14:paraId="75845EFE" w14:textId="77777777" w:rsidR="00EC313D" w:rsidRPr="00FC6700" w:rsidRDefault="00EC313D" w:rsidP="00E87182">
            <w:pPr>
              <w:spacing w:before="20" w:after="200"/>
              <w:rPr>
                <w:color w:val="0D0D0D" w:themeColor="text1" w:themeTint="F2"/>
              </w:rPr>
            </w:pPr>
            <w:r w:rsidRPr="00FC6700">
              <w:rPr>
                <w:sz w:val="14"/>
                <w:szCs w:val="14"/>
              </w:rPr>
              <w:t xml:space="preserve"> Zdroj: MF ČR</w:t>
            </w:r>
          </w:p>
        </w:tc>
      </w:tr>
      <w:tr w:rsidR="00CF262D" w:rsidRPr="00FC6700" w14:paraId="4C8E76EA" w14:textId="77777777" w:rsidTr="00E87182">
        <w:trPr>
          <w:trHeight w:val="170"/>
        </w:trPr>
        <w:tc>
          <w:tcPr>
            <w:tcW w:w="1810" w:type="dxa"/>
            <w:tcMar>
              <w:left w:w="0" w:type="dxa"/>
            </w:tcMar>
          </w:tcPr>
          <w:p w14:paraId="3EF33E4B" w14:textId="77777777" w:rsidR="00CF262D" w:rsidRPr="00FC6700" w:rsidRDefault="00CF262D" w:rsidP="00CF262D">
            <w:pPr>
              <w:pStyle w:val="Marginlie"/>
              <w:rPr>
                <w:spacing w:val="0"/>
              </w:rPr>
            </w:pPr>
            <w:r>
              <w:rPr>
                <w:spacing w:val="0"/>
              </w:rPr>
              <w:t xml:space="preserve">Růst váhově významných výdajů na </w:t>
            </w:r>
            <w:r w:rsidRPr="00FC6700">
              <w:rPr>
                <w:color w:val="0D0D0D" w:themeColor="text1" w:themeTint="F2"/>
              </w:rPr>
              <w:t>platby veřejného zdravotního pojištění</w:t>
            </w:r>
            <w:r>
              <w:rPr>
                <w:color w:val="0D0D0D" w:themeColor="text1" w:themeTint="F2"/>
              </w:rPr>
              <w:t xml:space="preserve"> zmírnil.</w:t>
            </w:r>
          </w:p>
          <w:p w14:paraId="14A9A5DB" w14:textId="77777777" w:rsidR="00CF262D" w:rsidRPr="00FC6700" w:rsidRDefault="00CF262D" w:rsidP="00CF262D">
            <w:pPr>
              <w:pStyle w:val="Marginlie"/>
              <w:rPr>
                <w:spacing w:val="0"/>
              </w:rPr>
            </w:pPr>
          </w:p>
          <w:p w14:paraId="4B4C7788" w14:textId="77777777" w:rsidR="00CF262D" w:rsidRDefault="00CF262D" w:rsidP="00CF262D">
            <w:pPr>
              <w:pStyle w:val="Marginlie"/>
              <w:rPr>
                <w:spacing w:val="0"/>
              </w:rPr>
            </w:pPr>
          </w:p>
          <w:p w14:paraId="4F92865B" w14:textId="77777777" w:rsidR="00CF262D" w:rsidRPr="00FC6700" w:rsidRDefault="00CF262D" w:rsidP="00CF262D">
            <w:pPr>
              <w:pStyle w:val="Marginlie"/>
              <w:rPr>
                <w:spacing w:val="0"/>
              </w:rPr>
            </w:pPr>
            <w:r>
              <w:rPr>
                <w:spacing w:val="0"/>
              </w:rPr>
              <w:t>K poklesu celkových výdajů SR přispěly loni zejména nižší dotace státním fondům.</w:t>
            </w:r>
          </w:p>
          <w:p w14:paraId="3AFF84CE" w14:textId="77777777" w:rsidR="00CF262D" w:rsidRDefault="00CF262D" w:rsidP="00CF262D">
            <w:pPr>
              <w:pStyle w:val="Marginlie"/>
              <w:rPr>
                <w:spacing w:val="0"/>
              </w:rPr>
            </w:pPr>
          </w:p>
        </w:tc>
        <w:tc>
          <w:tcPr>
            <w:tcW w:w="203" w:type="dxa"/>
            <w:tcMar>
              <w:left w:w="0" w:type="dxa"/>
            </w:tcMar>
          </w:tcPr>
          <w:p w14:paraId="77969F8F" w14:textId="77777777" w:rsidR="00CF262D" w:rsidRPr="00FC6700" w:rsidRDefault="00CF262D" w:rsidP="00CF262D">
            <w:pPr>
              <w:pStyle w:val="Textpoznpodarou"/>
              <w:jc w:val="both"/>
            </w:pPr>
          </w:p>
        </w:tc>
        <w:tc>
          <w:tcPr>
            <w:tcW w:w="7656" w:type="dxa"/>
            <w:tcMar>
              <w:left w:w="0" w:type="dxa"/>
            </w:tcMar>
          </w:tcPr>
          <w:p w14:paraId="68743126" w14:textId="433924C1" w:rsidR="00CF262D" w:rsidRPr="00F92283" w:rsidRDefault="00CF262D" w:rsidP="00CF262D">
            <w:pPr>
              <w:pStyle w:val="Textpoznpodarou"/>
              <w:spacing w:after="200" w:line="276" w:lineRule="auto"/>
              <w:jc w:val="both"/>
              <w:rPr>
                <w:rFonts w:eastAsia="Times New Roman"/>
                <w:color w:val="0D0D0D" w:themeColor="text1" w:themeTint="F2"/>
                <w:szCs w:val="24"/>
              </w:rPr>
            </w:pPr>
            <w:r w:rsidRPr="00F92283">
              <w:rPr>
                <w:color w:val="0D0D0D" w:themeColor="text1" w:themeTint="F2"/>
              </w:rPr>
              <w:t>Vlivem zklidnění růstu cenové hladiny v ekonomice se za loňský rok jen mírně zvýšily výdaje SR za platby veřejného zdravotního pojištění za tzv. státní pojištěnce (+1,5 %, +2,3 mld. korun)</w:t>
            </w:r>
            <w:r w:rsidRPr="00F92283">
              <w:rPr>
                <w:rStyle w:val="Znakapoznpodarou"/>
                <w:color w:val="0D0D0D" w:themeColor="text1" w:themeTint="F2"/>
              </w:rPr>
              <w:footnoteReference w:id="155"/>
            </w:r>
            <w:r w:rsidRPr="00F92283">
              <w:rPr>
                <w:color w:val="0D0D0D" w:themeColor="text1" w:themeTint="F2"/>
              </w:rPr>
              <w:t xml:space="preserve">. </w:t>
            </w:r>
            <w:r w:rsidRPr="00F92283">
              <w:rPr>
                <w:rFonts w:cs="Arial"/>
                <w:color w:val="0D0D0D" w:themeColor="text1" w:themeTint="F2"/>
              </w:rPr>
              <w:t xml:space="preserve">Z dalších významnějších běžných výdajů zřetelně vzrostly již jen odvody do rozpočtu EU (+14,9 %, +7,7 mld. korun). </w:t>
            </w:r>
            <w:r w:rsidRPr="00F92283">
              <w:rPr>
                <w:color w:val="0D0D0D" w:themeColor="text1" w:themeTint="F2"/>
              </w:rPr>
              <w:t xml:space="preserve">Růst celkových výdajů SR byl </w:t>
            </w:r>
            <w:r w:rsidRPr="00F92283">
              <w:rPr>
                <w:color w:val="0D0D0D" w:themeColor="text1" w:themeTint="F2"/>
              </w:rPr>
              <w:br/>
              <w:t xml:space="preserve">z významnějších položek tlumen jen běžnými transfery státním fondům, jež se loni </w:t>
            </w:r>
            <w:r w:rsidRPr="00F92283">
              <w:rPr>
                <w:color w:val="0D0D0D" w:themeColor="text1" w:themeTint="F2"/>
              </w:rPr>
              <w:lastRenderedPageBreak/>
              <w:t>snížily o 6,3 mld. korun (−8,4 %, původní rozpočtový plán počítal s dvojnásobným poklesem). Projevily se hlavně nižší financování Státního fondu (SF) dopravní infrastruktury (na krytí jeho deficitu), v menší míře i pokles transferů SF do zemědělství (na přímé platby zemědělcům). Naopak výdaje na životní prostředí (na evropské projekty) posílily.</w:t>
            </w:r>
          </w:p>
        </w:tc>
      </w:tr>
      <w:tr w:rsidR="00CF262D" w:rsidRPr="00FC6700" w14:paraId="061B90F0" w14:textId="77777777" w:rsidTr="00E87182">
        <w:trPr>
          <w:trHeight w:val="170"/>
        </w:trPr>
        <w:tc>
          <w:tcPr>
            <w:tcW w:w="1810" w:type="dxa"/>
            <w:tcMar>
              <w:left w:w="0" w:type="dxa"/>
            </w:tcMar>
          </w:tcPr>
          <w:p w14:paraId="306E42EF" w14:textId="77777777" w:rsidR="00CF262D" w:rsidRDefault="00CF262D" w:rsidP="00CF262D">
            <w:pPr>
              <w:pStyle w:val="Marginlie"/>
              <w:rPr>
                <w:spacing w:val="0"/>
              </w:rPr>
            </w:pPr>
            <w:r>
              <w:rPr>
                <w:spacing w:val="0"/>
              </w:rPr>
              <w:lastRenderedPageBreak/>
              <w:t>Růst kapitálových výdajů loni výrazně akceleroval. Podíl investic na celkových výdajích SR byl nejvyšší za poslední dekádu.</w:t>
            </w:r>
          </w:p>
          <w:p w14:paraId="110A85CC" w14:textId="77777777" w:rsidR="00CF262D" w:rsidRDefault="00CF262D" w:rsidP="00CF262D">
            <w:pPr>
              <w:pStyle w:val="Marginlie"/>
              <w:rPr>
                <w:spacing w:val="0"/>
              </w:rPr>
            </w:pPr>
          </w:p>
          <w:p w14:paraId="5BBB94B6" w14:textId="77777777" w:rsidR="00CF262D" w:rsidRPr="00FC6700" w:rsidRDefault="00CF262D" w:rsidP="00CF262D">
            <w:pPr>
              <w:pStyle w:val="Marginlie"/>
              <w:rPr>
                <w:spacing w:val="0"/>
              </w:rPr>
            </w:pPr>
            <w:r>
              <w:rPr>
                <w:spacing w:val="0"/>
              </w:rPr>
              <w:t xml:space="preserve">Vzrostly hlavně investice kryté čistě národními zdroji – zejména v oblasti dopravní infrastruktury. Klesly investiční dotace podnikatelům a vlivem vysoké předloňské základny také investiční nákupy, především v obraně. </w:t>
            </w:r>
          </w:p>
          <w:p w14:paraId="4644ED66" w14:textId="77777777" w:rsidR="00CF262D" w:rsidRPr="00FC6700" w:rsidRDefault="00CF262D" w:rsidP="00CF262D">
            <w:pPr>
              <w:pStyle w:val="Marginlie"/>
              <w:rPr>
                <w:spacing w:val="0"/>
              </w:rPr>
            </w:pPr>
          </w:p>
        </w:tc>
        <w:tc>
          <w:tcPr>
            <w:tcW w:w="203" w:type="dxa"/>
            <w:tcMar>
              <w:left w:w="0" w:type="dxa"/>
            </w:tcMar>
          </w:tcPr>
          <w:p w14:paraId="5D542F61" w14:textId="77777777" w:rsidR="00CF262D" w:rsidRPr="00FC6700" w:rsidRDefault="00CF262D" w:rsidP="00CF262D">
            <w:pPr>
              <w:pStyle w:val="Textpoznpodarou"/>
              <w:jc w:val="both"/>
            </w:pPr>
          </w:p>
        </w:tc>
        <w:tc>
          <w:tcPr>
            <w:tcW w:w="7656" w:type="dxa"/>
            <w:tcMar>
              <w:left w:w="0" w:type="dxa"/>
            </w:tcMar>
          </w:tcPr>
          <w:p w14:paraId="01AA8777" w14:textId="27CC881E" w:rsidR="00CF262D" w:rsidRPr="00F92283" w:rsidRDefault="00CF262D" w:rsidP="00CF262D">
            <w:pPr>
              <w:pStyle w:val="Textpoznpodarou"/>
              <w:spacing w:after="200" w:line="276" w:lineRule="auto"/>
              <w:jc w:val="both"/>
              <w:rPr>
                <w:rFonts w:eastAsia="Times New Roman"/>
                <w:color w:val="0D0D0D" w:themeColor="text1" w:themeTint="F2"/>
                <w:szCs w:val="24"/>
              </w:rPr>
            </w:pPr>
            <w:r w:rsidRPr="00F92283">
              <w:rPr>
                <w:rFonts w:eastAsia="Times New Roman"/>
                <w:color w:val="0D0D0D" w:themeColor="text1" w:themeTint="F2"/>
                <w:szCs w:val="24"/>
              </w:rPr>
              <w:t>Meziroční růst kapitálových výdajů loni výrazně akceleroval a dosáhl 23,5 % (pětileté maximum). Zejména díky intenzivnějšímu čerpání ve druhé polovině roku činila loňská výše investic 262,4 mld. korun</w:t>
            </w:r>
            <w:r w:rsidRPr="00F92283">
              <w:rPr>
                <w:rStyle w:val="Znakapoznpodarou"/>
                <w:rFonts w:eastAsia="Times New Roman"/>
                <w:color w:val="0D0D0D" w:themeColor="text1" w:themeTint="F2"/>
                <w:szCs w:val="24"/>
              </w:rPr>
              <w:footnoteReference w:id="156"/>
            </w:r>
            <w:r w:rsidRPr="00F92283">
              <w:rPr>
                <w:rFonts w:eastAsia="Times New Roman"/>
                <w:color w:val="0D0D0D" w:themeColor="text1" w:themeTint="F2"/>
                <w:szCs w:val="24"/>
              </w:rPr>
              <w:t>, což představovalo 11,1 % všech výdajů SR (nejvíce za posledních deset let a druhý nejvyšší podíl po roce 2011). Loňský růst podpořily hlavně investice uskutečněné výhradně z národních zdrojů (+29,2 mld. korun). Na rozdíl od roku 2024 již vzrostly i výdaje na projekty společných programů EU a ČR (+20,7 mld. korun)</w:t>
            </w:r>
            <w:r w:rsidRPr="00F92283">
              <w:rPr>
                <w:rStyle w:val="Znakapoznpodarou"/>
                <w:rFonts w:eastAsia="Times New Roman"/>
                <w:color w:val="0D0D0D" w:themeColor="text1" w:themeTint="F2"/>
                <w:szCs w:val="24"/>
              </w:rPr>
              <w:footnoteReference w:id="157"/>
            </w:r>
            <w:r w:rsidRPr="00F92283">
              <w:rPr>
                <w:rFonts w:eastAsia="Times New Roman"/>
                <w:color w:val="0D0D0D" w:themeColor="text1" w:themeTint="F2"/>
                <w:szCs w:val="24"/>
              </w:rPr>
              <w:t xml:space="preserve">, převážně díky vyššímu využití prostředků Národního plánu obnovy. Předfinancování výdajů na tyto společné projekty tvořilo necelých 40 % všech loňských investic ze SR. </w:t>
            </w:r>
            <w:r w:rsidRPr="00F92283">
              <w:rPr>
                <w:color w:val="0D0D0D" w:themeColor="text1" w:themeTint="F2"/>
              </w:rPr>
              <w:t xml:space="preserve">Investice kryté výhradně z národních zdrojů meziročně vzrostly loni hlavně </w:t>
            </w:r>
            <w:r w:rsidRPr="00F92283">
              <w:t>díky</w:t>
            </w:r>
            <w:r w:rsidRPr="00F92283">
              <w:rPr>
                <w:color w:val="0D0D0D" w:themeColor="text1" w:themeTint="F2"/>
              </w:rPr>
              <w:t xml:space="preserve"> vyšší alokaci státním fondům – především do dopravní infrastruktury (+35,2</w:t>
            </w:r>
            <w:r>
              <w:rPr>
                <w:color w:val="0D0D0D" w:themeColor="text1" w:themeTint="F2"/>
              </w:rPr>
              <w:t> </w:t>
            </w:r>
            <w:r w:rsidRPr="00F92283">
              <w:rPr>
                <w:color w:val="0D0D0D" w:themeColor="text1" w:themeTint="F2"/>
              </w:rPr>
              <w:t>mld. korun, +60 %), vč. oprav komunikací ve vlastnictví státu po předloňských povodních. Mírněji posílily i výdaje fondům do oblasti ŽP a zemědělství. Více investic směřovalo i příspěvkovým apod. organizacím (+9,5 mld. korun, +50 %), rovnoměrně do zdravotnictví i vzdělávání. Naopak druhý rok v řadě klesly investiční dotace podnikatelům (loni o 4,1 mld. korun, resp. 21,6 %), a to vlivem pomalejšího náběhu čerpání na evropské projekty v aktuálním programovém období EU. Po silném růstu v letech 2023 i 2024 se loni snížily také investiční nákupy a související výdaje (–3,9 mld. resp.–5,3 %), především vlivem nepravidelného financování vybavení Armády ČR. I tak výše těchto nákupů tvořila více než čtvrtinu všech kapitálových výdajů SR a její loňské čerpání překonalo rozpočtové očekávání. Optikou druhového členění směřovalo loni nejvíce celkových investic do dopravy (86 mld. korun), obrany (60,6 mld.), bydlení, komunálních služeb a územního rozvoje (21,1 mld.), vzdělávání a školských služeb (15 mld.) a dále např. do zdravotnictví (10,9 mld.), kde se výdaje meziročně více než zdvojnásobily (zhruba o polovinu se zvýšily také v oblasti dopravy a ochrany ŽP).</w:t>
            </w:r>
          </w:p>
        </w:tc>
      </w:tr>
      <w:tr w:rsidR="005722EB" w:rsidRPr="00FC6700" w14:paraId="5B393134" w14:textId="77777777" w:rsidTr="00E87182">
        <w:trPr>
          <w:trHeight w:val="170"/>
        </w:trPr>
        <w:tc>
          <w:tcPr>
            <w:tcW w:w="1810" w:type="dxa"/>
            <w:tcMar>
              <w:left w:w="0" w:type="dxa"/>
            </w:tcMar>
          </w:tcPr>
          <w:p w14:paraId="07775A39" w14:textId="77777777" w:rsidR="005722EB" w:rsidRPr="002F2349" w:rsidRDefault="005722EB" w:rsidP="005722EB">
            <w:pPr>
              <w:pStyle w:val="Marginlie"/>
              <w:rPr>
                <w:spacing w:val="0"/>
              </w:rPr>
            </w:pPr>
            <w:r w:rsidRPr="002F2349">
              <w:rPr>
                <w:spacing w:val="0"/>
              </w:rPr>
              <w:t xml:space="preserve">Schodek sektoru vládních institucí se loni za tři čtvrtletí meziročně podstatně nezměnil. </w:t>
            </w:r>
          </w:p>
          <w:p w14:paraId="08CCDF1A" w14:textId="77777777" w:rsidR="005722EB" w:rsidRPr="002F2349" w:rsidRDefault="005722EB" w:rsidP="005722EB">
            <w:pPr>
              <w:pStyle w:val="Marginlie"/>
              <w:rPr>
                <w:spacing w:val="0"/>
              </w:rPr>
            </w:pPr>
          </w:p>
          <w:p w14:paraId="3697AA3C" w14:textId="77777777" w:rsidR="005722EB" w:rsidRPr="002F2349" w:rsidRDefault="005722EB" w:rsidP="005722EB">
            <w:pPr>
              <w:pStyle w:val="Marginlie"/>
              <w:rPr>
                <w:spacing w:val="0"/>
              </w:rPr>
            </w:pPr>
          </w:p>
          <w:p w14:paraId="736A85B4" w14:textId="77777777" w:rsidR="005722EB" w:rsidRPr="002F2349" w:rsidRDefault="005722EB" w:rsidP="005722EB">
            <w:pPr>
              <w:pStyle w:val="Marginlie"/>
              <w:rPr>
                <w:spacing w:val="0"/>
              </w:rPr>
            </w:pPr>
          </w:p>
          <w:p w14:paraId="58983649" w14:textId="77777777" w:rsidR="005722EB" w:rsidRPr="002F2349" w:rsidRDefault="005722EB" w:rsidP="005722EB">
            <w:pPr>
              <w:pStyle w:val="Marginlie"/>
              <w:rPr>
                <w:spacing w:val="0"/>
              </w:rPr>
            </w:pPr>
            <w:r>
              <w:rPr>
                <w:spacing w:val="0"/>
              </w:rPr>
              <w:t>Zmírnil se r</w:t>
            </w:r>
            <w:r w:rsidRPr="002F2349">
              <w:rPr>
                <w:spacing w:val="0"/>
              </w:rPr>
              <w:t>ůst řady váhově významných příjmů sektoru VI</w:t>
            </w:r>
            <w:r>
              <w:rPr>
                <w:spacing w:val="0"/>
              </w:rPr>
              <w:t>.</w:t>
            </w:r>
          </w:p>
          <w:p w14:paraId="62677DF0" w14:textId="77777777" w:rsidR="005722EB" w:rsidRPr="002F2349" w:rsidRDefault="005722EB" w:rsidP="005722EB">
            <w:pPr>
              <w:pStyle w:val="Marginlie"/>
              <w:rPr>
                <w:spacing w:val="0"/>
              </w:rPr>
            </w:pPr>
          </w:p>
          <w:p w14:paraId="37573DD9" w14:textId="77777777" w:rsidR="005722EB" w:rsidRPr="002F2349" w:rsidRDefault="005722EB" w:rsidP="005722EB">
            <w:pPr>
              <w:pStyle w:val="Marginlie"/>
              <w:rPr>
                <w:spacing w:val="0"/>
              </w:rPr>
            </w:pPr>
          </w:p>
          <w:p w14:paraId="28EC899F" w14:textId="77777777" w:rsidR="005722EB" w:rsidRPr="002F2349" w:rsidRDefault="005722EB" w:rsidP="005722EB">
            <w:pPr>
              <w:pStyle w:val="Marginlie"/>
              <w:rPr>
                <w:spacing w:val="0"/>
              </w:rPr>
            </w:pPr>
          </w:p>
          <w:p w14:paraId="15685FCC" w14:textId="77777777" w:rsidR="005722EB" w:rsidRPr="002F2349" w:rsidRDefault="005722EB" w:rsidP="005722EB">
            <w:pPr>
              <w:pStyle w:val="Marginlie"/>
              <w:rPr>
                <w:spacing w:val="0"/>
              </w:rPr>
            </w:pPr>
            <w:r w:rsidRPr="002F2349">
              <w:rPr>
                <w:spacing w:val="0"/>
              </w:rPr>
              <w:t xml:space="preserve">Růst celkových výdajů sektoru VI zrychlil hlavně vlivem dotací a také investic, jejichž meziroční </w:t>
            </w:r>
            <w:r w:rsidRPr="002F2349">
              <w:rPr>
                <w:spacing w:val="0"/>
              </w:rPr>
              <w:lastRenderedPageBreak/>
              <w:t xml:space="preserve">posílení bylo taženo především </w:t>
            </w:r>
            <w:proofErr w:type="gramStart"/>
            <w:r>
              <w:rPr>
                <w:spacing w:val="0"/>
              </w:rPr>
              <w:t xml:space="preserve">výdaji </w:t>
            </w:r>
            <w:r w:rsidRPr="002F2349">
              <w:rPr>
                <w:spacing w:val="0"/>
              </w:rPr>
              <w:t xml:space="preserve"> místních</w:t>
            </w:r>
            <w:proofErr w:type="gramEnd"/>
            <w:r w:rsidRPr="002F2349">
              <w:rPr>
                <w:spacing w:val="0"/>
              </w:rPr>
              <w:t xml:space="preserve"> VI.</w:t>
            </w:r>
          </w:p>
          <w:p w14:paraId="3DBFD748" w14:textId="77777777" w:rsidR="005722EB" w:rsidRDefault="005722EB" w:rsidP="005722EB">
            <w:pPr>
              <w:pStyle w:val="Marginlie"/>
              <w:rPr>
                <w:spacing w:val="0"/>
              </w:rPr>
            </w:pPr>
          </w:p>
        </w:tc>
        <w:tc>
          <w:tcPr>
            <w:tcW w:w="203" w:type="dxa"/>
            <w:tcMar>
              <w:left w:w="0" w:type="dxa"/>
            </w:tcMar>
          </w:tcPr>
          <w:p w14:paraId="03B2AC6B" w14:textId="77777777" w:rsidR="005722EB" w:rsidRPr="00FC6700" w:rsidRDefault="005722EB" w:rsidP="005722EB">
            <w:pPr>
              <w:pStyle w:val="Textpoznpodarou"/>
              <w:jc w:val="both"/>
            </w:pPr>
          </w:p>
        </w:tc>
        <w:tc>
          <w:tcPr>
            <w:tcW w:w="7656" w:type="dxa"/>
            <w:tcMar>
              <w:left w:w="0" w:type="dxa"/>
            </w:tcMar>
          </w:tcPr>
          <w:p w14:paraId="788D2E61" w14:textId="602FD014" w:rsidR="005722EB" w:rsidRPr="00F92283" w:rsidRDefault="005722EB" w:rsidP="005722EB">
            <w:pPr>
              <w:pStyle w:val="Textpoznpodarou"/>
              <w:spacing w:after="200" w:line="276" w:lineRule="auto"/>
              <w:jc w:val="both"/>
              <w:rPr>
                <w:rFonts w:eastAsia="Times New Roman"/>
                <w:color w:val="0D0D0D" w:themeColor="text1" w:themeTint="F2"/>
                <w:szCs w:val="24"/>
              </w:rPr>
            </w:pPr>
            <w:r w:rsidRPr="00F92283">
              <w:t>Sektor vládních institucí (VI) v Česku hospodařil v 1. až 3. čtvrtletí 2025</w:t>
            </w:r>
            <w:r w:rsidRPr="00F92283">
              <w:rPr>
                <w:rStyle w:val="Znakapoznpodarou"/>
              </w:rPr>
              <w:footnoteReference w:id="158"/>
            </w:r>
            <w:r w:rsidRPr="00F92283">
              <w:t xml:space="preserve"> s deficitem 87,5 mld. korun</w:t>
            </w:r>
            <w:r w:rsidRPr="00F92283">
              <w:rPr>
                <w:rStyle w:val="Znakapoznpodarou"/>
              </w:rPr>
              <w:footnoteReference w:id="159"/>
            </w:r>
            <w:r w:rsidRPr="00F92283">
              <w:t>, meziročně nepatrně vyšším (+0,8 %)</w:t>
            </w:r>
            <w:r w:rsidRPr="00F92283">
              <w:rPr>
                <w:rStyle w:val="Znakapoznpodarou"/>
              </w:rPr>
              <w:footnoteReference w:id="160"/>
            </w:r>
            <w:r w:rsidRPr="00F92283">
              <w:t>. Růst celkových příjmů SR zvolnil na 5,7 % (nejnižší tempo za stejné období posledního pětiletí). Za tímto zpomalením stál slabší růst příjmů z běžných daní (z důchodů a jmění). K růstu celkových příjmů pak nejvíce přispěly přijaté sociální příspěvky (od zaměstnavatelů i domácností), a to navzdory tomu, že i jejich tempo meziročně oslabilo (na +6,3 %, což představovalo nejnižší růst po roce 2020). Příjmy z objemově významné položky daní z výroby a z dovozu, zahrnující v prvé řadě nepřímé daně, se meziročně zvýšily o 4,2</w:t>
            </w:r>
            <w:r>
              <w:t> </w:t>
            </w:r>
            <w:r w:rsidRPr="00F92283">
              <w:t>% (i zde bylo patrné mírné zpomalení). Růst příjmů byl letos, shodně jako loni, tlumen zejména nižšími prostředky plynoucími z vlastnických důchodů (−4,6 %), konkrétně příjmy z úroků</w:t>
            </w:r>
            <w:r w:rsidRPr="00F92283">
              <w:rPr>
                <w:rStyle w:val="Znakapoznpodarou"/>
              </w:rPr>
              <w:footnoteReference w:id="161"/>
            </w:r>
            <w:r w:rsidRPr="00F92283">
              <w:t>. Celkové výdaje byly loni za tři čtvrtletí meziročně vyšší o 5,5 % (o rok dříve o 3,6 %). K tomuto zrychlení přispěly vyšší vyplacené dotace, jež posílily o 14,2</w:t>
            </w:r>
            <w:r>
              <w:t> </w:t>
            </w:r>
            <w:r w:rsidRPr="00F92283">
              <w:t>%. I tak jejich dosavadní loňská výše (136,7 mld. korun) zřetelně zaostala za roky 2021 i</w:t>
            </w:r>
            <w:r>
              <w:t> </w:t>
            </w:r>
            <w:r w:rsidRPr="00F92283">
              <w:t xml:space="preserve">2023, ovlivněnými mimořádnými událostmi. Na fiskální expanzi se loni podílely i vyšší </w:t>
            </w:r>
            <w:r w:rsidRPr="00F92283">
              <w:lastRenderedPageBreak/>
              <w:t xml:space="preserve">výdaje na tvorbu fixního kapitálu (+13,1 %), jejichž růst patřil k nejvyšším za posledních sedm let (a na rozdíl od let 2023 i 2024 se na něm nejvíce podílely kraje a obce). Relativně svižně rostly i náhrady zaměstnancům (+6,1 %), a to jak vlivem mírně rostoucí zaměstnanosti v části veřejných služeb, tak úpravou mzdových tarifů. Tempo výdajů na </w:t>
            </w:r>
            <w:proofErr w:type="spellStart"/>
            <w:r w:rsidRPr="00F92283">
              <w:t>mezispotřebu</w:t>
            </w:r>
            <w:proofErr w:type="spellEnd"/>
            <w:r w:rsidRPr="00F92283">
              <w:t xml:space="preserve"> zvolnilo na čtyřleté minimum (+4,8 %), zčásti díky cenovému vývoji některých energií. Cenové vlivy se odrazily i v razantním zvolnění růstu vyplacených úroků (na 3,2 %), hlavně vlivem nižších plateb držitelům státních protiinflačních dluhopisů. Růst výdajů na váhově nejvýznamnější výdajovou položku – sociální dávky – druhý rok v řadě razantně zvolnil (na +2,4 %). V pozadí stálo zklidnění dynamiky spotřebitelských cen i valorizační úpravy u starobních důchodů, dílčí roli hrálo i zmírnění tempa výdajů na naturální sociální transfery.</w:t>
            </w:r>
          </w:p>
        </w:tc>
      </w:tr>
      <w:tr w:rsidR="005722EB" w:rsidRPr="00FC6700" w14:paraId="39CDB310" w14:textId="77777777" w:rsidTr="00E87182">
        <w:trPr>
          <w:trHeight w:val="170"/>
        </w:trPr>
        <w:tc>
          <w:tcPr>
            <w:tcW w:w="1810" w:type="dxa"/>
            <w:vMerge w:val="restart"/>
            <w:tcMar>
              <w:left w:w="0" w:type="dxa"/>
            </w:tcMar>
          </w:tcPr>
          <w:p w14:paraId="6A93FD36" w14:textId="77777777" w:rsidR="005722EB" w:rsidRPr="00FC6700" w:rsidRDefault="005722EB" w:rsidP="005722EB">
            <w:pPr>
              <w:pStyle w:val="Marginlie"/>
              <w:rPr>
                <w:spacing w:val="0"/>
              </w:rPr>
            </w:pPr>
          </w:p>
        </w:tc>
        <w:tc>
          <w:tcPr>
            <w:tcW w:w="203" w:type="dxa"/>
            <w:tcMar>
              <w:left w:w="0" w:type="dxa"/>
            </w:tcMar>
          </w:tcPr>
          <w:p w14:paraId="4A65F007" w14:textId="77777777" w:rsidR="005722EB" w:rsidRPr="00FC6700" w:rsidRDefault="005722EB" w:rsidP="005722EB">
            <w:pPr>
              <w:pStyle w:val="Textpoznpodarou"/>
              <w:jc w:val="both"/>
            </w:pPr>
          </w:p>
        </w:tc>
        <w:tc>
          <w:tcPr>
            <w:tcW w:w="7656" w:type="dxa"/>
            <w:tcMar>
              <w:left w:w="0" w:type="dxa"/>
            </w:tcMar>
          </w:tcPr>
          <w:p w14:paraId="43B60AEB" w14:textId="77777777" w:rsidR="005722EB" w:rsidRPr="00F92283" w:rsidRDefault="005722EB" w:rsidP="005722EB">
            <w:pPr>
              <w:pStyle w:val="Textpoznpodarou"/>
              <w:spacing w:after="20" w:line="276" w:lineRule="auto"/>
              <w:jc w:val="both"/>
              <w:rPr>
                <w:color w:val="0D0D0D" w:themeColor="text1" w:themeTint="F2"/>
              </w:rPr>
            </w:pPr>
            <w:r w:rsidRPr="00F92283">
              <w:rPr>
                <w:b/>
                <w:color w:val="0D0D0D" w:themeColor="text1" w:themeTint="F2"/>
              </w:rPr>
              <w:t xml:space="preserve">Graf č. 20 </w:t>
            </w:r>
            <w:r w:rsidRPr="00F92283">
              <w:rPr>
                <w:rFonts w:cs="Arial"/>
                <w:b/>
                <w:bCs/>
                <w:color w:val="0D0D0D" w:themeColor="text1" w:themeTint="F2"/>
              </w:rPr>
              <w:t xml:space="preserve">Saldo hospodaření a míra zadlužení sektoru vládních institucí ve vybraných státech EU </w:t>
            </w:r>
            <w:r w:rsidRPr="00F92283">
              <w:rPr>
                <w:rFonts w:cs="Arial"/>
                <w:bCs/>
                <w:color w:val="0D0D0D" w:themeColor="text1" w:themeTint="F2"/>
              </w:rPr>
              <w:t>(v % HDP)</w:t>
            </w:r>
          </w:p>
        </w:tc>
      </w:tr>
      <w:tr w:rsidR="005722EB" w:rsidRPr="00CA6263" w14:paraId="18DCA933" w14:textId="77777777" w:rsidTr="00E87182">
        <w:tblPrEx>
          <w:tblCellMar>
            <w:left w:w="70" w:type="dxa"/>
            <w:right w:w="70" w:type="dxa"/>
          </w:tblCellMar>
        </w:tblPrEx>
        <w:trPr>
          <w:trHeight w:val="170"/>
        </w:trPr>
        <w:tc>
          <w:tcPr>
            <w:tcW w:w="1810" w:type="dxa"/>
            <w:vMerge/>
          </w:tcPr>
          <w:p w14:paraId="235B308D" w14:textId="77777777" w:rsidR="005722EB" w:rsidRPr="00FC6700" w:rsidRDefault="005722EB" w:rsidP="005722EB">
            <w:pPr>
              <w:pStyle w:val="Marginlie"/>
              <w:rPr>
                <w:spacing w:val="0"/>
              </w:rPr>
            </w:pPr>
          </w:p>
        </w:tc>
        <w:tc>
          <w:tcPr>
            <w:tcW w:w="203" w:type="dxa"/>
          </w:tcPr>
          <w:p w14:paraId="7C624C7D" w14:textId="77777777" w:rsidR="005722EB" w:rsidRPr="00FC6700" w:rsidRDefault="005722EB" w:rsidP="005722EB">
            <w:pPr>
              <w:pStyle w:val="Textpoznpodarou"/>
              <w:jc w:val="both"/>
            </w:pPr>
          </w:p>
        </w:tc>
        <w:tc>
          <w:tcPr>
            <w:tcW w:w="7656" w:type="dxa"/>
          </w:tcPr>
          <w:p w14:paraId="621D4B3F" w14:textId="77777777" w:rsidR="005722EB" w:rsidRPr="00F92283" w:rsidRDefault="005722EB" w:rsidP="005722EB">
            <w:pPr>
              <w:pStyle w:val="Textpoznpodarou"/>
              <w:spacing w:before="20" w:after="20" w:line="276" w:lineRule="auto"/>
              <w:jc w:val="both"/>
              <w:rPr>
                <w:color w:val="0D0D0D" w:themeColor="text1" w:themeTint="F2"/>
              </w:rPr>
            </w:pPr>
            <w:r w:rsidRPr="00F92283">
              <w:rPr>
                <w:noProof/>
                <w:color w:val="0D0D0D" w:themeColor="text1" w:themeTint="F2"/>
              </w:rPr>
              <w:drawing>
                <wp:inline distT="0" distB="0" distL="0" distR="0" wp14:anchorId="73839E0A" wp14:editId="1B52E311">
                  <wp:extent cx="4780280" cy="3315693"/>
                  <wp:effectExtent l="0" t="0" r="1270" b="0"/>
                  <wp:docPr id="1505171236" name="Graf 1">
                    <a:extLst xmlns:a="http://schemas.openxmlformats.org/drawingml/2006/main">
                      <a:ext uri="{FF2B5EF4-FFF2-40B4-BE49-F238E27FC236}">
                        <a16:creationId xmlns:a16="http://schemas.microsoft.com/office/drawing/2014/main" id="{030932C7-67D9-4842-AA2D-61F3F1F726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r>
      <w:tr w:rsidR="005722EB" w:rsidRPr="00FC6700" w14:paraId="74DDD2E7" w14:textId="77777777" w:rsidTr="00E87182">
        <w:trPr>
          <w:trHeight w:val="170"/>
        </w:trPr>
        <w:tc>
          <w:tcPr>
            <w:tcW w:w="1810" w:type="dxa"/>
            <w:vMerge/>
            <w:tcMar>
              <w:left w:w="0" w:type="dxa"/>
            </w:tcMar>
          </w:tcPr>
          <w:p w14:paraId="6453BFEC" w14:textId="77777777" w:rsidR="005722EB" w:rsidRPr="00FC6700" w:rsidRDefault="005722EB" w:rsidP="005722EB">
            <w:pPr>
              <w:pStyle w:val="Marginlie"/>
              <w:rPr>
                <w:spacing w:val="0"/>
              </w:rPr>
            </w:pPr>
          </w:p>
        </w:tc>
        <w:tc>
          <w:tcPr>
            <w:tcW w:w="203" w:type="dxa"/>
            <w:tcMar>
              <w:left w:w="0" w:type="dxa"/>
            </w:tcMar>
          </w:tcPr>
          <w:p w14:paraId="7BF6BBFD" w14:textId="77777777" w:rsidR="005722EB" w:rsidRPr="00FC6700" w:rsidRDefault="005722EB" w:rsidP="005722EB">
            <w:pPr>
              <w:pStyle w:val="Textpoznpodarou"/>
              <w:jc w:val="both"/>
            </w:pPr>
          </w:p>
        </w:tc>
        <w:tc>
          <w:tcPr>
            <w:tcW w:w="7656" w:type="dxa"/>
            <w:tcMar>
              <w:left w:w="0" w:type="dxa"/>
            </w:tcMar>
          </w:tcPr>
          <w:p w14:paraId="4396D165" w14:textId="77777777" w:rsidR="005722EB" w:rsidRPr="00F92283" w:rsidRDefault="005722EB" w:rsidP="005722EB">
            <w:pPr>
              <w:spacing w:after="0"/>
              <w:rPr>
                <w:color w:val="0D0D0D" w:themeColor="text1" w:themeTint="F2"/>
                <w:sz w:val="14"/>
                <w:szCs w:val="14"/>
              </w:rPr>
            </w:pPr>
            <w:r w:rsidRPr="00F92283">
              <w:rPr>
                <w:color w:val="0D0D0D" w:themeColor="text1" w:themeTint="F2"/>
                <w:sz w:val="14"/>
                <w:szCs w:val="14"/>
              </w:rPr>
              <w:t>Poznámka: Saldo hospodaření je sezónně očištěno. Míra zadlužení vyjadřuje stav ke konci čtvrtletí.</w:t>
            </w:r>
          </w:p>
          <w:p w14:paraId="0BEBEC88" w14:textId="77777777" w:rsidR="005722EB" w:rsidRPr="00F92283" w:rsidRDefault="005722EB" w:rsidP="005722EB">
            <w:pPr>
              <w:pStyle w:val="Textpoznpodarou"/>
              <w:spacing w:after="200" w:line="276" w:lineRule="auto"/>
              <w:jc w:val="both"/>
              <w:rPr>
                <w:color w:val="0D0D0D" w:themeColor="text1" w:themeTint="F2"/>
              </w:rPr>
            </w:pPr>
            <w:r w:rsidRPr="00F92283">
              <w:rPr>
                <w:color w:val="0D0D0D" w:themeColor="text1" w:themeTint="F2"/>
                <w:sz w:val="14"/>
                <w:szCs w:val="14"/>
              </w:rPr>
              <w:t xml:space="preserve">Zdroj: </w:t>
            </w:r>
            <w:proofErr w:type="spellStart"/>
            <w:r w:rsidRPr="00F92283">
              <w:rPr>
                <w:color w:val="0D0D0D" w:themeColor="text1" w:themeTint="F2"/>
                <w:sz w:val="14"/>
                <w:szCs w:val="14"/>
              </w:rPr>
              <w:t>Eurostat</w:t>
            </w:r>
            <w:proofErr w:type="spellEnd"/>
          </w:p>
        </w:tc>
      </w:tr>
      <w:tr w:rsidR="005722EB" w:rsidRPr="002F2349" w14:paraId="3BCA9451" w14:textId="77777777" w:rsidTr="00E87182">
        <w:trPr>
          <w:trHeight w:val="170"/>
        </w:trPr>
        <w:tc>
          <w:tcPr>
            <w:tcW w:w="1810" w:type="dxa"/>
            <w:tcMar>
              <w:left w:w="0" w:type="dxa"/>
            </w:tcMar>
          </w:tcPr>
          <w:p w14:paraId="4D2E7D23" w14:textId="77777777" w:rsidR="005722EB" w:rsidRPr="002F2349" w:rsidRDefault="005722EB" w:rsidP="005722EB">
            <w:pPr>
              <w:pStyle w:val="Marginlie"/>
              <w:rPr>
                <w:spacing w:val="0"/>
              </w:rPr>
            </w:pPr>
            <w:r w:rsidRPr="002F2349">
              <w:rPr>
                <w:spacing w:val="0"/>
              </w:rPr>
              <w:t xml:space="preserve">Deficit hospodaření sektoru vládních institucí v EU loni kolísal okolo 3% hranice a ani na úrovni členských států nebylo za poslední rok dosaženo výraznějšího zmírnění fiskálních nerovnováh. </w:t>
            </w:r>
            <w:r>
              <w:rPr>
                <w:spacing w:val="0"/>
              </w:rPr>
              <w:t>Přibývalo tak s</w:t>
            </w:r>
            <w:r w:rsidRPr="002F2349">
              <w:rPr>
                <w:spacing w:val="0"/>
              </w:rPr>
              <w:t>tátů čelící</w:t>
            </w:r>
            <w:r>
              <w:rPr>
                <w:spacing w:val="0"/>
              </w:rPr>
              <w:t>ch</w:t>
            </w:r>
            <w:r w:rsidRPr="002F2349">
              <w:rPr>
                <w:spacing w:val="0"/>
              </w:rPr>
              <w:t xml:space="preserve"> ze strany Unie tlaku na konsolidační úsilí</w:t>
            </w:r>
            <w:r>
              <w:rPr>
                <w:spacing w:val="0"/>
              </w:rPr>
              <w:t>.</w:t>
            </w:r>
            <w:r w:rsidRPr="002F2349">
              <w:rPr>
                <w:spacing w:val="0"/>
              </w:rPr>
              <w:t xml:space="preserve"> </w:t>
            </w:r>
          </w:p>
        </w:tc>
        <w:tc>
          <w:tcPr>
            <w:tcW w:w="203" w:type="dxa"/>
            <w:tcMar>
              <w:left w:w="0" w:type="dxa"/>
            </w:tcMar>
          </w:tcPr>
          <w:p w14:paraId="0B8396D6" w14:textId="77777777" w:rsidR="005722EB" w:rsidRPr="002F2349" w:rsidRDefault="005722EB" w:rsidP="005722EB">
            <w:pPr>
              <w:pStyle w:val="Textpoznpodarou"/>
              <w:jc w:val="both"/>
            </w:pPr>
          </w:p>
        </w:tc>
        <w:tc>
          <w:tcPr>
            <w:tcW w:w="7656" w:type="dxa"/>
            <w:tcMar>
              <w:left w:w="0" w:type="dxa"/>
            </w:tcMar>
          </w:tcPr>
          <w:p w14:paraId="523E5187" w14:textId="01D751F7" w:rsidR="005722EB" w:rsidRPr="00F92283" w:rsidRDefault="005722EB" w:rsidP="005722EB">
            <w:pPr>
              <w:spacing w:after="200"/>
            </w:pPr>
            <w:r w:rsidRPr="00F92283">
              <w:t>Situace v oblasti hospodaření sektoru VI v členských státech EU</w:t>
            </w:r>
            <w:r w:rsidRPr="00F92283">
              <w:rPr>
                <w:rStyle w:val="Znakapoznpodarou"/>
              </w:rPr>
              <w:footnoteReference w:id="162"/>
            </w:r>
            <w:r w:rsidRPr="00F92283">
              <w:t xml:space="preserve"> se po předloňském nastartování mírného růstu ekonomiky a zklidnění cenového vývoje zčásti stabilizovala. V 1. čtvrtletí 2025 klesl deficit hospodaření v EU poprvé po dvou a půl letech pod hranici 3 % HDP. Následně se však tento příznivý vývoj zastavil a ve 3. čtvrtletí činil schodek 3,2 % HDP a mírně vyšší byl i v meziročním pohledu (o 0,2 p. b.). V úhrnu za 1.</w:t>
            </w:r>
            <w:r>
              <w:t> </w:t>
            </w:r>
            <w:r w:rsidRPr="00F92283">
              <w:t>až</w:t>
            </w:r>
            <w:r>
              <w:t> </w:t>
            </w:r>
            <w:r w:rsidRPr="00F92283">
              <w:t>3.</w:t>
            </w:r>
            <w:r>
              <w:t> </w:t>
            </w:r>
            <w:r w:rsidRPr="00F92283">
              <w:t xml:space="preserve">čtvrtletí 2025 vykázalo schodek hospodaření překračující 3 % HDP jedenáct členských států EU (stejně jako o rok dříve). Nejhlubší schodek tížil Rumunsko (8,1 % HDP), Polsko (6,5 %), Francii (5,4 %) či Belgii (5,2 %) a z významných ekonomik dále také Itálii. Tuzemský schodek (2,0 % HDP) byl loni nepatrně příznivější než v Německu a zároveň nejnižší ze všech středoevropských států. Přebytku hospodaření dosáhlo jen pět států – vedle tradičně rozpočtově odpovědného Dánska (+3,6 % HDP) rovněž některé aktuálně či dříve silně zadlužené ekonomiky (Řecko, Portugalsko, Kypr, Irsko). Meziročně se saldo hospodaření nejvíce zhoršilo především v malých či menších státech (Lucembursko, Irsko, Dánsko), z větších ekonomik jen v Polsku (z −5,6 % HDP na −6,5 % HDP) a Nizozemsku (z −0,5 % na −1,5 %). Ke zlepšení došlo hlavně ve </w:t>
            </w:r>
            <w:r w:rsidRPr="00F92283">
              <w:lastRenderedPageBreak/>
              <w:t>státech čelících ze strany EU tlaku na konsolidaci veřejných financí</w:t>
            </w:r>
            <w:r w:rsidRPr="00F92283">
              <w:rPr>
                <w:rStyle w:val="Znakapoznpodarou"/>
              </w:rPr>
              <w:footnoteReference w:id="163"/>
            </w:r>
            <w:r w:rsidRPr="00F92283">
              <w:t xml:space="preserve"> – v Maďarsku (ze −5,4 % na −3,3 % HDP), v menší míře i ve Finsku, na Slovensku či v Rumunsku. V Německu schodek klesl (z 2,8 % na 2,3 % HDP). V Česku, stejně jako v EU i</w:t>
            </w:r>
            <w:r>
              <w:t> </w:t>
            </w:r>
            <w:r w:rsidRPr="00F92283">
              <w:t>eurozóně, deficit stagnoval. V Řecku se přebytek navýšil (na 2,9 % HDP).</w:t>
            </w:r>
          </w:p>
        </w:tc>
      </w:tr>
      <w:tr w:rsidR="005722EB" w:rsidRPr="002F2349" w14:paraId="26B93AFB" w14:textId="77777777" w:rsidTr="00E87182">
        <w:trPr>
          <w:trHeight w:val="170"/>
        </w:trPr>
        <w:tc>
          <w:tcPr>
            <w:tcW w:w="1810" w:type="dxa"/>
            <w:tcMar>
              <w:left w:w="0" w:type="dxa"/>
            </w:tcMar>
          </w:tcPr>
          <w:p w14:paraId="65A8ACF5" w14:textId="77777777" w:rsidR="005722EB" w:rsidRPr="002F2349" w:rsidRDefault="005722EB" w:rsidP="005722EB">
            <w:pPr>
              <w:pStyle w:val="Marginlie"/>
              <w:rPr>
                <w:spacing w:val="0"/>
              </w:rPr>
            </w:pPr>
            <w:r w:rsidRPr="002F2349">
              <w:rPr>
                <w:spacing w:val="0"/>
              </w:rPr>
              <w:lastRenderedPageBreak/>
              <w:t xml:space="preserve">Míra zadlužení ve </w:t>
            </w:r>
            <w:r>
              <w:rPr>
                <w:spacing w:val="0"/>
              </w:rPr>
              <w:br/>
            </w:r>
            <w:r w:rsidRPr="002F2349">
              <w:rPr>
                <w:spacing w:val="0"/>
              </w:rPr>
              <w:t xml:space="preserve">3. čtvrtletí meziročně klesla v necelé polovině států EU. Pozice Česka </w:t>
            </w:r>
            <w:r>
              <w:rPr>
                <w:spacing w:val="0"/>
              </w:rPr>
              <w:t xml:space="preserve">se </w:t>
            </w:r>
            <w:r w:rsidRPr="002F2349">
              <w:rPr>
                <w:spacing w:val="0"/>
              </w:rPr>
              <w:t>dle výše míry zadlužení nezměnila.</w:t>
            </w:r>
          </w:p>
        </w:tc>
        <w:tc>
          <w:tcPr>
            <w:tcW w:w="203" w:type="dxa"/>
            <w:tcMar>
              <w:left w:w="0" w:type="dxa"/>
            </w:tcMar>
          </w:tcPr>
          <w:p w14:paraId="1300226D" w14:textId="77777777" w:rsidR="005722EB" w:rsidRPr="002F2349" w:rsidRDefault="005722EB" w:rsidP="005722EB">
            <w:pPr>
              <w:pStyle w:val="Textpoznpodarou"/>
              <w:jc w:val="both"/>
            </w:pPr>
          </w:p>
        </w:tc>
        <w:tc>
          <w:tcPr>
            <w:tcW w:w="7656" w:type="dxa"/>
            <w:tcMar>
              <w:left w:w="0" w:type="dxa"/>
            </w:tcMar>
          </w:tcPr>
          <w:p w14:paraId="073566E6" w14:textId="77777777" w:rsidR="005722EB" w:rsidRPr="00F92283" w:rsidRDefault="005722EB" w:rsidP="005722EB">
            <w:pPr>
              <w:spacing w:after="0"/>
            </w:pPr>
            <w:r w:rsidRPr="00F92283">
              <w:t xml:space="preserve">Hrubý konsolidovaný dluh sektoru VI činil na konci 3. čtvrtletí v EU 82,1 % (v eurozóně 88,5 % HDP) a mezikvartálně se zvyšoval již od počátku loňského roku. Byť meziročně byla míra zadlužení vyšší „jen“ o 0,8 p. b., šlo o nejvýraznější posílení za poslední čtyři roky. Míra zadlužení meziročně klesla v 11 členských státech – nejvíce v Řecku (ze 159 % HDP na 150 % HDP), v Irsku (ze 40 % na 33 %) a na Kypru (ze 67 % na 61 %), z velkých ekonomik ve Španělsku (ze 104 % na 103 %). V Česku činil dluh 43,1 % HDP, meziročně se téměř nezměnil (+0,3 p. b.) a mezi členskými státy zůstal devátý nejnižší. Míra zadlužení vzrostla loni nejvýrazněji v zemích s vysokými rozpočtovými schodky – v Rumunsku (z 53,3 % HDP na 58,9 % HDP) a v Polsku (z 53,2 % na 58,1 %). Dluh převyšující 60 % HDP vykázala téměř polovina členských států EU a tři pětiny členů eurozóny. </w:t>
            </w:r>
          </w:p>
        </w:tc>
      </w:tr>
    </w:tbl>
    <w:p w14:paraId="2B187638" w14:textId="77777777" w:rsidR="00EC313D" w:rsidRPr="002F2349" w:rsidRDefault="00EC313D" w:rsidP="00EC313D">
      <w:pPr>
        <w:pStyle w:val="Nadpis1"/>
        <w:rPr>
          <w:color w:val="auto"/>
          <w:sz w:val="2"/>
          <w:szCs w:val="2"/>
        </w:rPr>
      </w:pPr>
    </w:p>
    <w:p w14:paraId="2143296F" w14:textId="65E279AE" w:rsidR="00A50D73" w:rsidRPr="00FC6700" w:rsidRDefault="00A50D73" w:rsidP="00EC313D">
      <w:pPr>
        <w:pStyle w:val="Nadpis1"/>
        <w:rPr>
          <w:sz w:val="2"/>
          <w:szCs w:val="2"/>
        </w:rPr>
      </w:pPr>
    </w:p>
    <w:sectPr w:rsidR="00A50D73" w:rsidRPr="00FC6700" w:rsidSect="006F5416">
      <w:headerReference w:type="even" r:id="rId36"/>
      <w:headerReference w:type="default" r:id="rId37"/>
      <w:footerReference w:type="even" r:id="rId38"/>
      <w:footerReference w:type="default" r:id="rId39"/>
      <w:pgSz w:w="11906" w:h="16838" w:code="9"/>
      <w:pgMar w:top="1134" w:right="1134" w:bottom="1418"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9319F" w14:textId="77777777" w:rsidR="005D7241" w:rsidRDefault="005D7241" w:rsidP="00E71A58">
      <w:r>
        <w:separator/>
      </w:r>
    </w:p>
  </w:endnote>
  <w:endnote w:type="continuationSeparator" w:id="0">
    <w:p w14:paraId="586E662C" w14:textId="77777777" w:rsidR="005D7241" w:rsidRDefault="005D7241"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4C456F" w14:paraId="7190CBD2" w14:textId="77777777" w:rsidTr="7BDB84E4">
      <w:trPr>
        <w:trHeight w:val="300"/>
      </w:trPr>
      <w:tc>
        <w:tcPr>
          <w:tcW w:w="3210" w:type="dxa"/>
        </w:tcPr>
        <w:p w14:paraId="2103B00D" w14:textId="05992450" w:rsidR="004C456F" w:rsidRDefault="004C456F" w:rsidP="7BDB84E4">
          <w:pPr>
            <w:pStyle w:val="Zhlav"/>
            <w:ind w:left="-115"/>
          </w:pPr>
        </w:p>
      </w:tc>
      <w:tc>
        <w:tcPr>
          <w:tcW w:w="3210" w:type="dxa"/>
        </w:tcPr>
        <w:p w14:paraId="7E4EC8CC" w14:textId="060F96F9" w:rsidR="004C456F" w:rsidRDefault="004C456F" w:rsidP="7BDB84E4">
          <w:pPr>
            <w:pStyle w:val="Zhlav"/>
            <w:jc w:val="center"/>
          </w:pPr>
        </w:p>
      </w:tc>
      <w:tc>
        <w:tcPr>
          <w:tcW w:w="3210" w:type="dxa"/>
        </w:tcPr>
        <w:p w14:paraId="16BBC583" w14:textId="6855A288" w:rsidR="004C456F" w:rsidRDefault="004C456F" w:rsidP="7BDB84E4">
          <w:pPr>
            <w:pStyle w:val="Zhlav"/>
            <w:ind w:right="-115"/>
            <w:jc w:val="right"/>
          </w:pPr>
        </w:p>
      </w:tc>
    </w:tr>
  </w:tbl>
  <w:p w14:paraId="6C27F8FA" w14:textId="20C55B48" w:rsidR="004C456F" w:rsidRDefault="004C456F" w:rsidP="7BDB84E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4C456F" w14:paraId="18EA34D8" w14:textId="77777777" w:rsidTr="7BDB84E4">
      <w:trPr>
        <w:trHeight w:val="300"/>
      </w:trPr>
      <w:tc>
        <w:tcPr>
          <w:tcW w:w="3210" w:type="dxa"/>
        </w:tcPr>
        <w:p w14:paraId="181DBAB7" w14:textId="02D77831" w:rsidR="004C456F" w:rsidRDefault="004C456F" w:rsidP="7BDB84E4">
          <w:pPr>
            <w:pStyle w:val="Zhlav"/>
            <w:ind w:left="-115"/>
          </w:pPr>
        </w:p>
      </w:tc>
      <w:tc>
        <w:tcPr>
          <w:tcW w:w="3210" w:type="dxa"/>
        </w:tcPr>
        <w:p w14:paraId="5B9D9AD1" w14:textId="74FB0172" w:rsidR="004C456F" w:rsidRDefault="004C456F" w:rsidP="7BDB84E4">
          <w:pPr>
            <w:pStyle w:val="Zhlav"/>
            <w:jc w:val="center"/>
          </w:pPr>
        </w:p>
      </w:tc>
      <w:tc>
        <w:tcPr>
          <w:tcW w:w="3210" w:type="dxa"/>
        </w:tcPr>
        <w:p w14:paraId="641FB2DE" w14:textId="73F7F7F2" w:rsidR="004C456F" w:rsidRDefault="004C456F" w:rsidP="7BDB84E4">
          <w:pPr>
            <w:pStyle w:val="Zhlav"/>
            <w:ind w:right="-115"/>
            <w:jc w:val="right"/>
          </w:pPr>
        </w:p>
      </w:tc>
    </w:tr>
  </w:tbl>
  <w:p w14:paraId="72D422D1" w14:textId="17FE3811" w:rsidR="004C456F" w:rsidRDefault="004C456F" w:rsidP="7BDB84E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362E7" w14:textId="6A50CB90" w:rsidR="004C456F" w:rsidRPr="00932443" w:rsidRDefault="004C456F" w:rsidP="00A418BC">
    <w:pPr>
      <w:pStyle w:val="Zpat"/>
      <w:rPr>
        <w:szCs w:val="16"/>
      </w:rPr>
    </w:pPr>
    <w:r>
      <w:rPr>
        <w:szCs w:val="16"/>
        <w:lang w:eastAsia="cs-CZ"/>
      </w:rPr>
      <w:drawing>
        <wp:anchor distT="0" distB="0" distL="114300" distR="114300" simplePos="0" relativeHeight="251658240" behindDoc="0" locked="0" layoutInCell="1" allowOverlap="1" wp14:anchorId="2143298A" wp14:editId="2143298B">
          <wp:simplePos x="0" y="0"/>
          <wp:positionH relativeFrom="column">
            <wp:align>right</wp:align>
          </wp:positionH>
          <wp:positionV relativeFrom="paragraph">
            <wp:posOffset>-64770</wp:posOffset>
          </wp:positionV>
          <wp:extent cx="428625" cy="201295"/>
          <wp:effectExtent l="0" t="0" r="3175" b="1905"/>
          <wp:wrapNone/>
          <wp:docPr id="21" name="Picture 15" descr="CSU RG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SU RG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443">
      <w:rPr>
        <w:szCs w:val="16"/>
      </w:rPr>
      <w:fldChar w:fldCharType="begin"/>
    </w:r>
    <w:r w:rsidRPr="00932443">
      <w:rPr>
        <w:szCs w:val="16"/>
      </w:rPr>
      <w:instrText>PAGE   \* MERGEFORMAT</w:instrText>
    </w:r>
    <w:r w:rsidRPr="00932443">
      <w:rPr>
        <w:szCs w:val="16"/>
      </w:rPr>
      <w:fldChar w:fldCharType="separate"/>
    </w:r>
    <w:r w:rsidR="00233D05">
      <w:rPr>
        <w:szCs w:val="16"/>
      </w:rPr>
      <w:t>50</w:t>
    </w:r>
    <w:r w:rsidRPr="00932443">
      <w:rPr>
        <w:szCs w:val="16"/>
      </w:rPr>
      <w:fldChar w:fldCharType="end"/>
    </w:r>
    <w:r w:rsidRPr="00932443">
      <w:rPr>
        <w:szCs w:val="16"/>
      </w:rPr>
      <w:tab/>
    </w:r>
    <w:r w:rsidR="00F25B4A">
      <w:rPr>
        <w:szCs w:val="16"/>
      </w:rPr>
      <w:t>rok</w:t>
    </w:r>
    <w:r w:rsidR="00C5418A">
      <w:rPr>
        <w:szCs w:val="16"/>
      </w:rPr>
      <w:t xml:space="preserve"> 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2989" w14:textId="3DCC68EF" w:rsidR="004C456F" w:rsidRPr="00932443" w:rsidRDefault="004C456F" w:rsidP="00A418BC">
    <w:pPr>
      <w:pStyle w:val="Zpat"/>
      <w:rPr>
        <w:szCs w:val="16"/>
      </w:rPr>
    </w:pPr>
    <w:r>
      <w:rPr>
        <w:szCs w:val="16"/>
        <w:lang w:eastAsia="cs-CZ"/>
      </w:rPr>
      <w:drawing>
        <wp:anchor distT="0" distB="0" distL="114300" distR="114300" simplePos="0" relativeHeight="251657216" behindDoc="0" locked="0" layoutInCell="1" allowOverlap="1" wp14:anchorId="2143298C" wp14:editId="2143298D">
          <wp:simplePos x="0" y="0"/>
          <wp:positionH relativeFrom="column">
            <wp:align>left</wp:align>
          </wp:positionH>
          <wp:positionV relativeFrom="paragraph">
            <wp:posOffset>-122555</wp:posOffset>
          </wp:positionV>
          <wp:extent cx="510540" cy="272415"/>
          <wp:effectExtent l="0" t="0" r="0" b="6985"/>
          <wp:wrapNone/>
          <wp:docPr id="22" name="Picture 16" descr="CSU RG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SU RG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272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443">
      <w:rPr>
        <w:szCs w:val="16"/>
      </w:rPr>
      <w:tab/>
    </w:r>
    <w:r w:rsidR="00F25B4A">
      <w:rPr>
        <w:szCs w:val="16"/>
      </w:rPr>
      <w:t>rok</w:t>
    </w:r>
    <w:r>
      <w:rPr>
        <w:szCs w:val="16"/>
      </w:rPr>
      <w:t xml:space="preserve"> 2025</w:t>
    </w:r>
    <w:r w:rsidRPr="00932443">
      <w:rPr>
        <w:szCs w:val="16"/>
      </w:rPr>
      <w:tab/>
    </w:r>
    <w:r w:rsidRPr="00932443">
      <w:rPr>
        <w:rStyle w:val="ZpatChar"/>
        <w:szCs w:val="16"/>
      </w:rPr>
      <w:fldChar w:fldCharType="begin"/>
    </w:r>
    <w:r w:rsidRPr="00932443">
      <w:rPr>
        <w:rStyle w:val="ZpatChar"/>
        <w:szCs w:val="16"/>
      </w:rPr>
      <w:instrText>PAGE   \* MERGEFORMAT</w:instrText>
    </w:r>
    <w:r w:rsidRPr="00932443">
      <w:rPr>
        <w:rStyle w:val="ZpatChar"/>
        <w:szCs w:val="16"/>
      </w:rPr>
      <w:fldChar w:fldCharType="separate"/>
    </w:r>
    <w:r w:rsidR="00233D05">
      <w:rPr>
        <w:rStyle w:val="ZpatChar"/>
        <w:szCs w:val="16"/>
      </w:rPr>
      <w:t>49</w:t>
    </w:r>
    <w:r w:rsidRPr="00932443">
      <w:rPr>
        <w:rStyle w:val="ZpatCha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778EB" w14:textId="77777777" w:rsidR="005D7241" w:rsidRDefault="005D7241" w:rsidP="00EA4302">
      <w:pPr>
        <w:spacing w:after="0"/>
      </w:pPr>
      <w:r>
        <w:separator/>
      </w:r>
    </w:p>
  </w:footnote>
  <w:footnote w:type="continuationSeparator" w:id="0">
    <w:p w14:paraId="685FAA98" w14:textId="77777777" w:rsidR="005D7241" w:rsidRDefault="005D7241" w:rsidP="00E71A58">
      <w:r>
        <w:continuationSeparator/>
      </w:r>
    </w:p>
  </w:footnote>
  <w:footnote w:id="1">
    <w:p w14:paraId="5E57420C" w14:textId="77777777" w:rsidR="00420136" w:rsidRDefault="00420136" w:rsidP="00420136">
      <w:pPr>
        <w:pStyle w:val="Textpoznpodarou"/>
        <w:rPr>
          <w:spacing w:val="-2"/>
          <w:sz w:val="16"/>
          <w:szCs w:val="16"/>
        </w:rPr>
      </w:pPr>
      <w:r>
        <w:rPr>
          <w:rStyle w:val="Znakapoznpodarou"/>
          <w:spacing w:val="-2"/>
          <w:sz w:val="16"/>
          <w:szCs w:val="16"/>
        </w:rPr>
        <w:footnoteRef/>
      </w:r>
      <w:r>
        <w:rPr>
          <w:spacing w:val="-2"/>
          <w:sz w:val="16"/>
          <w:szCs w:val="16"/>
        </w:rPr>
        <w:t xml:space="preserve"> Data o HDP, hrubé přidané hodnotě a jejích složkách jsou vyjádřena ve stálých cenách a v očištění o sezónní a kalendářní vlivy.</w:t>
      </w:r>
    </w:p>
  </w:footnote>
  <w:footnote w:id="2">
    <w:p w14:paraId="548DAEA9" w14:textId="77777777" w:rsidR="00420136" w:rsidRDefault="00420136" w:rsidP="00420136">
      <w:pPr>
        <w:pStyle w:val="Textpoznpodarou"/>
        <w:jc w:val="both"/>
        <w:rPr>
          <w:sz w:val="16"/>
          <w:szCs w:val="16"/>
        </w:rPr>
      </w:pPr>
      <w:r>
        <w:rPr>
          <w:rStyle w:val="Znakapoznpodarou"/>
          <w:spacing w:val="-2"/>
          <w:sz w:val="16"/>
          <w:szCs w:val="16"/>
        </w:rPr>
        <w:footnoteRef/>
      </w:r>
      <w:r>
        <w:rPr>
          <w:spacing w:val="-2"/>
          <w:sz w:val="16"/>
          <w:szCs w:val="16"/>
        </w:rPr>
        <w:t xml:space="preserve"> Údaje o zaměstnanosti jsou uvedeny v pojetí národních účtů a očištěny o sezónní vlivy.</w:t>
      </w:r>
    </w:p>
  </w:footnote>
  <w:footnote w:id="3">
    <w:p w14:paraId="06CF10BF" w14:textId="0BE327E0" w:rsidR="0058050D" w:rsidRPr="003879FE" w:rsidRDefault="0058050D" w:rsidP="0058050D">
      <w:pPr>
        <w:pStyle w:val="Textpoznpodarou"/>
        <w:rPr>
          <w:sz w:val="16"/>
          <w:szCs w:val="16"/>
        </w:rPr>
      </w:pPr>
      <w:r w:rsidRPr="000348AF">
        <w:rPr>
          <w:rStyle w:val="Znakapoznpodarou"/>
          <w:sz w:val="16"/>
          <w:szCs w:val="16"/>
        </w:rPr>
        <w:footnoteRef/>
      </w:r>
      <w:r w:rsidRPr="000348AF">
        <w:rPr>
          <w:sz w:val="16"/>
          <w:szCs w:val="16"/>
        </w:rPr>
        <w:t xml:space="preserve"> Vývoj HDP, hrubé přidané hodnoty a jejich složek je vyjádřen prostřednictvím objemových indexů (tj. očištěn o vliv cen) a po očištění o sezónní a kalendářní vlivy. Údaje jsou platné k</w:t>
      </w:r>
      <w:r w:rsidR="00C73BA9">
        <w:rPr>
          <w:sz w:val="16"/>
          <w:szCs w:val="16"/>
        </w:rPr>
        <w:t> 3. 3.</w:t>
      </w:r>
      <w:r>
        <w:rPr>
          <w:sz w:val="16"/>
          <w:szCs w:val="16"/>
        </w:rPr>
        <w:t xml:space="preserve"> </w:t>
      </w:r>
      <w:r w:rsidRPr="000348AF">
        <w:rPr>
          <w:sz w:val="16"/>
          <w:szCs w:val="16"/>
        </w:rPr>
        <w:t>202</w:t>
      </w:r>
      <w:r w:rsidR="00C73BA9">
        <w:rPr>
          <w:sz w:val="16"/>
          <w:szCs w:val="16"/>
        </w:rPr>
        <w:t>6</w:t>
      </w:r>
      <w:r w:rsidRPr="000348AF">
        <w:rPr>
          <w:sz w:val="16"/>
          <w:szCs w:val="16"/>
        </w:rPr>
        <w:t>.</w:t>
      </w:r>
    </w:p>
  </w:footnote>
  <w:footnote w:id="4">
    <w:p w14:paraId="50C21F7D" w14:textId="77777777" w:rsidR="0058050D" w:rsidRDefault="0058050D" w:rsidP="0058050D">
      <w:pPr>
        <w:pStyle w:val="Textpoznpodarou"/>
      </w:pPr>
      <w:r w:rsidRPr="009C6EA8">
        <w:rPr>
          <w:rStyle w:val="Znakapoznpodarou"/>
          <w:sz w:val="16"/>
          <w:szCs w:val="16"/>
        </w:rPr>
        <w:footnoteRef/>
      </w:r>
      <w:r w:rsidRPr="009C6EA8">
        <w:rPr>
          <w:sz w:val="16"/>
          <w:szCs w:val="16"/>
        </w:rPr>
        <w:t xml:space="preserve"> </w:t>
      </w:r>
      <w:r>
        <w:rPr>
          <w:sz w:val="16"/>
          <w:szCs w:val="16"/>
        </w:rPr>
        <w:t>Zaměstnanost v</w:t>
      </w:r>
      <w:r w:rsidRPr="009C6EA8">
        <w:rPr>
          <w:sz w:val="16"/>
          <w:szCs w:val="16"/>
        </w:rPr>
        <w:t> pojetí národních účtů</w:t>
      </w:r>
      <w:r>
        <w:rPr>
          <w:sz w:val="16"/>
          <w:szCs w:val="16"/>
        </w:rPr>
        <w:t xml:space="preserve"> (osoby)</w:t>
      </w:r>
      <w:r w:rsidRPr="009C6EA8">
        <w:rPr>
          <w:sz w:val="16"/>
          <w:szCs w:val="16"/>
        </w:rPr>
        <w:t xml:space="preserve">, </w:t>
      </w:r>
      <w:r>
        <w:rPr>
          <w:sz w:val="16"/>
          <w:szCs w:val="16"/>
        </w:rPr>
        <w:t xml:space="preserve">údaj je </w:t>
      </w:r>
      <w:r w:rsidRPr="009C6EA8">
        <w:rPr>
          <w:sz w:val="16"/>
          <w:szCs w:val="16"/>
        </w:rPr>
        <w:t>sezónně očištěn</w:t>
      </w:r>
      <w:r w:rsidRPr="00004BA8">
        <w:rPr>
          <w:sz w:val="16"/>
        </w:rPr>
        <w:t>.</w:t>
      </w:r>
    </w:p>
  </w:footnote>
  <w:footnote w:id="5">
    <w:p w14:paraId="423EEFC7" w14:textId="77777777" w:rsidR="0058050D" w:rsidRPr="005F75B1" w:rsidRDefault="0058050D" w:rsidP="0058050D">
      <w:pPr>
        <w:pStyle w:val="Textpoznpodarou"/>
        <w:rPr>
          <w:sz w:val="16"/>
          <w:szCs w:val="16"/>
        </w:rPr>
      </w:pPr>
      <w:r w:rsidRPr="005F75B1">
        <w:rPr>
          <w:rStyle w:val="Znakapoznpodarou"/>
          <w:sz w:val="16"/>
          <w:szCs w:val="16"/>
        </w:rPr>
        <w:footnoteRef/>
      </w:r>
      <w:r w:rsidRPr="005F75B1">
        <w:rPr>
          <w:sz w:val="16"/>
          <w:szCs w:val="16"/>
        </w:rPr>
        <w:t xml:space="preserve"> Do reálného vyjádření převedeno s pomocí deflátoru spotřeby domácností.</w:t>
      </w:r>
    </w:p>
  </w:footnote>
  <w:footnote w:id="6">
    <w:p w14:paraId="03817851" w14:textId="77777777" w:rsidR="0058050D" w:rsidRPr="0053191D" w:rsidRDefault="0058050D" w:rsidP="0058050D">
      <w:pPr>
        <w:pStyle w:val="Textpoznpodarou"/>
        <w:rPr>
          <w:sz w:val="16"/>
          <w:szCs w:val="16"/>
        </w:rPr>
      </w:pPr>
      <w:r w:rsidRPr="0053191D">
        <w:rPr>
          <w:rStyle w:val="Znakapoznpodarou"/>
          <w:sz w:val="16"/>
          <w:szCs w:val="16"/>
        </w:rPr>
        <w:footnoteRef/>
      </w:r>
      <w:r w:rsidRPr="0053191D">
        <w:rPr>
          <w:sz w:val="16"/>
          <w:szCs w:val="16"/>
        </w:rPr>
        <w:t xml:space="preserve"> Tato sekce zahrnuje činnosti organizací sdružujících osoby za účelem prosazování společných zájmů, opravy počítačů a výrobků pro osobní potřebu a převážně pro domácnost a řadu jiných osobních služeb</w:t>
      </w:r>
      <w:r>
        <w:rPr>
          <w:sz w:val="16"/>
          <w:szCs w:val="16"/>
        </w:rPr>
        <w:t xml:space="preserve"> (kosmetické, kadeřnické apod.).</w:t>
      </w:r>
    </w:p>
  </w:footnote>
  <w:footnote w:id="7">
    <w:p w14:paraId="18F178CB" w14:textId="77777777" w:rsidR="0058050D" w:rsidRPr="005D181D" w:rsidRDefault="0058050D" w:rsidP="0058050D">
      <w:pPr>
        <w:pStyle w:val="Textpoznpodarou"/>
        <w:rPr>
          <w:sz w:val="16"/>
          <w:szCs w:val="16"/>
        </w:rPr>
      </w:pPr>
      <w:r w:rsidRPr="005D181D">
        <w:rPr>
          <w:rStyle w:val="Znakapoznpodarou"/>
          <w:sz w:val="16"/>
          <w:szCs w:val="16"/>
        </w:rPr>
        <w:footnoteRef/>
      </w:r>
      <w:r w:rsidRPr="005D181D">
        <w:rPr>
          <w:sz w:val="16"/>
          <w:szCs w:val="16"/>
        </w:rPr>
        <w:t xml:space="preserve"> </w:t>
      </w:r>
      <w:r>
        <w:rPr>
          <w:sz w:val="16"/>
          <w:szCs w:val="16"/>
        </w:rPr>
        <w:t xml:space="preserve">Nepočítáme-li mimořádné navýšení ze </w:t>
      </w:r>
      <w:r w:rsidRPr="005D181D">
        <w:rPr>
          <w:sz w:val="16"/>
          <w:szCs w:val="16"/>
        </w:rPr>
        <w:t>2. kvartálu 2021 ovlivněného covidem</w:t>
      </w:r>
      <w:r>
        <w:rPr>
          <w:sz w:val="16"/>
          <w:szCs w:val="16"/>
        </w:rPr>
        <w:t>, tak nejvíce od 2. čtvrtletí 2018.</w:t>
      </w:r>
    </w:p>
  </w:footnote>
  <w:footnote w:id="8">
    <w:p w14:paraId="02B3D486" w14:textId="77777777" w:rsidR="0058050D" w:rsidRPr="00954992" w:rsidRDefault="0058050D" w:rsidP="0058050D">
      <w:pPr>
        <w:pStyle w:val="Textpoznpodarou"/>
        <w:rPr>
          <w:sz w:val="16"/>
          <w:szCs w:val="16"/>
        </w:rPr>
      </w:pPr>
      <w:r w:rsidRPr="00954992">
        <w:rPr>
          <w:rStyle w:val="Znakapoznpodarou"/>
          <w:sz w:val="16"/>
          <w:szCs w:val="16"/>
        </w:rPr>
        <w:footnoteRef/>
      </w:r>
      <w:r w:rsidRPr="00954992">
        <w:rPr>
          <w:sz w:val="16"/>
          <w:szCs w:val="16"/>
        </w:rPr>
        <w:t xml:space="preserve"> Údaje o</w:t>
      </w:r>
      <w:r>
        <w:rPr>
          <w:sz w:val="16"/>
          <w:szCs w:val="16"/>
        </w:rPr>
        <w:t> </w:t>
      </w:r>
      <w:r w:rsidRPr="00954992">
        <w:rPr>
          <w:sz w:val="16"/>
          <w:szCs w:val="16"/>
        </w:rPr>
        <w:t>spotřebě dle trvanlivosti jsou v domácím pojetí</w:t>
      </w:r>
      <w:r>
        <w:rPr>
          <w:sz w:val="16"/>
          <w:szCs w:val="16"/>
        </w:rPr>
        <w:t>.</w:t>
      </w:r>
    </w:p>
  </w:footnote>
  <w:footnote w:id="9">
    <w:p w14:paraId="47ECC4D0" w14:textId="77777777" w:rsidR="0058050D" w:rsidRPr="009C6EA8" w:rsidRDefault="0058050D" w:rsidP="0058050D">
      <w:pPr>
        <w:pStyle w:val="Textpoznpodarou"/>
        <w:rPr>
          <w:sz w:val="16"/>
          <w:szCs w:val="16"/>
        </w:rPr>
      </w:pPr>
      <w:r w:rsidRPr="009C6EA8">
        <w:rPr>
          <w:rStyle w:val="Znakapoznpodarou"/>
          <w:sz w:val="16"/>
          <w:szCs w:val="16"/>
        </w:rPr>
        <w:footnoteRef/>
      </w:r>
      <w:r w:rsidRPr="009C6EA8">
        <w:rPr>
          <w:sz w:val="16"/>
          <w:szCs w:val="16"/>
        </w:rPr>
        <w:t xml:space="preserve"> Příspěvky ke změně HDP po vyloučení dovozu pro konečné užití.</w:t>
      </w:r>
    </w:p>
  </w:footnote>
  <w:footnote w:id="10">
    <w:p w14:paraId="614738E1" w14:textId="77777777" w:rsidR="0058050D" w:rsidRPr="004831F6" w:rsidRDefault="0058050D" w:rsidP="0058050D">
      <w:pPr>
        <w:pStyle w:val="Textpoznpodarou"/>
        <w:rPr>
          <w:sz w:val="16"/>
          <w:szCs w:val="16"/>
        </w:rPr>
      </w:pPr>
      <w:r w:rsidRPr="004831F6">
        <w:rPr>
          <w:rStyle w:val="Znakapoznpodarou"/>
          <w:sz w:val="16"/>
          <w:szCs w:val="16"/>
        </w:rPr>
        <w:footnoteRef/>
      </w:r>
      <w:r w:rsidRPr="004831F6">
        <w:rPr>
          <w:sz w:val="16"/>
          <w:szCs w:val="16"/>
        </w:rPr>
        <w:t xml:space="preserve"> Změna zásob</w:t>
      </w:r>
      <w:r>
        <w:rPr>
          <w:sz w:val="16"/>
          <w:szCs w:val="16"/>
        </w:rPr>
        <w:t xml:space="preserve"> (v běžných cenách a sezónně neočištěná)</w:t>
      </w:r>
      <w:r w:rsidRPr="004831F6">
        <w:rPr>
          <w:sz w:val="16"/>
          <w:szCs w:val="16"/>
        </w:rPr>
        <w:t xml:space="preserve"> </w:t>
      </w:r>
      <w:r>
        <w:rPr>
          <w:sz w:val="16"/>
          <w:szCs w:val="16"/>
        </w:rPr>
        <w:t xml:space="preserve">v roce 2025 dosáhla +27,0 mld. korun, oproti −24,0 mld. v roce 2024. Zásoby se zvyšovaly zejména v první třech kvartálech roku. Ve 4. čtvrtletí 2025 činila změna zásob −67,9 mld. korun oproti 64,6 mld. ze </w:t>
      </w:r>
      <w:r>
        <w:rPr>
          <w:sz w:val="16"/>
          <w:szCs w:val="16"/>
        </w:rPr>
        <w:br/>
        <w:t xml:space="preserve">3. kvartálu a −63,4 mld. ve 4. čtvrtletí roku 2024.   </w:t>
      </w:r>
    </w:p>
  </w:footnote>
  <w:footnote w:id="11">
    <w:p w14:paraId="045DEE01" w14:textId="77777777" w:rsidR="0058050D" w:rsidRPr="00167B30" w:rsidRDefault="0058050D" w:rsidP="0058050D">
      <w:pPr>
        <w:pStyle w:val="Textpoznpodarou"/>
        <w:rPr>
          <w:sz w:val="16"/>
          <w:szCs w:val="16"/>
        </w:rPr>
      </w:pPr>
      <w:r w:rsidRPr="00167B30">
        <w:rPr>
          <w:rStyle w:val="Znakapoznpodarou"/>
          <w:sz w:val="16"/>
          <w:szCs w:val="16"/>
        </w:rPr>
        <w:footnoteRef/>
      </w:r>
      <w:r w:rsidRPr="00167B30">
        <w:rPr>
          <w:sz w:val="16"/>
          <w:szCs w:val="16"/>
        </w:rPr>
        <w:t xml:space="preserve"> Podle metodiky čtvrtletních národních účtů (vývoz a</w:t>
      </w:r>
      <w:r>
        <w:rPr>
          <w:sz w:val="16"/>
          <w:szCs w:val="16"/>
        </w:rPr>
        <w:t> </w:t>
      </w:r>
      <w:r w:rsidRPr="00167B30">
        <w:rPr>
          <w:sz w:val="16"/>
          <w:szCs w:val="16"/>
        </w:rPr>
        <w:t>dovoz v ocenění FOB/FOB)</w:t>
      </w:r>
      <w:r>
        <w:rPr>
          <w:sz w:val="16"/>
          <w:szCs w:val="16"/>
        </w:rPr>
        <w:t xml:space="preserve">. Bilance zahraničního obchodu v běžných cenách </w:t>
      </w:r>
      <w:r>
        <w:rPr>
          <w:sz w:val="16"/>
          <w:szCs w:val="16"/>
        </w:rPr>
        <w:br/>
        <w:t>a po sezónním očištění.</w:t>
      </w:r>
    </w:p>
  </w:footnote>
  <w:footnote w:id="12">
    <w:p w14:paraId="1142EB87" w14:textId="77777777" w:rsidR="00290725" w:rsidRPr="00187AA3" w:rsidRDefault="00290725" w:rsidP="00290725">
      <w:pPr>
        <w:pStyle w:val="Textpoznpodarou"/>
        <w:rPr>
          <w:rFonts w:cs="Arial"/>
          <w:color w:val="0D0D0D" w:themeColor="text1" w:themeTint="F2"/>
          <w:spacing w:val="-2"/>
          <w:sz w:val="16"/>
          <w:szCs w:val="16"/>
        </w:rPr>
      </w:pPr>
      <w:r w:rsidRPr="007163BD">
        <w:rPr>
          <w:rStyle w:val="Znakapoznpodarou"/>
          <w:rFonts w:cs="Arial"/>
          <w:color w:val="0D0D0D" w:themeColor="text1" w:themeTint="F2"/>
          <w:spacing w:val="-2"/>
          <w:sz w:val="16"/>
          <w:szCs w:val="16"/>
        </w:rPr>
        <w:footnoteRef/>
      </w:r>
      <w:r w:rsidRPr="007163BD">
        <w:rPr>
          <w:rFonts w:cs="Arial"/>
          <w:color w:val="0D0D0D" w:themeColor="text1" w:themeTint="F2"/>
          <w:spacing w:val="-2"/>
          <w:sz w:val="16"/>
          <w:szCs w:val="16"/>
        </w:rPr>
        <w:t xml:space="preserve"> </w:t>
      </w:r>
      <w:r w:rsidRPr="00187AA3">
        <w:rPr>
          <w:rFonts w:cs="Arial"/>
          <w:color w:val="0D0D0D" w:themeColor="text1" w:themeTint="F2"/>
          <w:spacing w:val="-2"/>
          <w:sz w:val="16"/>
          <w:szCs w:val="16"/>
        </w:rPr>
        <w:t>Údaje o HPH jsou vyjádřeny ve stálých cenách a v očištění o sezónní a kalendářní vlivy.</w:t>
      </w:r>
    </w:p>
  </w:footnote>
  <w:footnote w:id="13">
    <w:p w14:paraId="4F525FE0" w14:textId="77777777" w:rsidR="00290725" w:rsidRPr="00187AA3" w:rsidRDefault="00290725" w:rsidP="00290725">
      <w:pPr>
        <w:pStyle w:val="Textpoznpodarou"/>
        <w:rPr>
          <w:spacing w:val="-2"/>
          <w:sz w:val="16"/>
          <w:szCs w:val="16"/>
        </w:rPr>
      </w:pPr>
      <w:r w:rsidRPr="00187AA3">
        <w:rPr>
          <w:rStyle w:val="Znakapoznpodarou"/>
          <w:spacing w:val="-2"/>
          <w:sz w:val="16"/>
          <w:szCs w:val="16"/>
        </w:rPr>
        <w:footnoteRef/>
      </w:r>
      <w:r w:rsidRPr="00187AA3">
        <w:rPr>
          <w:spacing w:val="-2"/>
          <w:sz w:val="16"/>
          <w:szCs w:val="16"/>
        </w:rPr>
        <w:t xml:space="preserve"> V informačních a komunikačních činnostech převýšila HPH předkrizovou úroveň již o 47 %, v peněžnictví a pojišťovnictví o 20 %</w:t>
      </w:r>
      <w:r>
        <w:rPr>
          <w:spacing w:val="-2"/>
          <w:sz w:val="16"/>
          <w:szCs w:val="16"/>
        </w:rPr>
        <w:t>,</w:t>
      </w:r>
      <w:r w:rsidRPr="00187AA3">
        <w:rPr>
          <w:spacing w:val="-2"/>
          <w:sz w:val="16"/>
          <w:szCs w:val="16"/>
        </w:rPr>
        <w:t xml:space="preserve"> v podnikových službách (profesní, vědecké, technické a administrativní činnosti) o 17 % a v uskupení</w:t>
      </w:r>
      <w:r w:rsidRPr="00187AA3">
        <w:rPr>
          <w:spacing w:val="-2"/>
        </w:rPr>
        <w:t xml:space="preserve"> </w:t>
      </w:r>
      <w:r w:rsidRPr="00187AA3">
        <w:rPr>
          <w:spacing w:val="-2"/>
          <w:sz w:val="16"/>
          <w:szCs w:val="16"/>
        </w:rPr>
        <w:t>veřejná správa a obrana, vzdělávání, zdravotní a sociální péče o 9 %. Příznivě na tom bylo zemědělství a lesnictví (+15 %), naopak výkon ve stavebnictví za 4.</w:t>
      </w:r>
      <w:r w:rsidRPr="00187AA3">
        <w:rPr>
          <w:rFonts w:cs="Arial"/>
          <w:color w:val="0D0D0D" w:themeColor="text1" w:themeTint="F2"/>
          <w:spacing w:val="-2"/>
          <w:sz w:val="16"/>
          <w:szCs w:val="16"/>
        </w:rPr>
        <w:t> </w:t>
      </w:r>
      <w:r w:rsidRPr="00187AA3">
        <w:rPr>
          <w:spacing w:val="-2"/>
          <w:sz w:val="16"/>
          <w:szCs w:val="16"/>
        </w:rPr>
        <w:t>čtvrtletím 2019 zaostal o 8 % a v průmyslu o 3 % (v jeho zpracovatelské části se však nad předkrizovou úroveň, po dvouleté odmlce, opět vrátil (+1 %)</w:t>
      </w:r>
      <w:r>
        <w:rPr>
          <w:spacing w:val="-2"/>
          <w:sz w:val="16"/>
          <w:szCs w:val="16"/>
        </w:rPr>
        <w:t>)</w:t>
      </w:r>
      <w:r w:rsidRPr="00187AA3">
        <w:rPr>
          <w:spacing w:val="-2"/>
          <w:sz w:val="16"/>
          <w:szCs w:val="16"/>
        </w:rPr>
        <w:t>.</w:t>
      </w:r>
    </w:p>
  </w:footnote>
  <w:footnote w:id="14">
    <w:p w14:paraId="2634F94E" w14:textId="77777777" w:rsidR="00290725" w:rsidRPr="00187AA3" w:rsidRDefault="00290725" w:rsidP="00290725">
      <w:pPr>
        <w:pStyle w:val="Textpoznpodarou"/>
        <w:rPr>
          <w:spacing w:val="-2"/>
          <w:sz w:val="16"/>
          <w:szCs w:val="16"/>
        </w:rPr>
      </w:pPr>
      <w:r w:rsidRPr="00187AA3">
        <w:rPr>
          <w:rStyle w:val="Znakapoznpodarou"/>
          <w:spacing w:val="-2"/>
          <w:sz w:val="16"/>
          <w:szCs w:val="16"/>
        </w:rPr>
        <w:footnoteRef/>
      </w:r>
      <w:r w:rsidRPr="00187AA3">
        <w:rPr>
          <w:spacing w:val="-2"/>
          <w:sz w:val="16"/>
          <w:szCs w:val="16"/>
        </w:rPr>
        <w:t xml:space="preserve"> Všechny níže uvedené zemědělské údaje vychází z produkce či přidané hodnoty vyjádřené ve stálých cenách. </w:t>
      </w:r>
    </w:p>
  </w:footnote>
  <w:footnote w:id="15">
    <w:p w14:paraId="594CF283" w14:textId="77777777" w:rsidR="00290725" w:rsidRPr="000E66F9" w:rsidRDefault="00290725" w:rsidP="00290725">
      <w:pPr>
        <w:pStyle w:val="Textpoznpodarou"/>
        <w:rPr>
          <w:sz w:val="16"/>
          <w:szCs w:val="16"/>
        </w:rPr>
      </w:pPr>
      <w:r w:rsidRPr="00187AA3">
        <w:rPr>
          <w:rStyle w:val="Znakapoznpodarou"/>
          <w:spacing w:val="-2"/>
          <w:sz w:val="16"/>
          <w:szCs w:val="16"/>
        </w:rPr>
        <w:footnoteRef/>
      </w:r>
      <w:r w:rsidRPr="00187AA3">
        <w:rPr>
          <w:spacing w:val="-2"/>
          <w:sz w:val="16"/>
          <w:szCs w:val="16"/>
        </w:rPr>
        <w:t xml:space="preserve"> </w:t>
      </w:r>
      <w:r w:rsidRPr="008D35FF">
        <w:rPr>
          <w:spacing w:val="-3"/>
          <w:sz w:val="16"/>
          <w:szCs w:val="16"/>
        </w:rPr>
        <w:t>Sklizeň obilovin loni meziročně vzrostla o 13 % a dosáhla 8,5 mil. tun (nejvíce za posledních devět let). Vyšší byla i úroda luskovin (+15 %), brambor (+12 %), kukuřice na zeleno (+12 %), chmele (+6 %), vinných hroznů (+37 %) a vzrostla i u olejnin (+9 %), ta však na rozdíl od všech výše uvedených plodin zaostala za dlouhodobým průměrem (proti období 2015 až 2024 byla nižší o desetinu). Z významnějších skupin plodin</w:t>
      </w:r>
      <w:r w:rsidRPr="008D35FF">
        <w:rPr>
          <w:color w:val="0D0D0D" w:themeColor="text1" w:themeTint="F2"/>
          <w:spacing w:val="-3"/>
          <w:sz w:val="16"/>
          <w:szCs w:val="16"/>
        </w:rPr>
        <w:t xml:space="preserve"> </w:t>
      </w:r>
      <w:r w:rsidRPr="008D35FF">
        <w:rPr>
          <w:color w:val="0D0D0D" w:themeColor="text1" w:themeTint="F2"/>
          <w:spacing w:val="-4"/>
          <w:sz w:val="16"/>
          <w:szCs w:val="16"/>
        </w:rPr>
        <w:t xml:space="preserve">meziročně klesla jen úroda cukrové řepy (o 14 %, ale proti dlouhodobému průměru </w:t>
      </w:r>
      <w:r>
        <w:rPr>
          <w:color w:val="0D0D0D" w:themeColor="text1" w:themeTint="F2"/>
          <w:spacing w:val="-4"/>
          <w:sz w:val="16"/>
          <w:szCs w:val="16"/>
        </w:rPr>
        <w:t xml:space="preserve">téměř </w:t>
      </w:r>
      <w:r w:rsidRPr="008D35FF">
        <w:rPr>
          <w:color w:val="0D0D0D" w:themeColor="text1" w:themeTint="F2"/>
          <w:spacing w:val="-4"/>
          <w:sz w:val="16"/>
          <w:szCs w:val="16"/>
        </w:rPr>
        <w:t>nezaostávala) a některých pícnin: jetele a vojtěšky (o</w:t>
      </w:r>
      <w:r>
        <w:rPr>
          <w:color w:val="0D0D0D" w:themeColor="text1" w:themeTint="F2"/>
          <w:spacing w:val="-4"/>
          <w:sz w:val="16"/>
          <w:szCs w:val="16"/>
        </w:rPr>
        <w:t>kolo</w:t>
      </w:r>
      <w:r w:rsidRPr="008D35FF">
        <w:rPr>
          <w:color w:val="0D0D0D" w:themeColor="text1" w:themeTint="F2"/>
          <w:spacing w:val="-4"/>
          <w:sz w:val="16"/>
          <w:szCs w:val="16"/>
        </w:rPr>
        <w:t xml:space="preserve"> 10 %).</w:t>
      </w:r>
    </w:p>
  </w:footnote>
  <w:footnote w:id="16">
    <w:p w14:paraId="780068DF" w14:textId="77777777" w:rsidR="00290725" w:rsidRPr="00A90547" w:rsidRDefault="00290725" w:rsidP="00290725">
      <w:pPr>
        <w:spacing w:after="0" w:line="240" w:lineRule="auto"/>
        <w:jc w:val="left"/>
        <w:rPr>
          <w:rFonts w:eastAsia="Arial" w:cs="Arial"/>
          <w:szCs w:val="20"/>
        </w:rPr>
      </w:pPr>
      <w:r w:rsidRPr="007717EC">
        <w:rPr>
          <w:rStyle w:val="Znakapoznpodarou"/>
          <w:sz w:val="16"/>
          <w:szCs w:val="16"/>
        </w:rPr>
        <w:footnoteRef/>
      </w:r>
      <w:r w:rsidRPr="00A90547">
        <w:rPr>
          <w:sz w:val="16"/>
          <w:szCs w:val="16"/>
        </w:rPr>
        <w:t xml:space="preserve"> Z p</w:t>
      </w:r>
      <w:r w:rsidRPr="00187AA3">
        <w:rPr>
          <w:spacing w:val="-2"/>
          <w:sz w:val="16"/>
          <w:szCs w:val="16"/>
        </w:rPr>
        <w:t>odrobnějších podnikových šetření plyne, že loni rostla fyzická produkce masa (+4,5 %). Jestliže v roce 2024 přispívalo k</w:t>
      </w:r>
      <w:r>
        <w:rPr>
          <w:spacing w:val="-2"/>
          <w:sz w:val="16"/>
          <w:szCs w:val="16"/>
        </w:rPr>
        <w:t> </w:t>
      </w:r>
      <w:r w:rsidRPr="00187AA3">
        <w:rPr>
          <w:spacing w:val="-2"/>
          <w:sz w:val="16"/>
          <w:szCs w:val="16"/>
        </w:rPr>
        <w:t xml:space="preserve">růstu výroby masa (na tuzemských jatkách) nejvíce vepřové, loni tuto roli plnilo drůbeží maso, jehož produkce (185 tis. tun) byla nejvyšší po roce 2010. Naopak výroba hovězího masa </w:t>
      </w:r>
      <w:r>
        <w:rPr>
          <w:spacing w:val="-2"/>
          <w:sz w:val="16"/>
          <w:szCs w:val="16"/>
        </w:rPr>
        <w:t xml:space="preserve">se </w:t>
      </w:r>
      <w:r w:rsidRPr="00187AA3">
        <w:rPr>
          <w:spacing w:val="-2"/>
          <w:sz w:val="16"/>
          <w:szCs w:val="16"/>
        </w:rPr>
        <w:t>druhý rok v řadě snížila (shodně o 2 %). Hrubá tuzemsk</w:t>
      </w:r>
      <w:r>
        <w:rPr>
          <w:spacing w:val="-2"/>
          <w:sz w:val="16"/>
          <w:szCs w:val="16"/>
        </w:rPr>
        <w:t>á</w:t>
      </w:r>
      <w:r w:rsidRPr="00187AA3">
        <w:rPr>
          <w:spacing w:val="-2"/>
          <w:sz w:val="16"/>
          <w:szCs w:val="16"/>
        </w:rPr>
        <w:t xml:space="preserve"> produkce, vyjadřující v naturálním množství dodávky z českých chovů na domácí i zahraniční jatka, se </w:t>
      </w:r>
      <w:r>
        <w:rPr>
          <w:spacing w:val="-2"/>
          <w:sz w:val="16"/>
          <w:szCs w:val="16"/>
        </w:rPr>
        <w:t xml:space="preserve">za </w:t>
      </w:r>
      <w:r w:rsidRPr="00187AA3">
        <w:rPr>
          <w:spacing w:val="-2"/>
          <w:sz w:val="16"/>
          <w:szCs w:val="16"/>
        </w:rPr>
        <w:t xml:space="preserve">celý loňský rok meziročně zvýšila díky nárůstu u drůbežího masa (+11,4 %) </w:t>
      </w:r>
      <w:r>
        <w:rPr>
          <w:spacing w:val="-2"/>
          <w:sz w:val="16"/>
          <w:szCs w:val="16"/>
        </w:rPr>
        <w:br/>
      </w:r>
      <w:r w:rsidRPr="00187AA3">
        <w:rPr>
          <w:spacing w:val="-2"/>
          <w:sz w:val="16"/>
          <w:szCs w:val="16"/>
        </w:rPr>
        <w:t>a vepřového (+3,2 %); naopak dodávky hovězího mírně poklesly (</w:t>
      </w:r>
      <w:r>
        <w:rPr>
          <w:spacing w:val="-2"/>
          <w:sz w:val="16"/>
          <w:szCs w:val="16"/>
        </w:rPr>
        <w:t>−</w:t>
      </w:r>
      <w:r w:rsidRPr="00187AA3">
        <w:rPr>
          <w:spacing w:val="-2"/>
          <w:sz w:val="16"/>
          <w:szCs w:val="16"/>
        </w:rPr>
        <w:t xml:space="preserve">0,8 %). Ve všech třech hlavních druzích rostl export živých zvířat </w:t>
      </w:r>
      <w:r>
        <w:rPr>
          <w:spacing w:val="-2"/>
          <w:sz w:val="16"/>
          <w:szCs w:val="16"/>
        </w:rPr>
        <w:br/>
      </w:r>
      <w:r w:rsidRPr="00187AA3">
        <w:rPr>
          <w:spacing w:val="-2"/>
          <w:sz w:val="16"/>
          <w:szCs w:val="16"/>
        </w:rPr>
        <w:t>k porážce – nejvíce u drůbeže (+10,3 %), nejméně u skotu (+3,5 %), kde však jde dlouhodobě o váhově významnou část tuzemské produkce (k porážce do zahraničí se loni vyvezlo 8</w:t>
      </w:r>
      <w:r>
        <w:rPr>
          <w:spacing w:val="-2"/>
          <w:sz w:val="16"/>
          <w:szCs w:val="16"/>
        </w:rPr>
        <w:t>5</w:t>
      </w:r>
      <w:r w:rsidRPr="00187AA3">
        <w:rPr>
          <w:spacing w:val="-2"/>
          <w:sz w:val="16"/>
          <w:szCs w:val="16"/>
        </w:rPr>
        <w:t xml:space="preserve"> tis. ks skotu, tj. více než čtvrtina zvířat vykrmených v Česku). U obchodu s masem byl loni vývoj dle hlavních kategorií odlišný. Obrat obchodu s hovězím (v naturálním vyjádření) klesal – vývoz byl nižší o 7,8 %, dovoz, i díky slabé poptávce tuzemských spotřebitelů, dokonce o 22,3 %. Naopak u vepřového rostl jak dovoz (+4,8 %, na 296 tis, tun), tak vývoz </w:t>
      </w:r>
      <w:r>
        <w:rPr>
          <w:spacing w:val="-2"/>
          <w:sz w:val="16"/>
          <w:szCs w:val="16"/>
        </w:rPr>
        <w:br/>
      </w:r>
      <w:r w:rsidRPr="00187AA3">
        <w:rPr>
          <w:spacing w:val="-2"/>
          <w:sz w:val="16"/>
          <w:szCs w:val="16"/>
        </w:rPr>
        <w:t xml:space="preserve">(+2,6 %, na </w:t>
      </w:r>
      <w:r w:rsidRPr="008D35FF">
        <w:rPr>
          <w:spacing w:val="-3"/>
          <w:sz w:val="16"/>
          <w:szCs w:val="16"/>
        </w:rPr>
        <w:t xml:space="preserve">31 tis. tun). U drůbežího masa se více dařilo exportérům (+6,5 %, </w:t>
      </w:r>
      <w:r>
        <w:rPr>
          <w:spacing w:val="-3"/>
          <w:sz w:val="16"/>
          <w:szCs w:val="16"/>
        </w:rPr>
        <w:t xml:space="preserve">na </w:t>
      </w:r>
      <w:r w:rsidRPr="008D35FF">
        <w:rPr>
          <w:spacing w:val="-3"/>
          <w:sz w:val="16"/>
          <w:szCs w:val="16"/>
        </w:rPr>
        <w:t>23 tis. tun), neboť dovoz meziročně posílil jen mírně (+0,9</w:t>
      </w:r>
      <w:r w:rsidRPr="00187AA3">
        <w:rPr>
          <w:spacing w:val="-2"/>
          <w:sz w:val="16"/>
          <w:szCs w:val="16"/>
        </w:rPr>
        <w:t> </w:t>
      </w:r>
      <w:r w:rsidRPr="008D35FF">
        <w:rPr>
          <w:spacing w:val="-3"/>
          <w:sz w:val="16"/>
          <w:szCs w:val="16"/>
        </w:rPr>
        <w:t>%</w:t>
      </w:r>
      <w:r>
        <w:rPr>
          <w:spacing w:val="-3"/>
          <w:sz w:val="16"/>
          <w:szCs w:val="16"/>
        </w:rPr>
        <w:t xml:space="preserve">, na </w:t>
      </w:r>
      <w:r w:rsidRPr="008D35FF">
        <w:rPr>
          <w:spacing w:val="-3"/>
          <w:sz w:val="16"/>
          <w:szCs w:val="16"/>
        </w:rPr>
        <w:t>136 tis. tun).</w:t>
      </w:r>
    </w:p>
  </w:footnote>
  <w:footnote w:id="17">
    <w:p w14:paraId="42C438AF" w14:textId="77777777" w:rsidR="00290725" w:rsidRPr="00AD4480" w:rsidRDefault="00290725" w:rsidP="00290725">
      <w:pPr>
        <w:spacing w:after="0" w:line="240" w:lineRule="auto"/>
        <w:jc w:val="left"/>
        <w:rPr>
          <w:rFonts w:cs="Arial"/>
          <w:color w:val="0D0D0D" w:themeColor="text1" w:themeTint="F2"/>
          <w:spacing w:val="-3"/>
          <w:sz w:val="16"/>
          <w:szCs w:val="16"/>
        </w:rPr>
      </w:pPr>
      <w:r w:rsidRPr="00705395">
        <w:rPr>
          <w:rStyle w:val="Znakapoznpodarou"/>
          <w:spacing w:val="-4"/>
          <w:sz w:val="16"/>
          <w:szCs w:val="16"/>
        </w:rPr>
        <w:footnoteRef/>
      </w:r>
      <w:r w:rsidRPr="00705395">
        <w:rPr>
          <w:spacing w:val="-4"/>
          <w:sz w:val="16"/>
          <w:szCs w:val="16"/>
        </w:rPr>
        <w:t xml:space="preserve"> </w:t>
      </w:r>
      <w:r w:rsidRPr="00AD4480">
        <w:rPr>
          <w:rFonts w:cs="Arial"/>
          <w:color w:val="0D0D0D" w:themeColor="text1" w:themeTint="F2"/>
          <w:spacing w:val="-3"/>
          <w:sz w:val="16"/>
          <w:szCs w:val="16"/>
        </w:rPr>
        <w:t>Zahrnuje odvětví těžby a dobývání, zpracovatelského průmyslu a též energetiky (zde pojímané jako odvětví výroby a rozvodu elektřiny, plynu, tepla a klimatizovaného vzduchu). Všechna meziroční tempa produkce jsou očištěna o kalendářní vlivy, mezičtvrtletní tempa i o vliv sezónnosti.</w:t>
      </w:r>
    </w:p>
  </w:footnote>
  <w:footnote w:id="18">
    <w:p w14:paraId="7CBF6D35" w14:textId="77777777" w:rsidR="00290725" w:rsidRPr="004D5215" w:rsidRDefault="00290725" w:rsidP="00290725">
      <w:pPr>
        <w:pStyle w:val="Textpoznpodarou"/>
        <w:rPr>
          <w:color w:val="0D0D0D" w:themeColor="text1" w:themeTint="F2"/>
          <w:spacing w:val="-4"/>
          <w:sz w:val="16"/>
          <w:szCs w:val="16"/>
        </w:rPr>
      </w:pPr>
      <w:r w:rsidRPr="00AD4480">
        <w:rPr>
          <w:rStyle w:val="Znakapoznpodarou"/>
          <w:color w:val="0D0D0D" w:themeColor="text1" w:themeTint="F2"/>
          <w:spacing w:val="-3"/>
          <w:sz w:val="16"/>
          <w:szCs w:val="16"/>
        </w:rPr>
        <w:footnoteRef/>
      </w:r>
      <w:r w:rsidRPr="00AD4480">
        <w:rPr>
          <w:color w:val="0D0D0D" w:themeColor="text1" w:themeTint="F2"/>
          <w:spacing w:val="-3"/>
          <w:sz w:val="16"/>
          <w:szCs w:val="16"/>
        </w:rPr>
        <w:t xml:space="preserve"> </w:t>
      </w:r>
      <w:r w:rsidRPr="00AD4480">
        <w:rPr>
          <w:color w:val="0D0D0D" w:themeColor="text1" w:themeTint="F2"/>
          <w:spacing w:val="-2"/>
          <w:sz w:val="16"/>
          <w:szCs w:val="16"/>
        </w:rPr>
        <w:t xml:space="preserve">Za svým vrcholem z období let 2015 až 2019 loni ve 4. čtvrtletí však stále zaostaly </w:t>
      </w:r>
      <w:r>
        <w:rPr>
          <w:color w:val="0D0D0D" w:themeColor="text1" w:themeTint="F2"/>
          <w:spacing w:val="-2"/>
          <w:sz w:val="16"/>
          <w:szCs w:val="16"/>
        </w:rPr>
        <w:t>skoro dvě třetiny</w:t>
      </w:r>
      <w:r w:rsidRPr="00AD4480">
        <w:rPr>
          <w:color w:val="0D0D0D" w:themeColor="text1" w:themeTint="F2"/>
          <w:spacing w:val="-2"/>
          <w:sz w:val="16"/>
          <w:szCs w:val="16"/>
        </w:rPr>
        <w:t xml:space="preserve"> hlavních průmyslových oborů. Šlo v prvé řadě </w:t>
      </w:r>
      <w:r w:rsidRPr="00AD4480">
        <w:rPr>
          <w:color w:val="0D0D0D" w:themeColor="text1" w:themeTint="F2"/>
          <w:spacing w:val="-5"/>
          <w:sz w:val="16"/>
          <w:szCs w:val="16"/>
        </w:rPr>
        <w:t>o těžbu uhlí (</w:t>
      </w:r>
      <w:r w:rsidRPr="00AD4480">
        <w:rPr>
          <w:rFonts w:cs="Arial"/>
          <w:color w:val="0D0D0D" w:themeColor="text1" w:themeTint="F2"/>
          <w:spacing w:val="-5"/>
          <w:sz w:val="16"/>
          <w:szCs w:val="16"/>
        </w:rPr>
        <w:t>o </w:t>
      </w:r>
      <w:r w:rsidRPr="00AD4480">
        <w:rPr>
          <w:color w:val="0D0D0D" w:themeColor="text1" w:themeTint="F2"/>
          <w:spacing w:val="-5"/>
          <w:sz w:val="16"/>
          <w:szCs w:val="16"/>
        </w:rPr>
        <w:t>61</w:t>
      </w:r>
      <w:r w:rsidRPr="00AD4480">
        <w:rPr>
          <w:rFonts w:cs="Arial"/>
          <w:color w:val="0D0D0D" w:themeColor="text1" w:themeTint="F2"/>
          <w:spacing w:val="-5"/>
          <w:sz w:val="16"/>
          <w:szCs w:val="16"/>
        </w:rPr>
        <w:t> </w:t>
      </w:r>
      <w:r w:rsidRPr="00AD4480">
        <w:rPr>
          <w:color w:val="0D0D0D" w:themeColor="text1" w:themeTint="F2"/>
          <w:spacing w:val="-5"/>
          <w:sz w:val="16"/>
          <w:szCs w:val="16"/>
        </w:rPr>
        <w:t xml:space="preserve">%), výrobu kovů, hutnictví </w:t>
      </w:r>
      <w:r>
        <w:rPr>
          <w:color w:val="0D0D0D" w:themeColor="text1" w:themeTint="F2"/>
          <w:spacing w:val="-5"/>
          <w:sz w:val="16"/>
          <w:szCs w:val="16"/>
        </w:rPr>
        <w:t>a</w:t>
      </w:r>
      <w:r w:rsidRPr="00AD4480">
        <w:rPr>
          <w:color w:val="0D0D0D" w:themeColor="text1" w:themeTint="F2"/>
          <w:spacing w:val="-5"/>
          <w:sz w:val="16"/>
          <w:szCs w:val="16"/>
        </w:rPr>
        <w:t xml:space="preserve"> slévárenství (−2</w:t>
      </w:r>
      <w:r>
        <w:rPr>
          <w:color w:val="0D0D0D" w:themeColor="text1" w:themeTint="F2"/>
          <w:spacing w:val="-5"/>
          <w:sz w:val="16"/>
          <w:szCs w:val="16"/>
        </w:rPr>
        <w:t>7</w:t>
      </w:r>
      <w:r w:rsidRPr="00AD4480">
        <w:rPr>
          <w:color w:val="0D0D0D" w:themeColor="text1" w:themeTint="F2"/>
          <w:spacing w:val="-5"/>
          <w:sz w:val="16"/>
          <w:szCs w:val="16"/>
        </w:rPr>
        <w:t xml:space="preserve"> %), těžbu stavebních materiálů (−2</w:t>
      </w:r>
      <w:r>
        <w:rPr>
          <w:color w:val="0D0D0D" w:themeColor="text1" w:themeTint="F2"/>
          <w:spacing w:val="-5"/>
          <w:sz w:val="16"/>
          <w:szCs w:val="16"/>
        </w:rPr>
        <w:t>7</w:t>
      </w:r>
      <w:r w:rsidRPr="00AD4480">
        <w:rPr>
          <w:color w:val="0D0D0D" w:themeColor="text1" w:themeTint="F2"/>
          <w:spacing w:val="-5"/>
          <w:sz w:val="16"/>
          <w:szCs w:val="16"/>
        </w:rPr>
        <w:t xml:space="preserve"> %),</w:t>
      </w:r>
      <w:r w:rsidRPr="00AD4480">
        <w:rPr>
          <w:color w:val="0D0D0D" w:themeColor="text1" w:themeTint="F2"/>
          <w:spacing w:val="-2"/>
          <w:sz w:val="16"/>
          <w:szCs w:val="16"/>
        </w:rPr>
        <w:t xml:space="preserve"> </w:t>
      </w:r>
      <w:r w:rsidRPr="00AD4480">
        <w:rPr>
          <w:color w:val="0D0D0D" w:themeColor="text1" w:themeTint="F2"/>
          <w:spacing w:val="-5"/>
          <w:sz w:val="16"/>
          <w:szCs w:val="16"/>
        </w:rPr>
        <w:t>obuvnický a kožedělný průmysl (−2</w:t>
      </w:r>
      <w:r>
        <w:rPr>
          <w:color w:val="0D0D0D" w:themeColor="text1" w:themeTint="F2"/>
          <w:spacing w:val="-5"/>
          <w:sz w:val="16"/>
          <w:szCs w:val="16"/>
        </w:rPr>
        <w:t>6</w:t>
      </w:r>
      <w:r w:rsidRPr="00AD4480">
        <w:rPr>
          <w:rFonts w:cs="Arial"/>
          <w:color w:val="0D0D0D" w:themeColor="text1" w:themeTint="F2"/>
          <w:spacing w:val="-5"/>
          <w:sz w:val="16"/>
          <w:szCs w:val="16"/>
        </w:rPr>
        <w:t> </w:t>
      </w:r>
      <w:r w:rsidRPr="00AD4480">
        <w:rPr>
          <w:color w:val="0D0D0D" w:themeColor="text1" w:themeTint="F2"/>
          <w:spacing w:val="-5"/>
          <w:sz w:val="16"/>
          <w:szCs w:val="16"/>
        </w:rPr>
        <w:t xml:space="preserve">%), </w:t>
      </w:r>
      <w:r w:rsidRPr="00AD4480">
        <w:rPr>
          <w:color w:val="0D0D0D" w:themeColor="text1" w:themeTint="F2"/>
          <w:spacing w:val="-2"/>
          <w:sz w:val="16"/>
          <w:szCs w:val="16"/>
        </w:rPr>
        <w:t>textilní průmysl (−2</w:t>
      </w:r>
      <w:r>
        <w:rPr>
          <w:color w:val="0D0D0D" w:themeColor="text1" w:themeTint="F2"/>
          <w:spacing w:val="-2"/>
          <w:sz w:val="16"/>
          <w:szCs w:val="16"/>
        </w:rPr>
        <w:t>4</w:t>
      </w:r>
      <w:r w:rsidRPr="00AD4480">
        <w:rPr>
          <w:color w:val="0D0D0D" w:themeColor="text1" w:themeTint="F2"/>
          <w:spacing w:val="-2"/>
          <w:sz w:val="16"/>
          <w:szCs w:val="16"/>
        </w:rPr>
        <w:t> %), tiskárenství (−22 %). Z větších oborů šlo dále o energetiku (−19</w:t>
      </w:r>
      <w:r w:rsidRPr="00AD4480">
        <w:rPr>
          <w:rFonts w:cs="Arial"/>
          <w:color w:val="0D0D0D" w:themeColor="text1" w:themeTint="F2"/>
          <w:spacing w:val="-2"/>
          <w:sz w:val="16"/>
          <w:szCs w:val="16"/>
        </w:rPr>
        <w:t> </w:t>
      </w:r>
      <w:r w:rsidRPr="00AD4480">
        <w:rPr>
          <w:color w:val="0D0D0D" w:themeColor="text1" w:themeTint="F2"/>
          <w:spacing w:val="-2"/>
          <w:sz w:val="16"/>
          <w:szCs w:val="16"/>
        </w:rPr>
        <w:t>%), výrobu stavebních materiálů</w:t>
      </w:r>
      <w:r>
        <w:rPr>
          <w:color w:val="0D0D0D" w:themeColor="text1" w:themeTint="F2"/>
          <w:spacing w:val="-2"/>
          <w:sz w:val="16"/>
          <w:szCs w:val="16"/>
        </w:rPr>
        <w:t xml:space="preserve"> </w:t>
      </w:r>
      <w:r w:rsidRPr="00AD4480">
        <w:rPr>
          <w:color w:val="0D0D0D" w:themeColor="text1" w:themeTint="F2"/>
          <w:spacing w:val="-2"/>
          <w:sz w:val="16"/>
          <w:szCs w:val="16"/>
        </w:rPr>
        <w:t>(−1</w:t>
      </w:r>
      <w:r>
        <w:rPr>
          <w:color w:val="0D0D0D" w:themeColor="text1" w:themeTint="F2"/>
          <w:spacing w:val="-2"/>
          <w:sz w:val="16"/>
          <w:szCs w:val="16"/>
        </w:rPr>
        <w:t>0</w:t>
      </w:r>
      <w:r w:rsidRPr="00AD4480">
        <w:rPr>
          <w:rFonts w:cs="Arial"/>
          <w:color w:val="0D0D0D" w:themeColor="text1" w:themeTint="F2"/>
          <w:spacing w:val="-2"/>
          <w:sz w:val="16"/>
          <w:szCs w:val="16"/>
        </w:rPr>
        <w:t> </w:t>
      </w:r>
      <w:r w:rsidRPr="00AD4480">
        <w:rPr>
          <w:color w:val="0D0D0D" w:themeColor="text1" w:themeTint="F2"/>
          <w:spacing w:val="-2"/>
          <w:sz w:val="16"/>
          <w:szCs w:val="16"/>
        </w:rPr>
        <w:t xml:space="preserve">%), chemický </w:t>
      </w:r>
      <w:r>
        <w:rPr>
          <w:color w:val="0D0D0D" w:themeColor="text1" w:themeTint="F2"/>
          <w:spacing w:val="-2"/>
          <w:sz w:val="16"/>
          <w:szCs w:val="16"/>
        </w:rPr>
        <w:t xml:space="preserve">a strojírenský průmysl </w:t>
      </w:r>
      <w:r w:rsidRPr="00AD4480">
        <w:rPr>
          <w:color w:val="0D0D0D" w:themeColor="text1" w:themeTint="F2"/>
          <w:spacing w:val="-2"/>
          <w:sz w:val="16"/>
          <w:szCs w:val="16"/>
        </w:rPr>
        <w:t>(−9 %) a elektronický průmysl (−</w:t>
      </w:r>
      <w:r>
        <w:rPr>
          <w:color w:val="0D0D0D" w:themeColor="text1" w:themeTint="F2"/>
          <w:spacing w:val="-2"/>
          <w:sz w:val="16"/>
          <w:szCs w:val="16"/>
        </w:rPr>
        <w:t>6</w:t>
      </w:r>
      <w:r w:rsidRPr="00AD4480">
        <w:rPr>
          <w:color w:val="0D0D0D" w:themeColor="text1" w:themeTint="F2"/>
          <w:spacing w:val="-2"/>
          <w:sz w:val="16"/>
          <w:szCs w:val="16"/>
        </w:rPr>
        <w:t xml:space="preserve"> %). Naopak nad předkrizovou úrovní produkce se nacházely obory vyrábějící investiční produkty a produkty krátkodobé spotřeby. Z dílčích oborů se jednalo hlavně o výrobu ostatních dopravních prostředků (+</w:t>
      </w:r>
      <w:r>
        <w:rPr>
          <w:color w:val="0D0D0D" w:themeColor="text1" w:themeTint="F2"/>
          <w:spacing w:val="-2"/>
          <w:sz w:val="16"/>
          <w:szCs w:val="16"/>
        </w:rPr>
        <w:t>35</w:t>
      </w:r>
      <w:r w:rsidRPr="00AD4480">
        <w:rPr>
          <w:color w:val="0D0D0D" w:themeColor="text1" w:themeTint="F2"/>
          <w:spacing w:val="-2"/>
          <w:sz w:val="16"/>
          <w:szCs w:val="16"/>
        </w:rPr>
        <w:t xml:space="preserve"> %), výrobu motorových vozidel (+1</w:t>
      </w:r>
      <w:r>
        <w:rPr>
          <w:color w:val="0D0D0D" w:themeColor="text1" w:themeTint="F2"/>
          <w:spacing w:val="-2"/>
          <w:sz w:val="16"/>
          <w:szCs w:val="16"/>
        </w:rPr>
        <w:t>8</w:t>
      </w:r>
      <w:r w:rsidRPr="00AD4480">
        <w:rPr>
          <w:color w:val="0D0D0D" w:themeColor="text1" w:themeTint="F2"/>
          <w:spacing w:val="-2"/>
          <w:sz w:val="16"/>
          <w:szCs w:val="16"/>
        </w:rPr>
        <w:t xml:space="preserve"> %), ostatní zpracovatelský průmysl </w:t>
      </w:r>
      <w:r>
        <w:rPr>
          <w:color w:val="0D0D0D" w:themeColor="text1" w:themeTint="F2"/>
          <w:spacing w:val="-2"/>
          <w:sz w:val="16"/>
          <w:szCs w:val="16"/>
        </w:rPr>
        <w:t xml:space="preserve">a farmacie </w:t>
      </w:r>
      <w:r w:rsidRPr="00AD4480">
        <w:rPr>
          <w:color w:val="0D0D0D" w:themeColor="text1" w:themeTint="F2"/>
          <w:spacing w:val="-2"/>
          <w:sz w:val="16"/>
          <w:szCs w:val="16"/>
        </w:rPr>
        <w:t>(</w:t>
      </w:r>
      <w:r>
        <w:rPr>
          <w:color w:val="0D0D0D" w:themeColor="text1" w:themeTint="F2"/>
          <w:spacing w:val="-2"/>
          <w:sz w:val="16"/>
          <w:szCs w:val="16"/>
        </w:rPr>
        <w:t xml:space="preserve">shodně </w:t>
      </w:r>
      <w:r w:rsidRPr="00AD4480">
        <w:rPr>
          <w:color w:val="0D0D0D" w:themeColor="text1" w:themeTint="F2"/>
          <w:spacing w:val="-2"/>
          <w:sz w:val="16"/>
          <w:szCs w:val="16"/>
        </w:rPr>
        <w:t>+16 %), papírenství (+13 %), elektrotechniku (+1</w:t>
      </w:r>
      <w:r>
        <w:rPr>
          <w:color w:val="0D0D0D" w:themeColor="text1" w:themeTint="F2"/>
          <w:spacing w:val="-2"/>
          <w:sz w:val="16"/>
          <w:szCs w:val="16"/>
        </w:rPr>
        <w:t>2</w:t>
      </w:r>
      <w:r w:rsidRPr="00AD4480">
        <w:rPr>
          <w:color w:val="0D0D0D" w:themeColor="text1" w:themeTint="F2"/>
          <w:spacing w:val="-2"/>
          <w:sz w:val="16"/>
          <w:szCs w:val="16"/>
        </w:rPr>
        <w:t xml:space="preserve"> %)</w:t>
      </w:r>
      <w:r>
        <w:rPr>
          <w:color w:val="0D0D0D" w:themeColor="text1" w:themeTint="F2"/>
          <w:spacing w:val="-2"/>
          <w:sz w:val="16"/>
          <w:szCs w:val="16"/>
        </w:rPr>
        <w:t>,</w:t>
      </w:r>
      <w:r w:rsidRPr="00AD4480">
        <w:rPr>
          <w:color w:val="0D0D0D" w:themeColor="text1" w:themeTint="F2"/>
          <w:spacing w:val="-2"/>
          <w:sz w:val="16"/>
          <w:szCs w:val="16"/>
        </w:rPr>
        <w:t xml:space="preserve"> potravinářství (+</w:t>
      </w:r>
      <w:r>
        <w:rPr>
          <w:color w:val="0D0D0D" w:themeColor="text1" w:themeTint="F2"/>
          <w:spacing w:val="-2"/>
          <w:sz w:val="16"/>
          <w:szCs w:val="16"/>
        </w:rPr>
        <w:t>9</w:t>
      </w:r>
      <w:r w:rsidRPr="00AD4480">
        <w:rPr>
          <w:color w:val="0D0D0D" w:themeColor="text1" w:themeTint="F2"/>
          <w:spacing w:val="-2"/>
          <w:sz w:val="16"/>
          <w:szCs w:val="16"/>
        </w:rPr>
        <w:t xml:space="preserve"> %)</w:t>
      </w:r>
      <w:r>
        <w:rPr>
          <w:color w:val="0D0D0D" w:themeColor="text1" w:themeTint="F2"/>
          <w:spacing w:val="-2"/>
          <w:sz w:val="16"/>
          <w:szCs w:val="16"/>
        </w:rPr>
        <w:t>,</w:t>
      </w:r>
      <w:r w:rsidRPr="00AD4480">
        <w:rPr>
          <w:color w:val="0D0D0D" w:themeColor="text1" w:themeTint="F2"/>
          <w:spacing w:val="-2"/>
          <w:sz w:val="16"/>
          <w:szCs w:val="16"/>
        </w:rPr>
        <w:t xml:space="preserve"> kovodělný průmysl (+</w:t>
      </w:r>
      <w:r>
        <w:rPr>
          <w:color w:val="0D0D0D" w:themeColor="text1" w:themeTint="F2"/>
          <w:spacing w:val="-2"/>
          <w:sz w:val="16"/>
          <w:szCs w:val="16"/>
        </w:rPr>
        <w:t>8</w:t>
      </w:r>
      <w:r w:rsidRPr="00AD4480">
        <w:rPr>
          <w:color w:val="0D0D0D" w:themeColor="text1" w:themeTint="F2"/>
          <w:spacing w:val="-2"/>
          <w:sz w:val="16"/>
          <w:szCs w:val="16"/>
        </w:rPr>
        <w:t xml:space="preserve"> %)</w:t>
      </w:r>
      <w:r>
        <w:rPr>
          <w:color w:val="0D0D0D" w:themeColor="text1" w:themeTint="F2"/>
          <w:spacing w:val="-2"/>
          <w:sz w:val="16"/>
          <w:szCs w:val="16"/>
        </w:rPr>
        <w:t xml:space="preserve"> a opravy strojů a zařízení (+6 %).</w:t>
      </w:r>
    </w:p>
  </w:footnote>
  <w:footnote w:id="19">
    <w:p w14:paraId="56CD9013" w14:textId="77777777" w:rsidR="00290725" w:rsidRPr="004D5215" w:rsidRDefault="00290725" w:rsidP="00290725">
      <w:pPr>
        <w:pStyle w:val="Textpoznpodarou"/>
        <w:rPr>
          <w:color w:val="0D0D0D" w:themeColor="text1" w:themeTint="F2"/>
          <w:spacing w:val="-4"/>
          <w:sz w:val="16"/>
          <w:szCs w:val="16"/>
        </w:rPr>
      </w:pPr>
      <w:r w:rsidRPr="004D5215">
        <w:rPr>
          <w:rStyle w:val="Znakapoznpodarou"/>
          <w:color w:val="0D0D0D" w:themeColor="text1" w:themeTint="F2"/>
          <w:spacing w:val="-4"/>
          <w:sz w:val="16"/>
          <w:szCs w:val="16"/>
        </w:rPr>
        <w:footnoteRef/>
      </w:r>
      <w:r w:rsidRPr="004D5215">
        <w:rPr>
          <w:color w:val="0D0D0D" w:themeColor="text1" w:themeTint="F2"/>
          <w:spacing w:val="-4"/>
          <w:sz w:val="16"/>
          <w:szCs w:val="16"/>
        </w:rPr>
        <w:t xml:space="preserve"> </w:t>
      </w:r>
      <w:r w:rsidRPr="004D5215">
        <w:rPr>
          <w:i/>
          <w:iCs/>
          <w:color w:val="0D0D0D" w:themeColor="text1" w:themeTint="F2"/>
          <w:spacing w:val="-4"/>
          <w:sz w:val="16"/>
          <w:szCs w:val="16"/>
        </w:rPr>
        <w:t>Celková čistá výroba elektřiny</w:t>
      </w:r>
      <w:r w:rsidRPr="004D5215">
        <w:rPr>
          <w:color w:val="0D0D0D" w:themeColor="text1" w:themeTint="F2"/>
          <w:spacing w:val="-4"/>
          <w:sz w:val="16"/>
          <w:szCs w:val="16"/>
        </w:rPr>
        <w:t xml:space="preserve"> (tj. bez </w:t>
      </w:r>
      <w:proofErr w:type="spellStart"/>
      <w:r w:rsidRPr="004D5215">
        <w:rPr>
          <w:color w:val="0D0D0D" w:themeColor="text1" w:themeTint="F2"/>
          <w:spacing w:val="-4"/>
          <w:sz w:val="16"/>
          <w:szCs w:val="16"/>
        </w:rPr>
        <w:t>mezispotřeby</w:t>
      </w:r>
      <w:proofErr w:type="spellEnd"/>
      <w:r w:rsidRPr="004D5215">
        <w:rPr>
          <w:color w:val="0D0D0D" w:themeColor="text1" w:themeTint="F2"/>
          <w:spacing w:val="-4"/>
          <w:sz w:val="16"/>
          <w:szCs w:val="16"/>
        </w:rPr>
        <w:t xml:space="preserve">, vč. ztrát při výrobě) </w:t>
      </w:r>
      <w:r>
        <w:rPr>
          <w:color w:val="0D0D0D" w:themeColor="text1" w:themeTint="F2"/>
          <w:spacing w:val="-4"/>
          <w:sz w:val="16"/>
          <w:szCs w:val="16"/>
        </w:rPr>
        <w:t xml:space="preserve">se </w:t>
      </w:r>
      <w:r w:rsidRPr="004D5215">
        <w:rPr>
          <w:color w:val="0D0D0D" w:themeColor="text1" w:themeTint="F2"/>
          <w:spacing w:val="-4"/>
          <w:sz w:val="16"/>
          <w:szCs w:val="16"/>
        </w:rPr>
        <w:t xml:space="preserve">dle předběžných údajů Energetického regulačního úřadu loni v Česku meziročně zvýšila o 3,2 % a činila 71,2 </w:t>
      </w:r>
      <w:proofErr w:type="spellStart"/>
      <w:r w:rsidRPr="004D5215">
        <w:rPr>
          <w:color w:val="0D0D0D" w:themeColor="text1" w:themeTint="F2"/>
          <w:spacing w:val="-4"/>
          <w:sz w:val="16"/>
          <w:szCs w:val="16"/>
        </w:rPr>
        <w:t>TWh</w:t>
      </w:r>
      <w:proofErr w:type="spellEnd"/>
      <w:r w:rsidRPr="004D5215">
        <w:rPr>
          <w:color w:val="0D0D0D" w:themeColor="text1" w:themeTint="F2"/>
          <w:spacing w:val="-4"/>
          <w:sz w:val="16"/>
          <w:szCs w:val="16"/>
        </w:rPr>
        <w:t xml:space="preserve"> (druhý nejnižší objem po roce 2002). K růstu výroby přispěly z drtivé části jaderné elektrárny, jež díky prodloužení palivových cyklů a dalších modernizačních opatření loni dosáhly rekordní výroby (pokrývající již polovinu celkové čisté spotřeby elektřiny v Česku). Třetí rok v řadě svižně rostla produkce z fotovoltaických elektráren (loni </w:t>
      </w:r>
      <w:r>
        <w:rPr>
          <w:color w:val="0D0D0D" w:themeColor="text1" w:themeTint="F2"/>
          <w:spacing w:val="-4"/>
          <w:sz w:val="16"/>
          <w:szCs w:val="16"/>
        </w:rPr>
        <w:br/>
      </w:r>
      <w:r w:rsidRPr="004D5215">
        <w:rPr>
          <w:color w:val="0D0D0D" w:themeColor="text1" w:themeTint="F2"/>
          <w:spacing w:val="-4"/>
          <w:sz w:val="16"/>
          <w:szCs w:val="16"/>
        </w:rPr>
        <w:t xml:space="preserve">o 19 %), avšak na celkové výrobě elektřiny se podílela stále spíše okrajově (6 %). Kvůli nedostatku srážek naopak klesla výroba ve vodních elektrárnách (−40 %) a méně dodaly i větrné elektrárny (−7 %). </w:t>
      </w:r>
      <w:r w:rsidRPr="004D5215">
        <w:rPr>
          <w:i/>
          <w:iCs/>
          <w:color w:val="0D0D0D" w:themeColor="text1" w:themeTint="F2"/>
          <w:spacing w:val="-4"/>
          <w:sz w:val="16"/>
          <w:szCs w:val="16"/>
        </w:rPr>
        <w:t>Celková tuzemská čistá spotřeba elektřiny</w:t>
      </w:r>
      <w:r w:rsidRPr="004D5215">
        <w:rPr>
          <w:color w:val="0D0D0D" w:themeColor="text1" w:themeTint="F2"/>
          <w:spacing w:val="-4"/>
          <w:sz w:val="16"/>
          <w:szCs w:val="16"/>
        </w:rPr>
        <w:t xml:space="preserve"> činila loni 59,0 </w:t>
      </w:r>
      <w:proofErr w:type="spellStart"/>
      <w:r w:rsidRPr="004D5215">
        <w:rPr>
          <w:color w:val="0D0D0D" w:themeColor="text1" w:themeTint="F2"/>
          <w:spacing w:val="-4"/>
          <w:sz w:val="16"/>
          <w:szCs w:val="16"/>
        </w:rPr>
        <w:t>TWh</w:t>
      </w:r>
      <w:proofErr w:type="spellEnd"/>
      <w:r w:rsidRPr="004D5215">
        <w:rPr>
          <w:color w:val="0D0D0D" w:themeColor="text1" w:themeTint="F2"/>
          <w:spacing w:val="-4"/>
          <w:sz w:val="16"/>
          <w:szCs w:val="16"/>
        </w:rPr>
        <w:t>. Její tři roky trvající meziroční pokles se zastavil (+1,8 %). K tomu z drtivé části přispěla vyšší spotřeba domácností (+6,5 %), vzrostla i poptávka od drobných podnikatelů (+1,9 %), spotřeba velkoodběratelů se naopak mírně snížila, zejména v největších podnicích (– 2,9 %). Oproti roku 2019, kdy se celková čistá spotřeba nacházela blízko dlouhodobého maxima, loni souhrnná spotřeba elektřiny klesla o 5,2 %, hlavně vlivem velkoodběratelů (−8,2 %), naopak rostla jen poptávka domácnost</w:t>
      </w:r>
      <w:r>
        <w:rPr>
          <w:color w:val="0D0D0D" w:themeColor="text1" w:themeTint="F2"/>
          <w:spacing w:val="-4"/>
          <w:sz w:val="16"/>
          <w:szCs w:val="16"/>
        </w:rPr>
        <w:t>í</w:t>
      </w:r>
      <w:r w:rsidRPr="004D5215">
        <w:rPr>
          <w:color w:val="0D0D0D" w:themeColor="text1" w:themeTint="F2"/>
          <w:spacing w:val="-4"/>
          <w:sz w:val="16"/>
          <w:szCs w:val="16"/>
        </w:rPr>
        <w:t>, jež odebraly o 9,2 % více. Česko i vloni zůstalo čistým exportérem elektřiny. Přeshraniční saldo, tedy rozdíl mezi vývozem a dovozem, meziročně stoupl</w:t>
      </w:r>
      <w:r>
        <w:rPr>
          <w:color w:val="0D0D0D" w:themeColor="text1" w:themeTint="F2"/>
          <w:spacing w:val="-4"/>
          <w:sz w:val="16"/>
          <w:szCs w:val="16"/>
        </w:rPr>
        <w:t>o z</w:t>
      </w:r>
      <w:r w:rsidRPr="004D5215">
        <w:rPr>
          <w:color w:val="0D0D0D" w:themeColor="text1" w:themeTint="F2"/>
          <w:spacing w:val="-4"/>
          <w:sz w:val="16"/>
          <w:szCs w:val="16"/>
        </w:rPr>
        <w:t xml:space="preserve"> 0,8 </w:t>
      </w:r>
      <w:proofErr w:type="spellStart"/>
      <w:r w:rsidRPr="004D5215">
        <w:rPr>
          <w:color w:val="0D0D0D" w:themeColor="text1" w:themeTint="F2"/>
          <w:spacing w:val="-4"/>
          <w:sz w:val="16"/>
          <w:szCs w:val="16"/>
        </w:rPr>
        <w:t>TWh</w:t>
      </w:r>
      <w:proofErr w:type="spellEnd"/>
      <w:r w:rsidRPr="004D5215">
        <w:rPr>
          <w:color w:val="0D0D0D" w:themeColor="text1" w:themeTint="F2"/>
          <w:spacing w:val="-4"/>
          <w:sz w:val="16"/>
          <w:szCs w:val="16"/>
        </w:rPr>
        <w:t xml:space="preserve"> na 7,4 </w:t>
      </w:r>
      <w:proofErr w:type="spellStart"/>
      <w:r w:rsidRPr="004D5215">
        <w:rPr>
          <w:color w:val="0D0D0D" w:themeColor="text1" w:themeTint="F2"/>
          <w:spacing w:val="-4"/>
          <w:sz w:val="16"/>
          <w:szCs w:val="16"/>
        </w:rPr>
        <w:t>TWh</w:t>
      </w:r>
      <w:proofErr w:type="spellEnd"/>
      <w:r w:rsidRPr="004D5215">
        <w:rPr>
          <w:color w:val="0D0D0D" w:themeColor="text1" w:themeTint="F2"/>
          <w:spacing w:val="-4"/>
          <w:sz w:val="16"/>
          <w:szCs w:val="16"/>
        </w:rPr>
        <w:t>.</w:t>
      </w:r>
    </w:p>
  </w:footnote>
  <w:footnote w:id="20">
    <w:p w14:paraId="271D12A1" w14:textId="77777777" w:rsidR="00290725" w:rsidRPr="004D5215" w:rsidRDefault="00290725" w:rsidP="00290725">
      <w:pPr>
        <w:pStyle w:val="Bezmezer"/>
        <w:jc w:val="left"/>
        <w:rPr>
          <w:color w:val="0D0D0D" w:themeColor="text1" w:themeTint="F2"/>
          <w:spacing w:val="-2"/>
        </w:rPr>
      </w:pPr>
      <w:r w:rsidRPr="004D5215">
        <w:rPr>
          <w:rStyle w:val="Znakapoznpodarou"/>
          <w:color w:val="0D0D0D" w:themeColor="text1" w:themeTint="F2"/>
          <w:spacing w:val="-4"/>
          <w:sz w:val="16"/>
          <w:szCs w:val="16"/>
        </w:rPr>
        <w:footnoteRef/>
      </w:r>
      <w:r w:rsidRPr="004D5215">
        <w:rPr>
          <w:rStyle w:val="Znakapoznpodarou"/>
          <w:color w:val="0D0D0D" w:themeColor="text1" w:themeTint="F2"/>
          <w:spacing w:val="-4"/>
          <w:sz w:val="16"/>
          <w:szCs w:val="16"/>
        </w:rPr>
        <w:t xml:space="preserve"> </w:t>
      </w:r>
      <w:r w:rsidRPr="004D5215">
        <w:rPr>
          <w:color w:val="0D0D0D" w:themeColor="text1" w:themeTint="F2"/>
          <w:spacing w:val="-4"/>
          <w:sz w:val="16"/>
          <w:szCs w:val="16"/>
        </w:rPr>
        <w:t xml:space="preserve">Spotřeba plynu dosáhla loni 7,21 mld. </w:t>
      </w:r>
      <w:r w:rsidRPr="004D5215">
        <w:rPr>
          <w:rFonts w:cs="Arial"/>
          <w:color w:val="0D0D0D" w:themeColor="text1" w:themeTint="F2"/>
          <w:spacing w:val="-4"/>
          <w:sz w:val="16"/>
          <w:szCs w:val="16"/>
          <w:shd w:val="clear" w:color="auto" w:fill="FFFFFF"/>
        </w:rPr>
        <w:t>m</w:t>
      </w:r>
      <w:r w:rsidRPr="004D5215">
        <w:rPr>
          <w:rFonts w:cs="Arial"/>
          <w:color w:val="0D0D0D" w:themeColor="text1" w:themeTint="F2"/>
          <w:spacing w:val="-4"/>
          <w:sz w:val="16"/>
          <w:szCs w:val="16"/>
          <w:shd w:val="clear" w:color="auto" w:fill="FFFFFF"/>
          <w:vertAlign w:val="superscript"/>
        </w:rPr>
        <w:t>3</w:t>
      </w:r>
      <w:r w:rsidRPr="004D5215">
        <w:rPr>
          <w:color w:val="0D0D0D" w:themeColor="text1" w:themeTint="F2"/>
          <w:spacing w:val="-4"/>
          <w:sz w:val="16"/>
          <w:szCs w:val="16"/>
        </w:rPr>
        <w:t xml:space="preserve">, meziročně byla vyšší o 6,5 % (po přepočtení spotřeby na dlouhodobý teplotní normál činil růst ale jen 0,5 %, tato spotřeba tak mírně rostla druhý rok v řadě, v letech 2022 a 2023 se ale v úhrnu propadla o téměř čtvrtinu). Skutečná spotřeba </w:t>
      </w:r>
      <w:r>
        <w:rPr>
          <w:color w:val="0D0D0D" w:themeColor="text1" w:themeTint="F2"/>
          <w:spacing w:val="-4"/>
          <w:sz w:val="16"/>
          <w:szCs w:val="16"/>
        </w:rPr>
        <w:t xml:space="preserve">se </w:t>
      </w:r>
      <w:r w:rsidRPr="004D5215">
        <w:rPr>
          <w:color w:val="0D0D0D" w:themeColor="text1" w:themeTint="F2"/>
          <w:spacing w:val="-4"/>
          <w:sz w:val="16"/>
          <w:szCs w:val="16"/>
        </w:rPr>
        <w:t xml:space="preserve">loni </w:t>
      </w:r>
      <w:r>
        <w:rPr>
          <w:color w:val="0D0D0D" w:themeColor="text1" w:themeTint="F2"/>
          <w:spacing w:val="-4"/>
          <w:sz w:val="16"/>
          <w:szCs w:val="16"/>
        </w:rPr>
        <w:t>zvýšil</w:t>
      </w:r>
      <w:r w:rsidRPr="004D5215">
        <w:rPr>
          <w:color w:val="0D0D0D" w:themeColor="text1" w:themeTint="F2"/>
          <w:spacing w:val="-4"/>
          <w:sz w:val="16"/>
          <w:szCs w:val="16"/>
        </w:rPr>
        <w:t>a u všech kategorií odběratelů – zejména domácností (+9,9 %) a maloodběratelů z řad podnikatelů (+9,3 %). Oproti roku 2016, je</w:t>
      </w:r>
      <w:r>
        <w:rPr>
          <w:color w:val="0D0D0D" w:themeColor="text1" w:themeTint="F2"/>
          <w:spacing w:val="-4"/>
          <w:sz w:val="16"/>
          <w:szCs w:val="16"/>
        </w:rPr>
        <w:t>n</w:t>
      </w:r>
      <w:r w:rsidRPr="004D5215">
        <w:rPr>
          <w:color w:val="0D0D0D" w:themeColor="text1" w:themeTint="F2"/>
          <w:spacing w:val="-4"/>
          <w:sz w:val="16"/>
          <w:szCs w:val="16"/>
        </w:rPr>
        <w:t xml:space="preserve">ž byl teplotně srovnatelný </w:t>
      </w:r>
      <w:r>
        <w:rPr>
          <w:color w:val="0D0D0D" w:themeColor="text1" w:themeTint="F2"/>
          <w:spacing w:val="-4"/>
          <w:sz w:val="16"/>
          <w:szCs w:val="16"/>
        </w:rPr>
        <w:t xml:space="preserve">s </w:t>
      </w:r>
      <w:r w:rsidRPr="004D5215">
        <w:rPr>
          <w:color w:val="0D0D0D" w:themeColor="text1" w:themeTint="F2"/>
          <w:spacing w:val="-4"/>
          <w:sz w:val="16"/>
          <w:szCs w:val="16"/>
        </w:rPr>
        <w:t>loňský</w:t>
      </w:r>
      <w:r>
        <w:rPr>
          <w:color w:val="0D0D0D" w:themeColor="text1" w:themeTint="F2"/>
          <w:spacing w:val="-4"/>
          <w:sz w:val="16"/>
          <w:szCs w:val="16"/>
        </w:rPr>
        <w:t>m</w:t>
      </w:r>
      <w:r w:rsidRPr="004D5215">
        <w:rPr>
          <w:color w:val="0D0D0D" w:themeColor="text1" w:themeTint="F2"/>
          <w:spacing w:val="-4"/>
          <w:sz w:val="16"/>
          <w:szCs w:val="16"/>
        </w:rPr>
        <w:t xml:space="preserve">, je ovšem aktuální celková spotřeba nižší o 13 % (z toho domácností o 20 %). Zčásti se na tom podílí </w:t>
      </w:r>
      <w:r w:rsidRPr="004D5215">
        <w:rPr>
          <w:color w:val="0D0D0D" w:themeColor="text1" w:themeTint="F2"/>
          <w:spacing w:val="-4"/>
          <w:sz w:val="16"/>
          <w:szCs w:val="16"/>
        </w:rPr>
        <w:br/>
        <w:t xml:space="preserve">i snížený počet zákazníků (−5 %), patrný </w:t>
      </w:r>
      <w:r>
        <w:rPr>
          <w:color w:val="0D0D0D" w:themeColor="text1" w:themeTint="F2"/>
          <w:spacing w:val="-4"/>
          <w:sz w:val="16"/>
          <w:szCs w:val="16"/>
        </w:rPr>
        <w:t xml:space="preserve">u </w:t>
      </w:r>
      <w:r w:rsidRPr="004D5215">
        <w:rPr>
          <w:color w:val="0D0D0D" w:themeColor="text1" w:themeTint="F2"/>
          <w:spacing w:val="-4"/>
          <w:sz w:val="16"/>
          <w:szCs w:val="16"/>
        </w:rPr>
        <w:t>všech kategorií odběratelů, vyjma drobných podnikatelů, jejichž počet byl na stejné úrovni.</w:t>
      </w:r>
    </w:p>
  </w:footnote>
  <w:footnote w:id="21">
    <w:p w14:paraId="21606948" w14:textId="77777777" w:rsidR="00290725" w:rsidRPr="00FE030A" w:rsidRDefault="00290725" w:rsidP="00290725">
      <w:pPr>
        <w:pStyle w:val="Textpoznpodarou"/>
        <w:rPr>
          <w:sz w:val="16"/>
          <w:szCs w:val="16"/>
        </w:rPr>
      </w:pPr>
      <w:r w:rsidRPr="00FE030A">
        <w:rPr>
          <w:rStyle w:val="Znakapoznpodarou"/>
          <w:color w:val="0D0D0D" w:themeColor="text1" w:themeTint="F2"/>
          <w:spacing w:val="-2"/>
          <w:sz w:val="16"/>
          <w:szCs w:val="16"/>
        </w:rPr>
        <w:footnoteRef/>
      </w:r>
      <w:r w:rsidRPr="00FE030A">
        <w:rPr>
          <w:color w:val="0D0D0D" w:themeColor="text1" w:themeTint="F2"/>
          <w:sz w:val="16"/>
          <w:szCs w:val="16"/>
        </w:rPr>
        <w:t xml:space="preserve"> Celkov</w:t>
      </w:r>
      <w:r>
        <w:rPr>
          <w:color w:val="0D0D0D" w:themeColor="text1" w:themeTint="F2"/>
          <w:sz w:val="16"/>
          <w:szCs w:val="16"/>
        </w:rPr>
        <w:t>á</w:t>
      </w:r>
      <w:r w:rsidRPr="00FE030A">
        <w:rPr>
          <w:color w:val="0D0D0D" w:themeColor="text1" w:themeTint="F2"/>
          <w:sz w:val="16"/>
          <w:szCs w:val="16"/>
        </w:rPr>
        <w:t xml:space="preserve"> výroba tepla za loňský rok vzrostla o 3,1 %</w:t>
      </w:r>
      <w:r>
        <w:rPr>
          <w:color w:val="0D0D0D" w:themeColor="text1" w:themeTint="F2"/>
          <w:sz w:val="16"/>
          <w:szCs w:val="16"/>
        </w:rPr>
        <w:t xml:space="preserve"> (na 137 PJ)</w:t>
      </w:r>
      <w:r w:rsidRPr="00FE030A">
        <w:rPr>
          <w:color w:val="0D0D0D" w:themeColor="text1" w:themeTint="F2"/>
          <w:sz w:val="16"/>
          <w:szCs w:val="16"/>
        </w:rPr>
        <w:t xml:space="preserve"> </w:t>
      </w:r>
      <w:r>
        <w:rPr>
          <w:color w:val="0D0D0D" w:themeColor="text1" w:themeTint="F2"/>
          <w:sz w:val="16"/>
          <w:szCs w:val="16"/>
        </w:rPr>
        <w:t>a zastavil se tak její hlubší pokles z předchozích tří let (v úhrnu o</w:t>
      </w:r>
      <w:r w:rsidRPr="004D5215">
        <w:rPr>
          <w:color w:val="0D0D0D" w:themeColor="text1" w:themeTint="F2"/>
          <w:spacing w:val="-4"/>
          <w:sz w:val="16"/>
          <w:szCs w:val="16"/>
        </w:rPr>
        <w:t> </w:t>
      </w:r>
      <w:r>
        <w:rPr>
          <w:color w:val="0D0D0D" w:themeColor="text1" w:themeTint="F2"/>
          <w:sz w:val="16"/>
          <w:szCs w:val="16"/>
        </w:rPr>
        <w:t>17,9</w:t>
      </w:r>
      <w:r w:rsidRPr="004D5215">
        <w:rPr>
          <w:color w:val="0D0D0D" w:themeColor="text1" w:themeTint="F2"/>
          <w:spacing w:val="-4"/>
          <w:sz w:val="16"/>
          <w:szCs w:val="16"/>
        </w:rPr>
        <w:t> </w:t>
      </w:r>
      <w:r>
        <w:rPr>
          <w:color w:val="0D0D0D" w:themeColor="text1" w:themeTint="F2"/>
          <w:sz w:val="16"/>
          <w:szCs w:val="16"/>
        </w:rPr>
        <w:t xml:space="preserve">%). Meziročně více energie se loni vyrobilo ze </w:t>
      </w:r>
      <w:r w:rsidRPr="00622721">
        <w:rPr>
          <w:color w:val="0D0D0D" w:themeColor="text1" w:themeTint="F2"/>
          <w:sz w:val="16"/>
          <w:szCs w:val="16"/>
        </w:rPr>
        <w:t>zemního plynu (+8 %) a z biomasy (+</w:t>
      </w:r>
      <w:r>
        <w:rPr>
          <w:color w:val="0D0D0D" w:themeColor="text1" w:themeTint="F2"/>
          <w:sz w:val="16"/>
          <w:szCs w:val="16"/>
        </w:rPr>
        <w:t>1</w:t>
      </w:r>
      <w:r w:rsidRPr="00622721">
        <w:rPr>
          <w:color w:val="0D0D0D" w:themeColor="text1" w:themeTint="F2"/>
          <w:sz w:val="16"/>
          <w:szCs w:val="16"/>
        </w:rPr>
        <w:t xml:space="preserve">1, %), </w:t>
      </w:r>
      <w:r>
        <w:rPr>
          <w:color w:val="0D0D0D" w:themeColor="text1" w:themeTint="F2"/>
          <w:sz w:val="16"/>
          <w:szCs w:val="16"/>
        </w:rPr>
        <w:t>jež</w:t>
      </w:r>
      <w:r w:rsidRPr="00622721">
        <w:rPr>
          <w:color w:val="0D0D0D" w:themeColor="text1" w:themeTint="F2"/>
          <w:sz w:val="16"/>
          <w:szCs w:val="16"/>
        </w:rPr>
        <w:t xml:space="preserve"> jsou při výrobě tepla druhým </w:t>
      </w:r>
      <w:r>
        <w:rPr>
          <w:color w:val="0D0D0D" w:themeColor="text1" w:themeTint="F2"/>
          <w:sz w:val="16"/>
          <w:szCs w:val="16"/>
        </w:rPr>
        <w:br/>
      </w:r>
      <w:r w:rsidRPr="00622721">
        <w:rPr>
          <w:color w:val="0D0D0D" w:themeColor="text1" w:themeTint="F2"/>
          <w:sz w:val="16"/>
          <w:szCs w:val="16"/>
        </w:rPr>
        <w:t>a třetím nejčastěji využívaným palivem. Třetina tepla se loni vyrobila z hnědého uhlí, jehož využití meziročně mírně kleslo (</w:t>
      </w:r>
      <w:r w:rsidRPr="004D5215">
        <w:rPr>
          <w:color w:val="0D0D0D" w:themeColor="text1" w:themeTint="F2"/>
          <w:spacing w:val="-4"/>
          <w:sz w:val="16"/>
          <w:szCs w:val="16"/>
        </w:rPr>
        <w:t>–</w:t>
      </w:r>
      <w:r w:rsidRPr="00622721">
        <w:rPr>
          <w:color w:val="0D0D0D" w:themeColor="text1" w:themeTint="F2"/>
          <w:sz w:val="16"/>
          <w:szCs w:val="16"/>
        </w:rPr>
        <w:t>0,6 %)</w:t>
      </w:r>
      <w:r>
        <w:rPr>
          <w:color w:val="0D0D0D" w:themeColor="text1" w:themeTint="F2"/>
          <w:sz w:val="16"/>
          <w:szCs w:val="16"/>
        </w:rPr>
        <w:t>. S</w:t>
      </w:r>
      <w:r w:rsidRPr="00622721">
        <w:rPr>
          <w:color w:val="0D0D0D" w:themeColor="text1" w:themeTint="F2"/>
          <w:sz w:val="16"/>
          <w:szCs w:val="16"/>
        </w:rPr>
        <w:t xml:space="preserve">potřeba tepelné energie </w:t>
      </w:r>
      <w:r>
        <w:rPr>
          <w:color w:val="0D0D0D" w:themeColor="text1" w:themeTint="F2"/>
          <w:sz w:val="16"/>
          <w:szCs w:val="16"/>
        </w:rPr>
        <w:t>(</w:t>
      </w:r>
      <w:r w:rsidRPr="00622721">
        <w:rPr>
          <w:color w:val="0D0D0D" w:themeColor="text1" w:themeTint="F2"/>
          <w:sz w:val="16"/>
          <w:szCs w:val="16"/>
        </w:rPr>
        <w:t>v soustavách centrálního zásobování</w:t>
      </w:r>
      <w:r>
        <w:rPr>
          <w:color w:val="0D0D0D" w:themeColor="text1" w:themeTint="F2"/>
          <w:sz w:val="16"/>
          <w:szCs w:val="16"/>
        </w:rPr>
        <w:t>)</w:t>
      </w:r>
      <w:r w:rsidRPr="00622721">
        <w:rPr>
          <w:color w:val="0D0D0D" w:themeColor="text1" w:themeTint="F2"/>
          <w:sz w:val="16"/>
          <w:szCs w:val="16"/>
        </w:rPr>
        <w:t xml:space="preserve"> </w:t>
      </w:r>
      <w:r>
        <w:rPr>
          <w:color w:val="0D0D0D" w:themeColor="text1" w:themeTint="F2"/>
          <w:sz w:val="16"/>
          <w:szCs w:val="16"/>
        </w:rPr>
        <w:t xml:space="preserve">loni </w:t>
      </w:r>
      <w:r w:rsidRPr="00622721">
        <w:rPr>
          <w:color w:val="0D0D0D" w:themeColor="text1" w:themeTint="F2"/>
          <w:sz w:val="16"/>
          <w:szCs w:val="16"/>
        </w:rPr>
        <w:t xml:space="preserve">meziročně </w:t>
      </w:r>
      <w:r>
        <w:rPr>
          <w:color w:val="0D0D0D" w:themeColor="text1" w:themeTint="F2"/>
          <w:sz w:val="16"/>
          <w:szCs w:val="16"/>
        </w:rPr>
        <w:t>posílila</w:t>
      </w:r>
      <w:r w:rsidRPr="00622721">
        <w:rPr>
          <w:color w:val="0D0D0D" w:themeColor="text1" w:themeTint="F2"/>
          <w:sz w:val="16"/>
          <w:szCs w:val="16"/>
        </w:rPr>
        <w:t xml:space="preserve"> </w:t>
      </w:r>
      <w:r>
        <w:rPr>
          <w:color w:val="0D0D0D" w:themeColor="text1" w:themeTint="F2"/>
          <w:sz w:val="16"/>
          <w:szCs w:val="16"/>
        </w:rPr>
        <w:t>(+</w:t>
      </w:r>
      <w:r w:rsidRPr="00622721">
        <w:rPr>
          <w:color w:val="0D0D0D" w:themeColor="text1" w:themeTint="F2"/>
          <w:sz w:val="16"/>
          <w:szCs w:val="16"/>
        </w:rPr>
        <w:t>3,4 %</w:t>
      </w:r>
      <w:r>
        <w:rPr>
          <w:color w:val="0D0D0D" w:themeColor="text1" w:themeTint="F2"/>
          <w:sz w:val="16"/>
          <w:szCs w:val="16"/>
        </w:rPr>
        <w:t xml:space="preserve">, </w:t>
      </w:r>
      <w:r w:rsidRPr="00622721">
        <w:rPr>
          <w:color w:val="0D0D0D" w:themeColor="text1" w:themeTint="F2"/>
          <w:sz w:val="16"/>
          <w:szCs w:val="16"/>
        </w:rPr>
        <w:t xml:space="preserve">na 68,2 PJ). Růst táhly zejména sektor obchodu, služeb, školství a zdravotnictví (+8,1 %) a domácnosti (+5,5 %). Naopak spotřeba v průmyslu </w:t>
      </w:r>
      <w:r>
        <w:rPr>
          <w:color w:val="0D0D0D" w:themeColor="text1" w:themeTint="F2"/>
          <w:sz w:val="16"/>
          <w:szCs w:val="16"/>
        </w:rPr>
        <w:t>stagnovala.</w:t>
      </w:r>
    </w:p>
  </w:footnote>
  <w:footnote w:id="22">
    <w:p w14:paraId="0AB3AAE1" w14:textId="77777777" w:rsidR="00290725" w:rsidRDefault="00290725" w:rsidP="00290725">
      <w:pPr>
        <w:pStyle w:val="Textpoznpodarou"/>
      </w:pPr>
      <w:r w:rsidRPr="004E2B2A">
        <w:rPr>
          <w:rStyle w:val="Znakapoznpodarou"/>
          <w:sz w:val="16"/>
          <w:szCs w:val="16"/>
        </w:rPr>
        <w:footnoteRef/>
      </w:r>
      <w:r w:rsidRPr="004E2B2A">
        <w:rPr>
          <w:sz w:val="16"/>
          <w:szCs w:val="16"/>
        </w:rPr>
        <w:t xml:space="preserve"> </w:t>
      </w:r>
      <w:r w:rsidRPr="004D4FDB">
        <w:rPr>
          <w:color w:val="0D0D0D" w:themeColor="text1" w:themeTint="F2"/>
          <w:sz w:val="16"/>
          <w:szCs w:val="16"/>
        </w:rPr>
        <w:t xml:space="preserve">Dle údajů </w:t>
      </w:r>
      <w:r w:rsidRPr="004D4FDB">
        <w:rPr>
          <w:color w:val="0D0D0D" w:themeColor="text1" w:themeTint="F2"/>
          <w:spacing w:val="-3"/>
          <w:sz w:val="16"/>
          <w:szCs w:val="16"/>
        </w:rPr>
        <w:t>Sdružení</w:t>
      </w:r>
      <w:r w:rsidRPr="004D4FDB">
        <w:rPr>
          <w:color w:val="0D0D0D" w:themeColor="text1" w:themeTint="F2"/>
          <w:sz w:val="16"/>
          <w:szCs w:val="16"/>
        </w:rPr>
        <w:t xml:space="preserve"> automobilového průmyslu </w:t>
      </w:r>
      <w:r>
        <w:rPr>
          <w:color w:val="0D0D0D" w:themeColor="text1" w:themeTint="F2"/>
          <w:sz w:val="16"/>
          <w:szCs w:val="16"/>
        </w:rPr>
        <w:t>se v roce 2025 v tuzemsku vyrobilo 1,45 mil</w:t>
      </w:r>
      <w:r w:rsidRPr="004D4FDB">
        <w:rPr>
          <w:color w:val="0D0D0D" w:themeColor="text1" w:themeTint="F2"/>
          <w:sz w:val="16"/>
          <w:szCs w:val="16"/>
        </w:rPr>
        <w:t>. osobních auto</w:t>
      </w:r>
      <w:r>
        <w:rPr>
          <w:color w:val="0D0D0D" w:themeColor="text1" w:themeTint="F2"/>
          <w:sz w:val="16"/>
          <w:szCs w:val="16"/>
        </w:rPr>
        <w:t xml:space="preserve">mobilů, což bylo ve srovnání s rekordním výsledkem z předloňského roku o 0,5 % méně. Negativně se projevil slabší rozjezd výroby na počátku roku (kvůli horšímu odbytu v zahraničí zavedli někteří výrobci krátkodobá omezení výroby), naopak na jaře se situace postupně zlepšovala a červnová </w:t>
      </w:r>
      <w:r>
        <w:rPr>
          <w:color w:val="0D0D0D" w:themeColor="text1" w:themeTint="F2"/>
          <w:sz w:val="16"/>
          <w:szCs w:val="16"/>
        </w:rPr>
        <w:br/>
        <w:t xml:space="preserve">i zářijová výroba (shodně 136 tis. vozidel) již byla meziročně znatelně vyšší a dvojciferný růst přinesl i prosinec. </w:t>
      </w:r>
      <w:r>
        <w:rPr>
          <w:sz w:val="16"/>
          <w:szCs w:val="16"/>
        </w:rPr>
        <w:t xml:space="preserve">Po poklesu v roce 2024 loni výrazně ožil segment výroby </w:t>
      </w:r>
      <w:r w:rsidRPr="004D4FDB">
        <w:rPr>
          <w:color w:val="0D0D0D" w:themeColor="text1" w:themeTint="F2"/>
          <w:spacing w:val="-3"/>
          <w:sz w:val="16"/>
          <w:szCs w:val="16"/>
        </w:rPr>
        <w:t>e</w:t>
      </w:r>
      <w:r>
        <w:rPr>
          <w:color w:val="0D0D0D" w:themeColor="text1" w:themeTint="F2"/>
          <w:spacing w:val="-3"/>
          <w:sz w:val="16"/>
          <w:szCs w:val="16"/>
        </w:rPr>
        <w:t>lektrických vozidel (vč. vozů s</w:t>
      </w:r>
      <w:r w:rsidRPr="00224C0C">
        <w:rPr>
          <w:sz w:val="16"/>
          <w:szCs w:val="16"/>
        </w:rPr>
        <w:t> </w:t>
      </w:r>
      <w:r>
        <w:rPr>
          <w:color w:val="0D0D0D" w:themeColor="text1" w:themeTint="F2"/>
          <w:spacing w:val="-3"/>
          <w:sz w:val="16"/>
          <w:szCs w:val="16"/>
        </w:rPr>
        <w:t xml:space="preserve">hybridním pohonem), který docílil nárůstu výroby na dvojnásobek a na celkové produkci automobilů se podílel téměř šestinou. Vedle osobních aut zaznamenala loni pokles celkové výroby i většina producentů ostatních druhů motorových vozidel. </w:t>
      </w:r>
    </w:p>
  </w:footnote>
  <w:footnote w:id="23">
    <w:p w14:paraId="29AF244D" w14:textId="77777777" w:rsidR="00290725" w:rsidRPr="00C045CA" w:rsidRDefault="00290725" w:rsidP="00290725">
      <w:pPr>
        <w:pStyle w:val="Textpoznpodarou"/>
        <w:rPr>
          <w:sz w:val="16"/>
          <w:szCs w:val="16"/>
        </w:rPr>
      </w:pPr>
      <w:r w:rsidRPr="00C045CA">
        <w:rPr>
          <w:rStyle w:val="Znakapoznpodarou"/>
          <w:sz w:val="16"/>
          <w:szCs w:val="16"/>
        </w:rPr>
        <w:footnoteRef/>
      </w:r>
      <w:r w:rsidRPr="00C045CA">
        <w:rPr>
          <w:sz w:val="16"/>
          <w:szCs w:val="16"/>
        </w:rPr>
        <w:t xml:space="preserve"> Ten zahrnuje v posledních letech již velmi okrajový segment výroby obuvi.</w:t>
      </w:r>
    </w:p>
  </w:footnote>
  <w:footnote w:id="24">
    <w:p w14:paraId="3F10580B" w14:textId="77777777" w:rsidR="00290725" w:rsidRPr="00A20181" w:rsidRDefault="00290725" w:rsidP="00290725">
      <w:pPr>
        <w:pStyle w:val="Textpoznpodarou"/>
        <w:rPr>
          <w:sz w:val="16"/>
          <w:szCs w:val="16"/>
        </w:rPr>
      </w:pPr>
      <w:r w:rsidRPr="00A20181">
        <w:rPr>
          <w:rStyle w:val="Znakapoznpodarou"/>
          <w:sz w:val="16"/>
          <w:szCs w:val="16"/>
        </w:rPr>
        <w:footnoteRef/>
      </w:r>
      <w:r w:rsidRPr="00A20181">
        <w:rPr>
          <w:sz w:val="16"/>
          <w:szCs w:val="16"/>
        </w:rPr>
        <w:t xml:space="preserve"> </w:t>
      </w:r>
      <w:r w:rsidRPr="00A20181">
        <w:rPr>
          <w:color w:val="000000" w:themeColor="text1"/>
          <w:sz w:val="16"/>
          <w:szCs w:val="16"/>
        </w:rPr>
        <w:t xml:space="preserve">Patrně se zde projevil i dopad relativně chladnějšího a deštivějšího loňského léta. Ve 3. čtvrtletí </w:t>
      </w:r>
      <w:r>
        <w:rPr>
          <w:color w:val="000000" w:themeColor="text1"/>
          <w:sz w:val="16"/>
          <w:szCs w:val="16"/>
        </w:rPr>
        <w:t xml:space="preserve">totiž </w:t>
      </w:r>
      <w:r w:rsidRPr="00A20181">
        <w:rPr>
          <w:color w:val="000000" w:themeColor="text1"/>
          <w:sz w:val="16"/>
          <w:szCs w:val="16"/>
        </w:rPr>
        <w:t xml:space="preserve">produkce nápojů meziročně propadla o </w:t>
      </w:r>
      <w:r>
        <w:rPr>
          <w:color w:val="000000" w:themeColor="text1"/>
          <w:sz w:val="16"/>
          <w:szCs w:val="16"/>
        </w:rPr>
        <w:t>6,5</w:t>
      </w:r>
      <w:r w:rsidRPr="00A20181">
        <w:rPr>
          <w:color w:val="000000" w:themeColor="text1"/>
          <w:sz w:val="16"/>
          <w:szCs w:val="16"/>
        </w:rPr>
        <w:t xml:space="preserve"> %, nejvíce od počátku roku 2021 (kdy byla poptávka zásadně ovlivněna protipandemickými restrikcemi). </w:t>
      </w:r>
    </w:p>
  </w:footnote>
  <w:footnote w:id="25">
    <w:p w14:paraId="710E6F11" w14:textId="77777777" w:rsidR="00290725" w:rsidRDefault="00290725" w:rsidP="00290725">
      <w:pPr>
        <w:pStyle w:val="Textpoznpodarou"/>
        <w:rPr>
          <w:rFonts w:cs="Arial"/>
          <w:color w:val="0D0D0D" w:themeColor="text1" w:themeTint="F2"/>
          <w:spacing w:val="-2"/>
          <w:sz w:val="16"/>
          <w:szCs w:val="16"/>
        </w:rPr>
      </w:pPr>
      <w:r>
        <w:rPr>
          <w:rStyle w:val="Znakapoznpodarou"/>
          <w:rFonts w:cs="Arial"/>
          <w:color w:val="0D0D0D" w:themeColor="text1" w:themeTint="F2"/>
          <w:spacing w:val="-2"/>
          <w:sz w:val="16"/>
          <w:szCs w:val="16"/>
        </w:rPr>
        <w:footnoteRef/>
      </w:r>
      <w:r>
        <w:rPr>
          <w:rFonts w:cs="Arial"/>
          <w:color w:val="0D0D0D" w:themeColor="text1" w:themeTint="F2"/>
          <w:spacing w:val="-2"/>
          <w:sz w:val="16"/>
          <w:szCs w:val="16"/>
        </w:rPr>
        <w:t xml:space="preserve"> Zjišťování zakázek probíhá ve 12 zpracovatelských odvětvích vyrábějících převážně na zakázku, s dlouhodobějším výrobním cyklem a s většími zásobami zakázek. Meziroční tempa zakázek jsou očištěna o kalendářní vlivy, </w:t>
      </w:r>
      <w:proofErr w:type="spellStart"/>
      <w:r>
        <w:rPr>
          <w:rFonts w:cs="Arial"/>
          <w:color w:val="0D0D0D" w:themeColor="text1" w:themeTint="F2"/>
          <w:spacing w:val="-2"/>
          <w:sz w:val="16"/>
          <w:szCs w:val="16"/>
        </w:rPr>
        <w:t>mezikvartální</w:t>
      </w:r>
      <w:proofErr w:type="spellEnd"/>
      <w:r>
        <w:rPr>
          <w:rFonts w:cs="Arial"/>
          <w:color w:val="0D0D0D" w:themeColor="text1" w:themeTint="F2"/>
          <w:spacing w:val="-2"/>
          <w:sz w:val="16"/>
          <w:szCs w:val="16"/>
        </w:rPr>
        <w:t xml:space="preserve"> tempa také o vliv sezónnosti.</w:t>
      </w:r>
    </w:p>
  </w:footnote>
  <w:footnote w:id="26">
    <w:p w14:paraId="51C7CD8B" w14:textId="77777777" w:rsidR="00290725" w:rsidRPr="0010257E" w:rsidRDefault="00290725" w:rsidP="00290725">
      <w:pPr>
        <w:pStyle w:val="Textpoznpodarou"/>
        <w:rPr>
          <w:sz w:val="16"/>
          <w:szCs w:val="16"/>
        </w:rPr>
      </w:pPr>
      <w:r w:rsidRPr="0010257E">
        <w:rPr>
          <w:rStyle w:val="Znakapoznpodarou"/>
          <w:sz w:val="16"/>
          <w:szCs w:val="16"/>
        </w:rPr>
        <w:footnoteRef/>
      </w:r>
      <w:r w:rsidRPr="0010257E">
        <w:rPr>
          <w:sz w:val="16"/>
          <w:szCs w:val="16"/>
        </w:rPr>
        <w:t xml:space="preserve"> </w:t>
      </w:r>
      <w:r w:rsidRPr="0010257E">
        <w:rPr>
          <w:color w:val="0D0D0D" w:themeColor="text1" w:themeTint="F2"/>
          <w:sz w:val="16"/>
          <w:szCs w:val="16"/>
        </w:rPr>
        <w:t xml:space="preserve">Silný růstový impuls se týkal </w:t>
      </w:r>
      <w:r>
        <w:rPr>
          <w:color w:val="0D0D0D" w:themeColor="text1" w:themeTint="F2"/>
          <w:sz w:val="16"/>
          <w:szCs w:val="16"/>
        </w:rPr>
        <w:t xml:space="preserve">hlavně </w:t>
      </w:r>
      <w:r w:rsidRPr="0010257E">
        <w:rPr>
          <w:color w:val="0D0D0D" w:themeColor="text1" w:themeTint="F2"/>
          <w:sz w:val="16"/>
          <w:szCs w:val="16"/>
        </w:rPr>
        <w:t>modernizace veřejné dopravy a armády.</w:t>
      </w:r>
    </w:p>
  </w:footnote>
  <w:footnote w:id="27">
    <w:p w14:paraId="79253CC3" w14:textId="77777777" w:rsidR="00290725" w:rsidRPr="00F753A0" w:rsidRDefault="00290725" w:rsidP="00290725">
      <w:pPr>
        <w:pStyle w:val="Textpoznpodarou"/>
        <w:rPr>
          <w:sz w:val="16"/>
          <w:szCs w:val="16"/>
        </w:rPr>
      </w:pPr>
      <w:r w:rsidRPr="00F753A0">
        <w:rPr>
          <w:rStyle w:val="Znakapoznpodarou"/>
          <w:sz w:val="16"/>
          <w:szCs w:val="16"/>
        </w:rPr>
        <w:footnoteRef/>
      </w:r>
      <w:r w:rsidRPr="00F753A0">
        <w:rPr>
          <w:sz w:val="16"/>
          <w:szCs w:val="16"/>
        </w:rPr>
        <w:t xml:space="preserve"> Srovnatelně vysoký celoroční růst registrovaly v tomto oboru naposledy v letech 2007 a 2009.</w:t>
      </w:r>
    </w:p>
  </w:footnote>
  <w:footnote w:id="28">
    <w:p w14:paraId="2498FAEE" w14:textId="77777777" w:rsidR="00290725" w:rsidRPr="000F0EF4" w:rsidRDefault="00290725" w:rsidP="00290725">
      <w:pPr>
        <w:pStyle w:val="Textpoznpodarou"/>
        <w:rPr>
          <w:sz w:val="16"/>
          <w:szCs w:val="16"/>
        </w:rPr>
      </w:pPr>
      <w:r w:rsidRPr="000F0EF4">
        <w:rPr>
          <w:rStyle w:val="Znakapoznpodarou"/>
          <w:sz w:val="16"/>
          <w:szCs w:val="16"/>
        </w:rPr>
        <w:footnoteRef/>
      </w:r>
      <w:r w:rsidRPr="000F0EF4">
        <w:rPr>
          <w:sz w:val="16"/>
          <w:szCs w:val="16"/>
        </w:rPr>
        <w:t xml:space="preserve"> Tento počet (v průmyslových podnicích s 50 a více pracovníky) se za celý loňský rok snížil o 1,8 %, z toho v prosinci se meziroční pokles zmírnil na 1,2 %. </w:t>
      </w:r>
    </w:p>
  </w:footnote>
  <w:footnote w:id="29">
    <w:p w14:paraId="1BDF3A21" w14:textId="77777777" w:rsidR="00290725" w:rsidRPr="00AE5078" w:rsidRDefault="00290725" w:rsidP="00290725">
      <w:pPr>
        <w:pStyle w:val="Textpoznpodarou"/>
        <w:rPr>
          <w:spacing w:val="-2"/>
          <w:sz w:val="16"/>
          <w:szCs w:val="16"/>
        </w:rPr>
      </w:pPr>
      <w:r w:rsidRPr="00AE5078">
        <w:rPr>
          <w:rStyle w:val="Znakapoznpodarou"/>
          <w:spacing w:val="-2"/>
          <w:sz w:val="16"/>
          <w:szCs w:val="16"/>
        </w:rPr>
        <w:footnoteRef/>
      </w:r>
      <w:r w:rsidRPr="00AE5078">
        <w:rPr>
          <w:spacing w:val="-2"/>
          <w:sz w:val="16"/>
          <w:szCs w:val="16"/>
        </w:rPr>
        <w:t xml:space="preserve"> Dle šetření z února 2026 předpokládalo v půlročním horizontu zlepšení vlastní ekonomické situace 14 % podniků, zhoršení pouhá 3 %.</w:t>
      </w:r>
    </w:p>
  </w:footnote>
  <w:footnote w:id="30">
    <w:p w14:paraId="5DC5CA45" w14:textId="77777777" w:rsidR="00290725" w:rsidRPr="005A2F0C" w:rsidRDefault="00290725" w:rsidP="00290725">
      <w:pPr>
        <w:pStyle w:val="Textpoznpodarou"/>
        <w:rPr>
          <w:sz w:val="16"/>
          <w:szCs w:val="16"/>
        </w:rPr>
      </w:pPr>
      <w:r w:rsidRPr="005A2F0C">
        <w:rPr>
          <w:rStyle w:val="Znakapoznpodarou"/>
          <w:sz w:val="16"/>
          <w:szCs w:val="16"/>
        </w:rPr>
        <w:footnoteRef/>
      </w:r>
      <w:r w:rsidRPr="005A2F0C">
        <w:rPr>
          <w:sz w:val="16"/>
          <w:szCs w:val="16"/>
        </w:rPr>
        <w:t xml:space="preserve"> Podniky mohly uvést více bariér současně.</w:t>
      </w:r>
    </w:p>
  </w:footnote>
  <w:footnote w:id="31">
    <w:p w14:paraId="07EDA172" w14:textId="77777777" w:rsidR="00290725" w:rsidRPr="00830C93" w:rsidRDefault="00290725" w:rsidP="00290725">
      <w:pPr>
        <w:pStyle w:val="Textpoznpodarou"/>
        <w:rPr>
          <w:sz w:val="16"/>
          <w:szCs w:val="16"/>
        </w:rPr>
      </w:pPr>
      <w:r w:rsidRPr="00830C93">
        <w:rPr>
          <w:rStyle w:val="Znakapoznpodarou"/>
          <w:sz w:val="16"/>
          <w:szCs w:val="16"/>
        </w:rPr>
        <w:footnoteRef/>
      </w:r>
      <w:r w:rsidRPr="00830C93">
        <w:rPr>
          <w:sz w:val="16"/>
          <w:szCs w:val="16"/>
        </w:rPr>
        <w:t xml:space="preserve"> Z jednotlivých zpracovatelských oborů vykázaly aktuálně vyšší využití kapacit (nad 88 %) také kožedělný, petrochemický, farmaceutický průmysl, </w:t>
      </w:r>
      <w:proofErr w:type="spellStart"/>
      <w:r w:rsidRPr="00830C93">
        <w:rPr>
          <w:sz w:val="16"/>
          <w:szCs w:val="16"/>
        </w:rPr>
        <w:t>plastikářství</w:t>
      </w:r>
      <w:proofErr w:type="spellEnd"/>
      <w:r w:rsidRPr="00830C93">
        <w:rPr>
          <w:sz w:val="16"/>
          <w:szCs w:val="16"/>
        </w:rPr>
        <w:t xml:space="preserve"> a gumárenství, opravy strojů a zařízení a také výroba ostatních dopravních prostředků. Naopak slabší využití (mezi 60 a 70 %) </w:t>
      </w:r>
      <w:r>
        <w:rPr>
          <w:sz w:val="16"/>
          <w:szCs w:val="16"/>
        </w:rPr>
        <w:t>zaznamenaly elektronický, nápojový a strojírenský průmysl.</w:t>
      </w:r>
    </w:p>
  </w:footnote>
  <w:footnote w:id="32">
    <w:p w14:paraId="425746DD" w14:textId="77777777" w:rsidR="00290725" w:rsidRPr="00995E90" w:rsidRDefault="00290725" w:rsidP="00290725">
      <w:pPr>
        <w:pStyle w:val="Textpoznpodarou"/>
        <w:rPr>
          <w:spacing w:val="-2"/>
          <w:sz w:val="16"/>
          <w:szCs w:val="16"/>
        </w:rPr>
      </w:pPr>
      <w:r w:rsidRPr="00995E90">
        <w:rPr>
          <w:rStyle w:val="Znakapoznpodarou"/>
          <w:color w:val="0D0D0D" w:themeColor="text1" w:themeTint="F2"/>
          <w:spacing w:val="-2"/>
          <w:sz w:val="16"/>
          <w:szCs w:val="16"/>
        </w:rPr>
        <w:footnoteRef/>
      </w:r>
      <w:r w:rsidRPr="00995E90">
        <w:rPr>
          <w:color w:val="0D0D0D" w:themeColor="text1" w:themeTint="F2"/>
          <w:spacing w:val="-2"/>
          <w:sz w:val="16"/>
          <w:szCs w:val="16"/>
        </w:rPr>
        <w:t xml:space="preserve"> To mohlo zčásti souviset s daňovou optimalizací některých nadnárodních firem, neboť zaměstnanost v Irsku loni meziročně stoupla jen </w:t>
      </w:r>
      <w:r>
        <w:rPr>
          <w:color w:val="0D0D0D" w:themeColor="text1" w:themeTint="F2"/>
          <w:spacing w:val="-2"/>
          <w:sz w:val="16"/>
          <w:szCs w:val="16"/>
        </w:rPr>
        <w:br/>
      </w:r>
      <w:r w:rsidRPr="00995E90">
        <w:rPr>
          <w:color w:val="0D0D0D" w:themeColor="text1" w:themeTint="F2"/>
          <w:spacing w:val="-2"/>
          <w:sz w:val="16"/>
          <w:szCs w:val="16"/>
        </w:rPr>
        <w:t xml:space="preserve">o </w:t>
      </w:r>
      <w:r>
        <w:rPr>
          <w:color w:val="0D0D0D" w:themeColor="text1" w:themeTint="F2"/>
          <w:spacing w:val="-2"/>
          <w:sz w:val="16"/>
          <w:szCs w:val="16"/>
        </w:rPr>
        <w:t>3,1</w:t>
      </w:r>
      <w:r w:rsidRPr="00995E90">
        <w:rPr>
          <w:color w:val="0D0D0D" w:themeColor="text1" w:themeTint="F2"/>
          <w:spacing w:val="-2"/>
          <w:sz w:val="16"/>
          <w:szCs w:val="16"/>
        </w:rPr>
        <w:t xml:space="preserve"> % a v rámci států EU významně nevybočovala (v celé Unii došlo k poklesu o 0,</w:t>
      </w:r>
      <w:r>
        <w:rPr>
          <w:color w:val="0D0D0D" w:themeColor="text1" w:themeTint="F2"/>
          <w:spacing w:val="-2"/>
          <w:sz w:val="16"/>
          <w:szCs w:val="16"/>
        </w:rPr>
        <w:t>5</w:t>
      </w:r>
      <w:r w:rsidRPr="00995E90">
        <w:rPr>
          <w:color w:val="0D0D0D" w:themeColor="text1" w:themeTint="F2"/>
          <w:spacing w:val="-2"/>
          <w:sz w:val="16"/>
          <w:szCs w:val="16"/>
        </w:rPr>
        <w:t xml:space="preserve"> %, </w:t>
      </w:r>
      <w:r>
        <w:rPr>
          <w:color w:val="0D0D0D" w:themeColor="text1" w:themeTint="F2"/>
          <w:spacing w:val="-2"/>
          <w:sz w:val="16"/>
          <w:szCs w:val="16"/>
        </w:rPr>
        <w:t>zaměstnanců přibylo nejvíce</w:t>
      </w:r>
      <w:r w:rsidRPr="00995E90">
        <w:rPr>
          <w:color w:val="0D0D0D" w:themeColor="text1" w:themeTint="F2"/>
          <w:spacing w:val="-2"/>
          <w:sz w:val="16"/>
          <w:szCs w:val="16"/>
        </w:rPr>
        <w:t xml:space="preserve"> ve Španělsku </w:t>
      </w:r>
      <w:r>
        <w:rPr>
          <w:color w:val="0D0D0D" w:themeColor="text1" w:themeTint="F2"/>
          <w:spacing w:val="-2"/>
          <w:sz w:val="16"/>
          <w:szCs w:val="16"/>
        </w:rPr>
        <w:br/>
      </w:r>
      <w:r w:rsidRPr="00995E90">
        <w:rPr>
          <w:color w:val="0D0D0D" w:themeColor="text1" w:themeTint="F2"/>
          <w:spacing w:val="-2"/>
          <w:sz w:val="16"/>
          <w:szCs w:val="16"/>
        </w:rPr>
        <w:t>(+</w:t>
      </w:r>
      <w:r>
        <w:rPr>
          <w:color w:val="0D0D0D" w:themeColor="text1" w:themeTint="F2"/>
          <w:spacing w:val="-2"/>
          <w:sz w:val="16"/>
          <w:szCs w:val="16"/>
        </w:rPr>
        <w:t>3,8</w:t>
      </w:r>
      <w:r w:rsidRPr="00995E90">
        <w:rPr>
          <w:color w:val="0D0D0D" w:themeColor="text1" w:themeTint="F2"/>
          <w:spacing w:val="-2"/>
          <w:sz w:val="16"/>
          <w:szCs w:val="16"/>
        </w:rPr>
        <w:t xml:space="preserve"> %).</w:t>
      </w:r>
    </w:p>
  </w:footnote>
  <w:footnote w:id="33">
    <w:p w14:paraId="29466BD2" w14:textId="77777777" w:rsidR="00290725" w:rsidRPr="00BA7970" w:rsidRDefault="00290725" w:rsidP="00290725">
      <w:pPr>
        <w:pStyle w:val="Textpoznpodarou"/>
        <w:rPr>
          <w:sz w:val="16"/>
          <w:szCs w:val="16"/>
        </w:rPr>
      </w:pPr>
      <w:r w:rsidRPr="00995E90">
        <w:rPr>
          <w:rStyle w:val="Znakapoznpodarou"/>
          <w:spacing w:val="-2"/>
          <w:sz w:val="16"/>
          <w:szCs w:val="16"/>
        </w:rPr>
        <w:footnoteRef/>
      </w:r>
      <w:r w:rsidRPr="00995E90">
        <w:rPr>
          <w:spacing w:val="-2"/>
          <w:sz w:val="16"/>
          <w:szCs w:val="16"/>
        </w:rPr>
        <w:t xml:space="preserve"> V samotném 4. čtvrtletí 2025 se ovšem výkon německého průmyslu mírně zvýšil </w:t>
      </w:r>
      <w:r>
        <w:rPr>
          <w:spacing w:val="-2"/>
          <w:sz w:val="16"/>
          <w:szCs w:val="16"/>
        </w:rPr>
        <w:t>(+</w:t>
      </w:r>
      <w:r w:rsidRPr="00995E90">
        <w:rPr>
          <w:spacing w:val="-2"/>
          <w:sz w:val="16"/>
          <w:szCs w:val="16"/>
        </w:rPr>
        <w:t>0,</w:t>
      </w:r>
      <w:r>
        <w:rPr>
          <w:spacing w:val="-2"/>
          <w:sz w:val="16"/>
          <w:szCs w:val="16"/>
        </w:rPr>
        <w:t>9</w:t>
      </w:r>
      <w:r w:rsidRPr="00995E90">
        <w:rPr>
          <w:spacing w:val="-2"/>
          <w:sz w:val="16"/>
          <w:szCs w:val="16"/>
        </w:rPr>
        <w:t xml:space="preserve"> %, k lehkému oživení došlo i ve výrobě motorových vozidel</w:t>
      </w:r>
      <w:r>
        <w:rPr>
          <w:spacing w:val="-2"/>
          <w:sz w:val="16"/>
          <w:szCs w:val="16"/>
        </w:rPr>
        <w:t>, pokles celkového počtu zaměstnanců v průmyslu se však dále mírně prohluboval)</w:t>
      </w:r>
      <w:r w:rsidRPr="00995E90">
        <w:rPr>
          <w:spacing w:val="-2"/>
          <w:sz w:val="16"/>
          <w:szCs w:val="16"/>
        </w:rPr>
        <w:t>. To souviselo s celkovým oživením průmyslu v EU (+2,</w:t>
      </w:r>
      <w:r>
        <w:rPr>
          <w:spacing w:val="-2"/>
          <w:sz w:val="16"/>
          <w:szCs w:val="16"/>
        </w:rPr>
        <w:t>1</w:t>
      </w:r>
      <w:r w:rsidRPr="00995E90">
        <w:rPr>
          <w:spacing w:val="-2"/>
          <w:sz w:val="16"/>
          <w:szCs w:val="16"/>
        </w:rPr>
        <w:t> %), v Česku došlo k vyšší akceleraci (+</w:t>
      </w:r>
      <w:r>
        <w:rPr>
          <w:spacing w:val="-2"/>
          <w:sz w:val="16"/>
          <w:szCs w:val="16"/>
        </w:rPr>
        <w:t>4,2</w:t>
      </w:r>
      <w:r w:rsidRPr="00995E90">
        <w:rPr>
          <w:spacing w:val="-2"/>
          <w:sz w:val="16"/>
          <w:szCs w:val="16"/>
        </w:rPr>
        <w:t xml:space="preserve"> %) vlivem svižného růstu poptávky po meziproduktech a v</w:t>
      </w:r>
      <w:r>
        <w:rPr>
          <w:spacing w:val="-2"/>
          <w:sz w:val="16"/>
          <w:szCs w:val="16"/>
        </w:rPr>
        <w:t> </w:t>
      </w:r>
      <w:r w:rsidRPr="00995E90">
        <w:rPr>
          <w:spacing w:val="-2"/>
          <w:sz w:val="16"/>
          <w:szCs w:val="16"/>
        </w:rPr>
        <w:t>oblasti</w:t>
      </w:r>
      <w:r>
        <w:rPr>
          <w:spacing w:val="-2"/>
          <w:sz w:val="16"/>
          <w:szCs w:val="16"/>
        </w:rPr>
        <w:t xml:space="preserve"> investic</w:t>
      </w:r>
      <w:r w:rsidRPr="00995E90">
        <w:rPr>
          <w:spacing w:val="-2"/>
          <w:sz w:val="16"/>
          <w:szCs w:val="16"/>
        </w:rPr>
        <w:t>, vč. modernizace armády.</w:t>
      </w:r>
    </w:p>
  </w:footnote>
  <w:footnote w:id="34">
    <w:p w14:paraId="0DA32179" w14:textId="77777777" w:rsidR="00290725" w:rsidRPr="005847F5" w:rsidRDefault="00290725" w:rsidP="00290725">
      <w:pPr>
        <w:pStyle w:val="Textpoznpodarou"/>
        <w:rPr>
          <w:spacing w:val="-2"/>
          <w:sz w:val="16"/>
          <w:szCs w:val="16"/>
        </w:rPr>
      </w:pPr>
      <w:r w:rsidRPr="005847F5">
        <w:rPr>
          <w:rStyle w:val="Znakapoznpodarou"/>
          <w:rFonts w:cs="Arial"/>
          <w:color w:val="0D0D0D" w:themeColor="text1" w:themeTint="F2"/>
          <w:spacing w:val="-2"/>
          <w:sz w:val="16"/>
          <w:szCs w:val="16"/>
        </w:rPr>
        <w:footnoteRef/>
      </w:r>
      <w:r w:rsidRPr="005847F5">
        <w:rPr>
          <w:rFonts w:cs="Arial"/>
          <w:color w:val="0D0D0D" w:themeColor="text1" w:themeTint="F2"/>
          <w:spacing w:val="-2"/>
          <w:sz w:val="16"/>
          <w:szCs w:val="16"/>
        </w:rPr>
        <w:t xml:space="preserve"> Údaje o stavební produkci jsou ve stálých cenách, meziroční tempa jsou očištěna o kalendářní vlivy, mezičtvrtletní též o vliv sezónnosti.</w:t>
      </w:r>
    </w:p>
  </w:footnote>
  <w:footnote w:id="35">
    <w:p w14:paraId="4647CBB0" w14:textId="77777777" w:rsidR="00290725" w:rsidRPr="005A5AB9" w:rsidRDefault="00290725" w:rsidP="00290725">
      <w:pPr>
        <w:pStyle w:val="Textpoznpodarou"/>
        <w:rPr>
          <w:sz w:val="16"/>
          <w:szCs w:val="16"/>
        </w:rPr>
      </w:pPr>
      <w:r w:rsidRPr="005847F5">
        <w:rPr>
          <w:rStyle w:val="Znakapoznpodarou"/>
          <w:spacing w:val="-2"/>
          <w:sz w:val="16"/>
          <w:szCs w:val="16"/>
        </w:rPr>
        <w:footnoteRef/>
      </w:r>
      <w:r w:rsidRPr="005847F5">
        <w:rPr>
          <w:spacing w:val="-2"/>
          <w:sz w:val="16"/>
          <w:szCs w:val="16"/>
        </w:rPr>
        <w:t xml:space="preserve"> </w:t>
      </w:r>
      <w:r>
        <w:rPr>
          <w:spacing w:val="-2"/>
          <w:sz w:val="16"/>
          <w:szCs w:val="16"/>
        </w:rPr>
        <w:t xml:space="preserve">Již v roce 2024 </w:t>
      </w:r>
      <w:r>
        <w:rPr>
          <w:color w:val="0D0D0D" w:themeColor="text1" w:themeTint="F2"/>
          <w:spacing w:val="-2"/>
          <w:sz w:val="16"/>
          <w:szCs w:val="16"/>
        </w:rPr>
        <w:t>d</w:t>
      </w:r>
      <w:r w:rsidRPr="005847F5">
        <w:rPr>
          <w:color w:val="0D0D0D" w:themeColor="text1" w:themeTint="F2"/>
          <w:spacing w:val="-2"/>
          <w:sz w:val="16"/>
          <w:szCs w:val="16"/>
        </w:rPr>
        <w:t>ošlo k dílčímu zmírnění nákladových tlaků (vlivem příznivějšího vývoje cen některých energií a také většiny stavebních materiálů), současně ale výrazně posiloval růst cen nemovitostí (vlivem zvýšené poptávky ze strany domácností, k níž docház</w:t>
      </w:r>
      <w:r>
        <w:rPr>
          <w:color w:val="0D0D0D" w:themeColor="text1" w:themeTint="F2"/>
          <w:spacing w:val="-2"/>
          <w:sz w:val="16"/>
          <w:szCs w:val="16"/>
        </w:rPr>
        <w:t>elo</w:t>
      </w:r>
      <w:r w:rsidRPr="005847F5">
        <w:rPr>
          <w:color w:val="0D0D0D" w:themeColor="text1" w:themeTint="F2"/>
          <w:spacing w:val="-2"/>
          <w:sz w:val="16"/>
          <w:szCs w:val="16"/>
        </w:rPr>
        <w:t xml:space="preserve"> i při relativně vysokých a neměnných hypotečních sazbách), což částečně limitovalo zřetelnější a plošnější růst poptávky po rezidenčních nemovitostech.</w:t>
      </w:r>
      <w:r>
        <w:rPr>
          <w:color w:val="0D0D0D" w:themeColor="text1" w:themeTint="F2"/>
          <w:sz w:val="16"/>
          <w:szCs w:val="16"/>
        </w:rPr>
        <w:t xml:space="preserve">  </w:t>
      </w:r>
    </w:p>
  </w:footnote>
  <w:footnote w:id="36">
    <w:p w14:paraId="4B5E09A3" w14:textId="77777777" w:rsidR="00290725" w:rsidRPr="00B82E88" w:rsidRDefault="00290725" w:rsidP="00290725">
      <w:pPr>
        <w:pStyle w:val="Textpoznpodarou"/>
        <w:rPr>
          <w:sz w:val="16"/>
          <w:szCs w:val="16"/>
        </w:rPr>
      </w:pPr>
      <w:r w:rsidRPr="00B82E88">
        <w:rPr>
          <w:rStyle w:val="Znakapoznpodarou"/>
          <w:sz w:val="16"/>
          <w:szCs w:val="16"/>
        </w:rPr>
        <w:footnoteRef/>
      </w:r>
      <w:r w:rsidRPr="00B82E88">
        <w:rPr>
          <w:sz w:val="16"/>
          <w:szCs w:val="16"/>
        </w:rPr>
        <w:t xml:space="preserve"> Loňský počet dokončených bytů v rodinných domech (13,</w:t>
      </w:r>
      <w:r>
        <w:rPr>
          <w:sz w:val="16"/>
          <w:szCs w:val="16"/>
        </w:rPr>
        <w:t>9</w:t>
      </w:r>
      <w:r w:rsidRPr="00B82E88">
        <w:rPr>
          <w:sz w:val="16"/>
          <w:szCs w:val="16"/>
        </w:rPr>
        <w:t xml:space="preserve"> tis.) byl nejnižší za posledních devatenáct let.</w:t>
      </w:r>
    </w:p>
  </w:footnote>
  <w:footnote w:id="37">
    <w:p w14:paraId="71A47EDD" w14:textId="77777777" w:rsidR="00290725" w:rsidRPr="000A60E7" w:rsidRDefault="00290725" w:rsidP="00290725">
      <w:pPr>
        <w:pStyle w:val="Textpoznpodarou"/>
        <w:rPr>
          <w:sz w:val="16"/>
          <w:szCs w:val="16"/>
        </w:rPr>
      </w:pPr>
      <w:r w:rsidRPr="000A60E7">
        <w:rPr>
          <w:rStyle w:val="Znakapoznpodarou"/>
          <w:sz w:val="16"/>
          <w:szCs w:val="16"/>
        </w:rPr>
        <w:footnoteRef/>
      </w:r>
      <w:r w:rsidRPr="000A60E7">
        <w:rPr>
          <w:sz w:val="16"/>
          <w:szCs w:val="16"/>
        </w:rPr>
        <w:t xml:space="preserve"> Zakázky jsou uvedeny </w:t>
      </w:r>
      <w:r w:rsidRPr="000A60E7">
        <w:rPr>
          <w:rStyle w:val="normaltextrun"/>
          <w:rFonts w:eastAsiaTheme="majorEastAsia"/>
          <w:color w:val="0D0D0D" w:themeColor="text1" w:themeTint="F2"/>
          <w:sz w:val="16"/>
          <w:szCs w:val="16"/>
        </w:rPr>
        <w:t>v běžných cenách a pokrývají pouze podniky nad 50 zaměstnanců.</w:t>
      </w:r>
    </w:p>
  </w:footnote>
  <w:footnote w:id="38">
    <w:p w14:paraId="4EA3DD85" w14:textId="77777777" w:rsidR="00290725" w:rsidRPr="00B94DA4" w:rsidRDefault="00290725" w:rsidP="00290725">
      <w:pPr>
        <w:pStyle w:val="Textpoznpodarou"/>
        <w:rPr>
          <w:sz w:val="16"/>
          <w:szCs w:val="16"/>
        </w:rPr>
      </w:pPr>
      <w:r w:rsidRPr="00B94DA4">
        <w:rPr>
          <w:rStyle w:val="Znakapoznpodarou"/>
          <w:sz w:val="16"/>
          <w:szCs w:val="16"/>
        </w:rPr>
        <w:footnoteRef/>
      </w:r>
      <w:r w:rsidRPr="00B94DA4">
        <w:rPr>
          <w:sz w:val="16"/>
          <w:szCs w:val="16"/>
        </w:rPr>
        <w:t xml:space="preserve"> Na tento pokles neměl významnější vliv ani fakt, že počet velkých povolených staveb (s rozpočtem nad 1 mld. korun) se meziročně mírně zvýšil (ze 44 v roce 2024 na 51 loni). </w:t>
      </w:r>
    </w:p>
  </w:footnote>
  <w:footnote w:id="39">
    <w:p w14:paraId="7F760D41" w14:textId="77777777" w:rsidR="00290725" w:rsidRPr="00B74018" w:rsidRDefault="00290725" w:rsidP="00290725">
      <w:pPr>
        <w:pStyle w:val="Textpoznpodarou"/>
        <w:rPr>
          <w:sz w:val="16"/>
          <w:szCs w:val="16"/>
        </w:rPr>
      </w:pPr>
      <w:r w:rsidRPr="00B74018">
        <w:rPr>
          <w:rStyle w:val="Znakapoznpodarou"/>
          <w:sz w:val="16"/>
          <w:szCs w:val="16"/>
        </w:rPr>
        <w:footnoteRef/>
      </w:r>
      <w:r w:rsidRPr="00B74018">
        <w:rPr>
          <w:sz w:val="16"/>
          <w:szCs w:val="16"/>
        </w:rPr>
        <w:t xml:space="preserve"> Evidenční počet zaměstnanců (ve stavebních podnicích nad 50 pracovníků) se l</w:t>
      </w:r>
      <w:r>
        <w:rPr>
          <w:sz w:val="16"/>
          <w:szCs w:val="16"/>
        </w:rPr>
        <w:t>oni</w:t>
      </w:r>
      <w:r w:rsidRPr="00B74018">
        <w:rPr>
          <w:sz w:val="16"/>
          <w:szCs w:val="16"/>
        </w:rPr>
        <w:t xml:space="preserve"> v </w:t>
      </w:r>
      <w:r>
        <w:rPr>
          <w:sz w:val="16"/>
          <w:szCs w:val="16"/>
        </w:rPr>
        <w:t>prosinci</w:t>
      </w:r>
      <w:r w:rsidRPr="00B74018">
        <w:rPr>
          <w:sz w:val="16"/>
          <w:szCs w:val="16"/>
        </w:rPr>
        <w:t xml:space="preserve"> meziročně zvýšil</w:t>
      </w:r>
      <w:r>
        <w:rPr>
          <w:sz w:val="16"/>
          <w:szCs w:val="16"/>
        </w:rPr>
        <w:t xml:space="preserve"> již o 2,7 </w:t>
      </w:r>
      <w:r w:rsidRPr="00B74018">
        <w:rPr>
          <w:sz w:val="16"/>
          <w:szCs w:val="16"/>
        </w:rPr>
        <w:t>%</w:t>
      </w:r>
      <w:r>
        <w:rPr>
          <w:sz w:val="16"/>
          <w:szCs w:val="16"/>
        </w:rPr>
        <w:t xml:space="preserve"> a za celý rok o 1,1 %</w:t>
      </w:r>
      <w:r w:rsidRPr="00B74018">
        <w:rPr>
          <w:sz w:val="16"/>
          <w:szCs w:val="16"/>
        </w:rPr>
        <w:t xml:space="preserve">. Jde o významný posun, neboť v úhrnu za rok </w:t>
      </w:r>
      <w:r>
        <w:rPr>
          <w:sz w:val="16"/>
          <w:szCs w:val="16"/>
        </w:rPr>
        <w:t xml:space="preserve">2024 </w:t>
      </w:r>
      <w:r w:rsidRPr="00B74018">
        <w:rPr>
          <w:sz w:val="16"/>
          <w:szCs w:val="16"/>
        </w:rPr>
        <w:t xml:space="preserve">se </w:t>
      </w:r>
      <w:r>
        <w:rPr>
          <w:sz w:val="16"/>
          <w:szCs w:val="16"/>
        </w:rPr>
        <w:t xml:space="preserve">stavy zaměstnanců </w:t>
      </w:r>
      <w:r w:rsidRPr="00B74018">
        <w:rPr>
          <w:sz w:val="16"/>
          <w:szCs w:val="16"/>
        </w:rPr>
        <w:t>snížily o 1,6 %.</w:t>
      </w:r>
    </w:p>
  </w:footnote>
  <w:footnote w:id="40">
    <w:p w14:paraId="6EE783ED" w14:textId="77777777" w:rsidR="00290725" w:rsidRPr="002C5568" w:rsidRDefault="00290725" w:rsidP="00290725">
      <w:pPr>
        <w:pStyle w:val="Textpoznpodarou"/>
        <w:rPr>
          <w:spacing w:val="-4"/>
          <w:sz w:val="16"/>
          <w:szCs w:val="16"/>
        </w:rPr>
      </w:pPr>
      <w:r w:rsidRPr="002C5568">
        <w:rPr>
          <w:rStyle w:val="Znakapoznpodarou"/>
          <w:spacing w:val="-4"/>
          <w:sz w:val="16"/>
          <w:szCs w:val="16"/>
        </w:rPr>
        <w:footnoteRef/>
      </w:r>
      <w:r w:rsidRPr="002C5568">
        <w:rPr>
          <w:spacing w:val="-4"/>
          <w:sz w:val="16"/>
          <w:szCs w:val="16"/>
        </w:rPr>
        <w:t xml:space="preserve"> Pouze pětina </w:t>
      </w:r>
      <w:r>
        <w:rPr>
          <w:spacing w:val="-4"/>
          <w:sz w:val="16"/>
          <w:szCs w:val="16"/>
        </w:rPr>
        <w:t xml:space="preserve">stavebních </w:t>
      </w:r>
      <w:r w:rsidRPr="002C5568">
        <w:rPr>
          <w:spacing w:val="-4"/>
          <w:sz w:val="16"/>
          <w:szCs w:val="16"/>
        </w:rPr>
        <w:t xml:space="preserve">firem </w:t>
      </w:r>
      <w:r>
        <w:rPr>
          <w:spacing w:val="-4"/>
          <w:sz w:val="16"/>
          <w:szCs w:val="16"/>
        </w:rPr>
        <w:t xml:space="preserve">letos v únoru </w:t>
      </w:r>
      <w:r w:rsidRPr="002C5568">
        <w:rPr>
          <w:spacing w:val="-4"/>
          <w:sz w:val="16"/>
          <w:szCs w:val="16"/>
        </w:rPr>
        <w:t>žádnou z možných růstových bariér neuvedla. Tento podíl, který je o polovinu nižší než v EU či eurozóně, zůstává v Česku v posledních osmi letech v zásadě neměnný.</w:t>
      </w:r>
    </w:p>
  </w:footnote>
  <w:footnote w:id="41">
    <w:p w14:paraId="42BD0B1E" w14:textId="77777777" w:rsidR="00290725" w:rsidRPr="002C5568" w:rsidRDefault="00290725" w:rsidP="00290725">
      <w:pPr>
        <w:pStyle w:val="Textpoznpodarou"/>
        <w:rPr>
          <w:spacing w:val="-4"/>
          <w:sz w:val="16"/>
          <w:szCs w:val="16"/>
        </w:rPr>
      </w:pPr>
      <w:r w:rsidRPr="002C5568">
        <w:rPr>
          <w:rStyle w:val="Znakapoznpodarou"/>
          <w:spacing w:val="-4"/>
          <w:sz w:val="16"/>
          <w:szCs w:val="16"/>
        </w:rPr>
        <w:footnoteRef/>
      </w:r>
      <w:r w:rsidRPr="002C5568">
        <w:rPr>
          <w:spacing w:val="-4"/>
          <w:sz w:val="16"/>
          <w:szCs w:val="16"/>
        </w:rPr>
        <w:t xml:space="preserve"> </w:t>
      </w:r>
      <w:r w:rsidRPr="00FF74BC">
        <w:rPr>
          <w:rStyle w:val="normaltextrun"/>
          <w:rFonts w:eastAsiaTheme="majorEastAsia" w:cs="Arial"/>
          <w:spacing w:val="-2"/>
          <w:sz w:val="16"/>
          <w:szCs w:val="16"/>
        </w:rPr>
        <w:t>Stejně jako u nedostatku pracovníků sužovala nedostatečná poptávka nejvíce podniky v segmentu výstavby budov</w:t>
      </w:r>
      <w:r>
        <w:rPr>
          <w:rStyle w:val="normaltextrun"/>
          <w:rFonts w:eastAsiaTheme="majorEastAsia" w:cs="Arial"/>
          <w:spacing w:val="-2"/>
          <w:sz w:val="16"/>
          <w:szCs w:val="16"/>
        </w:rPr>
        <w:t xml:space="preserve"> (a nejméně naopak v inženýrském stavitelství). Nedostatek pracovníků představuje klíčovou růstovou bariéru ve všech třech hlavních segmentech stavebnictví.</w:t>
      </w:r>
    </w:p>
  </w:footnote>
  <w:footnote w:id="42">
    <w:p w14:paraId="696046A7" w14:textId="77777777" w:rsidR="00290725" w:rsidRPr="002C5568" w:rsidRDefault="00290725" w:rsidP="00290725">
      <w:pPr>
        <w:pStyle w:val="Textpoznpodarou"/>
        <w:rPr>
          <w:spacing w:val="-4"/>
          <w:sz w:val="16"/>
          <w:szCs w:val="16"/>
        </w:rPr>
      </w:pPr>
      <w:r w:rsidRPr="002C5568">
        <w:rPr>
          <w:rStyle w:val="Znakapoznpodarou"/>
          <w:spacing w:val="-4"/>
          <w:sz w:val="16"/>
          <w:szCs w:val="16"/>
        </w:rPr>
        <w:footnoteRef/>
      </w:r>
      <w:r w:rsidRPr="002C5568">
        <w:rPr>
          <w:spacing w:val="-4"/>
          <w:sz w:val="16"/>
          <w:szCs w:val="16"/>
        </w:rPr>
        <w:t xml:space="preserve"> V</w:t>
      </w:r>
      <w:r>
        <w:rPr>
          <w:spacing w:val="-4"/>
          <w:sz w:val="16"/>
          <w:szCs w:val="16"/>
        </w:rPr>
        <w:t xml:space="preserve"> únoru 2026 </w:t>
      </w:r>
      <w:r w:rsidRPr="002C5568">
        <w:rPr>
          <w:spacing w:val="-4"/>
          <w:sz w:val="16"/>
          <w:szCs w:val="16"/>
        </w:rPr>
        <w:t>předpokládal</w:t>
      </w:r>
      <w:r>
        <w:rPr>
          <w:spacing w:val="-4"/>
          <w:sz w:val="16"/>
          <w:szCs w:val="16"/>
        </w:rPr>
        <w:t>a</w:t>
      </w:r>
      <w:r w:rsidRPr="002C5568">
        <w:rPr>
          <w:spacing w:val="-4"/>
          <w:sz w:val="16"/>
          <w:szCs w:val="16"/>
        </w:rPr>
        <w:t xml:space="preserve"> (v tříměsíčním výhledu) zvyšování cen vlastní produkce </w:t>
      </w:r>
      <w:r>
        <w:rPr>
          <w:spacing w:val="-4"/>
          <w:sz w:val="16"/>
          <w:szCs w:val="16"/>
        </w:rPr>
        <w:t>čtvrtina</w:t>
      </w:r>
      <w:r w:rsidRPr="002C5568">
        <w:rPr>
          <w:spacing w:val="-4"/>
          <w:sz w:val="16"/>
          <w:szCs w:val="16"/>
        </w:rPr>
        <w:t xml:space="preserve"> stavebních firem, </w:t>
      </w:r>
      <w:r>
        <w:rPr>
          <w:spacing w:val="-4"/>
          <w:sz w:val="16"/>
          <w:szCs w:val="16"/>
        </w:rPr>
        <w:t>což se výrazně neodchylovalo od dlouhodobému průměru.</w:t>
      </w:r>
    </w:p>
  </w:footnote>
  <w:footnote w:id="43">
    <w:p w14:paraId="2D835CD2" w14:textId="77777777" w:rsidR="00290725" w:rsidRPr="00E62461" w:rsidRDefault="00290725" w:rsidP="00290725">
      <w:pPr>
        <w:spacing w:after="0" w:line="240" w:lineRule="auto"/>
        <w:jc w:val="left"/>
        <w:rPr>
          <w:spacing w:val="-2"/>
        </w:rPr>
      </w:pPr>
      <w:r w:rsidRPr="00E62461">
        <w:rPr>
          <w:rStyle w:val="Znakapoznpodarou"/>
          <w:color w:val="0D0D0D" w:themeColor="text1" w:themeTint="F2"/>
          <w:spacing w:val="-2"/>
          <w:sz w:val="16"/>
          <w:szCs w:val="16"/>
        </w:rPr>
        <w:footnoteRef/>
      </w:r>
      <w:r w:rsidRPr="00E62461">
        <w:rPr>
          <w:color w:val="0D0D0D" w:themeColor="text1" w:themeTint="F2"/>
          <w:spacing w:val="-2"/>
          <w:sz w:val="16"/>
          <w:szCs w:val="16"/>
        </w:rPr>
        <w:t xml:space="preserve"> Bez obchodu, peněžnictví, pojišťovnictví, vědy, výzkumu a veřejných služeb. Všechny údaje za tržby ve službách jsou ve stálých cenách, meziroční data jsou očištěna o kalendářní vlivy, mezičtvrtletní jsou očištěna o sezónní vlivy (včetně vlivu počtu pracovních dnů).</w:t>
      </w:r>
    </w:p>
  </w:footnote>
  <w:footnote w:id="44">
    <w:p w14:paraId="238CAA33" w14:textId="77777777" w:rsidR="00290725" w:rsidRPr="006E752E" w:rsidRDefault="00290725" w:rsidP="00290725">
      <w:pPr>
        <w:pStyle w:val="Textpoznpodarou"/>
        <w:rPr>
          <w:sz w:val="16"/>
          <w:szCs w:val="16"/>
        </w:rPr>
      </w:pPr>
      <w:r w:rsidRPr="006E752E">
        <w:rPr>
          <w:rStyle w:val="Znakapoznpodarou"/>
          <w:sz w:val="16"/>
          <w:szCs w:val="16"/>
        </w:rPr>
        <w:footnoteRef/>
      </w:r>
      <w:r w:rsidRPr="006E752E">
        <w:rPr>
          <w:sz w:val="16"/>
          <w:szCs w:val="16"/>
        </w:rPr>
        <w:t xml:space="preserve"> Oproti 2. čtvrtletí 2019 byly celkové tržby</w:t>
      </w:r>
      <w:r>
        <w:rPr>
          <w:sz w:val="16"/>
          <w:szCs w:val="16"/>
        </w:rPr>
        <w:t xml:space="preserve"> (po sezónním očištění)</w:t>
      </w:r>
      <w:r w:rsidRPr="006E752E">
        <w:rPr>
          <w:sz w:val="16"/>
          <w:szCs w:val="16"/>
        </w:rPr>
        <w:t xml:space="preserve"> </w:t>
      </w:r>
      <w:r>
        <w:rPr>
          <w:sz w:val="16"/>
          <w:szCs w:val="16"/>
        </w:rPr>
        <w:t>ve 4. čtvrtletí 2025</w:t>
      </w:r>
      <w:r w:rsidRPr="006E752E">
        <w:rPr>
          <w:sz w:val="16"/>
          <w:szCs w:val="16"/>
        </w:rPr>
        <w:t xml:space="preserve"> vyšší o </w:t>
      </w:r>
      <w:r>
        <w:rPr>
          <w:sz w:val="16"/>
          <w:szCs w:val="16"/>
        </w:rPr>
        <w:t>4</w:t>
      </w:r>
      <w:r w:rsidRPr="006E752E">
        <w:rPr>
          <w:sz w:val="16"/>
          <w:szCs w:val="16"/>
        </w:rPr>
        <w:t>,</w:t>
      </w:r>
      <w:r>
        <w:rPr>
          <w:sz w:val="16"/>
          <w:szCs w:val="16"/>
        </w:rPr>
        <w:t>8</w:t>
      </w:r>
      <w:r w:rsidRPr="006E752E">
        <w:rPr>
          <w:sz w:val="16"/>
          <w:szCs w:val="16"/>
        </w:rPr>
        <w:t xml:space="preserve"> %. Z hlavních odvětví služeb tuto úroveň překonaly zejména informační a komunikační činnosti (+1</w:t>
      </w:r>
      <w:r>
        <w:rPr>
          <w:sz w:val="16"/>
          <w:szCs w:val="16"/>
        </w:rPr>
        <w:t>6,4</w:t>
      </w:r>
      <w:r w:rsidRPr="006E752E">
        <w:rPr>
          <w:sz w:val="16"/>
          <w:szCs w:val="16"/>
        </w:rPr>
        <w:t xml:space="preserve"> %)</w:t>
      </w:r>
      <w:r>
        <w:rPr>
          <w:sz w:val="16"/>
          <w:szCs w:val="16"/>
        </w:rPr>
        <w:t xml:space="preserve"> a</w:t>
      </w:r>
      <w:r w:rsidRPr="006E752E">
        <w:rPr>
          <w:sz w:val="16"/>
          <w:szCs w:val="16"/>
        </w:rPr>
        <w:t xml:space="preserve"> profesní, vědecké a technické činnosti (+</w:t>
      </w:r>
      <w:r>
        <w:rPr>
          <w:sz w:val="16"/>
          <w:szCs w:val="16"/>
        </w:rPr>
        <w:t xml:space="preserve">8,0 </w:t>
      </w:r>
      <w:r w:rsidRPr="006E752E">
        <w:rPr>
          <w:sz w:val="16"/>
          <w:szCs w:val="16"/>
        </w:rPr>
        <w:t>%)</w:t>
      </w:r>
      <w:r>
        <w:rPr>
          <w:sz w:val="16"/>
          <w:szCs w:val="16"/>
        </w:rPr>
        <w:t xml:space="preserve"> a doprava </w:t>
      </w:r>
      <w:r>
        <w:rPr>
          <w:sz w:val="16"/>
          <w:szCs w:val="16"/>
        </w:rPr>
        <w:br/>
        <w:t>a skladování (+4,5 %).</w:t>
      </w:r>
      <w:r w:rsidRPr="006E752E">
        <w:rPr>
          <w:sz w:val="16"/>
          <w:szCs w:val="16"/>
        </w:rPr>
        <w:t xml:space="preserve"> Naopak </w:t>
      </w:r>
      <w:r>
        <w:rPr>
          <w:sz w:val="16"/>
          <w:szCs w:val="16"/>
        </w:rPr>
        <w:t xml:space="preserve">tržby </w:t>
      </w:r>
      <w:r w:rsidRPr="006E752E">
        <w:rPr>
          <w:sz w:val="16"/>
          <w:szCs w:val="16"/>
        </w:rPr>
        <w:t>stále nejvíce zaostávaly</w:t>
      </w:r>
      <w:r>
        <w:rPr>
          <w:sz w:val="16"/>
          <w:szCs w:val="16"/>
        </w:rPr>
        <w:t xml:space="preserve"> v</w:t>
      </w:r>
      <w:r w:rsidRPr="006E752E">
        <w:rPr>
          <w:sz w:val="16"/>
          <w:szCs w:val="16"/>
        </w:rPr>
        <w:t xml:space="preserve"> ubytování, stravování a pohostinství (</w:t>
      </w:r>
      <w:r w:rsidRPr="006E752E">
        <w:rPr>
          <w:color w:val="0D0D0D" w:themeColor="text1" w:themeTint="F2"/>
          <w:spacing w:val="-5"/>
          <w:sz w:val="16"/>
          <w:szCs w:val="16"/>
        </w:rPr>
        <w:t>−</w:t>
      </w:r>
      <w:r w:rsidRPr="006E752E">
        <w:rPr>
          <w:sz w:val="16"/>
          <w:szCs w:val="16"/>
        </w:rPr>
        <w:t>1</w:t>
      </w:r>
      <w:r>
        <w:rPr>
          <w:sz w:val="16"/>
          <w:szCs w:val="16"/>
        </w:rPr>
        <w:t>3,3</w:t>
      </w:r>
      <w:r w:rsidRPr="006E752E">
        <w:rPr>
          <w:sz w:val="16"/>
          <w:szCs w:val="16"/>
        </w:rPr>
        <w:t xml:space="preserve"> %) a </w:t>
      </w:r>
      <w:r>
        <w:rPr>
          <w:sz w:val="16"/>
          <w:szCs w:val="16"/>
        </w:rPr>
        <w:t xml:space="preserve">v </w:t>
      </w:r>
      <w:r w:rsidRPr="006E752E">
        <w:rPr>
          <w:sz w:val="16"/>
          <w:szCs w:val="16"/>
        </w:rPr>
        <w:t>administrativní</w:t>
      </w:r>
      <w:r>
        <w:rPr>
          <w:sz w:val="16"/>
          <w:szCs w:val="16"/>
        </w:rPr>
        <w:t xml:space="preserve">ch </w:t>
      </w:r>
      <w:r>
        <w:rPr>
          <w:sz w:val="16"/>
          <w:szCs w:val="16"/>
        </w:rPr>
        <w:br/>
        <w:t>a podpůrných činnostech</w:t>
      </w:r>
      <w:r w:rsidRPr="006E752E">
        <w:rPr>
          <w:sz w:val="16"/>
          <w:szCs w:val="16"/>
        </w:rPr>
        <w:t xml:space="preserve"> (</w:t>
      </w:r>
      <w:r w:rsidRPr="006E752E">
        <w:rPr>
          <w:color w:val="0D0D0D" w:themeColor="text1" w:themeTint="F2"/>
          <w:spacing w:val="-5"/>
          <w:sz w:val="16"/>
          <w:szCs w:val="16"/>
        </w:rPr>
        <w:t>−</w:t>
      </w:r>
      <w:r>
        <w:rPr>
          <w:sz w:val="16"/>
          <w:szCs w:val="16"/>
        </w:rPr>
        <w:t>5</w:t>
      </w:r>
      <w:r w:rsidRPr="006E752E">
        <w:rPr>
          <w:sz w:val="16"/>
          <w:szCs w:val="16"/>
        </w:rPr>
        <w:t>,</w:t>
      </w:r>
      <w:r>
        <w:rPr>
          <w:sz w:val="16"/>
          <w:szCs w:val="16"/>
        </w:rPr>
        <w:t>9</w:t>
      </w:r>
      <w:r w:rsidRPr="006E752E">
        <w:rPr>
          <w:sz w:val="16"/>
          <w:szCs w:val="16"/>
        </w:rPr>
        <w:t xml:space="preserve"> %)</w:t>
      </w:r>
      <w:r>
        <w:rPr>
          <w:sz w:val="16"/>
          <w:szCs w:val="16"/>
        </w:rPr>
        <w:t>.</w:t>
      </w:r>
    </w:p>
  </w:footnote>
  <w:footnote w:id="45">
    <w:p w14:paraId="666A2C0F" w14:textId="77777777" w:rsidR="00290725" w:rsidRPr="001D74A1" w:rsidRDefault="00290725" w:rsidP="00290725">
      <w:pPr>
        <w:pStyle w:val="Textpoznpodarou"/>
        <w:rPr>
          <w:sz w:val="16"/>
          <w:szCs w:val="16"/>
        </w:rPr>
      </w:pPr>
      <w:r w:rsidRPr="001D74A1">
        <w:rPr>
          <w:rStyle w:val="Znakapoznpodarou"/>
          <w:sz w:val="16"/>
          <w:szCs w:val="16"/>
        </w:rPr>
        <w:footnoteRef/>
      </w:r>
      <w:r w:rsidRPr="001D74A1">
        <w:rPr>
          <w:sz w:val="16"/>
          <w:szCs w:val="16"/>
        </w:rPr>
        <w:t xml:space="preserve"> </w:t>
      </w:r>
      <w:r>
        <w:rPr>
          <w:sz w:val="16"/>
          <w:szCs w:val="16"/>
        </w:rPr>
        <w:t>Neočištěné t</w:t>
      </w:r>
      <w:r w:rsidRPr="001D74A1">
        <w:rPr>
          <w:sz w:val="16"/>
          <w:szCs w:val="16"/>
        </w:rPr>
        <w:t xml:space="preserve">ržby </w:t>
      </w:r>
      <w:r>
        <w:rPr>
          <w:sz w:val="16"/>
          <w:szCs w:val="16"/>
        </w:rPr>
        <w:t>za reklamu</w:t>
      </w:r>
      <w:r w:rsidRPr="001D74A1">
        <w:rPr>
          <w:sz w:val="16"/>
          <w:szCs w:val="16"/>
        </w:rPr>
        <w:t xml:space="preserve"> </w:t>
      </w:r>
      <w:r>
        <w:rPr>
          <w:sz w:val="16"/>
          <w:szCs w:val="16"/>
        </w:rPr>
        <w:t xml:space="preserve">se </w:t>
      </w:r>
      <w:r w:rsidRPr="001D74A1">
        <w:rPr>
          <w:sz w:val="16"/>
          <w:szCs w:val="16"/>
        </w:rPr>
        <w:t>l</w:t>
      </w:r>
      <w:r>
        <w:rPr>
          <w:sz w:val="16"/>
          <w:szCs w:val="16"/>
        </w:rPr>
        <w:t>oni</w:t>
      </w:r>
      <w:r w:rsidRPr="001D74A1">
        <w:rPr>
          <w:sz w:val="16"/>
          <w:szCs w:val="16"/>
        </w:rPr>
        <w:t xml:space="preserve"> meziročně </w:t>
      </w:r>
      <w:r>
        <w:rPr>
          <w:sz w:val="16"/>
          <w:szCs w:val="16"/>
        </w:rPr>
        <w:t>snížily</w:t>
      </w:r>
      <w:r w:rsidRPr="001D74A1">
        <w:rPr>
          <w:sz w:val="16"/>
          <w:szCs w:val="16"/>
        </w:rPr>
        <w:t xml:space="preserve"> o </w:t>
      </w:r>
      <w:r>
        <w:rPr>
          <w:sz w:val="16"/>
          <w:szCs w:val="16"/>
        </w:rPr>
        <w:t>0,3</w:t>
      </w:r>
      <w:r w:rsidRPr="001D74A1">
        <w:rPr>
          <w:sz w:val="16"/>
          <w:szCs w:val="16"/>
        </w:rPr>
        <w:t xml:space="preserve"> % (</w:t>
      </w:r>
      <w:r>
        <w:rPr>
          <w:sz w:val="16"/>
          <w:szCs w:val="16"/>
        </w:rPr>
        <w:t>a reálně tak klesaly druhý rok v řadě</w:t>
      </w:r>
      <w:r w:rsidRPr="001D74A1">
        <w:rPr>
          <w:sz w:val="16"/>
          <w:szCs w:val="16"/>
        </w:rPr>
        <w:t xml:space="preserve">). </w:t>
      </w:r>
      <w:r>
        <w:rPr>
          <w:sz w:val="16"/>
          <w:szCs w:val="16"/>
        </w:rPr>
        <w:t>Naopak tržby za průzkum trhu a veřejného mínění lehce vzrostly (o 2,4 % nejvíce za poslední čtyři roky).</w:t>
      </w:r>
    </w:p>
  </w:footnote>
  <w:footnote w:id="46">
    <w:p w14:paraId="12292ADF" w14:textId="77777777" w:rsidR="00290725" w:rsidRPr="00F34E27" w:rsidRDefault="00290725" w:rsidP="00290725">
      <w:pPr>
        <w:pStyle w:val="Textpoznpodarou"/>
        <w:rPr>
          <w:sz w:val="16"/>
          <w:szCs w:val="16"/>
        </w:rPr>
      </w:pPr>
      <w:r w:rsidRPr="00F34E27">
        <w:rPr>
          <w:rStyle w:val="Znakapoznpodarou"/>
          <w:sz w:val="16"/>
          <w:szCs w:val="16"/>
        </w:rPr>
        <w:footnoteRef/>
      </w:r>
      <w:r w:rsidRPr="00F34E27">
        <w:rPr>
          <w:sz w:val="16"/>
          <w:szCs w:val="16"/>
        </w:rPr>
        <w:t xml:space="preserve"> Toto dílčí odvětví, v němž hrají významnou roli drobní podnikatelé, zahrnuje především zprostředkovatelské činnosti, návrhářské, překladatelské a fotografické služby </w:t>
      </w:r>
      <w:r>
        <w:rPr>
          <w:sz w:val="16"/>
          <w:szCs w:val="16"/>
        </w:rPr>
        <w:t>nebo činnosti stavebního dozoru.</w:t>
      </w:r>
    </w:p>
  </w:footnote>
  <w:footnote w:id="47">
    <w:p w14:paraId="505E644F" w14:textId="77777777" w:rsidR="00290725" w:rsidRDefault="00290725" w:rsidP="00290725">
      <w:pPr>
        <w:pStyle w:val="Textpoznpodarou"/>
      </w:pPr>
      <w:r w:rsidRPr="007A5123">
        <w:rPr>
          <w:rStyle w:val="Znakapoznpodarou"/>
          <w:sz w:val="16"/>
          <w:szCs w:val="16"/>
        </w:rPr>
        <w:footnoteRef/>
      </w:r>
      <w:r w:rsidRPr="007A5123">
        <w:rPr>
          <w:sz w:val="16"/>
          <w:szCs w:val="16"/>
        </w:rPr>
        <w:t xml:space="preserve"> Jde především </w:t>
      </w:r>
      <w:r>
        <w:rPr>
          <w:sz w:val="16"/>
          <w:szCs w:val="16"/>
        </w:rPr>
        <w:t xml:space="preserve">o </w:t>
      </w:r>
      <w:r w:rsidRPr="00B86BDD">
        <w:rPr>
          <w:sz w:val="16"/>
          <w:szCs w:val="16"/>
        </w:rPr>
        <w:t>činnosti webových portálů, zpravodajských tiskových kanceláří a agentur či zpracování dat a hosting.</w:t>
      </w:r>
    </w:p>
  </w:footnote>
  <w:footnote w:id="48">
    <w:p w14:paraId="503B067C" w14:textId="77777777" w:rsidR="00290725" w:rsidRPr="00CD3166" w:rsidRDefault="00290725" w:rsidP="00290725">
      <w:pPr>
        <w:pStyle w:val="Textpoznpodarou"/>
        <w:rPr>
          <w:sz w:val="16"/>
          <w:szCs w:val="16"/>
        </w:rPr>
      </w:pPr>
      <w:r w:rsidRPr="00CD3166">
        <w:rPr>
          <w:rStyle w:val="Znakapoznpodarou"/>
          <w:sz w:val="16"/>
          <w:szCs w:val="16"/>
        </w:rPr>
        <w:footnoteRef/>
      </w:r>
      <w:r w:rsidRPr="00CD3166">
        <w:rPr>
          <w:sz w:val="16"/>
          <w:szCs w:val="16"/>
        </w:rPr>
        <w:t xml:space="preserve"> Ty </w:t>
      </w:r>
      <w:r w:rsidRPr="00CD3166">
        <w:rPr>
          <w:color w:val="0D0D0D" w:themeColor="text1" w:themeTint="F2"/>
          <w:spacing w:val="-6"/>
          <w:sz w:val="16"/>
          <w:szCs w:val="16"/>
        </w:rPr>
        <w:t>zahrnují</w:t>
      </w:r>
      <w:r>
        <w:rPr>
          <w:color w:val="0D0D0D" w:themeColor="text1" w:themeTint="F2"/>
          <w:spacing w:val="-6"/>
          <w:sz w:val="16"/>
          <w:szCs w:val="16"/>
        </w:rPr>
        <w:t xml:space="preserve"> zejména</w:t>
      </w:r>
      <w:r w:rsidRPr="00CD3166">
        <w:rPr>
          <w:color w:val="0D0D0D" w:themeColor="text1" w:themeTint="F2"/>
          <w:spacing w:val="-6"/>
          <w:sz w:val="16"/>
          <w:szCs w:val="16"/>
        </w:rPr>
        <w:t xml:space="preserve"> programování, poradenství v oblasti informačních technologií či správu počítačového vybavení.</w:t>
      </w:r>
    </w:p>
  </w:footnote>
  <w:footnote w:id="49">
    <w:p w14:paraId="0374B072" w14:textId="77777777" w:rsidR="00290725" w:rsidRPr="00C67E8B" w:rsidRDefault="00290725" w:rsidP="00290725">
      <w:pPr>
        <w:pStyle w:val="Textpoznpodarou"/>
        <w:rPr>
          <w:sz w:val="16"/>
          <w:szCs w:val="16"/>
        </w:rPr>
      </w:pPr>
      <w:r w:rsidRPr="00C67E8B">
        <w:rPr>
          <w:rStyle w:val="Znakapoznpodarou"/>
          <w:sz w:val="16"/>
          <w:szCs w:val="16"/>
        </w:rPr>
        <w:footnoteRef/>
      </w:r>
      <w:r w:rsidRPr="00C67E8B">
        <w:rPr>
          <w:sz w:val="16"/>
          <w:szCs w:val="16"/>
        </w:rPr>
        <w:t xml:space="preserve"> </w:t>
      </w:r>
      <w:r>
        <w:rPr>
          <w:sz w:val="16"/>
          <w:szCs w:val="16"/>
        </w:rPr>
        <w:t>Tento</w:t>
      </w:r>
      <w:r w:rsidRPr="00C67E8B">
        <w:rPr>
          <w:sz w:val="16"/>
          <w:szCs w:val="16"/>
        </w:rPr>
        <w:t xml:space="preserve"> propad poptávky zde mohl souviset s dozvuky </w:t>
      </w:r>
      <w:r w:rsidRPr="00C67E8B">
        <w:rPr>
          <w:rFonts w:cs="Arial"/>
          <w:color w:val="0D0D0D" w:themeColor="text1" w:themeTint="F2"/>
          <w:spacing w:val="-6"/>
          <w:sz w:val="16"/>
          <w:szCs w:val="16"/>
        </w:rPr>
        <w:t xml:space="preserve">delší stávky v Hollywoodu </w:t>
      </w:r>
      <w:r>
        <w:rPr>
          <w:rFonts w:cs="Arial"/>
          <w:color w:val="0D0D0D" w:themeColor="text1" w:themeTint="F2"/>
          <w:spacing w:val="-6"/>
          <w:sz w:val="16"/>
          <w:szCs w:val="16"/>
        </w:rPr>
        <w:t>(</w:t>
      </w:r>
      <w:r w:rsidRPr="00C67E8B">
        <w:rPr>
          <w:rFonts w:cs="Arial"/>
          <w:color w:val="0D0D0D" w:themeColor="text1" w:themeTint="F2"/>
          <w:spacing w:val="-6"/>
          <w:sz w:val="16"/>
          <w:szCs w:val="16"/>
        </w:rPr>
        <w:t>z druhé poloviny roku 2023</w:t>
      </w:r>
      <w:r>
        <w:rPr>
          <w:rFonts w:cs="Arial"/>
          <w:color w:val="0D0D0D" w:themeColor="text1" w:themeTint="F2"/>
          <w:spacing w:val="-6"/>
          <w:sz w:val="16"/>
          <w:szCs w:val="16"/>
        </w:rPr>
        <w:t>)</w:t>
      </w:r>
      <w:r w:rsidRPr="00C67E8B">
        <w:rPr>
          <w:rFonts w:cs="Arial"/>
          <w:color w:val="0D0D0D" w:themeColor="text1" w:themeTint="F2"/>
          <w:spacing w:val="-6"/>
          <w:sz w:val="16"/>
          <w:szCs w:val="16"/>
        </w:rPr>
        <w:t>. Vývoj tržeb filmového hudebního průmyslu v tuzemsku je obecně dosti rozkolísaný, což souvisí s nepravidelnými fakturacemi.</w:t>
      </w:r>
    </w:p>
  </w:footnote>
  <w:footnote w:id="50">
    <w:p w14:paraId="2EA1C062" w14:textId="77777777" w:rsidR="00290725" w:rsidRDefault="00290725" w:rsidP="00290725">
      <w:pPr>
        <w:pStyle w:val="Textpoznpodarou"/>
      </w:pPr>
      <w:r w:rsidRPr="00530A4E">
        <w:rPr>
          <w:rStyle w:val="Znakapoznpodarou"/>
          <w:sz w:val="16"/>
          <w:szCs w:val="16"/>
        </w:rPr>
        <w:footnoteRef/>
      </w:r>
      <w:r w:rsidRPr="00530A4E">
        <w:rPr>
          <w:sz w:val="16"/>
          <w:szCs w:val="16"/>
        </w:rPr>
        <w:t xml:space="preserve"> </w:t>
      </w:r>
      <w:r>
        <w:rPr>
          <w:sz w:val="16"/>
          <w:szCs w:val="16"/>
        </w:rPr>
        <w:t>Podobně si vedl i segment</w:t>
      </w:r>
      <w:r w:rsidRPr="00590597">
        <w:rPr>
          <w:sz w:val="16"/>
          <w:szCs w:val="16"/>
        </w:rPr>
        <w:t xml:space="preserve"> filmové distribuce. </w:t>
      </w:r>
      <w:r w:rsidRPr="00590597">
        <w:rPr>
          <w:rFonts w:cs="Arial"/>
          <w:color w:val="0D0D0D" w:themeColor="text1" w:themeTint="F2"/>
          <w:spacing w:val="-3"/>
          <w:sz w:val="16"/>
          <w:szCs w:val="16"/>
        </w:rPr>
        <w:t xml:space="preserve">Dle údajů </w:t>
      </w:r>
      <w:r w:rsidRPr="00590597">
        <w:rPr>
          <w:spacing w:val="-3"/>
          <w:sz w:val="16"/>
          <w:szCs w:val="16"/>
        </w:rPr>
        <w:t>Unie filmových distributo</w:t>
      </w:r>
      <w:r>
        <w:rPr>
          <w:spacing w:val="-3"/>
          <w:sz w:val="16"/>
          <w:szCs w:val="16"/>
        </w:rPr>
        <w:t xml:space="preserve">rů vzrostly loni </w:t>
      </w:r>
      <w:r w:rsidRPr="00590597">
        <w:rPr>
          <w:spacing w:val="-3"/>
          <w:sz w:val="16"/>
          <w:szCs w:val="16"/>
        </w:rPr>
        <w:t>hrubé nominální tržby provozovate</w:t>
      </w:r>
      <w:r>
        <w:rPr>
          <w:spacing w:val="-3"/>
          <w:sz w:val="16"/>
          <w:szCs w:val="16"/>
        </w:rPr>
        <w:t>lů tuzemských kin meziročně o 0,5 % (při poklesu c</w:t>
      </w:r>
      <w:r w:rsidRPr="00590597">
        <w:rPr>
          <w:spacing w:val="-3"/>
          <w:sz w:val="16"/>
          <w:szCs w:val="16"/>
        </w:rPr>
        <w:t>elkov</w:t>
      </w:r>
      <w:r>
        <w:rPr>
          <w:spacing w:val="-3"/>
          <w:sz w:val="16"/>
          <w:szCs w:val="16"/>
        </w:rPr>
        <w:t>é</w:t>
      </w:r>
      <w:r w:rsidRPr="00590597">
        <w:rPr>
          <w:spacing w:val="-3"/>
          <w:sz w:val="16"/>
          <w:szCs w:val="16"/>
        </w:rPr>
        <w:t xml:space="preserve"> návštěv</w:t>
      </w:r>
      <w:r>
        <w:rPr>
          <w:spacing w:val="-3"/>
          <w:sz w:val="16"/>
          <w:szCs w:val="16"/>
        </w:rPr>
        <w:t>nosti o 3,3 %, jenž se druhý rok v řadě lehce prohloubil). Loňský výsledek byl ovlivněn slabším tržbami v podzimních měsících. Oproti roku</w:t>
      </w:r>
      <w:r w:rsidRPr="00590597">
        <w:rPr>
          <w:spacing w:val="-3"/>
          <w:sz w:val="16"/>
          <w:szCs w:val="16"/>
        </w:rPr>
        <w:t xml:space="preserve"> 2019 </w:t>
      </w:r>
      <w:r>
        <w:rPr>
          <w:spacing w:val="-3"/>
          <w:sz w:val="16"/>
          <w:szCs w:val="16"/>
        </w:rPr>
        <w:t>byla loni návštěvnost kin (při téměř shodném počtu</w:t>
      </w:r>
      <w:r w:rsidRPr="00590597">
        <w:rPr>
          <w:spacing w:val="-3"/>
          <w:sz w:val="16"/>
          <w:szCs w:val="16"/>
        </w:rPr>
        <w:t xml:space="preserve"> odehraných představení</w:t>
      </w:r>
      <w:r>
        <w:rPr>
          <w:spacing w:val="-3"/>
          <w:sz w:val="16"/>
          <w:szCs w:val="16"/>
        </w:rPr>
        <w:t>) nižší skoro o třetinu a tržby o osminu.</w:t>
      </w:r>
    </w:p>
  </w:footnote>
  <w:footnote w:id="51">
    <w:p w14:paraId="0E5E4792" w14:textId="77777777" w:rsidR="00290725" w:rsidRPr="000C02DA" w:rsidRDefault="00290725" w:rsidP="00290725">
      <w:pPr>
        <w:pStyle w:val="Textpoznpodarou"/>
        <w:rPr>
          <w:sz w:val="16"/>
          <w:szCs w:val="16"/>
        </w:rPr>
      </w:pPr>
      <w:r w:rsidRPr="000C02DA">
        <w:rPr>
          <w:rStyle w:val="Znakapoznpodarou"/>
          <w:sz w:val="16"/>
          <w:szCs w:val="16"/>
        </w:rPr>
        <w:footnoteRef/>
      </w:r>
      <w:r w:rsidRPr="000C02DA">
        <w:rPr>
          <w:sz w:val="16"/>
          <w:szCs w:val="16"/>
        </w:rPr>
        <w:t xml:space="preserve"> </w:t>
      </w:r>
      <w:r w:rsidRPr="004F3BAC">
        <w:rPr>
          <w:spacing w:val="-4"/>
          <w:sz w:val="16"/>
          <w:szCs w:val="16"/>
        </w:rPr>
        <w:t>Do loňského vývoje promlouvaly svižně rostoucí ceny za tvorbu programů a vysílání. Tržby v běžných cenách totiž nepatrně rostly (+0,</w:t>
      </w:r>
      <w:r>
        <w:rPr>
          <w:spacing w:val="-4"/>
          <w:sz w:val="16"/>
          <w:szCs w:val="16"/>
        </w:rPr>
        <w:t>1</w:t>
      </w:r>
      <w:r w:rsidRPr="004F3BAC">
        <w:rPr>
          <w:spacing w:val="-4"/>
          <w:sz w:val="16"/>
          <w:szCs w:val="16"/>
        </w:rPr>
        <w:t xml:space="preserve"> %). </w:t>
      </w:r>
    </w:p>
  </w:footnote>
  <w:footnote w:id="52">
    <w:p w14:paraId="51EC68F4" w14:textId="77777777" w:rsidR="00290725" w:rsidRPr="006B3E32" w:rsidRDefault="00290725" w:rsidP="00290725">
      <w:pPr>
        <w:pStyle w:val="Textpoznpodarou"/>
        <w:rPr>
          <w:sz w:val="16"/>
          <w:szCs w:val="16"/>
        </w:rPr>
      </w:pPr>
      <w:r w:rsidRPr="006B3E32">
        <w:rPr>
          <w:rStyle w:val="Znakapoznpodarou"/>
          <w:sz w:val="16"/>
          <w:szCs w:val="16"/>
        </w:rPr>
        <w:footnoteRef/>
      </w:r>
      <w:r w:rsidRPr="006B3E32">
        <w:rPr>
          <w:sz w:val="16"/>
          <w:szCs w:val="16"/>
        </w:rPr>
        <w:t xml:space="preserve"> Dle aktuálních údajů Ministerstva dopravy vzrostly za 1. až 3. čtvrtletí 2025 </w:t>
      </w:r>
      <w:r>
        <w:rPr>
          <w:sz w:val="16"/>
          <w:szCs w:val="16"/>
        </w:rPr>
        <w:t xml:space="preserve">meziročně </w:t>
      </w:r>
      <w:r w:rsidRPr="006B3E32">
        <w:rPr>
          <w:sz w:val="16"/>
          <w:szCs w:val="16"/>
        </w:rPr>
        <w:t>přepravní výkony (v osobokilometrech) v železniční dopravě o 4,6 %, v silniční dopravě o 12,6 % a v MHD o 6,8 %. Počty cestujících osob se ale zvýšily jen v MHD (+1,4 %),</w:t>
      </w:r>
      <w:r>
        <w:rPr>
          <w:sz w:val="16"/>
          <w:szCs w:val="16"/>
        </w:rPr>
        <w:t xml:space="preserve"> na železnici stagnovaly.</w:t>
      </w:r>
      <w:r w:rsidRPr="00C259AF">
        <w:rPr>
          <w:rFonts w:cs="Arial"/>
          <w:color w:val="0D0D0D" w:themeColor="text1" w:themeTint="F2"/>
          <w:spacing w:val="-4"/>
          <w:sz w:val="16"/>
          <w:szCs w:val="16"/>
        </w:rPr>
        <w:t xml:space="preserve"> </w:t>
      </w:r>
      <w:r>
        <w:rPr>
          <w:rFonts w:cs="Arial"/>
          <w:color w:val="0D0D0D" w:themeColor="text1" w:themeTint="F2"/>
          <w:spacing w:val="-4"/>
          <w:sz w:val="16"/>
          <w:szCs w:val="16"/>
        </w:rPr>
        <w:t xml:space="preserve">V nákladní dopravě pokračoval růst přepravních výkonů na silnicích (+4,9 %) a naopak dále klesal na železnici </w:t>
      </w:r>
      <w:r>
        <w:rPr>
          <w:rFonts w:cs="Arial"/>
          <w:color w:val="0D0D0D" w:themeColor="text1" w:themeTint="F2"/>
          <w:spacing w:val="-4"/>
          <w:sz w:val="16"/>
          <w:szCs w:val="16"/>
        </w:rPr>
        <w:br/>
        <w:t>(o 3,3, %), a to vlivem zkrácení přepravní vzdálenosti (objem přepravovaného nákladu loni naopak vzrostl o 6,9 %).</w:t>
      </w:r>
    </w:p>
  </w:footnote>
  <w:footnote w:id="53">
    <w:p w14:paraId="75834C54" w14:textId="77777777" w:rsidR="00290725" w:rsidRPr="00513E40" w:rsidRDefault="00290725" w:rsidP="00290725">
      <w:pPr>
        <w:pStyle w:val="Textpoznpodarou"/>
        <w:rPr>
          <w:sz w:val="16"/>
          <w:szCs w:val="16"/>
        </w:rPr>
      </w:pPr>
      <w:r w:rsidRPr="00513E40">
        <w:rPr>
          <w:rStyle w:val="Znakapoznpodarou"/>
          <w:sz w:val="16"/>
          <w:szCs w:val="16"/>
        </w:rPr>
        <w:footnoteRef/>
      </w:r>
      <w:r w:rsidRPr="00513E40">
        <w:rPr>
          <w:sz w:val="16"/>
          <w:szCs w:val="16"/>
        </w:rPr>
        <w:t xml:space="preserve"> </w:t>
      </w:r>
      <w:r w:rsidRPr="00513E40">
        <w:rPr>
          <w:rFonts w:cs="Arial"/>
          <w:color w:val="0D0D0D" w:themeColor="text1" w:themeTint="F2"/>
          <w:spacing w:val="-4"/>
          <w:sz w:val="16"/>
          <w:szCs w:val="16"/>
        </w:rPr>
        <w:t>Naopak počet odbavených cestujících na letištích v Česku dále rostl (</w:t>
      </w:r>
      <w:r>
        <w:rPr>
          <w:rFonts w:cs="Arial"/>
          <w:color w:val="0D0D0D" w:themeColor="text1" w:themeTint="F2"/>
          <w:spacing w:val="-4"/>
          <w:sz w:val="16"/>
          <w:szCs w:val="16"/>
        </w:rPr>
        <w:t xml:space="preserve">dle aktuálních dat </w:t>
      </w:r>
      <w:r w:rsidRPr="00513E40">
        <w:rPr>
          <w:rFonts w:cs="Arial"/>
          <w:color w:val="0D0D0D" w:themeColor="text1" w:themeTint="F2"/>
          <w:spacing w:val="-4"/>
          <w:sz w:val="16"/>
          <w:szCs w:val="16"/>
        </w:rPr>
        <w:t xml:space="preserve">za 1. </w:t>
      </w:r>
      <w:r>
        <w:rPr>
          <w:rFonts w:cs="Arial"/>
          <w:color w:val="0D0D0D" w:themeColor="text1" w:themeTint="F2"/>
          <w:spacing w:val="-4"/>
          <w:sz w:val="16"/>
          <w:szCs w:val="16"/>
        </w:rPr>
        <w:t>až 3. čtvrtletí</w:t>
      </w:r>
      <w:r w:rsidRPr="00513E40">
        <w:rPr>
          <w:rFonts w:cs="Arial"/>
          <w:color w:val="0D0D0D" w:themeColor="text1" w:themeTint="F2"/>
          <w:spacing w:val="-4"/>
          <w:sz w:val="16"/>
          <w:szCs w:val="16"/>
        </w:rPr>
        <w:t xml:space="preserve"> 2025 meziročně o </w:t>
      </w:r>
      <w:r>
        <w:rPr>
          <w:rFonts w:cs="Arial"/>
          <w:color w:val="0D0D0D" w:themeColor="text1" w:themeTint="F2"/>
          <w:spacing w:val="-4"/>
          <w:sz w:val="16"/>
          <w:szCs w:val="16"/>
        </w:rPr>
        <w:t>6,5</w:t>
      </w:r>
      <w:r w:rsidRPr="00513E40">
        <w:rPr>
          <w:rFonts w:cs="Arial"/>
          <w:color w:val="0D0D0D" w:themeColor="text1" w:themeTint="F2"/>
          <w:spacing w:val="-4"/>
          <w:sz w:val="16"/>
          <w:szCs w:val="16"/>
        </w:rPr>
        <w:t xml:space="preserve"> %).</w:t>
      </w:r>
      <w:r>
        <w:rPr>
          <w:rFonts w:cs="Arial"/>
          <w:color w:val="0D0D0D" w:themeColor="text1" w:themeTint="F2"/>
          <w:spacing w:val="-4"/>
          <w:sz w:val="16"/>
          <w:szCs w:val="16"/>
        </w:rPr>
        <w:t xml:space="preserve"> </w:t>
      </w:r>
    </w:p>
  </w:footnote>
  <w:footnote w:id="54">
    <w:p w14:paraId="49141DBD" w14:textId="77777777" w:rsidR="00290725" w:rsidRPr="00CE3123" w:rsidRDefault="00290725" w:rsidP="00290725">
      <w:pPr>
        <w:pStyle w:val="Textpoznpodarou"/>
        <w:rPr>
          <w:spacing w:val="-2"/>
          <w:sz w:val="16"/>
          <w:szCs w:val="16"/>
        </w:rPr>
      </w:pPr>
      <w:r w:rsidRPr="00EB6DBE">
        <w:rPr>
          <w:rStyle w:val="Znakapoznpodarou"/>
          <w:sz w:val="16"/>
          <w:szCs w:val="16"/>
        </w:rPr>
        <w:footnoteRef/>
      </w:r>
      <w:r w:rsidRPr="00EB6DBE">
        <w:rPr>
          <w:sz w:val="16"/>
          <w:szCs w:val="16"/>
        </w:rPr>
        <w:t xml:space="preserve"> </w:t>
      </w:r>
      <w:r w:rsidRPr="00CE3123">
        <w:rPr>
          <w:spacing w:val="-2"/>
          <w:sz w:val="16"/>
          <w:szCs w:val="16"/>
        </w:rPr>
        <w:t>V 1. čtvrtletí 2025 se zvýšily ceny ubytovacích služeb meziročně o 8,5 % a stravovacích služeb o 4,9 %. Proti roku 2015 byly v l</w:t>
      </w:r>
      <w:r>
        <w:rPr>
          <w:spacing w:val="-2"/>
          <w:sz w:val="16"/>
          <w:szCs w:val="16"/>
        </w:rPr>
        <w:t>oni</w:t>
      </w:r>
      <w:r w:rsidRPr="00CE3123">
        <w:rPr>
          <w:spacing w:val="-2"/>
          <w:sz w:val="16"/>
          <w:szCs w:val="16"/>
        </w:rPr>
        <w:t xml:space="preserve"> březnu v úhrnu za oba segmenty vyšší o 95 %, kdežto ceny v celém spotřebitelském koši se za stejné období navýšily „jen“ o 54 %.</w:t>
      </w:r>
    </w:p>
  </w:footnote>
  <w:footnote w:id="55">
    <w:p w14:paraId="23C5B2CE" w14:textId="77777777" w:rsidR="00290725" w:rsidRPr="008556C3" w:rsidRDefault="00290725" w:rsidP="00290725">
      <w:pPr>
        <w:spacing w:after="0" w:line="240" w:lineRule="auto"/>
        <w:jc w:val="left"/>
        <w:rPr>
          <w:spacing w:val="-2"/>
          <w:sz w:val="16"/>
          <w:szCs w:val="16"/>
        </w:rPr>
      </w:pPr>
      <w:r w:rsidRPr="00CE3123">
        <w:rPr>
          <w:rStyle w:val="Znakapoznpodarou"/>
          <w:spacing w:val="-2"/>
          <w:sz w:val="16"/>
          <w:szCs w:val="16"/>
        </w:rPr>
        <w:footnoteRef/>
      </w:r>
      <w:r w:rsidRPr="00CE3123">
        <w:rPr>
          <w:spacing w:val="-2"/>
          <w:sz w:val="16"/>
          <w:szCs w:val="16"/>
        </w:rPr>
        <w:t xml:space="preserve"> Celkově ale hostů ve všech HUZ v Česku ve 3. čtvrtletí meziročně mírně přibylo (+1,</w:t>
      </w:r>
      <w:r>
        <w:rPr>
          <w:spacing w:val="-2"/>
          <w:sz w:val="16"/>
          <w:szCs w:val="16"/>
        </w:rPr>
        <w:t>5</w:t>
      </w:r>
      <w:r w:rsidRPr="00CE3123">
        <w:rPr>
          <w:spacing w:val="-2"/>
          <w:sz w:val="16"/>
          <w:szCs w:val="16"/>
        </w:rPr>
        <w:t xml:space="preserve"> %), neboť proměnlivé počasí tolik nevadilo městskému cestovnímu ruchu, o čemž nepřímo svědčí i solidní růst počtu příjezdů do hotelů nejvyšší kategorie</w:t>
      </w:r>
      <w:r>
        <w:rPr>
          <w:spacing w:val="-2"/>
          <w:sz w:val="16"/>
          <w:szCs w:val="16"/>
        </w:rPr>
        <w:t xml:space="preserve"> v Česku</w:t>
      </w:r>
      <w:r w:rsidRPr="00CE3123">
        <w:rPr>
          <w:spacing w:val="-2"/>
          <w:sz w:val="16"/>
          <w:szCs w:val="16"/>
        </w:rPr>
        <w:t xml:space="preserve"> (5*: +</w:t>
      </w:r>
      <w:r>
        <w:rPr>
          <w:spacing w:val="-2"/>
          <w:sz w:val="16"/>
          <w:szCs w:val="16"/>
        </w:rPr>
        <w:t>4,9</w:t>
      </w:r>
      <w:r w:rsidRPr="00CE3123">
        <w:rPr>
          <w:spacing w:val="-2"/>
          <w:sz w:val="16"/>
          <w:szCs w:val="16"/>
        </w:rPr>
        <w:t xml:space="preserve"> %, </w:t>
      </w:r>
      <w:r>
        <w:rPr>
          <w:spacing w:val="-2"/>
          <w:sz w:val="16"/>
          <w:szCs w:val="16"/>
        </w:rPr>
        <w:br/>
      </w:r>
      <w:r w:rsidRPr="00CE3123">
        <w:rPr>
          <w:spacing w:val="-2"/>
          <w:sz w:val="16"/>
          <w:szCs w:val="16"/>
        </w:rPr>
        <w:t>4*: +3,</w:t>
      </w:r>
      <w:r>
        <w:rPr>
          <w:spacing w:val="-2"/>
          <w:sz w:val="16"/>
          <w:szCs w:val="16"/>
        </w:rPr>
        <w:t>3</w:t>
      </w:r>
      <w:r w:rsidRPr="00CE3123">
        <w:rPr>
          <w:spacing w:val="-2"/>
          <w:sz w:val="16"/>
          <w:szCs w:val="16"/>
        </w:rPr>
        <w:t xml:space="preserve"> %). </w:t>
      </w:r>
      <w:r>
        <w:rPr>
          <w:spacing w:val="-2"/>
          <w:sz w:val="16"/>
          <w:szCs w:val="16"/>
        </w:rPr>
        <w:t xml:space="preserve">Celoročně </w:t>
      </w:r>
      <w:r w:rsidRPr="00CE3123">
        <w:rPr>
          <w:rFonts w:eastAsia="Arial" w:cs="Arial"/>
          <w:spacing w:val="-2"/>
          <w:sz w:val="16"/>
          <w:szCs w:val="16"/>
        </w:rPr>
        <w:t xml:space="preserve">táhli </w:t>
      </w:r>
      <w:r>
        <w:rPr>
          <w:rFonts w:eastAsia="Arial" w:cs="Arial"/>
          <w:spacing w:val="-2"/>
          <w:sz w:val="16"/>
          <w:szCs w:val="16"/>
        </w:rPr>
        <w:t xml:space="preserve">celkový </w:t>
      </w:r>
      <w:r w:rsidRPr="00CE3123">
        <w:rPr>
          <w:rFonts w:eastAsia="Arial" w:cs="Arial"/>
          <w:spacing w:val="-2"/>
          <w:sz w:val="16"/>
          <w:szCs w:val="16"/>
        </w:rPr>
        <w:t xml:space="preserve">růst poptávky v cestovním ruchu v Česku </w:t>
      </w:r>
      <w:r>
        <w:rPr>
          <w:rFonts w:eastAsia="Arial" w:cs="Arial"/>
          <w:spacing w:val="-2"/>
          <w:sz w:val="16"/>
          <w:szCs w:val="16"/>
        </w:rPr>
        <w:t xml:space="preserve">opět převážně </w:t>
      </w:r>
      <w:r w:rsidRPr="00CE3123">
        <w:rPr>
          <w:rFonts w:eastAsia="Arial" w:cs="Arial"/>
          <w:spacing w:val="-2"/>
          <w:sz w:val="16"/>
          <w:szCs w:val="16"/>
        </w:rPr>
        <w:t xml:space="preserve">zahraniční hosté. </w:t>
      </w:r>
      <w:r w:rsidRPr="008556C3">
        <w:rPr>
          <w:rFonts w:eastAsia="Arial" w:cs="Arial"/>
          <w:sz w:val="16"/>
          <w:szCs w:val="16"/>
        </w:rPr>
        <w:t xml:space="preserve">K růstu loni přispěli nejvíce Izraelci (s 35% nárůstem přenocování), významný </w:t>
      </w:r>
      <w:r>
        <w:rPr>
          <w:rFonts w:eastAsia="Arial" w:cs="Arial"/>
          <w:sz w:val="16"/>
          <w:szCs w:val="16"/>
        </w:rPr>
        <w:t>vliv měli také</w:t>
      </w:r>
      <w:r w:rsidRPr="008556C3">
        <w:rPr>
          <w:rFonts w:eastAsia="Arial" w:cs="Arial"/>
          <w:sz w:val="16"/>
          <w:szCs w:val="16"/>
        </w:rPr>
        <w:t xml:space="preserve"> Polá</w:t>
      </w:r>
      <w:r>
        <w:rPr>
          <w:rFonts w:eastAsia="Arial" w:cs="Arial"/>
          <w:sz w:val="16"/>
          <w:szCs w:val="16"/>
        </w:rPr>
        <w:t>ci</w:t>
      </w:r>
      <w:r w:rsidRPr="008556C3">
        <w:rPr>
          <w:rFonts w:eastAsia="Arial" w:cs="Arial"/>
          <w:sz w:val="16"/>
          <w:szCs w:val="16"/>
        </w:rPr>
        <w:t xml:space="preserve"> (+13,4 %), Ukrajinc</w:t>
      </w:r>
      <w:r>
        <w:rPr>
          <w:rFonts w:eastAsia="Arial" w:cs="Arial"/>
          <w:sz w:val="16"/>
          <w:szCs w:val="16"/>
        </w:rPr>
        <w:t xml:space="preserve">i </w:t>
      </w:r>
      <w:r w:rsidRPr="008556C3">
        <w:rPr>
          <w:rFonts w:eastAsia="Arial" w:cs="Arial"/>
          <w:sz w:val="16"/>
          <w:szCs w:val="16"/>
        </w:rPr>
        <w:t>(+8,4 %) a Brit</w:t>
      </w:r>
      <w:r>
        <w:rPr>
          <w:rFonts w:eastAsia="Arial" w:cs="Arial"/>
          <w:sz w:val="16"/>
          <w:szCs w:val="16"/>
        </w:rPr>
        <w:t>ové</w:t>
      </w:r>
      <w:r w:rsidRPr="008556C3">
        <w:rPr>
          <w:rFonts w:eastAsia="Arial" w:cs="Arial"/>
          <w:sz w:val="16"/>
          <w:szCs w:val="16"/>
        </w:rPr>
        <w:t xml:space="preserve"> (+7,5 %). Poptávka Němců stagnovala, na uskutečněném počtu přenocování se tito občané stále podíleli téměř celou čtvrtinou (v roce 2024 jejich poptávka meziročně rostla o 3,</w:t>
      </w:r>
      <w:r>
        <w:rPr>
          <w:rFonts w:eastAsia="Arial" w:cs="Arial"/>
          <w:sz w:val="16"/>
          <w:szCs w:val="16"/>
        </w:rPr>
        <w:t>1</w:t>
      </w:r>
      <w:r w:rsidRPr="008556C3">
        <w:rPr>
          <w:rFonts w:eastAsia="Arial" w:cs="Arial"/>
          <w:sz w:val="16"/>
          <w:szCs w:val="16"/>
        </w:rPr>
        <w:t xml:space="preserve"> % a spolu s hosty z Izraele </w:t>
      </w:r>
      <w:r>
        <w:rPr>
          <w:rFonts w:eastAsia="Arial" w:cs="Arial"/>
          <w:sz w:val="16"/>
          <w:szCs w:val="16"/>
        </w:rPr>
        <w:t xml:space="preserve">a Velké Británie </w:t>
      </w:r>
      <w:r w:rsidRPr="008556C3">
        <w:rPr>
          <w:rFonts w:eastAsia="Arial" w:cs="Arial"/>
          <w:sz w:val="16"/>
          <w:szCs w:val="16"/>
        </w:rPr>
        <w:t>tehdy nejvíce přispěla k růstu všech přenocování zahraničních hostů).</w:t>
      </w:r>
    </w:p>
    <w:p w14:paraId="726945D3" w14:textId="77777777" w:rsidR="00290725" w:rsidRPr="00BC1E47" w:rsidRDefault="00290725" w:rsidP="00290725">
      <w:pPr>
        <w:spacing w:after="0" w:line="240" w:lineRule="auto"/>
        <w:jc w:val="left"/>
        <w:rPr>
          <w:rFonts w:eastAsia="Arial" w:cs="Arial"/>
          <w:szCs w:val="20"/>
        </w:rPr>
      </w:pPr>
      <w:r w:rsidRPr="008556C3">
        <w:rPr>
          <w:rFonts w:eastAsia="Arial" w:cs="Arial"/>
          <w:sz w:val="16"/>
          <w:szCs w:val="16"/>
        </w:rPr>
        <w:t xml:space="preserve">Mezi regiony rostla loni celková poptávka v ubytování nejvíce v kraji Pardubickém (+5,8 %), nejméně v Jihočeském (+0,8 %). Pokles počtu přenocování </w:t>
      </w:r>
      <w:r>
        <w:rPr>
          <w:rFonts w:eastAsia="Arial" w:cs="Arial"/>
          <w:sz w:val="16"/>
          <w:szCs w:val="16"/>
        </w:rPr>
        <w:t xml:space="preserve">tak </w:t>
      </w:r>
      <w:r w:rsidRPr="008556C3">
        <w:rPr>
          <w:rFonts w:eastAsia="Arial" w:cs="Arial"/>
          <w:sz w:val="16"/>
          <w:szCs w:val="16"/>
        </w:rPr>
        <w:t>loni nezaznamenal žádný kraj. V Praze činil růst 3,9 % a z drtivé části byl tažen zahraniční poptávkou. Ta se loni zvýšila ve všech regionech, vyjma kraje Vysočina (</w:t>
      </w:r>
      <w:r>
        <w:rPr>
          <w:rFonts w:eastAsia="Arial" w:cs="Arial"/>
          <w:sz w:val="16"/>
          <w:szCs w:val="16"/>
        </w:rPr>
        <w:t>−</w:t>
      </w:r>
      <w:r w:rsidRPr="008556C3">
        <w:rPr>
          <w:rFonts w:eastAsia="Arial" w:cs="Arial"/>
          <w:sz w:val="16"/>
          <w:szCs w:val="16"/>
        </w:rPr>
        <w:t>0,3 %). U domácí klientely zaznamenaly podobný nepatrný pokles zájmu kraje Královéhradecký a Jihočeský, naopak v ostatních krajích přenocování Čechů mírně rostl</w:t>
      </w:r>
      <w:r>
        <w:rPr>
          <w:rFonts w:eastAsia="Arial" w:cs="Arial"/>
          <w:sz w:val="16"/>
          <w:szCs w:val="16"/>
        </w:rPr>
        <w:t>o</w:t>
      </w:r>
      <w:r w:rsidRPr="008556C3">
        <w:rPr>
          <w:rFonts w:eastAsia="Arial" w:cs="Arial"/>
          <w:sz w:val="16"/>
          <w:szCs w:val="16"/>
        </w:rPr>
        <w:t xml:space="preserve"> (nejvíce v kraji Plzeňském: +4,6 %).</w:t>
      </w:r>
    </w:p>
  </w:footnote>
  <w:footnote w:id="56">
    <w:p w14:paraId="4BA8AA4F" w14:textId="77777777" w:rsidR="00290725" w:rsidRPr="003F282B" w:rsidRDefault="00290725" w:rsidP="00290725">
      <w:pPr>
        <w:pStyle w:val="Textpoznpodarou"/>
        <w:rPr>
          <w:sz w:val="16"/>
          <w:szCs w:val="16"/>
        </w:rPr>
      </w:pPr>
      <w:r w:rsidRPr="003F282B">
        <w:rPr>
          <w:rStyle w:val="Znakapoznpodarou"/>
          <w:sz w:val="16"/>
          <w:szCs w:val="16"/>
        </w:rPr>
        <w:footnoteRef/>
      </w:r>
      <w:r w:rsidRPr="003F282B">
        <w:rPr>
          <w:sz w:val="16"/>
          <w:szCs w:val="16"/>
        </w:rPr>
        <w:t xml:space="preserve"> Stalo se tak téměř výhradně díky domácí klientele. </w:t>
      </w:r>
      <w:r w:rsidRPr="003F282B">
        <w:rPr>
          <w:rFonts w:eastAsia="Arial" w:cs="Arial"/>
          <w:sz w:val="16"/>
          <w:szCs w:val="16"/>
        </w:rPr>
        <w:t>Počet zahraničních hostů byl loni s rokem 2019 srovnatelný, avšak jejich počet přenocování stále lehce zaostával (o 1,6 %). </w:t>
      </w:r>
    </w:p>
  </w:footnote>
  <w:footnote w:id="57">
    <w:p w14:paraId="209A7FE1" w14:textId="77777777" w:rsidR="00290725" w:rsidRPr="005D63EE" w:rsidRDefault="00290725" w:rsidP="00290725">
      <w:pPr>
        <w:pStyle w:val="Textpoznpodarou"/>
        <w:rPr>
          <w:sz w:val="16"/>
          <w:szCs w:val="16"/>
        </w:rPr>
      </w:pPr>
      <w:r w:rsidRPr="005D63EE">
        <w:rPr>
          <w:rStyle w:val="Znakapoznpodarou"/>
          <w:sz w:val="16"/>
          <w:szCs w:val="16"/>
        </w:rPr>
        <w:footnoteRef/>
      </w:r>
      <w:r w:rsidRPr="005D63EE">
        <w:rPr>
          <w:sz w:val="16"/>
          <w:szCs w:val="16"/>
        </w:rPr>
        <w:t xml:space="preserve"> Ty zahrnují např. </w:t>
      </w:r>
      <w:r>
        <w:rPr>
          <w:sz w:val="16"/>
          <w:szCs w:val="16"/>
        </w:rPr>
        <w:t>p</w:t>
      </w:r>
      <w:r w:rsidRPr="005D63EE">
        <w:rPr>
          <w:sz w:val="16"/>
          <w:szCs w:val="16"/>
        </w:rPr>
        <w:t xml:space="preserve">ořádání konferencí a výstav, inkasní činnosti, ověřování solventnosti zákazníka, ale také např. činnosti call-center. </w:t>
      </w:r>
    </w:p>
  </w:footnote>
  <w:footnote w:id="58">
    <w:p w14:paraId="622892C8" w14:textId="77777777" w:rsidR="00290725" w:rsidRPr="002B695B" w:rsidRDefault="00290725" w:rsidP="00290725">
      <w:pPr>
        <w:pStyle w:val="Textpoznpodarou"/>
        <w:rPr>
          <w:sz w:val="16"/>
          <w:szCs w:val="16"/>
        </w:rPr>
      </w:pPr>
      <w:r w:rsidRPr="002B695B">
        <w:rPr>
          <w:rStyle w:val="Znakapoznpodarou"/>
          <w:sz w:val="16"/>
          <w:szCs w:val="16"/>
        </w:rPr>
        <w:footnoteRef/>
      </w:r>
      <w:r>
        <w:rPr>
          <w:sz w:val="16"/>
          <w:szCs w:val="16"/>
        </w:rPr>
        <w:t xml:space="preserve"> Meziročně se nejvíce</w:t>
      </w:r>
      <w:r w:rsidRPr="002B695B">
        <w:rPr>
          <w:sz w:val="16"/>
          <w:szCs w:val="16"/>
        </w:rPr>
        <w:t xml:space="preserve"> zvyšovaly tržby </w:t>
      </w:r>
      <w:r>
        <w:rPr>
          <w:sz w:val="16"/>
          <w:szCs w:val="16"/>
        </w:rPr>
        <w:t xml:space="preserve">(bez očištění) </w:t>
      </w:r>
      <w:r w:rsidRPr="002B695B">
        <w:rPr>
          <w:sz w:val="16"/>
          <w:szCs w:val="16"/>
        </w:rPr>
        <w:t xml:space="preserve">za </w:t>
      </w:r>
      <w:r>
        <w:rPr>
          <w:sz w:val="16"/>
          <w:szCs w:val="16"/>
        </w:rPr>
        <w:t>p</w:t>
      </w:r>
      <w:r w:rsidRPr="002B695B">
        <w:rPr>
          <w:sz w:val="16"/>
          <w:szCs w:val="16"/>
        </w:rPr>
        <w:t>ronájem a leasing ostatních strojů</w:t>
      </w:r>
      <w:r>
        <w:rPr>
          <w:sz w:val="16"/>
          <w:szCs w:val="16"/>
        </w:rPr>
        <w:t xml:space="preserve"> (např. stavebních či zemědělských)</w:t>
      </w:r>
      <w:r w:rsidRPr="002B695B">
        <w:rPr>
          <w:sz w:val="16"/>
          <w:szCs w:val="16"/>
        </w:rPr>
        <w:t>, zařízení a nákladních automobilů (+</w:t>
      </w:r>
      <w:r>
        <w:rPr>
          <w:sz w:val="16"/>
          <w:szCs w:val="16"/>
        </w:rPr>
        <w:t>8,1</w:t>
      </w:r>
      <w:r w:rsidRPr="002B695B">
        <w:rPr>
          <w:sz w:val="16"/>
          <w:szCs w:val="16"/>
        </w:rPr>
        <w:t xml:space="preserve"> %)</w:t>
      </w:r>
      <w:r>
        <w:rPr>
          <w:sz w:val="16"/>
          <w:szCs w:val="16"/>
        </w:rPr>
        <w:t xml:space="preserve">, nejméně za </w:t>
      </w:r>
      <w:r w:rsidRPr="002B695B">
        <w:rPr>
          <w:sz w:val="16"/>
          <w:szCs w:val="16"/>
        </w:rPr>
        <w:t xml:space="preserve">pronájem a leasing </w:t>
      </w:r>
      <w:r>
        <w:rPr>
          <w:sz w:val="16"/>
          <w:szCs w:val="16"/>
        </w:rPr>
        <w:t xml:space="preserve">osobních </w:t>
      </w:r>
      <w:r w:rsidRPr="002B695B">
        <w:rPr>
          <w:sz w:val="16"/>
          <w:szCs w:val="16"/>
        </w:rPr>
        <w:t>automobilů</w:t>
      </w:r>
      <w:r>
        <w:rPr>
          <w:sz w:val="16"/>
          <w:szCs w:val="16"/>
        </w:rPr>
        <w:t xml:space="preserve"> (a jiných lehkých motorových vozidel),</w:t>
      </w:r>
      <w:r w:rsidRPr="002B695B">
        <w:rPr>
          <w:sz w:val="16"/>
          <w:szCs w:val="16"/>
        </w:rPr>
        <w:t xml:space="preserve"> </w:t>
      </w:r>
      <w:r>
        <w:rPr>
          <w:sz w:val="16"/>
          <w:szCs w:val="16"/>
        </w:rPr>
        <w:t>kde poptávka</w:t>
      </w:r>
      <w:r w:rsidRPr="002B695B">
        <w:rPr>
          <w:sz w:val="16"/>
          <w:szCs w:val="16"/>
        </w:rPr>
        <w:t xml:space="preserve"> </w:t>
      </w:r>
      <w:r>
        <w:rPr>
          <w:sz w:val="16"/>
          <w:szCs w:val="16"/>
        </w:rPr>
        <w:t xml:space="preserve">stejně jako </w:t>
      </w:r>
      <w:r w:rsidRPr="002B695B">
        <w:rPr>
          <w:sz w:val="16"/>
          <w:szCs w:val="16"/>
        </w:rPr>
        <w:t>v</w:t>
      </w:r>
      <w:r>
        <w:rPr>
          <w:sz w:val="16"/>
          <w:szCs w:val="16"/>
        </w:rPr>
        <w:t> </w:t>
      </w:r>
      <w:r w:rsidRPr="002B695B">
        <w:rPr>
          <w:sz w:val="16"/>
          <w:szCs w:val="16"/>
        </w:rPr>
        <w:t>před</w:t>
      </w:r>
      <w:r>
        <w:rPr>
          <w:sz w:val="16"/>
          <w:szCs w:val="16"/>
        </w:rPr>
        <w:t>chozích dvou letech spíše stagnovala.</w:t>
      </w:r>
    </w:p>
  </w:footnote>
  <w:footnote w:id="59">
    <w:p w14:paraId="4993FDC3" w14:textId="77777777" w:rsidR="00290725" w:rsidRPr="00052DD9" w:rsidRDefault="00290725" w:rsidP="00290725">
      <w:pPr>
        <w:pStyle w:val="Textpoznpodarou"/>
        <w:rPr>
          <w:sz w:val="16"/>
          <w:szCs w:val="16"/>
        </w:rPr>
      </w:pPr>
      <w:r w:rsidRPr="00052DD9">
        <w:rPr>
          <w:rStyle w:val="Znakapoznpodarou"/>
          <w:sz w:val="16"/>
          <w:szCs w:val="16"/>
        </w:rPr>
        <w:footnoteRef/>
      </w:r>
      <w:r w:rsidRPr="00052DD9">
        <w:rPr>
          <w:sz w:val="16"/>
          <w:szCs w:val="16"/>
        </w:rPr>
        <w:t xml:space="preserve"> K poklesu tržeb </w:t>
      </w:r>
      <w:r>
        <w:rPr>
          <w:sz w:val="16"/>
          <w:szCs w:val="16"/>
        </w:rPr>
        <w:t xml:space="preserve">zde </w:t>
      </w:r>
      <w:r w:rsidRPr="00052DD9">
        <w:rPr>
          <w:sz w:val="16"/>
          <w:szCs w:val="16"/>
        </w:rPr>
        <w:t xml:space="preserve">došlo i při vysokém růstu počtu pracujících cizinců v ČR. Na něm se v posledních </w:t>
      </w:r>
      <w:r>
        <w:rPr>
          <w:sz w:val="16"/>
          <w:szCs w:val="16"/>
        </w:rPr>
        <w:t>čtyřech</w:t>
      </w:r>
      <w:r w:rsidRPr="00052DD9">
        <w:rPr>
          <w:sz w:val="16"/>
          <w:szCs w:val="16"/>
        </w:rPr>
        <w:t xml:space="preserve"> letech významně podíleli uprchlíci z Ukrajiny. Vzhledem ke statutu dočasné ochrany, který byl těmto osobám přiznán, je </w:t>
      </w:r>
      <w:r>
        <w:rPr>
          <w:sz w:val="16"/>
          <w:szCs w:val="16"/>
        </w:rPr>
        <w:t>je</w:t>
      </w:r>
      <w:r w:rsidRPr="00052DD9">
        <w:rPr>
          <w:sz w:val="16"/>
          <w:szCs w:val="16"/>
        </w:rPr>
        <w:t xml:space="preserve">jich zaměstnávání v tuzemsku administrativně jednodušší (oproti ostatním skupinám migrantů z tzv. třetích zemí) a </w:t>
      </w:r>
      <w:r>
        <w:rPr>
          <w:sz w:val="16"/>
          <w:szCs w:val="16"/>
        </w:rPr>
        <w:t>ti tak mohou</w:t>
      </w:r>
      <w:r w:rsidRPr="00052DD9">
        <w:rPr>
          <w:sz w:val="16"/>
          <w:szCs w:val="16"/>
        </w:rPr>
        <w:t xml:space="preserve"> snáze nalézt práci „napřímo“ (bez zprostředkovatele). Kromě výše uvedeného se na pokle</w:t>
      </w:r>
      <w:r>
        <w:rPr>
          <w:sz w:val="16"/>
          <w:szCs w:val="16"/>
        </w:rPr>
        <w:t xml:space="preserve">su tržeb </w:t>
      </w:r>
      <w:r w:rsidRPr="00052DD9">
        <w:rPr>
          <w:sz w:val="16"/>
          <w:szCs w:val="16"/>
        </w:rPr>
        <w:t xml:space="preserve">může podílet i snížená poptávka pracovních </w:t>
      </w:r>
      <w:r>
        <w:rPr>
          <w:sz w:val="16"/>
          <w:szCs w:val="16"/>
        </w:rPr>
        <w:t xml:space="preserve">agentur </w:t>
      </w:r>
      <w:r w:rsidRPr="00052DD9">
        <w:rPr>
          <w:sz w:val="16"/>
          <w:szCs w:val="16"/>
        </w:rPr>
        <w:t xml:space="preserve">ze strany </w:t>
      </w:r>
      <w:r>
        <w:rPr>
          <w:sz w:val="16"/>
          <w:szCs w:val="16"/>
        </w:rPr>
        <w:t xml:space="preserve">některých </w:t>
      </w:r>
      <w:r w:rsidRPr="00052DD9">
        <w:rPr>
          <w:sz w:val="16"/>
          <w:szCs w:val="16"/>
        </w:rPr>
        <w:t>klí</w:t>
      </w:r>
      <w:r>
        <w:rPr>
          <w:sz w:val="16"/>
          <w:szCs w:val="16"/>
        </w:rPr>
        <w:t xml:space="preserve">čových výrobních oborů </w:t>
      </w:r>
      <w:r w:rsidRPr="00052DD9">
        <w:rPr>
          <w:sz w:val="16"/>
          <w:szCs w:val="16"/>
        </w:rPr>
        <w:t>průmysl</w:t>
      </w:r>
      <w:r>
        <w:rPr>
          <w:sz w:val="16"/>
          <w:szCs w:val="16"/>
        </w:rPr>
        <w:t>u.</w:t>
      </w:r>
    </w:p>
  </w:footnote>
  <w:footnote w:id="60">
    <w:p w14:paraId="4D7B0C63" w14:textId="77777777" w:rsidR="00290725" w:rsidRPr="00F53211" w:rsidRDefault="00290725" w:rsidP="00290725">
      <w:pPr>
        <w:pStyle w:val="Textpoznpodarou"/>
        <w:rPr>
          <w:sz w:val="16"/>
          <w:szCs w:val="16"/>
        </w:rPr>
      </w:pPr>
      <w:r w:rsidRPr="00F53211">
        <w:rPr>
          <w:rStyle w:val="Znakapoznpodarou"/>
          <w:sz w:val="16"/>
          <w:szCs w:val="16"/>
        </w:rPr>
        <w:footnoteRef/>
      </w:r>
      <w:r w:rsidRPr="00F53211">
        <w:rPr>
          <w:sz w:val="16"/>
          <w:szCs w:val="16"/>
        </w:rPr>
        <w:t xml:space="preserve"> L</w:t>
      </w:r>
      <w:r>
        <w:rPr>
          <w:sz w:val="16"/>
          <w:szCs w:val="16"/>
        </w:rPr>
        <w:t xml:space="preserve">oni </w:t>
      </w:r>
      <w:r w:rsidRPr="00F53211">
        <w:rPr>
          <w:sz w:val="16"/>
          <w:szCs w:val="16"/>
        </w:rPr>
        <w:t xml:space="preserve">v listopadu tak </w:t>
      </w:r>
      <w:r w:rsidRPr="00F53211">
        <w:rPr>
          <w:rFonts w:eastAsia="Times New Roman" w:cs="Arial"/>
          <w:sz w:val="16"/>
          <w:szCs w:val="16"/>
        </w:rPr>
        <w:t xml:space="preserve">poprvé od konce roku 2019 vystoupila ze záporného pásma a ve vztahu k dlouhodobému průměru (období </w:t>
      </w:r>
      <w:r>
        <w:rPr>
          <w:rFonts w:eastAsia="Times New Roman" w:cs="Arial"/>
          <w:sz w:val="16"/>
          <w:szCs w:val="16"/>
        </w:rPr>
        <w:t xml:space="preserve">let </w:t>
      </w:r>
      <w:r w:rsidRPr="00F53211">
        <w:rPr>
          <w:rFonts w:eastAsia="Times New Roman" w:cs="Arial"/>
          <w:sz w:val="16"/>
          <w:szCs w:val="16"/>
        </w:rPr>
        <w:t>2003</w:t>
      </w:r>
      <w:r>
        <w:rPr>
          <w:rFonts w:eastAsia="Times New Roman" w:cs="Arial"/>
          <w:sz w:val="16"/>
          <w:szCs w:val="16"/>
        </w:rPr>
        <w:t>–</w:t>
      </w:r>
      <w:r w:rsidRPr="00F53211">
        <w:rPr>
          <w:rFonts w:eastAsia="Times New Roman" w:cs="Arial"/>
          <w:sz w:val="16"/>
          <w:szCs w:val="16"/>
        </w:rPr>
        <w:t>2024) byla vyšší skoro o 12 %.</w:t>
      </w:r>
      <w:r>
        <w:rPr>
          <w:rFonts w:eastAsia="Times New Roman" w:cs="Arial"/>
          <w:sz w:val="16"/>
          <w:szCs w:val="16"/>
        </w:rPr>
        <w:t xml:space="preserve"> V dalších měsících sice došlo k drobné korekci, i tak ale byla spotřebitelská důvěra v meziročním pohledu znatelně vyšší. </w:t>
      </w:r>
    </w:p>
  </w:footnote>
  <w:footnote w:id="61">
    <w:p w14:paraId="0497170C" w14:textId="77777777" w:rsidR="00290725" w:rsidRPr="00EB7D87" w:rsidRDefault="00290725" w:rsidP="00290725">
      <w:pPr>
        <w:spacing w:after="0" w:line="240" w:lineRule="auto"/>
        <w:jc w:val="left"/>
        <w:rPr>
          <w:spacing w:val="-2"/>
        </w:rPr>
      </w:pPr>
      <w:r w:rsidRPr="00EB7D87">
        <w:rPr>
          <w:rStyle w:val="Znakapoznpodarou"/>
          <w:color w:val="0D0D0D" w:themeColor="text1" w:themeTint="F2"/>
          <w:spacing w:val="-2"/>
          <w:sz w:val="16"/>
          <w:szCs w:val="16"/>
        </w:rPr>
        <w:footnoteRef/>
      </w:r>
      <w:r>
        <w:rPr>
          <w:color w:val="0D0D0D" w:themeColor="text1" w:themeTint="F2"/>
          <w:spacing w:val="-2"/>
          <w:sz w:val="16"/>
          <w:szCs w:val="16"/>
        </w:rPr>
        <w:t xml:space="preserve"> Všechna meziroční</w:t>
      </w:r>
      <w:r w:rsidRPr="00EB7D87">
        <w:rPr>
          <w:color w:val="0D0D0D" w:themeColor="text1" w:themeTint="F2"/>
          <w:spacing w:val="-2"/>
          <w:sz w:val="16"/>
          <w:szCs w:val="16"/>
        </w:rPr>
        <w:t xml:space="preserve"> tempa tržeb za maloobchod jsou uvedena ve stálých cenách a očištěna o kalendářní vlivy, mezičtvrtletní tempa jsou očištěna o sezónní vlivy (včetně vlivu počtu pracovních dnů). Maloobchod zahrnuje </w:t>
      </w:r>
      <w:r>
        <w:rPr>
          <w:color w:val="0D0D0D" w:themeColor="text1" w:themeTint="F2"/>
          <w:spacing w:val="-2"/>
          <w:sz w:val="16"/>
          <w:szCs w:val="16"/>
        </w:rPr>
        <w:t xml:space="preserve">pouze </w:t>
      </w:r>
      <w:r w:rsidRPr="00EB7D87">
        <w:rPr>
          <w:color w:val="0D0D0D" w:themeColor="text1" w:themeTint="F2"/>
          <w:spacing w:val="-2"/>
          <w:sz w:val="16"/>
          <w:szCs w:val="16"/>
        </w:rPr>
        <w:t>odvětví CZ-NACE 47.</w:t>
      </w:r>
    </w:p>
  </w:footnote>
  <w:footnote w:id="62">
    <w:p w14:paraId="335BDC1C" w14:textId="77777777" w:rsidR="00290725" w:rsidRPr="00495FE3" w:rsidRDefault="00290725" w:rsidP="00290725">
      <w:pPr>
        <w:pStyle w:val="Textpoznpodarou"/>
        <w:rPr>
          <w:spacing w:val="-2"/>
          <w:sz w:val="16"/>
          <w:szCs w:val="16"/>
        </w:rPr>
      </w:pPr>
      <w:r w:rsidRPr="006D59C3">
        <w:rPr>
          <w:rStyle w:val="Znakapoznpodarou"/>
          <w:sz w:val="16"/>
          <w:szCs w:val="16"/>
        </w:rPr>
        <w:footnoteRef/>
      </w:r>
      <w:r>
        <w:rPr>
          <w:sz w:val="16"/>
          <w:szCs w:val="16"/>
        </w:rPr>
        <w:t xml:space="preserve"> </w:t>
      </w:r>
      <w:r w:rsidRPr="00495FE3">
        <w:rPr>
          <w:spacing w:val="-2"/>
          <w:sz w:val="16"/>
          <w:szCs w:val="16"/>
        </w:rPr>
        <w:t xml:space="preserve">Vedle toho </w:t>
      </w:r>
      <w:r>
        <w:rPr>
          <w:spacing w:val="-2"/>
          <w:sz w:val="16"/>
          <w:szCs w:val="16"/>
        </w:rPr>
        <w:t xml:space="preserve">loni </w:t>
      </w:r>
      <w:r w:rsidRPr="00495FE3">
        <w:rPr>
          <w:spacing w:val="-2"/>
          <w:sz w:val="16"/>
          <w:szCs w:val="16"/>
        </w:rPr>
        <w:t xml:space="preserve">pokračoval pátý rok v řadě růst tržeb v okrajovém segmentu </w:t>
      </w:r>
      <w:r w:rsidRPr="00495FE3">
        <w:rPr>
          <w:rFonts w:cs="Arial"/>
          <w:color w:val="0D0D0D" w:themeColor="text1" w:themeTint="F2"/>
          <w:spacing w:val="-2"/>
          <w:sz w:val="16"/>
          <w:szCs w:val="16"/>
        </w:rPr>
        <w:t xml:space="preserve">nespecializovaných prodejen s převahou nepotravinářského zboží (loni o </w:t>
      </w:r>
      <w:r>
        <w:rPr>
          <w:rFonts w:cs="Arial"/>
          <w:color w:val="0D0D0D" w:themeColor="text1" w:themeTint="F2"/>
          <w:spacing w:val="-2"/>
          <w:sz w:val="16"/>
          <w:szCs w:val="16"/>
        </w:rPr>
        <w:t>5,7</w:t>
      </w:r>
      <w:r w:rsidRPr="00495FE3">
        <w:rPr>
          <w:rFonts w:cs="Arial"/>
          <w:color w:val="0D0D0D" w:themeColor="text1" w:themeTint="F2"/>
          <w:spacing w:val="-2"/>
          <w:sz w:val="16"/>
          <w:szCs w:val="16"/>
        </w:rPr>
        <w:t xml:space="preserve"> %, předloni o 14,6 %). Ten se zaměřuje na nabídku různorodého</w:t>
      </w:r>
      <w:r>
        <w:rPr>
          <w:rFonts w:cs="Arial"/>
          <w:color w:val="0D0D0D" w:themeColor="text1" w:themeTint="F2"/>
          <w:spacing w:val="-2"/>
          <w:sz w:val="16"/>
          <w:szCs w:val="16"/>
        </w:rPr>
        <w:t>,</w:t>
      </w:r>
      <w:r w:rsidRPr="00495FE3">
        <w:rPr>
          <w:rFonts w:cs="Arial"/>
          <w:color w:val="0D0D0D" w:themeColor="text1" w:themeTint="F2"/>
          <w:spacing w:val="-2"/>
          <w:sz w:val="16"/>
          <w:szCs w:val="16"/>
        </w:rPr>
        <w:t xml:space="preserve"> spíše drobnějšího zboží za diskontní ceny</w:t>
      </w:r>
      <w:r>
        <w:rPr>
          <w:rFonts w:cs="Arial"/>
          <w:color w:val="0D0D0D" w:themeColor="text1" w:themeTint="F2"/>
          <w:spacing w:val="-2"/>
          <w:sz w:val="16"/>
          <w:szCs w:val="16"/>
        </w:rPr>
        <w:t xml:space="preserve"> a v posledních letech postupně v Česku rozšiřoval svou obchodní sítˇ.</w:t>
      </w:r>
    </w:p>
  </w:footnote>
  <w:footnote w:id="63">
    <w:p w14:paraId="6617F337" w14:textId="77777777" w:rsidR="00290725" w:rsidRPr="00036FE0" w:rsidRDefault="00290725" w:rsidP="00290725">
      <w:pPr>
        <w:pStyle w:val="Textpoznpodarou"/>
        <w:rPr>
          <w:sz w:val="16"/>
          <w:szCs w:val="16"/>
        </w:rPr>
      </w:pPr>
      <w:r w:rsidRPr="00495FE3">
        <w:rPr>
          <w:rStyle w:val="Znakapoznpodarou"/>
          <w:spacing w:val="-2"/>
          <w:sz w:val="16"/>
          <w:szCs w:val="16"/>
        </w:rPr>
        <w:footnoteRef/>
      </w:r>
      <w:r w:rsidRPr="00495FE3">
        <w:rPr>
          <w:spacing w:val="-2"/>
          <w:sz w:val="16"/>
          <w:szCs w:val="16"/>
        </w:rPr>
        <w:t xml:space="preserve"> K dlouhodobějšímu růstu poptávky u obou těchto sortimentních skupin pomáhal i příznivý cenový vývoj (v letech 2024 i 2025 zde spotřebitelské ceny mírně klesaly).</w:t>
      </w:r>
    </w:p>
  </w:footnote>
  <w:footnote w:id="64">
    <w:p w14:paraId="3FDA650A" w14:textId="77777777" w:rsidR="00290725" w:rsidRPr="00495FE3" w:rsidRDefault="00290725" w:rsidP="00290725">
      <w:pPr>
        <w:pStyle w:val="Textpoznpodarou"/>
        <w:rPr>
          <w:rFonts w:cs="Arial"/>
          <w:color w:val="0D0D0D" w:themeColor="text1" w:themeTint="F2"/>
          <w:spacing w:val="-2"/>
          <w:sz w:val="16"/>
          <w:szCs w:val="16"/>
        </w:rPr>
      </w:pPr>
      <w:r w:rsidRPr="00CD4275">
        <w:rPr>
          <w:rStyle w:val="Znakapoznpodarou"/>
          <w:sz w:val="16"/>
          <w:szCs w:val="16"/>
        </w:rPr>
        <w:footnoteRef/>
      </w:r>
      <w:r w:rsidRPr="00CD4275">
        <w:rPr>
          <w:sz w:val="16"/>
          <w:szCs w:val="16"/>
        </w:rPr>
        <w:t xml:space="preserve"> </w:t>
      </w:r>
      <w:r w:rsidRPr="00495FE3">
        <w:rPr>
          <w:rFonts w:cs="Arial"/>
          <w:color w:val="0D0D0D" w:themeColor="text1" w:themeTint="F2"/>
          <w:spacing w:val="-2"/>
          <w:sz w:val="16"/>
          <w:szCs w:val="16"/>
        </w:rPr>
        <w:t>Spotřebitelská cena nafty dosahovala loni v květnu</w:t>
      </w:r>
      <w:r w:rsidRPr="00495FE3">
        <w:rPr>
          <w:iCs/>
          <w:color w:val="0D0D0D" w:themeColor="text1" w:themeTint="F2"/>
          <w:spacing w:val="-2"/>
          <w:sz w:val="16"/>
          <w:szCs w:val="16"/>
        </w:rPr>
        <w:t xml:space="preserve"> v průměru 32,70 korun/l a benzín Natural 95 se na čerpacích stanicích prodával přibližně za 33,90 korun/l. V případě nafty to byla nejnižší hodnota od června roku 2023 a u benzinu Natural 95 dokonce od září roku 2021.</w:t>
      </w:r>
      <w:r w:rsidRPr="00495FE3">
        <w:rPr>
          <w:rFonts w:cs="Arial"/>
          <w:color w:val="0D0D0D" w:themeColor="text1" w:themeTint="F2"/>
          <w:spacing w:val="-2"/>
          <w:sz w:val="16"/>
          <w:szCs w:val="16"/>
        </w:rPr>
        <w:t xml:space="preserve"> Příznivý vývoj cen pokračoval bez výraznějších výkyvů až do vypuknutí války v Íránu (na počátku března 2026). Na tento vývoj kromě tuzemských domácností i firem reagovali také zahraniční dopravci, j</w:t>
      </w:r>
      <w:r>
        <w:rPr>
          <w:rFonts w:cs="Arial"/>
          <w:color w:val="0D0D0D" w:themeColor="text1" w:themeTint="F2"/>
          <w:spacing w:val="-2"/>
          <w:sz w:val="16"/>
          <w:szCs w:val="16"/>
        </w:rPr>
        <w:t>i</w:t>
      </w:r>
      <w:r w:rsidRPr="00495FE3">
        <w:rPr>
          <w:rFonts w:cs="Arial"/>
          <w:color w:val="0D0D0D" w:themeColor="text1" w:themeTint="F2"/>
          <w:spacing w:val="-2"/>
          <w:sz w:val="16"/>
          <w:szCs w:val="16"/>
        </w:rPr>
        <w:t>ž přes Česko realizují tranzitní dopravu.</w:t>
      </w:r>
    </w:p>
  </w:footnote>
  <w:footnote w:id="65">
    <w:p w14:paraId="3863053A" w14:textId="77777777" w:rsidR="00290725" w:rsidRPr="00495FE3" w:rsidRDefault="00290725" w:rsidP="00290725">
      <w:pPr>
        <w:pStyle w:val="Textpoznpodarou"/>
        <w:rPr>
          <w:spacing w:val="-2"/>
          <w:sz w:val="16"/>
          <w:szCs w:val="16"/>
        </w:rPr>
      </w:pPr>
      <w:r w:rsidRPr="00495FE3">
        <w:rPr>
          <w:rStyle w:val="Znakapoznpodarou"/>
          <w:spacing w:val="-2"/>
          <w:sz w:val="16"/>
          <w:szCs w:val="16"/>
        </w:rPr>
        <w:footnoteRef/>
      </w:r>
      <w:r w:rsidRPr="00495FE3">
        <w:rPr>
          <w:spacing w:val="-2"/>
          <w:sz w:val="16"/>
          <w:szCs w:val="16"/>
        </w:rPr>
        <w:t xml:space="preserve"> Tržby za PHM v běžných cenách se ovšem loni zvýšily pouze o 1,</w:t>
      </w:r>
      <w:r>
        <w:rPr>
          <w:spacing w:val="-2"/>
          <w:sz w:val="16"/>
          <w:szCs w:val="16"/>
        </w:rPr>
        <w:t>5</w:t>
      </w:r>
      <w:r w:rsidRPr="00495FE3">
        <w:rPr>
          <w:spacing w:val="-2"/>
          <w:sz w:val="16"/>
          <w:szCs w:val="16"/>
        </w:rPr>
        <w:t xml:space="preserve"> %</w:t>
      </w:r>
      <w:r>
        <w:rPr>
          <w:spacing w:val="-2"/>
          <w:sz w:val="16"/>
          <w:szCs w:val="16"/>
        </w:rPr>
        <w:t>, tedy čtyři</w:t>
      </w:r>
      <w:r w:rsidRPr="00495FE3">
        <w:rPr>
          <w:spacing w:val="-2"/>
          <w:sz w:val="16"/>
          <w:szCs w:val="16"/>
        </w:rPr>
        <w:t>krát méně než v roce 2024.</w:t>
      </w:r>
    </w:p>
  </w:footnote>
  <w:footnote w:id="66">
    <w:p w14:paraId="49CC5EAE" w14:textId="77777777" w:rsidR="00290725" w:rsidRPr="003A3340" w:rsidRDefault="00290725" w:rsidP="00290725">
      <w:pPr>
        <w:pStyle w:val="Textpoznpodarou"/>
        <w:rPr>
          <w:sz w:val="16"/>
          <w:szCs w:val="16"/>
        </w:rPr>
      </w:pPr>
      <w:r w:rsidRPr="00495FE3">
        <w:rPr>
          <w:rStyle w:val="Znakapoznpodarou"/>
          <w:spacing w:val="-2"/>
          <w:sz w:val="16"/>
          <w:szCs w:val="16"/>
        </w:rPr>
        <w:footnoteRef/>
      </w:r>
      <w:r w:rsidRPr="00495FE3">
        <w:rPr>
          <w:spacing w:val="-2"/>
          <w:sz w:val="16"/>
          <w:szCs w:val="16"/>
        </w:rPr>
        <w:t xml:space="preserve"> P</w:t>
      </w:r>
      <w:r w:rsidRPr="00C63E45">
        <w:rPr>
          <w:sz w:val="16"/>
          <w:szCs w:val="16"/>
        </w:rPr>
        <w:t xml:space="preserve">odobným tempem zde tržby klesají čtvrtý rok v řadě. Lze předpokládat, že stále významnější část poptávky po počítačových </w:t>
      </w:r>
      <w:r w:rsidRPr="00C63E45">
        <w:rPr>
          <w:sz w:val="16"/>
          <w:szCs w:val="16"/>
        </w:rPr>
        <w:br/>
        <w:t xml:space="preserve">a komunikačních zařízeních je realizována zpravidla ve větších provozovnách náležících (dle své převažující činnosti) do internetového prodeje. </w:t>
      </w:r>
    </w:p>
  </w:footnote>
  <w:footnote w:id="67">
    <w:p w14:paraId="40592688" w14:textId="77777777" w:rsidR="00290725" w:rsidRPr="008B72AA" w:rsidRDefault="00290725" w:rsidP="00290725">
      <w:pPr>
        <w:pStyle w:val="Textpoznpodarou"/>
        <w:rPr>
          <w:sz w:val="16"/>
          <w:szCs w:val="16"/>
        </w:rPr>
      </w:pPr>
      <w:r w:rsidRPr="008B72AA">
        <w:rPr>
          <w:rStyle w:val="Znakapoznpodarou"/>
          <w:sz w:val="16"/>
          <w:szCs w:val="16"/>
        </w:rPr>
        <w:footnoteRef/>
      </w:r>
      <w:r w:rsidRPr="008B72AA">
        <w:rPr>
          <w:sz w:val="16"/>
          <w:szCs w:val="16"/>
        </w:rPr>
        <w:t xml:space="preserve"> </w:t>
      </w:r>
      <w:r w:rsidRPr="00C63E45">
        <w:rPr>
          <w:sz w:val="16"/>
          <w:szCs w:val="16"/>
        </w:rPr>
        <w:t xml:space="preserve">Zahrnují hlavně </w:t>
      </w:r>
      <w:r w:rsidRPr="00C63E45">
        <w:rPr>
          <w:rStyle w:val="normaltextrun"/>
          <w:rFonts w:eastAsia="MS Gothic" w:cs="Arial"/>
          <w:sz w:val="16"/>
          <w:szCs w:val="16"/>
        </w:rPr>
        <w:t>železářské zboží, stavebniny, barvy, sklo, potřeby pro kutily, elektrospotřebiče, elektroniku, nábytek,</w:t>
      </w:r>
      <w:r w:rsidRPr="00C63E45">
        <w:rPr>
          <w:rFonts w:cs="Arial"/>
          <w:color w:val="0D0D0D" w:themeColor="text1" w:themeTint="F2"/>
          <w:sz w:val="16"/>
          <w:szCs w:val="16"/>
        </w:rPr>
        <w:t xml:space="preserve"> </w:t>
      </w:r>
      <w:r w:rsidRPr="00C63E45">
        <w:rPr>
          <w:rStyle w:val="normaltextrun"/>
          <w:rFonts w:eastAsia="MS Gothic" w:cs="Arial"/>
          <w:sz w:val="16"/>
          <w:szCs w:val="16"/>
        </w:rPr>
        <w:t xml:space="preserve">svítidla, </w:t>
      </w:r>
      <w:r w:rsidRPr="00C63E45">
        <w:rPr>
          <w:rFonts w:cs="Arial"/>
          <w:color w:val="0D0D0D" w:themeColor="text1" w:themeTint="F2"/>
          <w:sz w:val="16"/>
          <w:szCs w:val="16"/>
        </w:rPr>
        <w:t>koberce či bytový textil.</w:t>
      </w:r>
    </w:p>
  </w:footnote>
  <w:footnote w:id="68">
    <w:p w14:paraId="372809C5" w14:textId="77777777" w:rsidR="00290725" w:rsidRPr="00B61103" w:rsidRDefault="00290725" w:rsidP="00290725">
      <w:pPr>
        <w:pStyle w:val="Textpoznpodarou"/>
        <w:rPr>
          <w:sz w:val="16"/>
          <w:szCs w:val="16"/>
        </w:rPr>
      </w:pPr>
      <w:r w:rsidRPr="00B61103">
        <w:rPr>
          <w:rStyle w:val="Znakapoznpodarou"/>
          <w:sz w:val="16"/>
          <w:szCs w:val="16"/>
        </w:rPr>
        <w:footnoteRef/>
      </w:r>
      <w:r w:rsidRPr="00B61103">
        <w:rPr>
          <w:sz w:val="16"/>
          <w:szCs w:val="16"/>
        </w:rPr>
        <w:t xml:space="preserve"> </w:t>
      </w:r>
      <w:r w:rsidRPr="00495FE3">
        <w:rPr>
          <w:spacing w:val="-2"/>
          <w:sz w:val="16"/>
          <w:szCs w:val="16"/>
        </w:rPr>
        <w:t>Podrobnější údaje za nespecializované prodejny s převahou potravin (v podnicích s ročním obratem vyšším než 15 mld. korun) naznačují, že loni zřejmě pokračoval dlouhodobý trend poklesu spotřeby alkoholu, nealkoholických nápojů a tabákových výrobků (např. spotřebitelské ceny tabákových výrobků v Česku loni vzrostly o 7,0 %, avšak tržby ve výše uvedeném segmentu prodejen se za tyto výrobky v běžných cenách zvýšily jen o 4,4 %). Na druhou stranu spotřebitelé loni ve výše uvedených prodejnách patrně více poptávali některé nepotravinářské zboží, jak naznačuje růst tržeb v běžných cenách za stavební materiál a železářské zboží (+7,4 %)</w:t>
      </w:r>
      <w:r>
        <w:rPr>
          <w:spacing w:val="-2"/>
          <w:sz w:val="16"/>
          <w:szCs w:val="16"/>
        </w:rPr>
        <w:t>. Naopak méně poptávali</w:t>
      </w:r>
      <w:r w:rsidRPr="00495FE3">
        <w:rPr>
          <w:spacing w:val="-2"/>
          <w:sz w:val="16"/>
          <w:szCs w:val="16"/>
        </w:rPr>
        <w:t xml:space="preserve"> oděvy, obuv, kožené zboží a cestovní potřeby (</w:t>
      </w:r>
      <w:r w:rsidRPr="00AD4480">
        <w:rPr>
          <w:color w:val="0D0D0D" w:themeColor="text1" w:themeTint="F2"/>
          <w:spacing w:val="-2"/>
          <w:sz w:val="16"/>
          <w:szCs w:val="16"/>
        </w:rPr>
        <w:t>−</w:t>
      </w:r>
      <w:r w:rsidRPr="00495FE3">
        <w:rPr>
          <w:spacing w:val="-2"/>
          <w:sz w:val="16"/>
          <w:szCs w:val="16"/>
        </w:rPr>
        <w:t xml:space="preserve">6,8 %). </w:t>
      </w:r>
      <w:r>
        <w:rPr>
          <w:spacing w:val="-2"/>
          <w:sz w:val="16"/>
          <w:szCs w:val="16"/>
        </w:rPr>
        <w:t>L</w:t>
      </w:r>
      <w:r w:rsidRPr="00495FE3">
        <w:rPr>
          <w:spacing w:val="-2"/>
          <w:sz w:val="16"/>
          <w:szCs w:val="16"/>
        </w:rPr>
        <w:t>oni spotřebitelské ceny v Česku nerostly</w:t>
      </w:r>
      <w:r>
        <w:rPr>
          <w:spacing w:val="-2"/>
          <w:sz w:val="16"/>
          <w:szCs w:val="16"/>
        </w:rPr>
        <w:t xml:space="preserve"> za oděvy a obuv, naopak rostly za výrobky pro domácnost.</w:t>
      </w:r>
    </w:p>
  </w:footnote>
  <w:footnote w:id="69">
    <w:p w14:paraId="160BA6A8" w14:textId="77777777" w:rsidR="00290725" w:rsidRPr="00495FE3" w:rsidRDefault="00290725" w:rsidP="00290725">
      <w:pPr>
        <w:pStyle w:val="Textpoznpodarou"/>
        <w:rPr>
          <w:spacing w:val="-2"/>
        </w:rPr>
      </w:pPr>
      <w:r w:rsidRPr="00495FE3">
        <w:rPr>
          <w:rStyle w:val="Znakapoznpodarou"/>
          <w:spacing w:val="-2"/>
          <w:sz w:val="16"/>
          <w:szCs w:val="16"/>
        </w:rPr>
        <w:footnoteRef/>
      </w:r>
      <w:r w:rsidRPr="00495FE3">
        <w:rPr>
          <w:spacing w:val="-2"/>
          <w:sz w:val="16"/>
          <w:szCs w:val="16"/>
        </w:rPr>
        <w:t xml:space="preserve"> Ty zahrnují např. masné výrobky, pečivo, cukrářské výrobky, nápoje či ov</w:t>
      </w:r>
      <w:r>
        <w:rPr>
          <w:spacing w:val="-2"/>
          <w:sz w:val="16"/>
          <w:szCs w:val="16"/>
        </w:rPr>
        <w:t>o</w:t>
      </w:r>
      <w:r w:rsidRPr="00495FE3">
        <w:rPr>
          <w:spacing w:val="-2"/>
          <w:sz w:val="16"/>
          <w:szCs w:val="16"/>
        </w:rPr>
        <w:t>ce a zeleninu. Největší váhu zde však v posledních letech mají prodejny s tabákovými výrobky</w:t>
      </w:r>
      <w:r>
        <w:rPr>
          <w:spacing w:val="-2"/>
          <w:sz w:val="16"/>
          <w:szCs w:val="16"/>
        </w:rPr>
        <w:t xml:space="preserve">, </w:t>
      </w:r>
      <w:r w:rsidRPr="00495FE3">
        <w:rPr>
          <w:spacing w:val="-2"/>
          <w:sz w:val="16"/>
          <w:szCs w:val="16"/>
        </w:rPr>
        <w:t>jejichž role roste zejména na úkor prodejen s masem.</w:t>
      </w:r>
    </w:p>
  </w:footnote>
  <w:footnote w:id="70">
    <w:p w14:paraId="610EC1B4" w14:textId="77777777" w:rsidR="00605D96" w:rsidRPr="001F1881" w:rsidRDefault="00605D96" w:rsidP="00605D96">
      <w:pPr>
        <w:pStyle w:val="Textpoznpodarou"/>
        <w:rPr>
          <w:rFonts w:cs="Arial"/>
          <w:iCs/>
          <w:sz w:val="16"/>
          <w:szCs w:val="16"/>
        </w:rPr>
      </w:pPr>
      <w:r w:rsidRPr="00B6522D">
        <w:rPr>
          <w:rStyle w:val="Znakapoznpodarou"/>
          <w:rFonts w:cs="Arial"/>
          <w:i/>
          <w:sz w:val="16"/>
          <w:szCs w:val="16"/>
        </w:rPr>
        <w:footnoteRef/>
      </w:r>
      <w:r w:rsidRPr="00B6522D">
        <w:rPr>
          <w:rFonts w:cs="Arial"/>
          <w:i/>
          <w:iCs/>
          <w:sz w:val="16"/>
          <w:szCs w:val="16"/>
        </w:rPr>
        <w:t xml:space="preserve"> </w:t>
      </w:r>
      <w:r w:rsidRPr="00B6522D">
        <w:rPr>
          <w:rStyle w:val="Zdraznn"/>
          <w:rFonts w:cs="Arial"/>
          <w:i w:val="0"/>
          <w:sz w:val="16"/>
          <w:szCs w:val="16"/>
          <w:bdr w:val="none" w:sz="0" w:space="0" w:color="auto" w:frame="1"/>
          <w:shd w:val="clear" w:color="auto" w:fill="FFFFFF"/>
        </w:rPr>
        <w:t>Údaje za zahraniční obchod se zbožím jsou od roku 2020 přepočítávány aktualizovanou metodou založenou na vyšší míře detailu, viz </w:t>
      </w:r>
      <w:hyperlink r:id="rId1" w:history="1">
        <w:r w:rsidRPr="005F1049">
          <w:rPr>
            <w:rStyle w:val="Hypertextovodkaz"/>
            <w:rFonts w:cs="Arial"/>
            <w:i/>
            <w:sz w:val="16"/>
            <w:szCs w:val="16"/>
            <w:bdr w:val="none" w:sz="0" w:space="0" w:color="auto" w:frame="1"/>
            <w:shd w:val="clear" w:color="auto" w:fill="FFFFFF"/>
          </w:rPr>
          <w:t>https://www.czso.cz/csu/czso/aktualizace-metody-propoctu-zahranicni-obchod-se-zbozim</w:t>
        </w:r>
      </w:hyperlink>
      <w:r>
        <w:rPr>
          <w:rFonts w:cs="Arial"/>
          <w:i/>
          <w:sz w:val="16"/>
          <w:szCs w:val="16"/>
          <w:bdr w:val="none" w:sz="0" w:space="0" w:color="auto" w:frame="1"/>
          <w:shd w:val="clear" w:color="auto" w:fill="FFFFFF"/>
        </w:rPr>
        <w:t>.</w:t>
      </w:r>
      <w:r>
        <w:rPr>
          <w:sz w:val="16"/>
          <w:szCs w:val="16"/>
        </w:rPr>
        <w:t xml:space="preserve"> N</w:t>
      </w:r>
      <w:r w:rsidRPr="00B6522D">
        <w:rPr>
          <w:sz w:val="16"/>
          <w:szCs w:val="16"/>
        </w:rPr>
        <w:t>ení-li uvedeno jinak, jsou všechny údaje</w:t>
      </w:r>
      <w:r w:rsidRPr="001F1881">
        <w:rPr>
          <w:sz w:val="16"/>
          <w:szCs w:val="16"/>
        </w:rPr>
        <w:t xml:space="preserve"> sezónně neočištěné a v běžných cenách.</w:t>
      </w:r>
    </w:p>
  </w:footnote>
  <w:footnote w:id="71">
    <w:p w14:paraId="0E2A0883" w14:textId="77777777" w:rsidR="00605D96" w:rsidRPr="007B30CA" w:rsidRDefault="00605D96" w:rsidP="00605D96">
      <w:pPr>
        <w:pStyle w:val="Textpoznpodarou"/>
        <w:rPr>
          <w:sz w:val="16"/>
          <w:szCs w:val="16"/>
        </w:rPr>
      </w:pPr>
      <w:r w:rsidRPr="00DF3884">
        <w:rPr>
          <w:rStyle w:val="Znakapoznpodarou"/>
          <w:sz w:val="16"/>
          <w:szCs w:val="16"/>
        </w:rPr>
        <w:footnoteRef/>
      </w:r>
      <w:r w:rsidRPr="00DF3884">
        <w:rPr>
          <w:sz w:val="16"/>
          <w:szCs w:val="16"/>
        </w:rPr>
        <w:t xml:space="preserve"> </w:t>
      </w:r>
      <w:r w:rsidRPr="0031401F">
        <w:rPr>
          <w:sz w:val="16"/>
          <w:szCs w:val="16"/>
        </w:rPr>
        <w:t xml:space="preserve">Ceny vývozu zboží za </w:t>
      </w:r>
      <w:r>
        <w:rPr>
          <w:sz w:val="16"/>
          <w:szCs w:val="16"/>
        </w:rPr>
        <w:t>rok 2025 klesly o 1,2 %. V samotném 4</w:t>
      </w:r>
      <w:r w:rsidRPr="0031401F">
        <w:rPr>
          <w:sz w:val="16"/>
          <w:szCs w:val="16"/>
        </w:rPr>
        <w:t xml:space="preserve">. čtvrtletí 2025 meziročně klesly o </w:t>
      </w:r>
      <w:r>
        <w:rPr>
          <w:sz w:val="16"/>
          <w:szCs w:val="16"/>
        </w:rPr>
        <w:t>4,2</w:t>
      </w:r>
      <w:r w:rsidRPr="0031401F">
        <w:rPr>
          <w:sz w:val="16"/>
          <w:szCs w:val="16"/>
        </w:rPr>
        <w:t xml:space="preserve"> % a mezičtvrtletně o </w:t>
      </w:r>
      <w:r>
        <w:rPr>
          <w:sz w:val="16"/>
          <w:szCs w:val="16"/>
        </w:rPr>
        <w:t>0,7</w:t>
      </w:r>
      <w:r w:rsidRPr="0031401F">
        <w:rPr>
          <w:sz w:val="16"/>
          <w:szCs w:val="16"/>
        </w:rPr>
        <w:t xml:space="preserve"> %.</w:t>
      </w:r>
      <w:r w:rsidRPr="007B30CA">
        <w:rPr>
          <w:sz w:val="16"/>
          <w:szCs w:val="16"/>
        </w:rPr>
        <w:t xml:space="preserve"> </w:t>
      </w:r>
    </w:p>
  </w:footnote>
  <w:footnote w:id="72">
    <w:p w14:paraId="7D952F33" w14:textId="77777777" w:rsidR="00605D96" w:rsidRDefault="00605D96" w:rsidP="00605D96">
      <w:pPr>
        <w:pStyle w:val="Textpoznpodarou"/>
      </w:pPr>
      <w:r w:rsidRPr="007B30CA">
        <w:rPr>
          <w:rStyle w:val="Znakapoznpodarou"/>
          <w:sz w:val="16"/>
          <w:szCs w:val="16"/>
        </w:rPr>
        <w:footnoteRef/>
      </w:r>
      <w:r w:rsidRPr="007B30CA">
        <w:rPr>
          <w:sz w:val="16"/>
          <w:szCs w:val="16"/>
        </w:rPr>
        <w:t xml:space="preserve"> </w:t>
      </w:r>
      <w:r>
        <w:rPr>
          <w:sz w:val="16"/>
          <w:szCs w:val="16"/>
        </w:rPr>
        <w:t xml:space="preserve">Efekt předzásobení v souvislosti s očekávaným zavedením cel na dovoz do USA se v českém kontextu </w:t>
      </w:r>
      <w:r w:rsidRPr="007B30CA">
        <w:rPr>
          <w:sz w:val="16"/>
          <w:szCs w:val="16"/>
        </w:rPr>
        <w:t>v letošním 1. kvartálu</w:t>
      </w:r>
      <w:r>
        <w:rPr>
          <w:sz w:val="16"/>
          <w:szCs w:val="16"/>
        </w:rPr>
        <w:t xml:space="preserve"> projevoval zejména na výrazném z</w:t>
      </w:r>
      <w:r w:rsidRPr="007B30CA">
        <w:rPr>
          <w:sz w:val="16"/>
          <w:szCs w:val="16"/>
        </w:rPr>
        <w:t xml:space="preserve">rychlení </w:t>
      </w:r>
      <w:r>
        <w:rPr>
          <w:sz w:val="16"/>
          <w:szCs w:val="16"/>
        </w:rPr>
        <w:t xml:space="preserve">meziročního </w:t>
      </w:r>
      <w:r w:rsidRPr="007B30CA">
        <w:rPr>
          <w:sz w:val="16"/>
          <w:szCs w:val="16"/>
        </w:rPr>
        <w:t xml:space="preserve">přírůstku </w:t>
      </w:r>
      <w:r>
        <w:rPr>
          <w:sz w:val="16"/>
          <w:szCs w:val="16"/>
        </w:rPr>
        <w:t>exportu zboží do Německa, které je největším evropským exportérem do USA. Česko je pro něj subdodavatelem. Ve 2. čtvrtletí se ale přírůstek českého vývozu do Německa prudce snížil. Samotný v</w:t>
      </w:r>
      <w:r w:rsidRPr="00D9672F">
        <w:rPr>
          <w:sz w:val="16"/>
          <w:szCs w:val="16"/>
        </w:rPr>
        <w:t xml:space="preserve">ývoz </w:t>
      </w:r>
      <w:r>
        <w:rPr>
          <w:sz w:val="16"/>
          <w:szCs w:val="16"/>
        </w:rPr>
        <w:br/>
      </w:r>
      <w:r w:rsidRPr="00D9672F">
        <w:rPr>
          <w:sz w:val="16"/>
          <w:szCs w:val="16"/>
        </w:rPr>
        <w:t xml:space="preserve">z Česka do USA </w:t>
      </w:r>
      <w:r>
        <w:rPr>
          <w:sz w:val="16"/>
          <w:szCs w:val="16"/>
        </w:rPr>
        <w:t xml:space="preserve">v roce 2024 </w:t>
      </w:r>
      <w:r w:rsidRPr="00D9672F">
        <w:rPr>
          <w:sz w:val="16"/>
          <w:szCs w:val="16"/>
        </w:rPr>
        <w:t>značně posiloval a letošní 1. kvartál na tento trend navázal.</w:t>
      </w:r>
      <w:r>
        <w:rPr>
          <w:sz w:val="16"/>
          <w:szCs w:val="16"/>
        </w:rPr>
        <w:t xml:space="preserve"> I zde došlo ke zvolnění dynamiky v dalších čtvrtletích.</w:t>
      </w:r>
    </w:p>
  </w:footnote>
  <w:footnote w:id="73">
    <w:p w14:paraId="5F40BEC5" w14:textId="77777777" w:rsidR="00605D96" w:rsidRPr="00797C9C" w:rsidRDefault="00605D96" w:rsidP="00605D96">
      <w:pPr>
        <w:pStyle w:val="Textpoznpodarou"/>
        <w:rPr>
          <w:sz w:val="16"/>
          <w:szCs w:val="16"/>
        </w:rPr>
      </w:pPr>
      <w:r w:rsidRPr="00797C9C">
        <w:rPr>
          <w:rStyle w:val="Znakapoznpodarou"/>
          <w:sz w:val="16"/>
          <w:szCs w:val="16"/>
        </w:rPr>
        <w:footnoteRef/>
      </w:r>
      <w:r w:rsidRPr="00797C9C">
        <w:rPr>
          <w:sz w:val="16"/>
          <w:szCs w:val="16"/>
        </w:rPr>
        <w:t xml:space="preserve"> Export do Velké Británie se loni zvýšil o 1,</w:t>
      </w:r>
      <w:r>
        <w:rPr>
          <w:sz w:val="16"/>
          <w:szCs w:val="16"/>
        </w:rPr>
        <w:t>1</w:t>
      </w:r>
      <w:r w:rsidRPr="00797C9C">
        <w:rPr>
          <w:sz w:val="16"/>
          <w:szCs w:val="16"/>
        </w:rPr>
        <w:t xml:space="preserve"> mld. korun po nárůstu o 40,9 mld. v roce 2024, do USA o </w:t>
      </w:r>
      <w:r>
        <w:rPr>
          <w:sz w:val="16"/>
          <w:szCs w:val="16"/>
        </w:rPr>
        <w:t>3,4</w:t>
      </w:r>
      <w:r w:rsidRPr="00797C9C">
        <w:rPr>
          <w:sz w:val="16"/>
          <w:szCs w:val="16"/>
        </w:rPr>
        <w:t xml:space="preserve"> mld. po navýšení o 21,4 mld. a </w:t>
      </w:r>
      <w:r>
        <w:rPr>
          <w:sz w:val="16"/>
          <w:szCs w:val="16"/>
        </w:rPr>
        <w:t xml:space="preserve">vývoz </w:t>
      </w:r>
      <w:r w:rsidRPr="00797C9C">
        <w:rPr>
          <w:sz w:val="16"/>
          <w:szCs w:val="16"/>
        </w:rPr>
        <w:t xml:space="preserve">do Singapuru </w:t>
      </w:r>
      <w:r>
        <w:rPr>
          <w:sz w:val="16"/>
          <w:szCs w:val="16"/>
        </w:rPr>
        <w:t>o 50 mil.</w:t>
      </w:r>
      <w:r w:rsidRPr="00797C9C">
        <w:rPr>
          <w:sz w:val="16"/>
          <w:szCs w:val="16"/>
        </w:rPr>
        <w:t xml:space="preserve"> po navýšení o 10,6 mld.</w:t>
      </w:r>
    </w:p>
  </w:footnote>
  <w:footnote w:id="74">
    <w:p w14:paraId="51E38686" w14:textId="77777777" w:rsidR="00605D96" w:rsidRPr="000A5229" w:rsidRDefault="00605D96" w:rsidP="00605D96">
      <w:pPr>
        <w:pStyle w:val="Textpoznpodarou"/>
        <w:rPr>
          <w:sz w:val="16"/>
          <w:szCs w:val="16"/>
        </w:rPr>
      </w:pPr>
      <w:r w:rsidRPr="00880676">
        <w:rPr>
          <w:rStyle w:val="Znakapoznpodarou"/>
          <w:sz w:val="16"/>
          <w:szCs w:val="16"/>
        </w:rPr>
        <w:footnoteRef/>
      </w:r>
      <w:r w:rsidRPr="00880676">
        <w:rPr>
          <w:sz w:val="16"/>
          <w:szCs w:val="16"/>
        </w:rPr>
        <w:t xml:space="preserve"> Ceny dovozu</w:t>
      </w:r>
      <w:r>
        <w:rPr>
          <w:sz w:val="16"/>
          <w:szCs w:val="16"/>
        </w:rPr>
        <w:t xml:space="preserve"> v roce 2025 klesly o 1,6 %. V</w:t>
      </w:r>
      <w:r w:rsidRPr="00880676">
        <w:rPr>
          <w:sz w:val="16"/>
          <w:szCs w:val="16"/>
        </w:rPr>
        <w:t xml:space="preserve">e </w:t>
      </w:r>
      <w:r>
        <w:rPr>
          <w:sz w:val="16"/>
          <w:szCs w:val="16"/>
        </w:rPr>
        <w:t>4</w:t>
      </w:r>
      <w:r w:rsidRPr="00880676">
        <w:rPr>
          <w:sz w:val="16"/>
          <w:szCs w:val="16"/>
        </w:rPr>
        <w:t xml:space="preserve">. čtvrtletí </w:t>
      </w:r>
      <w:r>
        <w:rPr>
          <w:sz w:val="16"/>
          <w:szCs w:val="16"/>
        </w:rPr>
        <w:t xml:space="preserve">byly </w:t>
      </w:r>
      <w:r w:rsidRPr="00880676">
        <w:rPr>
          <w:sz w:val="16"/>
          <w:szCs w:val="16"/>
        </w:rPr>
        <w:t xml:space="preserve">meziročně </w:t>
      </w:r>
      <w:r>
        <w:rPr>
          <w:sz w:val="16"/>
          <w:szCs w:val="16"/>
        </w:rPr>
        <w:t>nižší o 5,1 % a mezičtvrtletně o 1,1 %.</w:t>
      </w:r>
    </w:p>
  </w:footnote>
  <w:footnote w:id="75">
    <w:p w14:paraId="20AC9F4B" w14:textId="77777777" w:rsidR="00605D96" w:rsidRPr="00E65EF8" w:rsidRDefault="00605D96" w:rsidP="00605D96">
      <w:pPr>
        <w:pStyle w:val="Textpoznpodarou"/>
        <w:rPr>
          <w:sz w:val="16"/>
          <w:szCs w:val="16"/>
        </w:rPr>
      </w:pPr>
      <w:r w:rsidRPr="00E65EF8">
        <w:rPr>
          <w:rStyle w:val="Znakapoznpodarou"/>
          <w:sz w:val="16"/>
          <w:szCs w:val="16"/>
        </w:rPr>
        <w:footnoteRef/>
      </w:r>
      <w:r w:rsidRPr="00E65EF8">
        <w:rPr>
          <w:sz w:val="16"/>
          <w:szCs w:val="16"/>
        </w:rPr>
        <w:t xml:space="preserve"> </w:t>
      </w:r>
      <w:r>
        <w:rPr>
          <w:sz w:val="16"/>
          <w:szCs w:val="16"/>
        </w:rPr>
        <w:t xml:space="preserve">K nárůstu došlo zejména u </w:t>
      </w:r>
      <w:r w:rsidRPr="00E65EF8">
        <w:rPr>
          <w:sz w:val="16"/>
          <w:szCs w:val="16"/>
        </w:rPr>
        <w:t>zbran</w:t>
      </w:r>
      <w:r>
        <w:rPr>
          <w:sz w:val="16"/>
          <w:szCs w:val="16"/>
        </w:rPr>
        <w:t>í</w:t>
      </w:r>
      <w:r w:rsidRPr="00E65EF8">
        <w:rPr>
          <w:sz w:val="16"/>
          <w:szCs w:val="16"/>
        </w:rPr>
        <w:t xml:space="preserve"> a střeliv</w:t>
      </w:r>
      <w:r>
        <w:rPr>
          <w:sz w:val="16"/>
          <w:szCs w:val="16"/>
        </w:rPr>
        <w:t>a</w:t>
      </w:r>
      <w:r w:rsidRPr="00E65EF8">
        <w:rPr>
          <w:sz w:val="16"/>
          <w:szCs w:val="16"/>
        </w:rPr>
        <w:t>.</w:t>
      </w:r>
    </w:p>
  </w:footnote>
  <w:footnote w:id="76">
    <w:p w14:paraId="1967C735" w14:textId="77777777" w:rsidR="00605D96" w:rsidRPr="00370717" w:rsidRDefault="00605D96" w:rsidP="00605D96">
      <w:pPr>
        <w:pStyle w:val="Textpoznpodarou"/>
        <w:rPr>
          <w:sz w:val="16"/>
          <w:szCs w:val="16"/>
        </w:rPr>
      </w:pPr>
      <w:r w:rsidRPr="00370717">
        <w:rPr>
          <w:rStyle w:val="Znakapoznpodarou"/>
          <w:sz w:val="16"/>
          <w:szCs w:val="16"/>
        </w:rPr>
        <w:footnoteRef/>
      </w:r>
      <w:r w:rsidRPr="00370717">
        <w:rPr>
          <w:sz w:val="16"/>
          <w:szCs w:val="16"/>
        </w:rPr>
        <w:t xml:space="preserve"> </w:t>
      </w:r>
      <w:r>
        <w:rPr>
          <w:sz w:val="16"/>
          <w:szCs w:val="16"/>
        </w:rPr>
        <w:t>Ve zvýšené míře se dovážely baterie, zejména do elektromobilů.</w:t>
      </w:r>
    </w:p>
  </w:footnote>
  <w:footnote w:id="77">
    <w:p w14:paraId="3D51F041" w14:textId="77777777" w:rsidR="00605D96" w:rsidRPr="00624E14" w:rsidRDefault="00605D96" w:rsidP="00605D96">
      <w:pPr>
        <w:pStyle w:val="Textpoznpodarou"/>
        <w:rPr>
          <w:sz w:val="16"/>
          <w:szCs w:val="16"/>
        </w:rPr>
      </w:pPr>
      <w:r w:rsidRPr="00624E14">
        <w:rPr>
          <w:rStyle w:val="Znakapoznpodarou"/>
          <w:sz w:val="16"/>
          <w:szCs w:val="16"/>
        </w:rPr>
        <w:footnoteRef/>
      </w:r>
      <w:r w:rsidRPr="00624E14">
        <w:rPr>
          <w:sz w:val="16"/>
          <w:szCs w:val="16"/>
        </w:rPr>
        <w:t xml:space="preserve"> </w:t>
      </w:r>
      <w:r>
        <w:rPr>
          <w:sz w:val="16"/>
          <w:szCs w:val="16"/>
        </w:rPr>
        <w:t xml:space="preserve">Od začátku roku </w:t>
      </w:r>
      <w:r w:rsidRPr="00624E14">
        <w:rPr>
          <w:sz w:val="16"/>
          <w:szCs w:val="16"/>
        </w:rPr>
        <w:t>se vliv na bilanci u kategorie „nespecifikováno“</w:t>
      </w:r>
      <w:r>
        <w:rPr>
          <w:sz w:val="16"/>
          <w:szCs w:val="16"/>
        </w:rPr>
        <w:t xml:space="preserve"> zvyšoval</w:t>
      </w:r>
      <w:r w:rsidRPr="00624E14">
        <w:rPr>
          <w:sz w:val="16"/>
          <w:szCs w:val="16"/>
        </w:rPr>
        <w:t xml:space="preserve">. Zde byl zachycen zejména obchod s ropou </w:t>
      </w:r>
      <w:r>
        <w:rPr>
          <w:sz w:val="16"/>
          <w:szCs w:val="16"/>
        </w:rPr>
        <w:br/>
      </w:r>
      <w:r w:rsidRPr="00624E14">
        <w:rPr>
          <w:sz w:val="16"/>
          <w:szCs w:val="16"/>
        </w:rPr>
        <w:t xml:space="preserve">a zemním plynem, který nebylo možné teritoriálně zařadit. </w:t>
      </w:r>
    </w:p>
  </w:footnote>
  <w:footnote w:id="78">
    <w:p w14:paraId="0B7AC9B4" w14:textId="77777777" w:rsidR="00605D96" w:rsidRPr="00196047" w:rsidRDefault="00605D96" w:rsidP="00605D96">
      <w:pPr>
        <w:pStyle w:val="Textpoznpodarou"/>
        <w:rPr>
          <w:sz w:val="16"/>
          <w:szCs w:val="16"/>
        </w:rPr>
      </w:pPr>
      <w:r w:rsidRPr="00196047">
        <w:rPr>
          <w:rStyle w:val="Znakapoznpodarou"/>
          <w:sz w:val="16"/>
          <w:szCs w:val="16"/>
        </w:rPr>
        <w:footnoteRef/>
      </w:r>
      <w:r w:rsidRPr="00196047">
        <w:rPr>
          <w:sz w:val="16"/>
          <w:szCs w:val="16"/>
        </w:rPr>
        <w:t xml:space="preserve"> V případě nespecifikovaného původu zboží došlo ke zhoršení bilance o </w:t>
      </w:r>
      <w:r>
        <w:rPr>
          <w:sz w:val="16"/>
          <w:szCs w:val="16"/>
        </w:rPr>
        <w:t>3,4</w:t>
      </w:r>
      <w:r w:rsidRPr="00196047">
        <w:rPr>
          <w:sz w:val="16"/>
          <w:szCs w:val="16"/>
        </w:rPr>
        <w:t xml:space="preserve"> mld. korun.</w:t>
      </w:r>
    </w:p>
  </w:footnote>
  <w:footnote w:id="79">
    <w:p w14:paraId="3AE3FB9B" w14:textId="77777777" w:rsidR="007F0076" w:rsidRDefault="007F0076" w:rsidP="007F0076">
      <w:pPr>
        <w:pStyle w:val="Textpoznpodarou"/>
        <w:rPr>
          <w:sz w:val="16"/>
          <w:szCs w:val="16"/>
        </w:rPr>
      </w:pPr>
      <w:r>
        <w:rPr>
          <w:rStyle w:val="Znakapoznpodarou"/>
          <w:sz w:val="16"/>
          <w:szCs w:val="16"/>
        </w:rPr>
        <w:footnoteRef/>
      </w:r>
      <w:r>
        <w:rPr>
          <w:sz w:val="16"/>
          <w:szCs w:val="16"/>
        </w:rPr>
        <w:t xml:space="preserve"> Imputované nájemné vyjadřuje náklady vlastnického bydlení. Kromě samotných cen bydlení zahrnuje i náklady na výstavbu a renovace a další poplatky. Více na: </w:t>
      </w:r>
      <w:hyperlink r:id="rId2" w:history="1">
        <w:r>
          <w:rPr>
            <w:rStyle w:val="Hypertextovodkaz"/>
            <w:sz w:val="16"/>
            <w:szCs w:val="16"/>
          </w:rPr>
          <w:t>https://csu.gov.cz/metodicka-poznamka-k-indexu-spotrebitelskych-cen-imputovane-najemne</w:t>
        </w:r>
      </w:hyperlink>
      <w:r>
        <w:rPr>
          <w:rStyle w:val="Hypertextovodkaz"/>
          <w:sz w:val="16"/>
          <w:szCs w:val="16"/>
        </w:rPr>
        <w:t>.</w:t>
      </w:r>
    </w:p>
  </w:footnote>
  <w:footnote w:id="80">
    <w:p w14:paraId="57384180" w14:textId="77777777" w:rsidR="007F0076" w:rsidRDefault="007F0076" w:rsidP="007F0076">
      <w:pPr>
        <w:pStyle w:val="Textpoznpodarou"/>
        <w:rPr>
          <w:sz w:val="16"/>
          <w:szCs w:val="16"/>
        </w:rPr>
      </w:pPr>
      <w:r>
        <w:rPr>
          <w:rStyle w:val="Znakapoznpodarou"/>
          <w:sz w:val="16"/>
          <w:szCs w:val="16"/>
        </w:rPr>
        <w:footnoteRef/>
      </w:r>
      <w:r>
        <w:rPr>
          <w:sz w:val="16"/>
          <w:szCs w:val="16"/>
        </w:rPr>
        <w:t xml:space="preserve"> Zahrnuje služby osobní péče a osobní potřeby a doplňky, sociální péči, pojištění a další finanční služby apod.</w:t>
      </w:r>
    </w:p>
  </w:footnote>
  <w:footnote w:id="81">
    <w:p w14:paraId="24359D53" w14:textId="77777777" w:rsidR="007F0076" w:rsidRDefault="007F0076" w:rsidP="007F0076">
      <w:pPr>
        <w:pStyle w:val="Textpoznpodarou"/>
        <w:rPr>
          <w:sz w:val="16"/>
          <w:szCs w:val="16"/>
        </w:rPr>
      </w:pPr>
      <w:r>
        <w:rPr>
          <w:rStyle w:val="Znakapoznpodarou"/>
          <w:sz w:val="16"/>
          <w:szCs w:val="16"/>
        </w:rPr>
        <w:footnoteRef/>
      </w:r>
      <w:r>
        <w:rPr>
          <w:sz w:val="16"/>
          <w:szCs w:val="16"/>
        </w:rPr>
        <w:t xml:space="preserve"> Oproti indexu spotřebitelských cen, který ČSÚ pro českou ekonomiku sestavuje, HICP neobsahuje imputované nájemné, což bývá zdrojem rozdílů mezi HICP a Indexem spotřebitelských cen.</w:t>
      </w:r>
    </w:p>
  </w:footnote>
  <w:footnote w:id="82">
    <w:p w14:paraId="37E13A1E" w14:textId="77777777" w:rsidR="007F0076" w:rsidRDefault="007F0076" w:rsidP="007F0076">
      <w:pPr>
        <w:pStyle w:val="Textpoznpodarou"/>
        <w:rPr>
          <w:sz w:val="16"/>
          <w:szCs w:val="16"/>
        </w:rPr>
      </w:pPr>
      <w:r>
        <w:rPr>
          <w:rStyle w:val="Znakapoznpodarou"/>
          <w:sz w:val="16"/>
          <w:szCs w:val="16"/>
        </w:rPr>
        <w:footnoteRef/>
      </w:r>
      <w:r>
        <w:rPr>
          <w:sz w:val="16"/>
          <w:szCs w:val="16"/>
        </w:rPr>
        <w:t xml:space="preserve"> Bez cen zásobování vodou a služeb souvisejících s odpadními vodami.</w:t>
      </w:r>
    </w:p>
  </w:footnote>
  <w:footnote w:id="83">
    <w:p w14:paraId="567F56E1" w14:textId="77777777" w:rsidR="007F0076" w:rsidRDefault="007F0076" w:rsidP="007F0076">
      <w:pPr>
        <w:pStyle w:val="Textpoznpodarou"/>
        <w:rPr>
          <w:sz w:val="16"/>
          <w:szCs w:val="16"/>
        </w:rPr>
      </w:pPr>
      <w:r>
        <w:rPr>
          <w:rStyle w:val="Znakapoznpodarou"/>
          <w:sz w:val="16"/>
          <w:szCs w:val="16"/>
        </w:rPr>
        <w:footnoteRef/>
      </w:r>
      <w:r>
        <w:rPr>
          <w:sz w:val="16"/>
          <w:szCs w:val="16"/>
        </w:rPr>
        <w:t xml:space="preserve"> Podle údajů ČNB byl v roce 2025 průměrný kurz koruny vůči euru 24,693 CZK/EUR a vůči dolaru 21,914 CZK/USD. V roce 2024 přitom kurz průměrně dosahoval 25,119 CZK/EUR a 23,208 CZK/USD. Ve 4. čtvrtletí 2025 dosáhl kurz koruny vůči euru průměrně 24,273 CZK/EUR ve srovnání s 24,498 CZK/EUR ve 3. čtvrtletí a 25,249 CZK/EUR ve 4. čtvrtletí 2024. Kurz vůči dolaru ve 4. čtvrtletí 2025 v průměru činil 20,866 CZK/USD a ve 3. čtvrtletí 20,973 CZK/USD. Ve 4. čtvrtletí roku 2024 to bylo 23,640 CZK/USD. </w:t>
      </w:r>
    </w:p>
  </w:footnote>
  <w:footnote w:id="84">
    <w:p w14:paraId="65AE693F" w14:textId="77777777" w:rsidR="009D4785" w:rsidRPr="00F72E52" w:rsidRDefault="009D4785" w:rsidP="009D4785">
      <w:pPr>
        <w:pStyle w:val="Textpoznpodarou"/>
        <w:rPr>
          <w:color w:val="0D0D0D" w:themeColor="text1" w:themeTint="F2"/>
          <w:spacing w:val="-2"/>
          <w:sz w:val="16"/>
          <w:szCs w:val="16"/>
        </w:rPr>
      </w:pPr>
      <w:r w:rsidRPr="00F72E52">
        <w:rPr>
          <w:rStyle w:val="Znakapoznpodarou"/>
          <w:color w:val="0D0D0D" w:themeColor="text1" w:themeTint="F2"/>
          <w:spacing w:val="-2"/>
          <w:sz w:val="16"/>
          <w:szCs w:val="16"/>
        </w:rPr>
        <w:footnoteRef/>
      </w:r>
      <w:r w:rsidRPr="00F72E52">
        <w:rPr>
          <w:color w:val="0D0D0D" w:themeColor="text1" w:themeTint="F2"/>
          <w:spacing w:val="-2"/>
          <w:sz w:val="16"/>
          <w:szCs w:val="16"/>
        </w:rPr>
        <w:t xml:space="preserve"> Údaje </w:t>
      </w:r>
      <w:r>
        <w:rPr>
          <w:color w:val="0D0D0D" w:themeColor="text1" w:themeTint="F2"/>
          <w:spacing w:val="-2"/>
          <w:sz w:val="16"/>
          <w:szCs w:val="16"/>
        </w:rPr>
        <w:t xml:space="preserve">o zaměstnanosti </w:t>
      </w:r>
      <w:r w:rsidRPr="00F72E52">
        <w:rPr>
          <w:color w:val="0D0D0D" w:themeColor="text1" w:themeTint="F2"/>
          <w:spacing w:val="-2"/>
          <w:sz w:val="16"/>
          <w:szCs w:val="16"/>
        </w:rPr>
        <w:t>vycház</w:t>
      </w:r>
      <w:r>
        <w:rPr>
          <w:color w:val="0D0D0D" w:themeColor="text1" w:themeTint="F2"/>
          <w:spacing w:val="-2"/>
          <w:sz w:val="16"/>
          <w:szCs w:val="16"/>
        </w:rPr>
        <w:t>ej</w:t>
      </w:r>
      <w:r w:rsidRPr="00F72E52">
        <w:rPr>
          <w:color w:val="0D0D0D" w:themeColor="text1" w:themeTint="F2"/>
          <w:spacing w:val="-2"/>
          <w:sz w:val="16"/>
          <w:szCs w:val="16"/>
        </w:rPr>
        <w:t>í z</w:t>
      </w:r>
      <w:r>
        <w:rPr>
          <w:color w:val="0D0D0D" w:themeColor="text1" w:themeTint="F2"/>
          <w:spacing w:val="-2"/>
          <w:sz w:val="16"/>
          <w:szCs w:val="16"/>
        </w:rPr>
        <w:t> </w:t>
      </w:r>
      <w:r w:rsidRPr="00F72E52">
        <w:rPr>
          <w:color w:val="0D0D0D" w:themeColor="text1" w:themeTint="F2"/>
          <w:spacing w:val="-2"/>
          <w:sz w:val="16"/>
          <w:szCs w:val="16"/>
        </w:rPr>
        <w:t>pojetí národních účtů. Jsou vyjádřeny ve fyzických osobách a</w:t>
      </w:r>
      <w:r>
        <w:rPr>
          <w:color w:val="0D0D0D" w:themeColor="text1" w:themeTint="F2"/>
          <w:spacing w:val="-2"/>
          <w:sz w:val="16"/>
          <w:szCs w:val="16"/>
        </w:rPr>
        <w:t> </w:t>
      </w:r>
      <w:r w:rsidRPr="00F72E52">
        <w:rPr>
          <w:color w:val="0D0D0D" w:themeColor="text1" w:themeTint="F2"/>
          <w:spacing w:val="-2"/>
          <w:sz w:val="16"/>
          <w:szCs w:val="16"/>
        </w:rPr>
        <w:t>očištěny o sezónní vlivy.</w:t>
      </w:r>
      <w:r>
        <w:rPr>
          <w:color w:val="0D0D0D" w:themeColor="text1" w:themeTint="F2"/>
          <w:spacing w:val="-2"/>
          <w:sz w:val="16"/>
          <w:szCs w:val="16"/>
        </w:rPr>
        <w:t xml:space="preserve"> Na rozdíl od údajů z podnikové statistiky či z </w:t>
      </w:r>
      <w:r w:rsidRPr="00946AFA">
        <w:rPr>
          <w:sz w:val="16"/>
          <w:szCs w:val="16"/>
        </w:rPr>
        <w:t xml:space="preserve">výběrového šetření pracovních sil </w:t>
      </w:r>
      <w:r>
        <w:rPr>
          <w:sz w:val="16"/>
          <w:szCs w:val="16"/>
        </w:rPr>
        <w:t>(VŠPS) zahrnují např. i odhad vlivu šedé ekonomiky.</w:t>
      </w:r>
    </w:p>
  </w:footnote>
  <w:footnote w:id="85">
    <w:p w14:paraId="6F0892CA" w14:textId="77777777" w:rsidR="009D4785" w:rsidRPr="000412D4" w:rsidRDefault="009D4785" w:rsidP="009D4785">
      <w:pPr>
        <w:pStyle w:val="Textpoznpodarou"/>
        <w:rPr>
          <w:sz w:val="16"/>
          <w:szCs w:val="16"/>
        </w:rPr>
      </w:pPr>
      <w:r w:rsidRPr="000412D4">
        <w:rPr>
          <w:rStyle w:val="Znakapoznpodarou"/>
          <w:sz w:val="16"/>
          <w:szCs w:val="16"/>
        </w:rPr>
        <w:footnoteRef/>
      </w:r>
      <w:r w:rsidRPr="000412D4">
        <w:rPr>
          <w:sz w:val="16"/>
          <w:szCs w:val="16"/>
        </w:rPr>
        <w:t xml:space="preserve"> V odvětví veřejná správa a obrana, vzdělávání, zdravotní a sociální péče</w:t>
      </w:r>
      <w:r>
        <w:rPr>
          <w:sz w:val="16"/>
          <w:szCs w:val="16"/>
        </w:rPr>
        <w:t xml:space="preserve"> bylo loni 4. čtvrtletí ve srovnání s koncem roku 2018 zaměstnáno o 12 % (+117 tis.) osob více. Významný vliv mělo i navýšení ve stavebnictví (+13 %), profesních</w:t>
      </w:r>
      <w:r w:rsidRPr="00591EF5">
        <w:rPr>
          <w:sz w:val="16"/>
          <w:szCs w:val="16"/>
        </w:rPr>
        <w:t>, vě</w:t>
      </w:r>
      <w:r>
        <w:rPr>
          <w:sz w:val="16"/>
          <w:szCs w:val="16"/>
        </w:rPr>
        <w:t xml:space="preserve">deckých, technických </w:t>
      </w:r>
      <w:r>
        <w:rPr>
          <w:sz w:val="16"/>
          <w:szCs w:val="16"/>
        </w:rPr>
        <w:br/>
        <w:t>a administrativních činnostech (+8 %), i</w:t>
      </w:r>
      <w:r w:rsidRPr="00591EF5">
        <w:rPr>
          <w:sz w:val="16"/>
          <w:szCs w:val="16"/>
        </w:rPr>
        <w:t>nformační</w:t>
      </w:r>
      <w:r>
        <w:rPr>
          <w:sz w:val="16"/>
          <w:szCs w:val="16"/>
        </w:rPr>
        <w:t>ch</w:t>
      </w:r>
      <w:r w:rsidRPr="00591EF5">
        <w:rPr>
          <w:sz w:val="16"/>
          <w:szCs w:val="16"/>
        </w:rPr>
        <w:t xml:space="preserve"> a komunikační</w:t>
      </w:r>
      <w:r>
        <w:rPr>
          <w:sz w:val="16"/>
          <w:szCs w:val="16"/>
        </w:rPr>
        <w:t>ch činnostech (+18 %) a též v oblasti nemovitostí.</w:t>
      </w:r>
    </w:p>
  </w:footnote>
  <w:footnote w:id="86">
    <w:p w14:paraId="36F447B8" w14:textId="77777777" w:rsidR="009D4785" w:rsidRPr="004F5EA9" w:rsidRDefault="009D4785" w:rsidP="009D4785">
      <w:pPr>
        <w:pStyle w:val="Textpoznpodarou"/>
        <w:rPr>
          <w:sz w:val="16"/>
          <w:szCs w:val="16"/>
        </w:rPr>
      </w:pPr>
      <w:r w:rsidRPr="004F5EA9">
        <w:rPr>
          <w:rStyle w:val="Znakapoznpodarou"/>
          <w:sz w:val="16"/>
          <w:szCs w:val="16"/>
        </w:rPr>
        <w:footnoteRef/>
      </w:r>
      <w:r w:rsidRPr="004F5EA9">
        <w:rPr>
          <w:sz w:val="16"/>
          <w:szCs w:val="16"/>
        </w:rPr>
        <w:t xml:space="preserve"> </w:t>
      </w:r>
      <w:r w:rsidRPr="001278CF">
        <w:rPr>
          <w:color w:val="0D0D0D" w:themeColor="text1" w:themeTint="F2"/>
          <w:sz w:val="16"/>
          <w:szCs w:val="16"/>
        </w:rPr>
        <w:t>Na rozdíl od předloňského roku se tak tuzemská zaměstnanost zvyšovala rychleji než v</w:t>
      </w:r>
      <w:r>
        <w:rPr>
          <w:color w:val="0D0D0D" w:themeColor="text1" w:themeTint="F2"/>
          <w:sz w:val="16"/>
          <w:szCs w:val="16"/>
        </w:rPr>
        <w:t> </w:t>
      </w:r>
      <w:r w:rsidRPr="001278CF">
        <w:rPr>
          <w:color w:val="0D0D0D" w:themeColor="text1" w:themeTint="F2"/>
          <w:sz w:val="16"/>
          <w:szCs w:val="16"/>
        </w:rPr>
        <w:t>EU</w:t>
      </w:r>
      <w:r>
        <w:rPr>
          <w:color w:val="0D0D0D" w:themeColor="text1" w:themeTint="F2"/>
          <w:sz w:val="16"/>
          <w:szCs w:val="16"/>
        </w:rPr>
        <w:t xml:space="preserve"> (</w:t>
      </w:r>
      <w:r w:rsidRPr="001278CF">
        <w:rPr>
          <w:color w:val="0D0D0D" w:themeColor="text1" w:themeTint="F2"/>
          <w:sz w:val="16"/>
          <w:szCs w:val="16"/>
        </w:rPr>
        <w:t>kde v roce 2025 činil její růst 0,5 %</w:t>
      </w:r>
      <w:r>
        <w:rPr>
          <w:color w:val="0D0D0D" w:themeColor="text1" w:themeTint="F2"/>
          <w:sz w:val="16"/>
          <w:szCs w:val="16"/>
        </w:rPr>
        <w:t xml:space="preserve">), mj. </w:t>
      </w:r>
      <w:r>
        <w:rPr>
          <w:color w:val="0D0D0D" w:themeColor="text1" w:themeTint="F2"/>
          <w:sz w:val="16"/>
          <w:szCs w:val="16"/>
        </w:rPr>
        <w:br/>
        <w:t xml:space="preserve">i proto, že byl tuzemský růst podpořen také </w:t>
      </w:r>
      <w:proofErr w:type="spellStart"/>
      <w:r>
        <w:rPr>
          <w:color w:val="0D0D0D" w:themeColor="text1" w:themeTint="F2"/>
          <w:sz w:val="16"/>
          <w:szCs w:val="16"/>
        </w:rPr>
        <w:t>sebezaměstnanými</w:t>
      </w:r>
      <w:proofErr w:type="spellEnd"/>
      <w:r>
        <w:rPr>
          <w:color w:val="0D0D0D" w:themeColor="text1" w:themeTint="F2"/>
          <w:sz w:val="16"/>
          <w:szCs w:val="16"/>
        </w:rPr>
        <w:t xml:space="preserve"> </w:t>
      </w:r>
      <w:r w:rsidRPr="00ED60FF">
        <w:rPr>
          <w:color w:val="0D0D0D" w:themeColor="text1" w:themeTint="F2"/>
          <w:sz w:val="16"/>
          <w:szCs w:val="16"/>
        </w:rPr>
        <w:t xml:space="preserve">osobami. </w:t>
      </w:r>
      <w:r>
        <w:rPr>
          <w:color w:val="0D0D0D" w:themeColor="text1" w:themeTint="F2"/>
          <w:sz w:val="16"/>
          <w:szCs w:val="16"/>
        </w:rPr>
        <w:t>Stej</w:t>
      </w:r>
      <w:r w:rsidRPr="00ED60FF">
        <w:rPr>
          <w:color w:val="0D0D0D" w:themeColor="text1" w:themeTint="F2"/>
          <w:sz w:val="16"/>
          <w:szCs w:val="16"/>
        </w:rPr>
        <w:t xml:space="preserve">ně jako v tuzemsku i v Unii se zvyšovala pracovní místa výhradně jen ve stavebnictví (+1,1 %) a napříč odvětvími </w:t>
      </w:r>
      <w:proofErr w:type="gramStart"/>
      <w:r w:rsidRPr="00ED60FF">
        <w:rPr>
          <w:color w:val="0D0D0D" w:themeColor="text1" w:themeTint="F2"/>
          <w:sz w:val="16"/>
          <w:szCs w:val="16"/>
        </w:rPr>
        <w:t xml:space="preserve">služeb </w:t>
      </w:r>
      <w:r w:rsidRPr="00ED60FF">
        <w:rPr>
          <w:color w:val="0D0D0D" w:themeColor="text1" w:themeTint="F2"/>
          <w:spacing w:val="-3"/>
          <w:sz w:val="16"/>
          <w:szCs w:val="16"/>
        </w:rPr>
        <w:t>−</w:t>
      </w:r>
      <w:r w:rsidRPr="00ED60FF">
        <w:rPr>
          <w:color w:val="0D0D0D" w:themeColor="text1" w:themeTint="F2"/>
          <w:sz w:val="16"/>
          <w:szCs w:val="16"/>
        </w:rPr>
        <w:t xml:space="preserve"> nejvíce</w:t>
      </w:r>
      <w:proofErr w:type="gramEnd"/>
      <w:r w:rsidRPr="00ED60FF">
        <w:rPr>
          <w:color w:val="0D0D0D" w:themeColor="text1" w:themeTint="F2"/>
          <w:sz w:val="16"/>
          <w:szCs w:val="16"/>
        </w:rPr>
        <w:t xml:space="preserve"> v oblasti nemovitostí (+2,9 %), peněžnictví a pojišťovnictví (+1,3 %) a také v odvětvích s významnou rolí státu (+1,2 %). Pracovníků naopak ubývalo ve zpracovatelském průmyslu (</w:t>
      </w:r>
      <w:r w:rsidRPr="00ED60FF">
        <w:rPr>
          <w:color w:val="0D0D0D" w:themeColor="text1" w:themeTint="F2"/>
          <w:spacing w:val="-3"/>
          <w:sz w:val="16"/>
          <w:szCs w:val="16"/>
        </w:rPr>
        <w:t xml:space="preserve">−0,7 %), kde se </w:t>
      </w:r>
      <w:r w:rsidRPr="00ED60FF">
        <w:rPr>
          <w:color w:val="0D0D0D" w:themeColor="text1" w:themeTint="F2"/>
          <w:spacing w:val="-2"/>
          <w:sz w:val="16"/>
          <w:szCs w:val="16"/>
        </w:rPr>
        <w:t xml:space="preserve">situace </w:t>
      </w:r>
      <w:r>
        <w:rPr>
          <w:color w:val="0D0D0D" w:themeColor="text1" w:themeTint="F2"/>
          <w:spacing w:val="-2"/>
          <w:sz w:val="16"/>
          <w:szCs w:val="16"/>
        </w:rPr>
        <w:t>dále</w:t>
      </w:r>
      <w:r w:rsidRPr="00ED60FF">
        <w:rPr>
          <w:color w:val="0D0D0D" w:themeColor="text1" w:themeTint="F2"/>
          <w:spacing w:val="-2"/>
          <w:sz w:val="16"/>
          <w:szCs w:val="16"/>
        </w:rPr>
        <w:t xml:space="preserve"> spíše zhorš</w:t>
      </w:r>
      <w:r>
        <w:rPr>
          <w:color w:val="0D0D0D" w:themeColor="text1" w:themeTint="F2"/>
          <w:spacing w:val="-2"/>
          <w:sz w:val="16"/>
          <w:szCs w:val="16"/>
        </w:rPr>
        <w:t>ovala</w:t>
      </w:r>
      <w:r w:rsidRPr="00ED60FF">
        <w:rPr>
          <w:color w:val="0D0D0D" w:themeColor="text1" w:themeTint="F2"/>
          <w:spacing w:val="-2"/>
          <w:sz w:val="16"/>
          <w:szCs w:val="16"/>
        </w:rPr>
        <w:t xml:space="preserve"> (k pozitivnímu obratu nedošlo ani ve 4. čtvrtletí 2025), obdobně jako v primárním sektoru (−4,8 %). Celkový počet pracovníků </w:t>
      </w:r>
      <w:r>
        <w:rPr>
          <w:color w:val="0D0D0D" w:themeColor="text1" w:themeTint="F2"/>
          <w:spacing w:val="-2"/>
          <w:sz w:val="16"/>
          <w:szCs w:val="16"/>
        </w:rPr>
        <w:t xml:space="preserve">v ekonomice </w:t>
      </w:r>
      <w:r w:rsidRPr="00ED60FF">
        <w:rPr>
          <w:color w:val="0D0D0D" w:themeColor="text1" w:themeTint="F2"/>
          <w:spacing w:val="-2"/>
          <w:sz w:val="16"/>
          <w:szCs w:val="16"/>
        </w:rPr>
        <w:t xml:space="preserve">loni vzrostl nejvíce na Maltě (+3,9 %) a z významných </w:t>
      </w:r>
      <w:r>
        <w:rPr>
          <w:color w:val="0D0D0D" w:themeColor="text1" w:themeTint="F2"/>
          <w:spacing w:val="-2"/>
          <w:sz w:val="16"/>
          <w:szCs w:val="16"/>
        </w:rPr>
        <w:t>států</w:t>
      </w:r>
      <w:r w:rsidRPr="00ED60FF">
        <w:rPr>
          <w:color w:val="0D0D0D" w:themeColor="text1" w:themeTint="F2"/>
          <w:spacing w:val="-2"/>
          <w:sz w:val="16"/>
          <w:szCs w:val="16"/>
        </w:rPr>
        <w:t xml:space="preserve"> hlavně ve Španělsku (+2,7 %) a v Itálii (+1,1 %). Ve Francii a také Německu i ve všech dalších s Českem sousedících státech zaměstnanost stagnovala. K významnějšímu poklesu došlo pouze v Rumunsku (−3,5 %), k mírnějšímu pak v Litvě (−0,7 %), Lotyšsku, Estonsku a Finsku (shodně: −0,5 %) a Slovinsku (−0,4 %).</w:t>
      </w:r>
      <w:r w:rsidRPr="00ED60FF">
        <w:rPr>
          <w:color w:val="0D0D0D" w:themeColor="text1" w:themeTint="F2"/>
          <w:spacing w:val="-6"/>
          <w:sz w:val="16"/>
          <w:szCs w:val="16"/>
        </w:rPr>
        <w:t xml:space="preserve"> </w:t>
      </w:r>
      <w:r>
        <w:rPr>
          <w:color w:val="0D0D0D" w:themeColor="text1" w:themeTint="F2"/>
          <w:spacing w:val="-6"/>
          <w:sz w:val="16"/>
          <w:szCs w:val="16"/>
        </w:rPr>
        <w:t xml:space="preserve">Do </w:t>
      </w:r>
      <w:r w:rsidRPr="005F529A">
        <w:rPr>
          <w:color w:val="0D0D0D" w:themeColor="text1" w:themeTint="F2"/>
          <w:sz w:val="16"/>
          <w:szCs w:val="16"/>
        </w:rPr>
        <w:t xml:space="preserve">rozdílných temp mezi členskými státy významně promlouvala zaměstnanost v </w:t>
      </w:r>
      <w:proofErr w:type="gramStart"/>
      <w:r w:rsidRPr="005F529A">
        <w:rPr>
          <w:color w:val="0D0D0D" w:themeColor="text1" w:themeTint="F2"/>
          <w:sz w:val="16"/>
          <w:szCs w:val="16"/>
        </w:rPr>
        <w:t>průmysl</w:t>
      </w:r>
      <w:r>
        <w:rPr>
          <w:color w:val="0D0D0D" w:themeColor="text1" w:themeTint="F2"/>
          <w:sz w:val="16"/>
          <w:szCs w:val="16"/>
        </w:rPr>
        <w:t>u</w:t>
      </w:r>
      <w:r w:rsidRPr="005F529A">
        <w:rPr>
          <w:color w:val="0D0D0D" w:themeColor="text1" w:themeTint="F2"/>
          <w:sz w:val="16"/>
          <w:szCs w:val="16"/>
        </w:rPr>
        <w:t xml:space="preserve"> − nejrychleji</w:t>
      </w:r>
      <w:proofErr w:type="gramEnd"/>
      <w:r w:rsidRPr="005F529A">
        <w:rPr>
          <w:color w:val="0D0D0D" w:themeColor="text1" w:themeTint="F2"/>
          <w:sz w:val="16"/>
          <w:szCs w:val="16"/>
        </w:rPr>
        <w:t xml:space="preserve"> rostla ve Španělsku (</w:t>
      </w:r>
      <w:r>
        <w:rPr>
          <w:color w:val="0D0D0D" w:themeColor="text1" w:themeTint="F2"/>
          <w:sz w:val="16"/>
          <w:szCs w:val="16"/>
        </w:rPr>
        <w:t>+</w:t>
      </w:r>
      <w:r w:rsidRPr="005F529A">
        <w:rPr>
          <w:color w:val="0D0D0D" w:themeColor="text1" w:themeTint="F2"/>
          <w:sz w:val="16"/>
          <w:szCs w:val="16"/>
        </w:rPr>
        <w:t xml:space="preserve">3,9 %) </w:t>
      </w:r>
      <w:r>
        <w:rPr>
          <w:color w:val="0D0D0D" w:themeColor="text1" w:themeTint="F2"/>
          <w:sz w:val="16"/>
          <w:szCs w:val="16"/>
        </w:rPr>
        <w:br/>
      </w:r>
      <w:r w:rsidRPr="005F529A">
        <w:rPr>
          <w:color w:val="0D0D0D" w:themeColor="text1" w:themeTint="F2"/>
          <w:sz w:val="16"/>
          <w:szCs w:val="16"/>
        </w:rPr>
        <w:t xml:space="preserve">a Irsku (+3,6 %), nejvíce </w:t>
      </w:r>
      <w:r>
        <w:rPr>
          <w:color w:val="0D0D0D" w:themeColor="text1" w:themeTint="F2"/>
          <w:sz w:val="16"/>
          <w:szCs w:val="16"/>
        </w:rPr>
        <w:t>se snižovala</w:t>
      </w:r>
      <w:r w:rsidRPr="005F529A">
        <w:rPr>
          <w:color w:val="0D0D0D" w:themeColor="text1" w:themeTint="F2"/>
          <w:sz w:val="16"/>
          <w:szCs w:val="16"/>
        </w:rPr>
        <w:t xml:space="preserve"> v Estonsku (−4,5 %) </w:t>
      </w:r>
      <w:r>
        <w:rPr>
          <w:color w:val="0D0D0D" w:themeColor="text1" w:themeTint="F2"/>
          <w:sz w:val="16"/>
          <w:szCs w:val="16"/>
        </w:rPr>
        <w:t>či</w:t>
      </w:r>
      <w:r w:rsidRPr="005F529A">
        <w:rPr>
          <w:color w:val="0D0D0D" w:themeColor="text1" w:themeTint="F2"/>
          <w:sz w:val="16"/>
          <w:szCs w:val="16"/>
        </w:rPr>
        <w:t xml:space="preserve"> Rumunsku (−4,2 %) a v Německu se pokles prohloubil na 1,8 %.</w:t>
      </w:r>
    </w:p>
  </w:footnote>
  <w:footnote w:id="87">
    <w:p w14:paraId="54702CE4" w14:textId="77777777" w:rsidR="009D4785" w:rsidRPr="004D3AFF" w:rsidRDefault="009D4785" w:rsidP="009D4785">
      <w:pPr>
        <w:pStyle w:val="Textpoznpodarou"/>
        <w:rPr>
          <w:sz w:val="16"/>
          <w:szCs w:val="16"/>
        </w:rPr>
      </w:pPr>
      <w:r w:rsidRPr="004D3AFF">
        <w:rPr>
          <w:rStyle w:val="Znakapoznpodarou"/>
          <w:sz w:val="16"/>
          <w:szCs w:val="16"/>
        </w:rPr>
        <w:footnoteRef/>
      </w:r>
      <w:r w:rsidRPr="004D3AFF">
        <w:rPr>
          <w:sz w:val="16"/>
          <w:szCs w:val="16"/>
        </w:rPr>
        <w:t xml:space="preserve"> Z podrobnějších údajů </w:t>
      </w:r>
      <w:r>
        <w:rPr>
          <w:sz w:val="16"/>
          <w:szCs w:val="16"/>
        </w:rPr>
        <w:t xml:space="preserve">VŠPS </w:t>
      </w:r>
      <w:r w:rsidRPr="004D3AFF">
        <w:rPr>
          <w:sz w:val="16"/>
          <w:szCs w:val="16"/>
        </w:rPr>
        <w:t>plyne, že ve 3.</w:t>
      </w:r>
      <w:r>
        <w:rPr>
          <w:sz w:val="16"/>
          <w:szCs w:val="16"/>
        </w:rPr>
        <w:t xml:space="preserve"> i 4</w:t>
      </w:r>
      <w:r w:rsidRPr="004D3AFF">
        <w:rPr>
          <w:sz w:val="16"/>
          <w:szCs w:val="16"/>
        </w:rPr>
        <w:t xml:space="preserve"> čtvrtletí 2025 se meziročně zvyšovaly jak počty podnikatel</w:t>
      </w:r>
      <w:r>
        <w:rPr>
          <w:sz w:val="16"/>
          <w:szCs w:val="16"/>
        </w:rPr>
        <w:t>ů</w:t>
      </w:r>
      <w:r w:rsidRPr="004D3AFF">
        <w:rPr>
          <w:sz w:val="16"/>
          <w:szCs w:val="16"/>
        </w:rPr>
        <w:t xml:space="preserve"> bez zaměstnanců, tak </w:t>
      </w:r>
      <w:r>
        <w:rPr>
          <w:sz w:val="16"/>
          <w:szCs w:val="16"/>
        </w:rPr>
        <w:br/>
        <w:t xml:space="preserve">i </w:t>
      </w:r>
      <w:r w:rsidRPr="004D3AFF">
        <w:rPr>
          <w:sz w:val="16"/>
          <w:szCs w:val="16"/>
        </w:rPr>
        <w:t>zaměstnavatelů.</w:t>
      </w:r>
    </w:p>
  </w:footnote>
  <w:footnote w:id="88">
    <w:p w14:paraId="6E7718DE" w14:textId="77777777" w:rsidR="009D4785" w:rsidRDefault="009D4785" w:rsidP="009D4785">
      <w:pPr>
        <w:pStyle w:val="Textpoznpodarou"/>
      </w:pPr>
      <w:r w:rsidRPr="00442EDD">
        <w:rPr>
          <w:rStyle w:val="Znakapoznpodarou"/>
          <w:sz w:val="16"/>
          <w:szCs w:val="16"/>
        </w:rPr>
        <w:footnoteRef/>
      </w:r>
      <w:r w:rsidRPr="00442EDD">
        <w:rPr>
          <w:sz w:val="16"/>
          <w:szCs w:val="16"/>
        </w:rPr>
        <w:t xml:space="preserve"> </w:t>
      </w:r>
      <w:r>
        <w:rPr>
          <w:sz w:val="16"/>
          <w:szCs w:val="16"/>
        </w:rPr>
        <w:t xml:space="preserve">Pro zjednodušení </w:t>
      </w:r>
      <w:r>
        <w:rPr>
          <w:spacing w:val="-2"/>
          <w:sz w:val="16"/>
          <w:szCs w:val="16"/>
        </w:rPr>
        <w:t>z</w:t>
      </w:r>
      <w:r w:rsidRPr="00442EDD">
        <w:rPr>
          <w:spacing w:val="-2"/>
          <w:sz w:val="16"/>
          <w:szCs w:val="16"/>
        </w:rPr>
        <w:t xml:space="preserve">ahrnují </w:t>
      </w:r>
      <w:r>
        <w:rPr>
          <w:spacing w:val="-2"/>
          <w:sz w:val="16"/>
          <w:szCs w:val="16"/>
        </w:rPr>
        <w:t xml:space="preserve">uskupení </w:t>
      </w:r>
      <w:r w:rsidRPr="00442EDD">
        <w:rPr>
          <w:spacing w:val="-2"/>
          <w:sz w:val="16"/>
          <w:szCs w:val="16"/>
        </w:rPr>
        <w:t>od</w:t>
      </w:r>
      <w:r>
        <w:rPr>
          <w:spacing w:val="-2"/>
          <w:sz w:val="16"/>
          <w:szCs w:val="16"/>
        </w:rPr>
        <w:t>větví Veřejná správa a obrana, Vzdělávání, Z</w:t>
      </w:r>
      <w:r w:rsidRPr="00442EDD">
        <w:rPr>
          <w:spacing w:val="-2"/>
          <w:sz w:val="16"/>
          <w:szCs w:val="16"/>
        </w:rPr>
        <w:t>dravotní a sociální péče.</w:t>
      </w:r>
    </w:p>
  </w:footnote>
  <w:footnote w:id="89">
    <w:p w14:paraId="6A01E805" w14:textId="77777777" w:rsidR="009D4785" w:rsidRDefault="009D4785" w:rsidP="009D4785">
      <w:pPr>
        <w:pStyle w:val="Textpoznpodarou"/>
      </w:pPr>
      <w:r w:rsidRPr="00AF2AB5">
        <w:rPr>
          <w:rStyle w:val="Znakapoznpodarou"/>
          <w:sz w:val="16"/>
          <w:szCs w:val="16"/>
        </w:rPr>
        <w:footnoteRef/>
      </w:r>
      <w:r w:rsidRPr="00AF2AB5">
        <w:rPr>
          <w:sz w:val="16"/>
          <w:szCs w:val="16"/>
        </w:rPr>
        <w:t xml:space="preserve"> </w:t>
      </w:r>
      <w:r>
        <w:rPr>
          <w:sz w:val="16"/>
          <w:szCs w:val="16"/>
        </w:rPr>
        <w:t>Ty zahrnují</w:t>
      </w:r>
      <w:r w:rsidRPr="00AF2AB5">
        <w:rPr>
          <w:sz w:val="16"/>
          <w:szCs w:val="16"/>
        </w:rPr>
        <w:t xml:space="preserve"> vedle</w:t>
      </w:r>
      <w:r w:rsidRPr="00180D79">
        <w:rPr>
          <w:sz w:val="16"/>
          <w:szCs w:val="16"/>
        </w:rPr>
        <w:t xml:space="preserve"> kulturních, zábavních a rekreačních činností např. různé služby pro domácnosti (opravy výrobků, kadeřnické </w:t>
      </w:r>
      <w:r>
        <w:rPr>
          <w:sz w:val="16"/>
          <w:szCs w:val="16"/>
        </w:rPr>
        <w:br/>
      </w:r>
      <w:r w:rsidRPr="00180D79">
        <w:rPr>
          <w:sz w:val="16"/>
          <w:szCs w:val="16"/>
        </w:rPr>
        <w:t xml:space="preserve">a kosmetické činnosti aj.). Zaměstnanost </w:t>
      </w:r>
      <w:r>
        <w:rPr>
          <w:sz w:val="16"/>
          <w:szCs w:val="16"/>
        </w:rPr>
        <w:t xml:space="preserve">je </w:t>
      </w:r>
      <w:r w:rsidRPr="00180D79">
        <w:rPr>
          <w:sz w:val="16"/>
          <w:szCs w:val="16"/>
        </w:rPr>
        <w:t>v</w:t>
      </w:r>
      <w:r>
        <w:rPr>
          <w:sz w:val="16"/>
          <w:szCs w:val="16"/>
        </w:rPr>
        <w:t> </w:t>
      </w:r>
      <w:r w:rsidRPr="00180D79">
        <w:rPr>
          <w:sz w:val="16"/>
          <w:szCs w:val="16"/>
        </w:rPr>
        <w:t>t</w:t>
      </w:r>
      <w:r>
        <w:rPr>
          <w:sz w:val="16"/>
          <w:szCs w:val="16"/>
        </w:rPr>
        <w:t xml:space="preserve">omto odvětví tvořená z více než třetiny </w:t>
      </w:r>
      <w:r w:rsidRPr="00180D79">
        <w:rPr>
          <w:sz w:val="16"/>
          <w:szCs w:val="16"/>
        </w:rPr>
        <w:t>drobnými podnikateli</w:t>
      </w:r>
      <w:r>
        <w:rPr>
          <w:sz w:val="16"/>
          <w:szCs w:val="16"/>
        </w:rPr>
        <w:t xml:space="preserve"> (resp. </w:t>
      </w:r>
      <w:proofErr w:type="spellStart"/>
      <w:r>
        <w:rPr>
          <w:sz w:val="16"/>
          <w:szCs w:val="16"/>
        </w:rPr>
        <w:t>sebezaměstnanými</w:t>
      </w:r>
      <w:proofErr w:type="spellEnd"/>
      <w:r>
        <w:rPr>
          <w:sz w:val="16"/>
          <w:szCs w:val="16"/>
        </w:rPr>
        <w:t>).</w:t>
      </w:r>
    </w:p>
  </w:footnote>
  <w:footnote w:id="90">
    <w:p w14:paraId="662EECE5" w14:textId="77777777" w:rsidR="009D4785" w:rsidRPr="00443624" w:rsidRDefault="009D4785" w:rsidP="009D4785">
      <w:pPr>
        <w:pStyle w:val="Textpoznpodarou"/>
        <w:rPr>
          <w:sz w:val="16"/>
          <w:szCs w:val="16"/>
        </w:rPr>
      </w:pPr>
      <w:r w:rsidRPr="00443624">
        <w:rPr>
          <w:rStyle w:val="Znakapoznpodarou"/>
          <w:sz w:val="16"/>
          <w:szCs w:val="16"/>
        </w:rPr>
        <w:footnoteRef/>
      </w:r>
      <w:r w:rsidRPr="00443624">
        <w:rPr>
          <w:sz w:val="16"/>
          <w:szCs w:val="16"/>
        </w:rPr>
        <w:t xml:space="preserve"> Údaje </w:t>
      </w:r>
      <w:r w:rsidRPr="00443624">
        <w:rPr>
          <w:color w:val="0D0D0D" w:themeColor="text1" w:themeTint="F2"/>
          <w:spacing w:val="-2"/>
          <w:sz w:val="16"/>
          <w:szCs w:val="16"/>
        </w:rPr>
        <w:t>vycházejí z pojetí národních účtů</w:t>
      </w:r>
      <w:r>
        <w:rPr>
          <w:color w:val="0D0D0D" w:themeColor="text1" w:themeTint="F2"/>
          <w:spacing w:val="-2"/>
          <w:sz w:val="16"/>
          <w:szCs w:val="16"/>
        </w:rPr>
        <w:t xml:space="preserve"> a jsou </w:t>
      </w:r>
      <w:r w:rsidRPr="00F72E52">
        <w:rPr>
          <w:color w:val="0D0D0D" w:themeColor="text1" w:themeTint="F2"/>
          <w:spacing w:val="-2"/>
          <w:sz w:val="16"/>
          <w:szCs w:val="16"/>
        </w:rPr>
        <w:t>očištěny o sezónní vlivy</w:t>
      </w:r>
      <w:r>
        <w:rPr>
          <w:color w:val="0D0D0D" w:themeColor="text1" w:themeTint="F2"/>
          <w:spacing w:val="-2"/>
          <w:sz w:val="16"/>
          <w:szCs w:val="16"/>
        </w:rPr>
        <w:t>.</w:t>
      </w:r>
    </w:p>
  </w:footnote>
  <w:footnote w:id="91">
    <w:p w14:paraId="3142E84E" w14:textId="77777777" w:rsidR="009D4785" w:rsidRPr="00B358BA" w:rsidRDefault="009D4785" w:rsidP="009D4785">
      <w:pPr>
        <w:pStyle w:val="Textpoznpodarou"/>
        <w:rPr>
          <w:sz w:val="16"/>
          <w:szCs w:val="16"/>
        </w:rPr>
      </w:pPr>
      <w:r w:rsidRPr="00B358BA">
        <w:rPr>
          <w:rStyle w:val="Znakapoznpodarou"/>
          <w:sz w:val="16"/>
          <w:szCs w:val="16"/>
        </w:rPr>
        <w:footnoteRef/>
      </w:r>
      <w:r w:rsidRPr="00B358BA">
        <w:rPr>
          <w:sz w:val="16"/>
          <w:szCs w:val="16"/>
        </w:rPr>
        <w:t xml:space="preserve"> </w:t>
      </w:r>
      <w:r w:rsidRPr="00B358BA">
        <w:rPr>
          <w:spacing w:val="-4"/>
          <w:sz w:val="16"/>
          <w:szCs w:val="16"/>
        </w:rPr>
        <w:t>Ve srovnání s </w:t>
      </w:r>
      <w:r>
        <w:rPr>
          <w:spacing w:val="-4"/>
          <w:sz w:val="16"/>
          <w:szCs w:val="16"/>
        </w:rPr>
        <w:t>rokem</w:t>
      </w:r>
      <w:r w:rsidRPr="00B358BA">
        <w:rPr>
          <w:spacing w:val="-4"/>
          <w:sz w:val="16"/>
          <w:szCs w:val="16"/>
        </w:rPr>
        <w:t xml:space="preserve"> 2019 byl l</w:t>
      </w:r>
      <w:r>
        <w:rPr>
          <w:spacing w:val="-4"/>
          <w:sz w:val="16"/>
          <w:szCs w:val="16"/>
        </w:rPr>
        <w:t>oni</w:t>
      </w:r>
      <w:r w:rsidRPr="00B358BA">
        <w:rPr>
          <w:spacing w:val="-4"/>
          <w:sz w:val="16"/>
          <w:szCs w:val="16"/>
        </w:rPr>
        <w:t xml:space="preserve"> počet odpracovaných hodin v ekonomice vyšší o </w:t>
      </w:r>
      <w:r>
        <w:rPr>
          <w:spacing w:val="-4"/>
          <w:sz w:val="16"/>
          <w:szCs w:val="16"/>
        </w:rPr>
        <w:t>5,2</w:t>
      </w:r>
      <w:r w:rsidRPr="00B358BA">
        <w:rPr>
          <w:spacing w:val="-4"/>
          <w:sz w:val="16"/>
          <w:szCs w:val="16"/>
        </w:rPr>
        <w:t xml:space="preserve"> %, z toho u </w:t>
      </w:r>
      <w:proofErr w:type="spellStart"/>
      <w:r w:rsidRPr="00B358BA">
        <w:rPr>
          <w:spacing w:val="-4"/>
          <w:sz w:val="16"/>
          <w:szCs w:val="16"/>
        </w:rPr>
        <w:t>sebezaměstnaných</w:t>
      </w:r>
      <w:proofErr w:type="spellEnd"/>
      <w:r w:rsidRPr="00B358BA">
        <w:rPr>
          <w:spacing w:val="-4"/>
          <w:sz w:val="16"/>
          <w:szCs w:val="16"/>
        </w:rPr>
        <w:t xml:space="preserve"> o </w:t>
      </w:r>
      <w:r>
        <w:rPr>
          <w:spacing w:val="-4"/>
          <w:sz w:val="16"/>
          <w:szCs w:val="16"/>
        </w:rPr>
        <w:t>9</w:t>
      </w:r>
      <w:r w:rsidRPr="00B358BA">
        <w:rPr>
          <w:spacing w:val="-4"/>
          <w:sz w:val="16"/>
          <w:szCs w:val="16"/>
        </w:rPr>
        <w:t>,</w:t>
      </w:r>
      <w:r>
        <w:rPr>
          <w:spacing w:val="-4"/>
          <w:sz w:val="16"/>
          <w:szCs w:val="16"/>
        </w:rPr>
        <w:t>8</w:t>
      </w:r>
      <w:r w:rsidRPr="00B358BA">
        <w:rPr>
          <w:spacing w:val="-4"/>
          <w:sz w:val="16"/>
          <w:szCs w:val="16"/>
        </w:rPr>
        <w:t xml:space="preserve"> %. </w:t>
      </w:r>
      <w:r w:rsidRPr="00B358BA">
        <w:rPr>
          <w:sz w:val="16"/>
          <w:szCs w:val="16"/>
        </w:rPr>
        <w:t>Analogické navýšení u počtu fyzických pracovníků činilo 2,</w:t>
      </w:r>
      <w:r>
        <w:rPr>
          <w:sz w:val="16"/>
          <w:szCs w:val="16"/>
        </w:rPr>
        <w:t>9</w:t>
      </w:r>
      <w:r w:rsidRPr="00B358BA">
        <w:rPr>
          <w:sz w:val="16"/>
          <w:szCs w:val="16"/>
        </w:rPr>
        <w:t xml:space="preserve"> %, z toho u </w:t>
      </w:r>
      <w:proofErr w:type="spellStart"/>
      <w:r w:rsidRPr="00B358BA">
        <w:rPr>
          <w:sz w:val="16"/>
          <w:szCs w:val="16"/>
        </w:rPr>
        <w:t>sebezaměstnaných</w:t>
      </w:r>
      <w:proofErr w:type="spellEnd"/>
      <w:r w:rsidRPr="00B358BA">
        <w:rPr>
          <w:sz w:val="16"/>
          <w:szCs w:val="16"/>
        </w:rPr>
        <w:t xml:space="preserve"> </w:t>
      </w:r>
      <w:r>
        <w:rPr>
          <w:sz w:val="16"/>
          <w:szCs w:val="16"/>
        </w:rPr>
        <w:t>5,4</w:t>
      </w:r>
      <w:r w:rsidRPr="00B358BA">
        <w:rPr>
          <w:sz w:val="16"/>
          <w:szCs w:val="16"/>
        </w:rPr>
        <w:t xml:space="preserve"> %.</w:t>
      </w:r>
    </w:p>
  </w:footnote>
  <w:footnote w:id="92">
    <w:p w14:paraId="6ED6CD61" w14:textId="77777777" w:rsidR="009D4785" w:rsidRPr="00930844" w:rsidRDefault="009D4785" w:rsidP="009D4785">
      <w:pPr>
        <w:pStyle w:val="Textpoznpodarou"/>
        <w:rPr>
          <w:sz w:val="16"/>
          <w:szCs w:val="16"/>
        </w:rPr>
      </w:pPr>
      <w:r w:rsidRPr="00930844">
        <w:rPr>
          <w:rStyle w:val="Znakapoznpodarou"/>
          <w:sz w:val="16"/>
          <w:szCs w:val="16"/>
        </w:rPr>
        <w:footnoteRef/>
      </w:r>
      <w:r w:rsidRPr="00930844">
        <w:rPr>
          <w:sz w:val="16"/>
          <w:szCs w:val="16"/>
        </w:rPr>
        <w:t xml:space="preserve"> Jde o činnosti v oblasti nemovitostí</w:t>
      </w:r>
      <w:r>
        <w:rPr>
          <w:sz w:val="16"/>
          <w:szCs w:val="16"/>
        </w:rPr>
        <w:t xml:space="preserve">, kde odpracovaná doba (jako v jediném z hlavních odvětví) loni dokonce mírně poklesla (o 0,3 %). Druhou výjimku představuje odvětví </w:t>
      </w:r>
      <w:r w:rsidRPr="00930844">
        <w:rPr>
          <w:sz w:val="16"/>
          <w:szCs w:val="16"/>
        </w:rPr>
        <w:t>ostatní</w:t>
      </w:r>
      <w:r>
        <w:rPr>
          <w:sz w:val="16"/>
          <w:szCs w:val="16"/>
        </w:rPr>
        <w:t>ch</w:t>
      </w:r>
      <w:r w:rsidRPr="00930844">
        <w:rPr>
          <w:sz w:val="16"/>
          <w:szCs w:val="16"/>
        </w:rPr>
        <w:t xml:space="preserve"> činnost</w:t>
      </w:r>
      <w:r>
        <w:rPr>
          <w:sz w:val="16"/>
          <w:szCs w:val="16"/>
        </w:rPr>
        <w:t xml:space="preserve">í </w:t>
      </w:r>
      <w:r w:rsidRPr="00930844">
        <w:rPr>
          <w:sz w:val="16"/>
          <w:szCs w:val="16"/>
        </w:rPr>
        <w:t>služeb</w:t>
      </w:r>
      <w:r>
        <w:rPr>
          <w:sz w:val="16"/>
          <w:szCs w:val="16"/>
        </w:rPr>
        <w:t>, kde bylo loni odpracováno meziročně o 3,0 % hodin více, avšak zaměstnanost posílila dokonce o 4,2 %.</w:t>
      </w:r>
    </w:p>
  </w:footnote>
  <w:footnote w:id="93">
    <w:p w14:paraId="4191E24C" w14:textId="77777777" w:rsidR="009D4785" w:rsidRPr="00164965" w:rsidRDefault="009D4785" w:rsidP="009D4785">
      <w:pPr>
        <w:pStyle w:val="Textpoznpodarou"/>
        <w:rPr>
          <w:sz w:val="16"/>
          <w:szCs w:val="16"/>
        </w:rPr>
      </w:pPr>
      <w:r w:rsidRPr="00164965">
        <w:rPr>
          <w:rStyle w:val="Znakapoznpodarou"/>
          <w:sz w:val="16"/>
          <w:szCs w:val="16"/>
        </w:rPr>
        <w:footnoteRef/>
      </w:r>
      <w:r w:rsidRPr="00164965">
        <w:rPr>
          <w:sz w:val="16"/>
          <w:szCs w:val="16"/>
        </w:rPr>
        <w:t xml:space="preserve"> Vyjadřuje sezónně očištěné HDP</w:t>
      </w:r>
      <w:r>
        <w:rPr>
          <w:sz w:val="16"/>
          <w:szCs w:val="16"/>
        </w:rPr>
        <w:t>, resp. HPH na úrovni jednotlivých odvětví (</w:t>
      </w:r>
      <w:r w:rsidRPr="00164965">
        <w:rPr>
          <w:sz w:val="16"/>
          <w:szCs w:val="16"/>
        </w:rPr>
        <w:t>ve s</w:t>
      </w:r>
      <w:r>
        <w:rPr>
          <w:sz w:val="16"/>
          <w:szCs w:val="16"/>
        </w:rPr>
        <w:t xml:space="preserve">rovnatelných cenách roku 2020) </w:t>
      </w:r>
      <w:r w:rsidRPr="00164965">
        <w:rPr>
          <w:sz w:val="16"/>
          <w:szCs w:val="16"/>
        </w:rPr>
        <w:t>na o</w:t>
      </w:r>
      <w:r>
        <w:rPr>
          <w:sz w:val="16"/>
          <w:szCs w:val="16"/>
        </w:rPr>
        <w:t>d</w:t>
      </w:r>
      <w:r w:rsidRPr="00164965">
        <w:rPr>
          <w:sz w:val="16"/>
          <w:szCs w:val="16"/>
        </w:rPr>
        <w:t>pracovanou hodinu zaměstnanými osobami (po sezónním očištění).</w:t>
      </w:r>
    </w:p>
  </w:footnote>
  <w:footnote w:id="94">
    <w:p w14:paraId="14A3525B" w14:textId="77777777" w:rsidR="009D4785" w:rsidRDefault="009D4785" w:rsidP="009D4785">
      <w:pPr>
        <w:pStyle w:val="Textpoznpodarou"/>
      </w:pPr>
      <w:r w:rsidRPr="00B57963">
        <w:rPr>
          <w:rStyle w:val="Znakapoznpodarou"/>
          <w:sz w:val="16"/>
          <w:szCs w:val="16"/>
        </w:rPr>
        <w:footnoteRef/>
      </w:r>
      <w:r w:rsidRPr="00B57963">
        <w:rPr>
          <w:sz w:val="16"/>
          <w:szCs w:val="16"/>
        </w:rPr>
        <w:t xml:space="preserve"> Z údajů VŠPS plyne, že počet ekonomicky neaktivních osob, které si práci nehledají, ale přitom uvádějí, že by chtěli pracovat</w:t>
      </w:r>
      <w:r>
        <w:rPr>
          <w:sz w:val="16"/>
          <w:szCs w:val="16"/>
        </w:rPr>
        <w:t>,</w:t>
      </w:r>
      <w:r w:rsidRPr="00B57963">
        <w:rPr>
          <w:sz w:val="16"/>
          <w:szCs w:val="16"/>
        </w:rPr>
        <w:t xml:space="preserve"> dosáhl loni ve 4. čtvrtletí 75 tis. (podobně jako o rok dříve).</w:t>
      </w:r>
      <w:r>
        <w:t xml:space="preserve"> </w:t>
      </w:r>
      <w:r>
        <w:rPr>
          <w:sz w:val="16"/>
          <w:szCs w:val="16"/>
        </w:rPr>
        <w:t>Navíc pouze pětina z tohoto počtu byla ovšem schop</w:t>
      </w:r>
      <w:r w:rsidRPr="004A5CB3">
        <w:rPr>
          <w:sz w:val="16"/>
          <w:szCs w:val="16"/>
        </w:rPr>
        <w:t>n</w:t>
      </w:r>
      <w:r>
        <w:rPr>
          <w:sz w:val="16"/>
          <w:szCs w:val="16"/>
        </w:rPr>
        <w:t>a</w:t>
      </w:r>
      <w:r w:rsidRPr="004A5CB3">
        <w:rPr>
          <w:sz w:val="16"/>
          <w:szCs w:val="16"/>
        </w:rPr>
        <w:t xml:space="preserve"> </w:t>
      </w:r>
      <w:r>
        <w:rPr>
          <w:sz w:val="16"/>
          <w:szCs w:val="16"/>
        </w:rPr>
        <w:t xml:space="preserve">nastoupit </w:t>
      </w:r>
      <w:r w:rsidRPr="004A5CB3">
        <w:rPr>
          <w:sz w:val="16"/>
          <w:szCs w:val="16"/>
        </w:rPr>
        <w:t xml:space="preserve">bezprostředně </w:t>
      </w:r>
      <w:r>
        <w:rPr>
          <w:sz w:val="16"/>
          <w:szCs w:val="16"/>
        </w:rPr>
        <w:t xml:space="preserve">(do 14 dnů) </w:t>
      </w:r>
      <w:r w:rsidRPr="004A5CB3">
        <w:rPr>
          <w:sz w:val="16"/>
          <w:szCs w:val="16"/>
        </w:rPr>
        <w:t>do práce</w:t>
      </w:r>
      <w:r>
        <w:rPr>
          <w:sz w:val="16"/>
          <w:szCs w:val="16"/>
        </w:rPr>
        <w:t xml:space="preserve"> (v</w:t>
      </w:r>
      <w:r w:rsidRPr="004A5CB3">
        <w:rPr>
          <w:sz w:val="16"/>
          <w:szCs w:val="16"/>
        </w:rPr>
        <w:t>ýznamnou část pracovních rezerv totiž tvoří studenti a ženy na rodičovské dovolené</w:t>
      </w:r>
      <w:r>
        <w:rPr>
          <w:sz w:val="16"/>
          <w:szCs w:val="16"/>
        </w:rPr>
        <w:t>)</w:t>
      </w:r>
      <w:r w:rsidRPr="004A5CB3">
        <w:rPr>
          <w:sz w:val="16"/>
          <w:szCs w:val="16"/>
        </w:rPr>
        <w:t>.</w:t>
      </w:r>
      <w:r>
        <w:rPr>
          <w:sz w:val="16"/>
          <w:szCs w:val="16"/>
        </w:rPr>
        <w:t xml:space="preserve"> Vedle toho je možné do rezerv pracovních sil započítat i frikčně nezaměstnané – v širším pojetí osoby, jež byly bez práce kratší dobu než jeden rok. Těch bylo dle stejného zdroje 106 tis. (meziročně o desetinu více). K nim lze ještě přidat početně okrajovou skupinu pracujících na zkrácený úvazek uvádějících ochotu pracovat déle (20 tis.). I při teoretickém okamžitém zapojení všech těchto osob na trh práce (odhlédneme-li </w:t>
      </w:r>
      <w:r w:rsidRPr="00CD3EC0">
        <w:rPr>
          <w:spacing w:val="-2"/>
          <w:sz w:val="16"/>
          <w:szCs w:val="16"/>
        </w:rPr>
        <w:t>od jejich územního i kvalifikačního nesouladu s potenciálně volnými pracovními místy) by celkový počet zaměstnaných vzrostl jen o 3,9 %.</w:t>
      </w:r>
      <w:r>
        <w:rPr>
          <w:sz w:val="16"/>
          <w:szCs w:val="16"/>
        </w:rPr>
        <w:t xml:space="preserve">  </w:t>
      </w:r>
    </w:p>
  </w:footnote>
  <w:footnote w:id="95">
    <w:p w14:paraId="589B313E" w14:textId="77777777" w:rsidR="009D4785" w:rsidRPr="00B93369" w:rsidRDefault="009D4785" w:rsidP="009D4785">
      <w:pPr>
        <w:pStyle w:val="Textpoznpodarou"/>
        <w:rPr>
          <w:sz w:val="16"/>
          <w:szCs w:val="16"/>
        </w:rPr>
      </w:pPr>
      <w:r w:rsidRPr="00AD3730">
        <w:rPr>
          <w:rStyle w:val="Znakapoznpodarou"/>
          <w:sz w:val="16"/>
          <w:szCs w:val="16"/>
        </w:rPr>
        <w:footnoteRef/>
      </w:r>
      <w:r>
        <w:rPr>
          <w:sz w:val="16"/>
          <w:szCs w:val="16"/>
        </w:rPr>
        <w:t xml:space="preserve"> Oprávnění k zaměstnání (pracovní povolení, zaměstnanecké či modré karty) nepotřebovaly</w:t>
      </w:r>
      <w:r w:rsidRPr="00AD3730">
        <w:rPr>
          <w:sz w:val="16"/>
          <w:szCs w:val="16"/>
        </w:rPr>
        <w:t xml:space="preserve"> </w:t>
      </w:r>
      <w:r>
        <w:rPr>
          <w:sz w:val="16"/>
          <w:szCs w:val="16"/>
        </w:rPr>
        <w:t>na konci 4. čtvrtletí 2025 více než čtyři pětiny veškerých</w:t>
      </w:r>
      <w:r w:rsidRPr="00AD3730">
        <w:rPr>
          <w:sz w:val="16"/>
          <w:szCs w:val="16"/>
        </w:rPr>
        <w:t xml:space="preserve"> občanů Ukrajiny </w:t>
      </w:r>
      <w:r>
        <w:rPr>
          <w:sz w:val="16"/>
          <w:szCs w:val="16"/>
        </w:rPr>
        <w:t xml:space="preserve">(resp. 74 % mužů a 91 % </w:t>
      </w:r>
      <w:r w:rsidRPr="00B93369">
        <w:rPr>
          <w:sz w:val="16"/>
          <w:szCs w:val="16"/>
        </w:rPr>
        <w:t>žen) působících v ČR v zaměstnaneckém postavení.</w:t>
      </w:r>
    </w:p>
  </w:footnote>
  <w:footnote w:id="96">
    <w:p w14:paraId="54BCFC9A" w14:textId="77777777" w:rsidR="009D4785" w:rsidRPr="00CF611C" w:rsidRDefault="009D4785" w:rsidP="009D4785">
      <w:pPr>
        <w:pStyle w:val="Textpoznpodarou"/>
        <w:rPr>
          <w:color w:val="0D0D0D" w:themeColor="text1" w:themeTint="F2"/>
          <w:sz w:val="16"/>
          <w:szCs w:val="16"/>
        </w:rPr>
      </w:pPr>
      <w:r w:rsidRPr="00B93369">
        <w:rPr>
          <w:rStyle w:val="Znakapoznpodarou"/>
          <w:sz w:val="16"/>
          <w:szCs w:val="16"/>
        </w:rPr>
        <w:footnoteRef/>
      </w:r>
      <w:r w:rsidRPr="00B93369">
        <w:rPr>
          <w:sz w:val="16"/>
          <w:szCs w:val="16"/>
        </w:rPr>
        <w:t xml:space="preserve"> Od 1. července 2024 nově nepotřebují v Česku pracovní povolení ani zaměstnanecké karty cizinci z některých ekonomicky vyspělých </w:t>
      </w:r>
      <w:r w:rsidRPr="00B93369">
        <w:rPr>
          <w:color w:val="0D0D0D" w:themeColor="text1" w:themeTint="F2"/>
          <w:sz w:val="16"/>
          <w:szCs w:val="16"/>
        </w:rPr>
        <w:t>zemí mimo EU (USA, Velká Británie, Kanada, Austrálie, Nový Zéland, Japonsko, Jižní Korea, Izrae</w:t>
      </w:r>
      <w:r w:rsidRPr="000643E1">
        <w:rPr>
          <w:color w:val="0D0D0D" w:themeColor="text1" w:themeTint="F2"/>
          <w:sz w:val="16"/>
          <w:szCs w:val="16"/>
        </w:rPr>
        <w:t>l a Singapur). Loni na konci prosince pracovalo z těchto zemí v Česku v zaměstnaneckém postavení 10,0 tis. osob (meziročně o 4 % více).</w:t>
      </w:r>
    </w:p>
  </w:footnote>
  <w:footnote w:id="97">
    <w:p w14:paraId="71337B0E" w14:textId="77777777" w:rsidR="009D4785" w:rsidRDefault="009D4785" w:rsidP="009D4785">
      <w:pPr>
        <w:pStyle w:val="Textpoznpodarou"/>
      </w:pPr>
      <w:r w:rsidRPr="00432D0C">
        <w:rPr>
          <w:rStyle w:val="Znakapoznpodarou"/>
          <w:sz w:val="16"/>
          <w:szCs w:val="16"/>
        </w:rPr>
        <w:footnoteRef/>
      </w:r>
      <w:r w:rsidRPr="00432D0C">
        <w:rPr>
          <w:sz w:val="16"/>
          <w:szCs w:val="16"/>
        </w:rPr>
        <w:t xml:space="preserve"> </w:t>
      </w:r>
      <w:r w:rsidRPr="00590A80">
        <w:rPr>
          <w:color w:val="0D0D0D" w:themeColor="text1" w:themeTint="F2"/>
          <w:sz w:val="16"/>
          <w:szCs w:val="16"/>
        </w:rPr>
        <w:t>Vedle toho evidovalo MPO ve stejném období 1</w:t>
      </w:r>
      <w:r>
        <w:rPr>
          <w:color w:val="0D0D0D" w:themeColor="text1" w:themeTint="F2"/>
          <w:sz w:val="16"/>
          <w:szCs w:val="16"/>
        </w:rPr>
        <w:t>46</w:t>
      </w:r>
      <w:r w:rsidRPr="00590A80">
        <w:rPr>
          <w:color w:val="0D0D0D" w:themeColor="text1" w:themeTint="F2"/>
          <w:sz w:val="16"/>
          <w:szCs w:val="16"/>
        </w:rPr>
        <w:t xml:space="preserve"> tis. cizích státních příslušníků s živnostenským oprávněním v Česku (meziročně </w:t>
      </w:r>
      <w:r>
        <w:rPr>
          <w:color w:val="0D0D0D" w:themeColor="text1" w:themeTint="F2"/>
          <w:sz w:val="16"/>
          <w:szCs w:val="16"/>
        </w:rPr>
        <w:br/>
        <w:t>o desetinu</w:t>
      </w:r>
      <w:r w:rsidRPr="00590A80">
        <w:rPr>
          <w:color w:val="0D0D0D" w:themeColor="text1" w:themeTint="F2"/>
          <w:sz w:val="16"/>
          <w:szCs w:val="16"/>
        </w:rPr>
        <w:t xml:space="preserve"> více). Na tomto růstu se ze dvou třetin podíleli Ukrajinci, jichž v Česku podnikalo </w:t>
      </w:r>
      <w:r>
        <w:rPr>
          <w:color w:val="0D0D0D" w:themeColor="text1" w:themeTint="F2"/>
          <w:sz w:val="16"/>
          <w:szCs w:val="16"/>
        </w:rPr>
        <w:t>52</w:t>
      </w:r>
      <w:r w:rsidRPr="00590A80">
        <w:rPr>
          <w:color w:val="0D0D0D" w:themeColor="text1" w:themeTint="F2"/>
          <w:sz w:val="16"/>
          <w:szCs w:val="16"/>
        </w:rPr>
        <w:t xml:space="preserve"> tis., s odstupem následovali Slováci </w:t>
      </w:r>
      <w:r>
        <w:rPr>
          <w:color w:val="0D0D0D" w:themeColor="text1" w:themeTint="F2"/>
          <w:sz w:val="16"/>
          <w:szCs w:val="16"/>
        </w:rPr>
        <w:br/>
      </w:r>
      <w:r w:rsidRPr="00590A80">
        <w:rPr>
          <w:color w:val="0D0D0D" w:themeColor="text1" w:themeTint="F2"/>
          <w:sz w:val="16"/>
          <w:szCs w:val="16"/>
        </w:rPr>
        <w:t>(2</w:t>
      </w:r>
      <w:r>
        <w:rPr>
          <w:color w:val="0D0D0D" w:themeColor="text1" w:themeTint="F2"/>
          <w:sz w:val="16"/>
          <w:szCs w:val="16"/>
        </w:rPr>
        <w:t>8</w:t>
      </w:r>
      <w:r w:rsidRPr="00590A80">
        <w:rPr>
          <w:color w:val="0D0D0D" w:themeColor="text1" w:themeTint="F2"/>
          <w:sz w:val="16"/>
          <w:szCs w:val="16"/>
        </w:rPr>
        <w:t xml:space="preserve"> tis.)</w:t>
      </w:r>
      <w:r>
        <w:rPr>
          <w:color w:val="0D0D0D" w:themeColor="text1" w:themeTint="F2"/>
          <w:sz w:val="16"/>
          <w:szCs w:val="16"/>
        </w:rPr>
        <w:t>,</w:t>
      </w:r>
      <w:r w:rsidRPr="00590A80">
        <w:rPr>
          <w:color w:val="0D0D0D" w:themeColor="text1" w:themeTint="F2"/>
          <w:sz w:val="16"/>
          <w:szCs w:val="16"/>
        </w:rPr>
        <w:t xml:space="preserve"> Vietnamci (21 tis.)</w:t>
      </w:r>
      <w:r>
        <w:rPr>
          <w:color w:val="0D0D0D" w:themeColor="text1" w:themeTint="F2"/>
          <w:sz w:val="16"/>
          <w:szCs w:val="16"/>
        </w:rPr>
        <w:t xml:space="preserve"> a s výraznějším odstupem Rusové, Rumuni, Němci a Poláci. </w:t>
      </w:r>
    </w:p>
  </w:footnote>
  <w:footnote w:id="98">
    <w:p w14:paraId="5F04C37E" w14:textId="77777777" w:rsidR="009D4785" w:rsidRPr="001C35A3" w:rsidRDefault="009D4785" w:rsidP="009D4785">
      <w:pPr>
        <w:pStyle w:val="Textpoznpodarou"/>
        <w:rPr>
          <w:sz w:val="16"/>
          <w:szCs w:val="16"/>
        </w:rPr>
      </w:pPr>
      <w:r w:rsidRPr="001C35A3">
        <w:rPr>
          <w:rStyle w:val="Znakapoznpodarou"/>
          <w:sz w:val="16"/>
          <w:szCs w:val="16"/>
        </w:rPr>
        <w:footnoteRef/>
      </w:r>
      <w:r w:rsidRPr="001C35A3">
        <w:rPr>
          <w:sz w:val="16"/>
          <w:szCs w:val="16"/>
        </w:rPr>
        <w:t xml:space="preserve"> Tento region s poměrně silným zastoupení</w:t>
      </w:r>
      <w:r>
        <w:rPr>
          <w:sz w:val="16"/>
          <w:szCs w:val="16"/>
        </w:rPr>
        <w:t>m</w:t>
      </w:r>
      <w:r w:rsidRPr="001C35A3">
        <w:rPr>
          <w:sz w:val="16"/>
          <w:szCs w:val="16"/>
        </w:rPr>
        <w:t xml:space="preserve"> průmyslu čelí v poslední době relativně vyšší nezaměstnanosti a úbytku pracovních míst (patrně i v subdodavatelských firmách automobilového průmyslu). </w:t>
      </w:r>
    </w:p>
  </w:footnote>
  <w:footnote w:id="99">
    <w:p w14:paraId="54CC98E8" w14:textId="77777777" w:rsidR="009D4785" w:rsidRPr="00436B10" w:rsidRDefault="009D4785" w:rsidP="009D4785">
      <w:pPr>
        <w:pStyle w:val="Textpoznpodarou"/>
        <w:rPr>
          <w:sz w:val="16"/>
          <w:szCs w:val="16"/>
        </w:rPr>
      </w:pPr>
      <w:r w:rsidRPr="00436B10">
        <w:rPr>
          <w:rStyle w:val="Znakapoznpodarou"/>
          <w:sz w:val="16"/>
          <w:szCs w:val="16"/>
        </w:rPr>
        <w:footnoteRef/>
      </w:r>
      <w:r w:rsidRPr="00436B10">
        <w:rPr>
          <w:sz w:val="16"/>
          <w:szCs w:val="16"/>
        </w:rPr>
        <w:t xml:space="preserve"> </w:t>
      </w:r>
      <w:r w:rsidRPr="00436B10">
        <w:rPr>
          <w:spacing w:val="-5"/>
          <w:sz w:val="16"/>
          <w:szCs w:val="16"/>
        </w:rPr>
        <w:t xml:space="preserve">Dle údajů VŠPS se jejich počet ve </w:t>
      </w:r>
      <w:r>
        <w:rPr>
          <w:spacing w:val="-5"/>
          <w:sz w:val="16"/>
          <w:szCs w:val="16"/>
        </w:rPr>
        <w:t>4</w:t>
      </w:r>
      <w:r w:rsidRPr="00436B10">
        <w:rPr>
          <w:spacing w:val="-5"/>
          <w:sz w:val="16"/>
          <w:szCs w:val="16"/>
        </w:rPr>
        <w:t xml:space="preserve">. čtvrtletí 2025 meziročně zvýšil o </w:t>
      </w:r>
      <w:r>
        <w:rPr>
          <w:spacing w:val="-5"/>
          <w:sz w:val="16"/>
          <w:szCs w:val="16"/>
        </w:rPr>
        <w:t>21 tis., resp. 8</w:t>
      </w:r>
      <w:r w:rsidRPr="00436B10">
        <w:rPr>
          <w:spacing w:val="-5"/>
          <w:sz w:val="16"/>
          <w:szCs w:val="16"/>
        </w:rPr>
        <w:t xml:space="preserve"> %</w:t>
      </w:r>
      <w:r>
        <w:rPr>
          <w:spacing w:val="-5"/>
          <w:sz w:val="16"/>
          <w:szCs w:val="16"/>
        </w:rPr>
        <w:t xml:space="preserve"> (růstové tempo během loňského roku sílilo)</w:t>
      </w:r>
      <w:r w:rsidRPr="00436B10">
        <w:rPr>
          <w:spacing w:val="-5"/>
          <w:sz w:val="16"/>
          <w:szCs w:val="16"/>
        </w:rPr>
        <w:t>, což mohlo souviset se silným přílivem pracovníků ze zemí mimo EU.</w:t>
      </w:r>
      <w:r w:rsidRPr="00436B10">
        <w:rPr>
          <w:sz w:val="16"/>
          <w:szCs w:val="16"/>
        </w:rPr>
        <w:t xml:space="preserve"> </w:t>
      </w:r>
    </w:p>
  </w:footnote>
  <w:footnote w:id="100">
    <w:p w14:paraId="4812D7D8" w14:textId="77777777" w:rsidR="009D4785" w:rsidRPr="00A47DAB" w:rsidRDefault="009D4785" w:rsidP="009D4785">
      <w:pPr>
        <w:pStyle w:val="Textpoznpodarou"/>
        <w:rPr>
          <w:sz w:val="16"/>
          <w:szCs w:val="16"/>
        </w:rPr>
      </w:pPr>
      <w:r w:rsidRPr="00A47DAB">
        <w:rPr>
          <w:rStyle w:val="Znakapoznpodarou"/>
          <w:sz w:val="16"/>
          <w:szCs w:val="16"/>
        </w:rPr>
        <w:footnoteRef/>
      </w:r>
      <w:r w:rsidRPr="00A47DAB">
        <w:rPr>
          <w:sz w:val="16"/>
          <w:szCs w:val="16"/>
        </w:rPr>
        <w:t xml:space="preserve"> Jedná se o údaje v novém modelu sezónního oči</w:t>
      </w:r>
      <w:r>
        <w:rPr>
          <w:sz w:val="16"/>
          <w:szCs w:val="16"/>
        </w:rPr>
        <w:t>štění – pomocí trendcyklu. Inovo</w:t>
      </w:r>
      <w:r w:rsidRPr="00A47DAB">
        <w:rPr>
          <w:sz w:val="16"/>
          <w:szCs w:val="16"/>
        </w:rPr>
        <w:t>vaný model očištění lépe odráží změny charakteru trhu práce a sezónnosti.</w:t>
      </w:r>
      <w:r>
        <w:rPr>
          <w:sz w:val="16"/>
          <w:szCs w:val="16"/>
        </w:rPr>
        <w:t xml:space="preserve"> Obdobně je očištěna i měsíční míra nezaměstnanosti.</w:t>
      </w:r>
    </w:p>
  </w:footnote>
  <w:footnote w:id="101">
    <w:p w14:paraId="15EF51F6" w14:textId="77777777" w:rsidR="009D4785" w:rsidRPr="003D26DD" w:rsidRDefault="009D4785" w:rsidP="009D4785">
      <w:pPr>
        <w:pStyle w:val="Textpoznpodarou"/>
        <w:rPr>
          <w:sz w:val="16"/>
          <w:szCs w:val="16"/>
        </w:rPr>
      </w:pPr>
      <w:r w:rsidRPr="003D26DD">
        <w:rPr>
          <w:rStyle w:val="Znakapoznpodarou"/>
          <w:sz w:val="16"/>
          <w:szCs w:val="16"/>
        </w:rPr>
        <w:footnoteRef/>
      </w:r>
      <w:r w:rsidRPr="003D26DD">
        <w:rPr>
          <w:sz w:val="16"/>
          <w:szCs w:val="16"/>
        </w:rPr>
        <w:t xml:space="preserve"> Ten souvisel s obecnějšími změnami na pracovním trhu po ústupu pandemie covid</w:t>
      </w:r>
      <w:r>
        <w:rPr>
          <w:sz w:val="16"/>
          <w:szCs w:val="16"/>
        </w:rPr>
        <w:t>u</w:t>
      </w:r>
      <w:r w:rsidRPr="003D26DD">
        <w:rPr>
          <w:sz w:val="16"/>
          <w:szCs w:val="16"/>
        </w:rPr>
        <w:t>-19 a také se státní politikou zaměstnanosti, jež od roku 2023 stimulovala nabídku těchto úvazků (zejména formou slevy na pojistném u zaměstnavatelů, jež se týká vybraných skupin zaměstnanců</w:t>
      </w:r>
      <w:r>
        <w:rPr>
          <w:sz w:val="16"/>
          <w:szCs w:val="16"/>
        </w:rPr>
        <w:t>, např. o</w:t>
      </w:r>
      <w:r w:rsidRPr="003D26DD">
        <w:rPr>
          <w:sz w:val="16"/>
          <w:szCs w:val="16"/>
        </w:rPr>
        <w:t>soby pečující o dítě do 10 le</w:t>
      </w:r>
      <w:r>
        <w:rPr>
          <w:sz w:val="16"/>
          <w:szCs w:val="16"/>
        </w:rPr>
        <w:t>t, osob starších 55 let, osob se zdravotním postižením či studentů).</w:t>
      </w:r>
    </w:p>
  </w:footnote>
  <w:footnote w:id="102">
    <w:p w14:paraId="192811B4" w14:textId="77777777" w:rsidR="009D4785" w:rsidRDefault="009D4785" w:rsidP="009D4785">
      <w:pPr>
        <w:pStyle w:val="Textpoznpodarou"/>
      </w:pPr>
      <w:r w:rsidRPr="003D26DD">
        <w:rPr>
          <w:rStyle w:val="Znakapoznpodarou"/>
          <w:sz w:val="16"/>
          <w:szCs w:val="16"/>
        </w:rPr>
        <w:footnoteRef/>
      </w:r>
      <w:r w:rsidRPr="003D26DD">
        <w:rPr>
          <w:sz w:val="16"/>
          <w:szCs w:val="16"/>
        </w:rPr>
        <w:t xml:space="preserve"> </w:t>
      </w:r>
      <w:r w:rsidRPr="003D26DD">
        <w:rPr>
          <w:color w:val="0D0D0D" w:themeColor="text1" w:themeTint="F2"/>
          <w:sz w:val="16"/>
          <w:szCs w:val="16"/>
        </w:rPr>
        <w:t xml:space="preserve">Počet </w:t>
      </w:r>
      <w:r>
        <w:rPr>
          <w:color w:val="0D0D0D" w:themeColor="text1" w:themeTint="F2"/>
          <w:sz w:val="16"/>
          <w:szCs w:val="16"/>
        </w:rPr>
        <w:t>osob</w:t>
      </w:r>
      <w:r w:rsidRPr="003D26DD">
        <w:rPr>
          <w:color w:val="0D0D0D" w:themeColor="text1" w:themeTint="F2"/>
          <w:sz w:val="16"/>
          <w:szCs w:val="16"/>
        </w:rPr>
        <w:t xml:space="preserve"> pracujících touto formou přesto meziročně mírně rostl. Dle údajů z </w:t>
      </w:r>
      <w:r w:rsidRPr="004E516A">
        <w:rPr>
          <w:color w:val="0D0D0D" w:themeColor="text1" w:themeTint="F2"/>
          <w:sz w:val="16"/>
          <w:szCs w:val="16"/>
        </w:rPr>
        <w:t xml:space="preserve">VŠPS </w:t>
      </w:r>
      <w:r>
        <w:rPr>
          <w:color w:val="0D0D0D" w:themeColor="text1" w:themeTint="F2"/>
          <w:sz w:val="16"/>
          <w:szCs w:val="16"/>
        </w:rPr>
        <w:t>pracovalo ve</w:t>
      </w:r>
      <w:r w:rsidRPr="004E516A">
        <w:rPr>
          <w:color w:val="0D0D0D" w:themeColor="text1" w:themeTint="F2"/>
          <w:sz w:val="16"/>
          <w:szCs w:val="16"/>
        </w:rPr>
        <w:t xml:space="preserve"> </w:t>
      </w:r>
      <w:r>
        <w:rPr>
          <w:color w:val="0D0D0D" w:themeColor="text1" w:themeTint="F2"/>
          <w:sz w:val="16"/>
          <w:szCs w:val="16"/>
        </w:rPr>
        <w:t>4</w:t>
      </w:r>
      <w:r w:rsidRPr="004E516A">
        <w:rPr>
          <w:color w:val="0D0D0D" w:themeColor="text1" w:themeTint="F2"/>
          <w:sz w:val="16"/>
          <w:szCs w:val="16"/>
        </w:rPr>
        <w:t xml:space="preserve">. čtvrtletí 2025 </w:t>
      </w:r>
      <w:r>
        <w:rPr>
          <w:color w:val="0D0D0D" w:themeColor="text1" w:themeTint="F2"/>
          <w:sz w:val="16"/>
          <w:szCs w:val="16"/>
        </w:rPr>
        <w:t xml:space="preserve">v Česku na zkrácené úvazky </w:t>
      </w:r>
      <w:r w:rsidRPr="004E516A">
        <w:rPr>
          <w:color w:val="0D0D0D" w:themeColor="text1" w:themeTint="F2"/>
          <w:sz w:val="16"/>
          <w:szCs w:val="16"/>
        </w:rPr>
        <w:t>3</w:t>
      </w:r>
      <w:r>
        <w:rPr>
          <w:color w:val="0D0D0D" w:themeColor="text1" w:themeTint="F2"/>
          <w:sz w:val="16"/>
          <w:szCs w:val="16"/>
        </w:rPr>
        <w:t>66</w:t>
      </w:r>
      <w:r w:rsidRPr="004E516A">
        <w:rPr>
          <w:color w:val="0D0D0D" w:themeColor="text1" w:themeTint="F2"/>
          <w:sz w:val="16"/>
          <w:szCs w:val="16"/>
        </w:rPr>
        <w:t xml:space="preserve"> tis. žen </w:t>
      </w:r>
      <w:r>
        <w:rPr>
          <w:color w:val="0D0D0D" w:themeColor="text1" w:themeTint="F2"/>
          <w:sz w:val="16"/>
          <w:szCs w:val="16"/>
        </w:rPr>
        <w:t xml:space="preserve">(meziročně +7,5 </w:t>
      </w:r>
      <w:r w:rsidRPr="004E516A">
        <w:rPr>
          <w:color w:val="0D0D0D" w:themeColor="text1" w:themeTint="F2"/>
          <w:sz w:val="16"/>
          <w:szCs w:val="16"/>
        </w:rPr>
        <w:t>%</w:t>
      </w:r>
      <w:r>
        <w:rPr>
          <w:color w:val="0D0D0D" w:themeColor="text1" w:themeTint="F2"/>
          <w:sz w:val="16"/>
          <w:szCs w:val="16"/>
        </w:rPr>
        <w:t>) a</w:t>
      </w:r>
      <w:r w:rsidRPr="004E516A">
        <w:rPr>
          <w:color w:val="0D0D0D" w:themeColor="text1" w:themeTint="F2"/>
          <w:sz w:val="16"/>
          <w:szCs w:val="16"/>
        </w:rPr>
        <w:t xml:space="preserve"> 149 tis</w:t>
      </w:r>
      <w:r>
        <w:rPr>
          <w:color w:val="0D0D0D" w:themeColor="text1" w:themeTint="F2"/>
          <w:sz w:val="16"/>
          <w:szCs w:val="16"/>
        </w:rPr>
        <w:t xml:space="preserve">. mužů (+3,7 %). Přestože celá třetina </w:t>
      </w:r>
      <w:r w:rsidRPr="00E624A4">
        <w:rPr>
          <w:color w:val="0D0D0D" w:themeColor="text1" w:themeTint="F2"/>
          <w:sz w:val="16"/>
          <w:szCs w:val="16"/>
        </w:rPr>
        <w:t>žen pracujících na zkrácený úvazek byl</w:t>
      </w:r>
      <w:r>
        <w:rPr>
          <w:color w:val="0D0D0D" w:themeColor="text1" w:themeTint="F2"/>
          <w:sz w:val="16"/>
          <w:szCs w:val="16"/>
        </w:rPr>
        <w:t>a</w:t>
      </w:r>
      <w:r w:rsidRPr="00E624A4">
        <w:rPr>
          <w:color w:val="0D0D0D" w:themeColor="text1" w:themeTint="F2"/>
          <w:sz w:val="16"/>
          <w:szCs w:val="16"/>
        </w:rPr>
        <w:t xml:space="preserve"> ve věku 30–44 le</w:t>
      </w:r>
      <w:r>
        <w:rPr>
          <w:color w:val="0D0D0D" w:themeColor="text1" w:themeTint="F2"/>
          <w:sz w:val="16"/>
          <w:szCs w:val="16"/>
        </w:rPr>
        <w:t xml:space="preserve">t, meziroční růst počtu těchto úvazků byl soustředěn u starších, popř. nejmladších žen (do 25 let). Ve skupině </w:t>
      </w:r>
      <w:r>
        <w:rPr>
          <w:color w:val="0D0D0D" w:themeColor="text1" w:themeTint="F2"/>
          <w:sz w:val="16"/>
          <w:szCs w:val="16"/>
        </w:rPr>
        <w:br/>
        <w:t xml:space="preserve">25 až 54letých pracovalo touto formou 12,4 % žen a tento podíl meziročně stagnoval (v celé populaci žen činil 15 %). V evropském kontextu tak Česko stále patří k zemím s výrazně podprůměrným zastoupením zkrácených úvazků. V EU takto ve 4. čtvrtletí 2025 pracovalo 29 % všech žen ve věku 15 až 74 let, v Německu a Rakousku 50 %, v Nizozemsku dokonce okolo </w:t>
      </w:r>
      <w:r w:rsidRPr="0082433E">
        <w:rPr>
          <w:color w:val="0D0D0D" w:themeColor="text1" w:themeTint="F2"/>
          <w:sz w:val="16"/>
          <w:szCs w:val="16"/>
        </w:rPr>
        <w:t>6</w:t>
      </w:r>
      <w:r>
        <w:rPr>
          <w:color w:val="0D0D0D" w:themeColor="text1" w:themeTint="F2"/>
          <w:sz w:val="16"/>
          <w:szCs w:val="16"/>
        </w:rPr>
        <w:t>3</w:t>
      </w:r>
      <w:r w:rsidRPr="0082433E">
        <w:rPr>
          <w:color w:val="0D0D0D" w:themeColor="text1" w:themeTint="F2"/>
          <w:sz w:val="16"/>
          <w:szCs w:val="16"/>
        </w:rPr>
        <w:t xml:space="preserve"> %. Na druhou stranu v rámci států, jež do Unie vstoupily až po roce 2000, měly oproti Česku vyšší podíl jen Estonsko (20 %) a Malta (1</w:t>
      </w:r>
      <w:r>
        <w:rPr>
          <w:color w:val="0D0D0D" w:themeColor="text1" w:themeTint="F2"/>
          <w:sz w:val="16"/>
          <w:szCs w:val="16"/>
        </w:rPr>
        <w:t>7</w:t>
      </w:r>
      <w:r w:rsidRPr="0082433E">
        <w:rPr>
          <w:color w:val="0D0D0D" w:themeColor="text1" w:themeTint="F2"/>
          <w:sz w:val="16"/>
          <w:szCs w:val="16"/>
        </w:rPr>
        <w:t xml:space="preserve"> %)</w:t>
      </w:r>
      <w:r>
        <w:rPr>
          <w:color w:val="0D0D0D" w:themeColor="text1" w:themeTint="F2"/>
          <w:sz w:val="16"/>
          <w:szCs w:val="16"/>
        </w:rPr>
        <w:t xml:space="preserve"> a v rámci starších členů dosahovaly velmi nízkého podílu Řecko (10 %) a Portugalsko (8 %). Meziročně se tento podíl zvýšil nejvíce ve Finsku, Belgii, Lotyšsku, Polsku a na Slovensku (v rozmezí 1 až 2 p. b.), v Česku pak o 0,4. b.</w:t>
      </w:r>
    </w:p>
  </w:footnote>
  <w:footnote w:id="103">
    <w:p w14:paraId="313BD6DF" w14:textId="77777777" w:rsidR="009D4785" w:rsidRPr="00126939" w:rsidRDefault="009D4785" w:rsidP="009D4785">
      <w:pPr>
        <w:pStyle w:val="Textpoznpodarou"/>
        <w:rPr>
          <w:sz w:val="16"/>
          <w:szCs w:val="16"/>
        </w:rPr>
      </w:pPr>
      <w:r w:rsidRPr="00126939">
        <w:rPr>
          <w:rStyle w:val="Znakapoznpodarou"/>
          <w:sz w:val="16"/>
          <w:szCs w:val="16"/>
        </w:rPr>
        <w:footnoteRef/>
      </w:r>
      <w:r w:rsidRPr="00126939">
        <w:rPr>
          <w:sz w:val="16"/>
          <w:szCs w:val="16"/>
        </w:rPr>
        <w:t xml:space="preserve"> </w:t>
      </w:r>
      <w:r>
        <w:rPr>
          <w:sz w:val="16"/>
          <w:szCs w:val="16"/>
        </w:rPr>
        <w:t>Není-li uvedeno jinak, jsou dále použity</w:t>
      </w:r>
      <w:r w:rsidRPr="00126939">
        <w:rPr>
          <w:sz w:val="16"/>
          <w:szCs w:val="16"/>
        </w:rPr>
        <w:t xml:space="preserve"> sezónně očištěné údaje.</w:t>
      </w:r>
    </w:p>
  </w:footnote>
  <w:footnote w:id="104">
    <w:p w14:paraId="5FAEF07E" w14:textId="77777777" w:rsidR="009D4785" w:rsidRPr="0027490D" w:rsidRDefault="009D4785" w:rsidP="009D4785">
      <w:pPr>
        <w:pStyle w:val="Textpoznpodarou"/>
        <w:rPr>
          <w:sz w:val="16"/>
          <w:szCs w:val="16"/>
        </w:rPr>
      </w:pPr>
      <w:r w:rsidRPr="0027490D">
        <w:rPr>
          <w:rStyle w:val="Znakapoznpodarou"/>
          <w:sz w:val="16"/>
          <w:szCs w:val="16"/>
        </w:rPr>
        <w:footnoteRef/>
      </w:r>
      <w:r w:rsidRPr="0027490D">
        <w:rPr>
          <w:sz w:val="16"/>
          <w:szCs w:val="16"/>
        </w:rPr>
        <w:t xml:space="preserve"> </w:t>
      </w:r>
      <w:r w:rsidRPr="00A73603">
        <w:rPr>
          <w:color w:val="0D0D0D" w:themeColor="text1" w:themeTint="F2"/>
          <w:spacing w:val="-3"/>
          <w:sz w:val="16"/>
          <w:szCs w:val="16"/>
        </w:rPr>
        <w:t xml:space="preserve">Dle konjunkturálního průzkumu z února 2026 </w:t>
      </w:r>
      <w:r w:rsidRPr="00A73603">
        <w:rPr>
          <w:rFonts w:cs="Arial"/>
          <w:spacing w:val="-3"/>
          <w:sz w:val="16"/>
          <w:szCs w:val="16"/>
        </w:rPr>
        <w:t>předpokládal</w:t>
      </w:r>
      <w:r>
        <w:rPr>
          <w:rFonts w:cs="Arial"/>
          <w:spacing w:val="-3"/>
          <w:sz w:val="16"/>
          <w:szCs w:val="16"/>
        </w:rPr>
        <w:t>a čtvrtina firem</w:t>
      </w:r>
      <w:r w:rsidRPr="00A73603">
        <w:rPr>
          <w:rFonts w:cs="Arial"/>
          <w:spacing w:val="-3"/>
          <w:sz w:val="16"/>
          <w:szCs w:val="16"/>
        </w:rPr>
        <w:t xml:space="preserve"> (bez zohlednění sezónnosti) v tříměsíčním horizontu snižování počtu zaměstnanců ve vybraných službách, desetina shodně v průmyslu i stavebnictví (ale v obchodu jen 3 %). Naopak úmysl rozšiřovat stavy pracovníků byl nejzřetelnější v obchodě i stavebnictví (shodně 18 %) a nejméně v průmyslu a službách (shodně jen 10 % firem).</w:t>
      </w:r>
    </w:p>
  </w:footnote>
  <w:footnote w:id="105">
    <w:p w14:paraId="554CF68D" w14:textId="77777777" w:rsidR="009D4785" w:rsidRPr="00170701" w:rsidRDefault="009D4785" w:rsidP="009D4785">
      <w:pPr>
        <w:pStyle w:val="Textpoznpodarou"/>
        <w:rPr>
          <w:color w:val="0D0D0D" w:themeColor="text1" w:themeTint="F2"/>
          <w:spacing w:val="-2"/>
          <w:sz w:val="16"/>
          <w:szCs w:val="16"/>
        </w:rPr>
      </w:pPr>
      <w:r w:rsidRPr="0027490D">
        <w:rPr>
          <w:rStyle w:val="Znakapoznpodarou"/>
          <w:sz w:val="16"/>
          <w:szCs w:val="16"/>
        </w:rPr>
        <w:footnoteRef/>
      </w:r>
      <w:r w:rsidRPr="0027490D">
        <w:rPr>
          <w:sz w:val="16"/>
          <w:szCs w:val="16"/>
        </w:rPr>
        <w:t xml:space="preserve"> </w:t>
      </w:r>
      <w:r w:rsidRPr="00A82316">
        <w:rPr>
          <w:color w:val="0D0D0D" w:themeColor="text1" w:themeTint="F2"/>
          <w:spacing w:val="-2"/>
          <w:sz w:val="16"/>
          <w:szCs w:val="16"/>
        </w:rPr>
        <w:t xml:space="preserve">Převažující </w:t>
      </w:r>
      <w:r w:rsidRPr="003F1273">
        <w:rPr>
          <w:color w:val="0D0D0D" w:themeColor="text1" w:themeTint="F2"/>
          <w:spacing w:val="-2"/>
          <w:sz w:val="16"/>
          <w:szCs w:val="16"/>
        </w:rPr>
        <w:t>negativní oč</w:t>
      </w:r>
      <w:r>
        <w:rPr>
          <w:color w:val="0D0D0D" w:themeColor="text1" w:themeTint="F2"/>
          <w:spacing w:val="-2"/>
          <w:sz w:val="16"/>
          <w:szCs w:val="16"/>
        </w:rPr>
        <w:t>ekávání zaměstnanosti vyjádřily</w:t>
      </w:r>
      <w:r w:rsidRPr="00A82316">
        <w:rPr>
          <w:color w:val="0D0D0D" w:themeColor="text1" w:themeTint="F2"/>
          <w:spacing w:val="-2"/>
          <w:sz w:val="16"/>
          <w:szCs w:val="16"/>
        </w:rPr>
        <w:t xml:space="preserve"> podniky </w:t>
      </w:r>
      <w:r>
        <w:rPr>
          <w:color w:val="0D0D0D" w:themeColor="text1" w:themeTint="F2"/>
          <w:spacing w:val="-2"/>
          <w:sz w:val="16"/>
          <w:szCs w:val="16"/>
        </w:rPr>
        <w:t>v polovině</w:t>
      </w:r>
      <w:r w:rsidRPr="00A82316">
        <w:rPr>
          <w:color w:val="0D0D0D" w:themeColor="text1" w:themeTint="F2"/>
          <w:spacing w:val="-2"/>
          <w:sz w:val="16"/>
          <w:szCs w:val="16"/>
        </w:rPr>
        <w:t xml:space="preserve"> </w:t>
      </w:r>
      <w:r w:rsidRPr="00170701">
        <w:rPr>
          <w:i/>
          <w:iCs/>
          <w:color w:val="0D0D0D" w:themeColor="text1" w:themeTint="F2"/>
          <w:spacing w:val="-2"/>
          <w:sz w:val="16"/>
          <w:szCs w:val="16"/>
        </w:rPr>
        <w:t>zpracovatelských průmyslových oborů</w:t>
      </w:r>
      <w:r w:rsidRPr="00A82316">
        <w:rPr>
          <w:color w:val="0D0D0D" w:themeColor="text1" w:themeTint="F2"/>
          <w:spacing w:val="-2"/>
          <w:sz w:val="16"/>
          <w:szCs w:val="16"/>
        </w:rPr>
        <w:t xml:space="preserve">. Nejhorší vyhlídky měly </w:t>
      </w:r>
      <w:r>
        <w:rPr>
          <w:color w:val="0D0D0D" w:themeColor="text1" w:themeTint="F2"/>
          <w:spacing w:val="-2"/>
          <w:sz w:val="16"/>
          <w:szCs w:val="16"/>
        </w:rPr>
        <w:t xml:space="preserve">strojírenství, </w:t>
      </w:r>
      <w:r w:rsidRPr="00A82316">
        <w:rPr>
          <w:color w:val="0D0D0D" w:themeColor="text1" w:themeTint="F2"/>
          <w:spacing w:val="-2"/>
          <w:sz w:val="16"/>
          <w:szCs w:val="16"/>
        </w:rPr>
        <w:t>hutnictví</w:t>
      </w:r>
      <w:r>
        <w:rPr>
          <w:color w:val="0D0D0D" w:themeColor="text1" w:themeTint="F2"/>
          <w:spacing w:val="-2"/>
          <w:sz w:val="16"/>
          <w:szCs w:val="16"/>
        </w:rPr>
        <w:t xml:space="preserve"> a slévárenství, výroba stavebních materiálů a chemický průmysl, z menších oborů textilní, oděvní, dřevozpracující a </w:t>
      </w:r>
      <w:r w:rsidRPr="00A73603">
        <w:rPr>
          <w:color w:val="0D0D0D" w:themeColor="text1" w:themeTint="F2"/>
          <w:spacing w:val="-4"/>
          <w:sz w:val="16"/>
          <w:szCs w:val="16"/>
        </w:rPr>
        <w:t>nábytkářský průmysl.  Naopak pozitivní výhledy zaměstnanosti přetrvávaly hlavně ve výrobě kolejových dopravních prostředků, elektrotechnice</w:t>
      </w:r>
      <w:r>
        <w:rPr>
          <w:color w:val="0D0D0D" w:themeColor="text1" w:themeTint="F2"/>
          <w:spacing w:val="-2"/>
          <w:sz w:val="16"/>
          <w:szCs w:val="16"/>
        </w:rPr>
        <w:t xml:space="preserve">, opravách strojů a zařízení, farmacii a </w:t>
      </w:r>
      <w:r w:rsidRPr="00A82316">
        <w:rPr>
          <w:color w:val="0D0D0D" w:themeColor="text1" w:themeTint="F2"/>
          <w:spacing w:val="-2"/>
          <w:sz w:val="16"/>
          <w:szCs w:val="16"/>
        </w:rPr>
        <w:t>potravinářství</w:t>
      </w:r>
      <w:r>
        <w:rPr>
          <w:color w:val="0D0D0D" w:themeColor="text1" w:themeTint="F2"/>
          <w:spacing w:val="-2"/>
          <w:sz w:val="16"/>
          <w:szCs w:val="16"/>
        </w:rPr>
        <w:t xml:space="preserve">. </w:t>
      </w:r>
      <w:r w:rsidRPr="00A82316">
        <w:rPr>
          <w:color w:val="0D0D0D" w:themeColor="text1" w:themeTint="F2"/>
          <w:spacing w:val="-2"/>
          <w:sz w:val="16"/>
          <w:szCs w:val="16"/>
        </w:rPr>
        <w:t xml:space="preserve">Ve </w:t>
      </w:r>
      <w:r w:rsidRPr="00170701">
        <w:rPr>
          <w:i/>
          <w:iCs/>
          <w:color w:val="0D0D0D" w:themeColor="text1" w:themeTint="F2"/>
          <w:spacing w:val="-2"/>
          <w:sz w:val="16"/>
          <w:szCs w:val="16"/>
        </w:rPr>
        <w:t>službách</w:t>
      </w:r>
      <w:r w:rsidRPr="00A82316">
        <w:rPr>
          <w:color w:val="0D0D0D" w:themeColor="text1" w:themeTint="F2"/>
          <w:spacing w:val="-2"/>
          <w:sz w:val="16"/>
          <w:szCs w:val="16"/>
        </w:rPr>
        <w:t xml:space="preserve"> převažovala negativní očekávání v</w:t>
      </w:r>
      <w:r>
        <w:rPr>
          <w:color w:val="0D0D0D" w:themeColor="text1" w:themeTint="F2"/>
          <w:spacing w:val="-2"/>
          <w:sz w:val="16"/>
          <w:szCs w:val="16"/>
        </w:rPr>
        <w:t>e čtvrtině</w:t>
      </w:r>
      <w:r w:rsidRPr="00A82316">
        <w:rPr>
          <w:color w:val="0D0D0D" w:themeColor="text1" w:themeTint="F2"/>
          <w:spacing w:val="-2"/>
          <w:sz w:val="16"/>
          <w:szCs w:val="16"/>
        </w:rPr>
        <w:t xml:space="preserve"> dílčích odvětví</w:t>
      </w:r>
      <w:r>
        <w:rPr>
          <w:color w:val="0D0D0D" w:themeColor="text1" w:themeTint="F2"/>
          <w:spacing w:val="-2"/>
          <w:sz w:val="16"/>
          <w:szCs w:val="16"/>
        </w:rPr>
        <w:t xml:space="preserve"> –</w:t>
      </w:r>
      <w:r w:rsidRPr="00A82316">
        <w:rPr>
          <w:color w:val="0D0D0D" w:themeColor="text1" w:themeTint="F2"/>
          <w:spacing w:val="-2"/>
          <w:sz w:val="16"/>
          <w:szCs w:val="16"/>
        </w:rPr>
        <w:t xml:space="preserve"> </w:t>
      </w:r>
      <w:r>
        <w:rPr>
          <w:color w:val="0D0D0D" w:themeColor="text1" w:themeTint="F2"/>
          <w:spacing w:val="-2"/>
          <w:sz w:val="16"/>
          <w:szCs w:val="16"/>
        </w:rPr>
        <w:t>n</w:t>
      </w:r>
      <w:r w:rsidRPr="00A82316">
        <w:rPr>
          <w:color w:val="0D0D0D" w:themeColor="text1" w:themeTint="F2"/>
          <w:spacing w:val="-2"/>
          <w:sz w:val="16"/>
          <w:szCs w:val="16"/>
        </w:rPr>
        <w:t>ejvíce</w:t>
      </w:r>
      <w:r>
        <w:rPr>
          <w:color w:val="0D0D0D" w:themeColor="text1" w:themeTint="F2"/>
          <w:spacing w:val="-2"/>
          <w:sz w:val="16"/>
          <w:szCs w:val="16"/>
        </w:rPr>
        <w:t xml:space="preserve"> </w:t>
      </w:r>
      <w:r w:rsidRPr="00A82316">
        <w:rPr>
          <w:color w:val="0D0D0D" w:themeColor="text1" w:themeTint="F2"/>
          <w:spacing w:val="-2"/>
          <w:sz w:val="16"/>
          <w:szCs w:val="16"/>
        </w:rPr>
        <w:t>v</w:t>
      </w:r>
      <w:r>
        <w:rPr>
          <w:color w:val="0D0D0D" w:themeColor="text1" w:themeTint="F2"/>
          <w:spacing w:val="-2"/>
          <w:sz w:val="16"/>
          <w:szCs w:val="16"/>
        </w:rPr>
        <w:t xml:space="preserve"> peněžnictví a pojišťovnictví, filmovém a hudebním průmyslu, telekomunikacích a reklamě. </w:t>
      </w:r>
      <w:r w:rsidRPr="00A82316">
        <w:rPr>
          <w:color w:val="0D0D0D" w:themeColor="text1" w:themeTint="F2"/>
          <w:spacing w:val="-2"/>
          <w:sz w:val="16"/>
          <w:szCs w:val="16"/>
        </w:rPr>
        <w:t xml:space="preserve">Naopak optimismus převládal </w:t>
      </w:r>
      <w:r>
        <w:rPr>
          <w:color w:val="0D0D0D" w:themeColor="text1" w:themeTint="F2"/>
          <w:spacing w:val="-2"/>
          <w:sz w:val="16"/>
          <w:szCs w:val="16"/>
        </w:rPr>
        <w:t xml:space="preserve">v pohostinství a </w:t>
      </w:r>
      <w:r w:rsidRPr="00BA5CE9">
        <w:rPr>
          <w:color w:val="0D0D0D" w:themeColor="text1" w:themeTint="F2"/>
          <w:spacing w:val="-6"/>
          <w:sz w:val="16"/>
          <w:szCs w:val="16"/>
        </w:rPr>
        <w:t>stravování, informačních činnostech, skladování, činnostech vedení podniků a poradenství v oblasti řízení, bezpečnostních a pátracích činnostech.</w:t>
      </w:r>
    </w:p>
  </w:footnote>
  <w:footnote w:id="106">
    <w:p w14:paraId="049B64D4" w14:textId="77777777" w:rsidR="009D4785" w:rsidRPr="00A4613D" w:rsidRDefault="009D4785" w:rsidP="009D4785">
      <w:pPr>
        <w:pStyle w:val="Textpoznpodarou"/>
        <w:rPr>
          <w:sz w:val="16"/>
          <w:szCs w:val="16"/>
        </w:rPr>
      </w:pPr>
      <w:r w:rsidRPr="00A82316">
        <w:rPr>
          <w:rStyle w:val="Znakapoznpodarou"/>
          <w:color w:val="0D0D0D" w:themeColor="text1" w:themeTint="F2"/>
          <w:sz w:val="16"/>
          <w:szCs w:val="16"/>
        </w:rPr>
        <w:footnoteRef/>
      </w:r>
      <w:r w:rsidRPr="00A82316">
        <w:rPr>
          <w:color w:val="0D0D0D" w:themeColor="text1" w:themeTint="F2"/>
          <w:sz w:val="16"/>
          <w:szCs w:val="16"/>
        </w:rPr>
        <w:t xml:space="preserve"> Podniky mohly uvést více bariér současně.</w:t>
      </w:r>
    </w:p>
  </w:footnote>
  <w:footnote w:id="107">
    <w:p w14:paraId="5877D82E" w14:textId="77777777" w:rsidR="009D4785" w:rsidRPr="004E68B1" w:rsidRDefault="009D4785" w:rsidP="009D4785">
      <w:pPr>
        <w:pStyle w:val="Textpoznpodarou"/>
        <w:rPr>
          <w:spacing w:val="-3"/>
          <w:sz w:val="16"/>
          <w:szCs w:val="16"/>
        </w:rPr>
      </w:pPr>
      <w:r w:rsidRPr="004E68B1">
        <w:rPr>
          <w:rStyle w:val="Znakapoznpodarou"/>
          <w:spacing w:val="-3"/>
          <w:sz w:val="16"/>
          <w:szCs w:val="16"/>
        </w:rPr>
        <w:footnoteRef/>
      </w:r>
      <w:r>
        <w:rPr>
          <w:spacing w:val="-3"/>
          <w:sz w:val="16"/>
          <w:szCs w:val="16"/>
        </w:rPr>
        <w:t xml:space="preserve"> Ú</w:t>
      </w:r>
      <w:r w:rsidRPr="004E68B1">
        <w:rPr>
          <w:spacing w:val="-3"/>
          <w:sz w:val="16"/>
          <w:szCs w:val="16"/>
        </w:rPr>
        <w:t>daje o </w:t>
      </w:r>
      <w:r>
        <w:rPr>
          <w:spacing w:val="-3"/>
          <w:sz w:val="16"/>
          <w:szCs w:val="16"/>
        </w:rPr>
        <w:t xml:space="preserve">mírách </w:t>
      </w:r>
      <w:r w:rsidRPr="004E68B1">
        <w:rPr>
          <w:spacing w:val="-3"/>
          <w:sz w:val="16"/>
          <w:szCs w:val="16"/>
        </w:rPr>
        <w:t xml:space="preserve">nezaměstnanosti </w:t>
      </w:r>
      <w:r>
        <w:rPr>
          <w:spacing w:val="-3"/>
          <w:sz w:val="16"/>
          <w:szCs w:val="16"/>
        </w:rPr>
        <w:t xml:space="preserve">v Česku vycházejí </w:t>
      </w:r>
      <w:r w:rsidRPr="004E68B1">
        <w:rPr>
          <w:spacing w:val="-3"/>
          <w:sz w:val="16"/>
          <w:szCs w:val="16"/>
        </w:rPr>
        <w:t>z</w:t>
      </w:r>
      <w:r>
        <w:rPr>
          <w:spacing w:val="-3"/>
          <w:sz w:val="16"/>
          <w:szCs w:val="16"/>
        </w:rPr>
        <w:t> VŠPS (dle metodiky ILO) a jsou sezónně očištěny pomocí trendcyklu.</w:t>
      </w:r>
    </w:p>
  </w:footnote>
  <w:footnote w:id="108">
    <w:p w14:paraId="08AD3B46" w14:textId="77777777" w:rsidR="009D4785" w:rsidRPr="00432AEE" w:rsidRDefault="009D4785" w:rsidP="009D4785">
      <w:pPr>
        <w:pStyle w:val="paragraph"/>
        <w:spacing w:before="0" w:beforeAutospacing="0" w:after="0" w:afterAutospacing="0"/>
        <w:rPr>
          <w:rFonts w:ascii="Arial" w:hAnsi="Arial" w:cs="Arial"/>
          <w:color w:val="0D0D0D" w:themeColor="text1" w:themeTint="F2"/>
          <w:sz w:val="16"/>
          <w:szCs w:val="16"/>
        </w:rPr>
      </w:pPr>
      <w:r w:rsidRPr="00AF4ED3">
        <w:rPr>
          <w:rStyle w:val="Znakapoznpodarou"/>
          <w:rFonts w:ascii="Arial" w:hAnsi="Arial" w:cs="Arial"/>
          <w:color w:val="0D0D0D" w:themeColor="text1" w:themeTint="F2"/>
          <w:sz w:val="16"/>
          <w:szCs w:val="16"/>
        </w:rPr>
        <w:footnoteRef/>
      </w:r>
      <w:r w:rsidRPr="00AF4ED3">
        <w:rPr>
          <w:rFonts w:ascii="Arial" w:hAnsi="Arial" w:cs="Arial"/>
          <w:color w:val="0D0D0D" w:themeColor="text1" w:themeTint="F2"/>
          <w:sz w:val="16"/>
          <w:szCs w:val="16"/>
        </w:rPr>
        <w:t xml:space="preserve"> </w:t>
      </w:r>
      <w:r w:rsidRPr="00432AEE">
        <w:rPr>
          <w:rStyle w:val="eop"/>
          <w:rFonts w:ascii="Arial" w:hAnsi="Arial" w:cs="Arial"/>
          <w:color w:val="0D0D0D" w:themeColor="text1" w:themeTint="F2"/>
          <w:spacing w:val="-4"/>
          <w:sz w:val="16"/>
          <w:szCs w:val="16"/>
        </w:rPr>
        <w:t>Trh práce zůstává i v rámci EU celkově stabilizovaný. V lednu 2026 činila sezónně očištěná míra nezaměstnanosti (15</w:t>
      </w:r>
      <w:r>
        <w:rPr>
          <w:rStyle w:val="eop"/>
          <w:rFonts w:ascii="Arial" w:hAnsi="Arial" w:cs="Arial"/>
          <w:color w:val="0D0D0D" w:themeColor="text1" w:themeTint="F2"/>
          <w:spacing w:val="-4"/>
          <w:sz w:val="16"/>
          <w:szCs w:val="16"/>
        </w:rPr>
        <w:t>–</w:t>
      </w:r>
      <w:r w:rsidRPr="00432AEE">
        <w:rPr>
          <w:rStyle w:val="eop"/>
          <w:rFonts w:ascii="Arial" w:hAnsi="Arial" w:cs="Arial"/>
          <w:color w:val="0D0D0D" w:themeColor="text1" w:themeTint="F2"/>
          <w:spacing w:val="-4"/>
          <w:sz w:val="16"/>
          <w:szCs w:val="16"/>
        </w:rPr>
        <w:t>74letých) v Unii 5,8 %</w:t>
      </w:r>
      <w:r w:rsidRPr="00432AEE">
        <w:rPr>
          <w:rStyle w:val="eop"/>
          <w:rFonts w:ascii="Arial" w:hAnsi="Arial" w:cs="Arial"/>
          <w:color w:val="0D0D0D" w:themeColor="text1" w:themeTint="F2"/>
          <w:spacing w:val="-2"/>
          <w:sz w:val="16"/>
          <w:szCs w:val="16"/>
        </w:rPr>
        <w:t xml:space="preserve"> a v eurozóně 6,1 %. Meziměsíčně ani meziročně k významné změně nedošlo. </w:t>
      </w:r>
      <w:r w:rsidRPr="00EA34AB">
        <w:rPr>
          <w:rStyle w:val="eop"/>
          <w:rFonts w:ascii="Arial" w:hAnsi="Arial" w:cs="Arial"/>
          <w:color w:val="0D0D0D" w:themeColor="text1" w:themeTint="F2"/>
          <w:spacing w:val="-2"/>
          <w:sz w:val="16"/>
          <w:szCs w:val="16"/>
        </w:rPr>
        <w:t xml:space="preserve">Současná nezaměstnanost je v obou </w:t>
      </w:r>
      <w:r>
        <w:rPr>
          <w:rStyle w:val="eop"/>
          <w:rFonts w:ascii="Arial" w:hAnsi="Arial" w:cs="Arial"/>
          <w:color w:val="0D0D0D" w:themeColor="text1" w:themeTint="F2"/>
          <w:spacing w:val="-2"/>
          <w:sz w:val="16"/>
          <w:szCs w:val="16"/>
        </w:rPr>
        <w:t>u</w:t>
      </w:r>
      <w:r w:rsidRPr="00EA34AB">
        <w:rPr>
          <w:rStyle w:val="eop"/>
          <w:rFonts w:ascii="Arial" w:hAnsi="Arial" w:cs="Arial"/>
          <w:color w:val="0D0D0D" w:themeColor="text1" w:themeTint="F2"/>
          <w:spacing w:val="-2"/>
          <w:sz w:val="16"/>
          <w:szCs w:val="16"/>
        </w:rPr>
        <w:t xml:space="preserve">skupeních </w:t>
      </w:r>
      <w:r w:rsidRPr="00432AEE">
        <w:rPr>
          <w:rStyle w:val="eop"/>
          <w:rFonts w:ascii="Arial" w:hAnsi="Arial" w:cs="Arial"/>
          <w:color w:val="0D0D0D" w:themeColor="text1" w:themeTint="F2"/>
          <w:spacing w:val="-2"/>
          <w:sz w:val="16"/>
          <w:szCs w:val="16"/>
        </w:rPr>
        <w:t xml:space="preserve">téměř </w:t>
      </w:r>
      <w:r w:rsidRPr="00EA34AB">
        <w:rPr>
          <w:rStyle w:val="eop"/>
          <w:rFonts w:ascii="Arial" w:hAnsi="Arial" w:cs="Arial"/>
          <w:color w:val="0D0D0D" w:themeColor="text1" w:themeTint="F2"/>
          <w:spacing w:val="-2"/>
          <w:sz w:val="16"/>
          <w:szCs w:val="16"/>
        </w:rPr>
        <w:t>na svých historických minimech</w:t>
      </w:r>
      <w:r w:rsidRPr="00432AEE">
        <w:rPr>
          <w:rStyle w:val="eop"/>
          <w:rFonts w:ascii="Arial" w:hAnsi="Arial" w:cs="Arial"/>
          <w:color w:val="0D0D0D" w:themeColor="text1" w:themeTint="F2"/>
          <w:spacing w:val="-2"/>
          <w:sz w:val="16"/>
          <w:szCs w:val="16"/>
        </w:rPr>
        <w:t xml:space="preserve"> </w:t>
      </w:r>
      <w:r w:rsidRPr="00EA34AB">
        <w:rPr>
          <w:rStyle w:val="eop"/>
          <w:rFonts w:ascii="Arial" w:hAnsi="Arial" w:cs="Arial"/>
          <w:color w:val="0D0D0D" w:themeColor="text1" w:themeTint="F2"/>
          <w:spacing w:val="-2"/>
          <w:sz w:val="16"/>
          <w:szCs w:val="16"/>
        </w:rPr>
        <w:t xml:space="preserve">(přesto je aktuálně mírně vyšší než např. v USA, kde činila 4,3 % či </w:t>
      </w:r>
      <w:r>
        <w:rPr>
          <w:rStyle w:val="eop"/>
          <w:rFonts w:ascii="Arial" w:hAnsi="Arial" w:cs="Arial"/>
          <w:color w:val="0D0D0D" w:themeColor="text1" w:themeTint="F2"/>
          <w:spacing w:val="-2"/>
          <w:sz w:val="16"/>
          <w:szCs w:val="16"/>
        </w:rPr>
        <w:t xml:space="preserve">v </w:t>
      </w:r>
      <w:r w:rsidRPr="00EA34AB">
        <w:rPr>
          <w:rStyle w:val="eop"/>
          <w:rFonts w:ascii="Arial" w:hAnsi="Arial" w:cs="Arial"/>
          <w:color w:val="0D0D0D" w:themeColor="text1" w:themeTint="F2"/>
          <w:spacing w:val="-2"/>
          <w:sz w:val="16"/>
          <w:szCs w:val="16"/>
        </w:rPr>
        <w:t>Japonsku s 2,7 %).</w:t>
      </w:r>
      <w:r w:rsidRPr="00432AEE">
        <w:rPr>
          <w:rStyle w:val="eop"/>
          <w:rFonts w:ascii="Arial" w:hAnsi="Arial" w:cs="Arial"/>
          <w:color w:val="0D0D0D" w:themeColor="text1" w:themeTint="F2"/>
          <w:spacing w:val="-2"/>
          <w:sz w:val="16"/>
          <w:szCs w:val="16"/>
        </w:rPr>
        <w:t xml:space="preserve"> </w:t>
      </w:r>
      <w:r w:rsidRPr="00EA34AB">
        <w:rPr>
          <w:rFonts w:ascii="Arial" w:hAnsi="Arial" w:cs="Arial"/>
          <w:spacing w:val="-2"/>
          <w:sz w:val="16"/>
          <w:szCs w:val="16"/>
        </w:rPr>
        <w:t xml:space="preserve">Nezaměstnanost </w:t>
      </w:r>
      <w:r>
        <w:rPr>
          <w:rFonts w:ascii="Arial" w:hAnsi="Arial" w:cs="Arial"/>
          <w:spacing w:val="-2"/>
          <w:sz w:val="16"/>
          <w:szCs w:val="16"/>
        </w:rPr>
        <w:br/>
      </w:r>
      <w:r w:rsidRPr="00EA34AB">
        <w:rPr>
          <w:rFonts w:ascii="Arial" w:hAnsi="Arial" w:cs="Arial"/>
          <w:spacing w:val="-2"/>
          <w:sz w:val="16"/>
          <w:szCs w:val="16"/>
        </w:rPr>
        <w:t xml:space="preserve">v Česku </w:t>
      </w:r>
      <w:r w:rsidRPr="00432AEE">
        <w:rPr>
          <w:rFonts w:ascii="Arial" w:hAnsi="Arial" w:cs="Arial"/>
          <w:spacing w:val="-2"/>
          <w:sz w:val="16"/>
          <w:szCs w:val="16"/>
        </w:rPr>
        <w:t xml:space="preserve">(3,2 %) </w:t>
      </w:r>
      <w:r w:rsidRPr="00EA34AB">
        <w:rPr>
          <w:rFonts w:ascii="Arial" w:hAnsi="Arial" w:cs="Arial"/>
          <w:spacing w:val="-2"/>
          <w:sz w:val="16"/>
          <w:szCs w:val="16"/>
        </w:rPr>
        <w:t>patří k</w:t>
      </w:r>
      <w:r w:rsidRPr="00432AEE">
        <w:rPr>
          <w:rFonts w:ascii="Arial" w:hAnsi="Arial" w:cs="Arial"/>
          <w:spacing w:val="-2"/>
          <w:sz w:val="16"/>
          <w:szCs w:val="16"/>
        </w:rPr>
        <w:t> </w:t>
      </w:r>
      <w:r w:rsidRPr="00EA34AB">
        <w:rPr>
          <w:rFonts w:ascii="Arial" w:hAnsi="Arial" w:cs="Arial"/>
          <w:spacing w:val="-2"/>
          <w:sz w:val="16"/>
          <w:szCs w:val="16"/>
        </w:rPr>
        <w:t>nejnižším</w:t>
      </w:r>
      <w:r w:rsidRPr="00432AEE">
        <w:rPr>
          <w:rFonts w:ascii="Arial" w:hAnsi="Arial" w:cs="Arial"/>
          <w:spacing w:val="-2"/>
          <w:sz w:val="16"/>
          <w:szCs w:val="16"/>
        </w:rPr>
        <w:t>,</w:t>
      </w:r>
      <w:r w:rsidRPr="00EA34AB">
        <w:rPr>
          <w:rFonts w:ascii="Arial" w:hAnsi="Arial" w:cs="Arial"/>
          <w:spacing w:val="-2"/>
          <w:sz w:val="16"/>
          <w:szCs w:val="16"/>
        </w:rPr>
        <w:t xml:space="preserve"> aktuálně spolu s Polskem a Bulharskem (shodně 3,1 %) a Maltou (3,4 %). V Německu a Nizozemsku je nyní na rovných 4 %, v Maďarsku na 4,5 % a na Slovensku i </w:t>
      </w:r>
      <w:r>
        <w:rPr>
          <w:rFonts w:ascii="Arial" w:hAnsi="Arial" w:cs="Arial"/>
          <w:spacing w:val="-2"/>
          <w:sz w:val="16"/>
          <w:szCs w:val="16"/>
        </w:rPr>
        <w:t xml:space="preserve">v </w:t>
      </w:r>
      <w:r w:rsidRPr="00EA34AB">
        <w:rPr>
          <w:rFonts w:ascii="Arial" w:hAnsi="Arial" w:cs="Arial"/>
          <w:spacing w:val="-2"/>
          <w:sz w:val="16"/>
          <w:szCs w:val="16"/>
        </w:rPr>
        <w:t xml:space="preserve">Rakousku na 5,6 %. Nejhorší situace je ve Finsku (10,0 %) a po dlouhé době tak nejsou na čele v EU Španělsko (9,8 %) ani Řecko (7,7 %), neboť pokles nezaměstnanosti v těchto zemích patří aktuálně k nejvyšším. </w:t>
      </w:r>
      <w:r>
        <w:rPr>
          <w:rFonts w:ascii="Arial" w:hAnsi="Arial" w:cs="Arial"/>
          <w:spacing w:val="-2"/>
          <w:sz w:val="16"/>
          <w:szCs w:val="16"/>
        </w:rPr>
        <w:br/>
      </w:r>
      <w:r w:rsidRPr="00EA34AB">
        <w:rPr>
          <w:rFonts w:ascii="Arial" w:hAnsi="Arial" w:cs="Arial"/>
          <w:spacing w:val="-2"/>
          <w:sz w:val="16"/>
          <w:szCs w:val="16"/>
        </w:rPr>
        <w:t xml:space="preserve">K pozitivnímu posunu došlo i ve Švédsku, přesto se zde nezaměstnanost stále drží vysoko (8,0 %). Zvýšená byla nadále </w:t>
      </w:r>
      <w:r w:rsidRPr="00432AEE">
        <w:rPr>
          <w:rFonts w:ascii="Arial" w:hAnsi="Arial" w:cs="Arial"/>
          <w:spacing w:val="-2"/>
          <w:sz w:val="16"/>
          <w:szCs w:val="16"/>
        </w:rPr>
        <w:t xml:space="preserve">i </w:t>
      </w:r>
      <w:r w:rsidRPr="00EA34AB">
        <w:rPr>
          <w:rFonts w:ascii="Arial" w:hAnsi="Arial" w:cs="Arial"/>
          <w:spacing w:val="-2"/>
          <w:sz w:val="16"/>
          <w:szCs w:val="16"/>
        </w:rPr>
        <w:t xml:space="preserve">ve Francii (7,7 %) a </w:t>
      </w:r>
      <w:r w:rsidRPr="00EA34AB">
        <w:rPr>
          <w:rFonts w:ascii="Arial" w:hAnsi="Arial" w:cs="Arial"/>
          <w:spacing w:val="-1"/>
          <w:sz w:val="16"/>
          <w:szCs w:val="16"/>
        </w:rPr>
        <w:t xml:space="preserve">Dánsku (7,5 %). Meziročně je celková nezaměstnanost nižší v </w:t>
      </w:r>
      <w:r w:rsidRPr="00432AEE">
        <w:rPr>
          <w:rFonts w:ascii="Arial" w:hAnsi="Arial" w:cs="Arial"/>
          <w:spacing w:val="-1"/>
          <w:sz w:val="16"/>
          <w:szCs w:val="16"/>
        </w:rPr>
        <w:t>11</w:t>
      </w:r>
      <w:r w:rsidRPr="00EA34AB">
        <w:rPr>
          <w:rFonts w:ascii="Arial" w:hAnsi="Arial" w:cs="Arial"/>
          <w:spacing w:val="-1"/>
          <w:sz w:val="16"/>
          <w:szCs w:val="16"/>
        </w:rPr>
        <w:t xml:space="preserve"> členských státech – hlavně v Řecku (</w:t>
      </w:r>
      <w:r>
        <w:rPr>
          <w:rFonts w:ascii="Arial" w:hAnsi="Arial" w:cs="Arial"/>
          <w:spacing w:val="-1"/>
          <w:sz w:val="16"/>
          <w:szCs w:val="16"/>
        </w:rPr>
        <w:t>−</w:t>
      </w:r>
      <w:r w:rsidRPr="00EA34AB">
        <w:rPr>
          <w:rFonts w:ascii="Arial" w:hAnsi="Arial" w:cs="Arial"/>
          <w:spacing w:val="-1"/>
          <w:sz w:val="16"/>
          <w:szCs w:val="16"/>
        </w:rPr>
        <w:t>2,1 p. b.), Švédsku (</w:t>
      </w:r>
      <w:r>
        <w:rPr>
          <w:rFonts w:ascii="Arial" w:hAnsi="Arial" w:cs="Arial"/>
          <w:spacing w:val="-1"/>
          <w:sz w:val="16"/>
          <w:szCs w:val="16"/>
        </w:rPr>
        <w:t>−</w:t>
      </w:r>
      <w:r w:rsidRPr="00EA34AB">
        <w:rPr>
          <w:rFonts w:ascii="Arial" w:hAnsi="Arial" w:cs="Arial"/>
          <w:spacing w:val="-1"/>
          <w:sz w:val="16"/>
          <w:szCs w:val="16"/>
        </w:rPr>
        <w:t>1,8 p. b.) Itálii</w:t>
      </w:r>
      <w:r w:rsidRPr="00EA34AB">
        <w:rPr>
          <w:rFonts w:ascii="Arial" w:hAnsi="Arial" w:cs="Arial"/>
          <w:sz w:val="16"/>
          <w:szCs w:val="16"/>
        </w:rPr>
        <w:t xml:space="preserve"> </w:t>
      </w:r>
      <w:r w:rsidRPr="00EA34AB">
        <w:rPr>
          <w:rFonts w:ascii="Arial" w:hAnsi="Arial" w:cs="Arial"/>
          <w:spacing w:val="-5"/>
          <w:sz w:val="16"/>
          <w:szCs w:val="16"/>
        </w:rPr>
        <w:t>(</w:t>
      </w:r>
      <w:r>
        <w:rPr>
          <w:rFonts w:ascii="Arial" w:hAnsi="Arial" w:cs="Arial"/>
          <w:spacing w:val="-5"/>
          <w:sz w:val="16"/>
          <w:szCs w:val="16"/>
        </w:rPr>
        <w:t>−</w:t>
      </w:r>
      <w:r w:rsidRPr="00EA34AB">
        <w:rPr>
          <w:rFonts w:ascii="Arial" w:hAnsi="Arial" w:cs="Arial"/>
          <w:spacing w:val="-5"/>
          <w:sz w:val="16"/>
          <w:szCs w:val="16"/>
        </w:rPr>
        <w:t>1,5 p. b.), Estonsku (</w:t>
      </w:r>
      <w:r>
        <w:rPr>
          <w:rFonts w:ascii="Arial" w:hAnsi="Arial" w:cs="Arial"/>
          <w:spacing w:val="-5"/>
          <w:sz w:val="16"/>
          <w:szCs w:val="16"/>
        </w:rPr>
        <w:t>−</w:t>
      </w:r>
      <w:r w:rsidRPr="00EA34AB">
        <w:rPr>
          <w:rFonts w:ascii="Arial" w:hAnsi="Arial" w:cs="Arial"/>
          <w:spacing w:val="-5"/>
          <w:sz w:val="16"/>
          <w:szCs w:val="16"/>
        </w:rPr>
        <w:t>1,3 p. b.) a Španělsku (</w:t>
      </w:r>
      <w:r>
        <w:rPr>
          <w:rFonts w:ascii="Arial" w:hAnsi="Arial" w:cs="Arial"/>
          <w:spacing w:val="-5"/>
          <w:sz w:val="16"/>
          <w:szCs w:val="16"/>
        </w:rPr>
        <w:t>−</w:t>
      </w:r>
      <w:r w:rsidRPr="00EA34AB">
        <w:rPr>
          <w:rFonts w:ascii="Arial" w:hAnsi="Arial" w:cs="Arial"/>
          <w:spacing w:val="-5"/>
          <w:sz w:val="16"/>
          <w:szCs w:val="16"/>
        </w:rPr>
        <w:t>1,1 p. b.). Naopak ke zhoršení došlo ve</w:t>
      </w:r>
      <w:r w:rsidRPr="00432AEE">
        <w:rPr>
          <w:rFonts w:ascii="Arial" w:hAnsi="Arial" w:cs="Arial"/>
          <w:spacing w:val="-5"/>
          <w:sz w:val="16"/>
          <w:szCs w:val="16"/>
        </w:rPr>
        <w:t xml:space="preserve"> 14</w:t>
      </w:r>
      <w:r w:rsidRPr="00EA34AB">
        <w:rPr>
          <w:rFonts w:ascii="Arial" w:hAnsi="Arial" w:cs="Arial"/>
          <w:spacing w:val="-5"/>
          <w:sz w:val="16"/>
          <w:szCs w:val="16"/>
        </w:rPr>
        <w:t xml:space="preserve"> zemích – hlavně ve Finsku a Dánsku (shodně +0,9 p. b.).</w:t>
      </w:r>
    </w:p>
  </w:footnote>
  <w:footnote w:id="109">
    <w:p w14:paraId="78C7A8BE" w14:textId="77777777" w:rsidR="009D4785" w:rsidRPr="007C7FE3" w:rsidRDefault="009D4785" w:rsidP="009D4785">
      <w:pPr>
        <w:pStyle w:val="Textpoznpodarou"/>
        <w:rPr>
          <w:color w:val="0D0D0D" w:themeColor="text1" w:themeTint="F2"/>
          <w:sz w:val="16"/>
          <w:szCs w:val="16"/>
        </w:rPr>
      </w:pPr>
      <w:r w:rsidRPr="00352547">
        <w:rPr>
          <w:rStyle w:val="Znakapoznpodarou"/>
          <w:color w:val="0D0D0D" w:themeColor="text1" w:themeTint="F2"/>
          <w:sz w:val="16"/>
          <w:szCs w:val="16"/>
        </w:rPr>
        <w:footnoteRef/>
      </w:r>
      <w:r w:rsidRPr="00352547">
        <w:rPr>
          <w:color w:val="0D0D0D" w:themeColor="text1" w:themeTint="F2"/>
          <w:sz w:val="16"/>
          <w:szCs w:val="16"/>
        </w:rPr>
        <w:t xml:space="preserve"> Meziročně jich ve </w:t>
      </w:r>
      <w:r>
        <w:rPr>
          <w:color w:val="0D0D0D" w:themeColor="text1" w:themeTint="F2"/>
          <w:sz w:val="16"/>
          <w:szCs w:val="16"/>
        </w:rPr>
        <w:t>4</w:t>
      </w:r>
      <w:r w:rsidRPr="00352547">
        <w:rPr>
          <w:color w:val="0D0D0D" w:themeColor="text1" w:themeTint="F2"/>
          <w:sz w:val="16"/>
          <w:szCs w:val="16"/>
        </w:rPr>
        <w:t>. čtvrtletí přibylo 1</w:t>
      </w:r>
      <w:r>
        <w:rPr>
          <w:color w:val="0D0D0D" w:themeColor="text1" w:themeTint="F2"/>
          <w:sz w:val="16"/>
          <w:szCs w:val="16"/>
        </w:rPr>
        <w:t>3</w:t>
      </w:r>
      <w:r w:rsidRPr="00352547">
        <w:rPr>
          <w:color w:val="0D0D0D" w:themeColor="text1" w:themeTint="F2"/>
          <w:sz w:val="16"/>
          <w:szCs w:val="16"/>
        </w:rPr>
        <w:t xml:space="preserve"> tis. (na </w:t>
      </w:r>
      <w:r>
        <w:rPr>
          <w:color w:val="0D0D0D" w:themeColor="text1" w:themeTint="F2"/>
          <w:sz w:val="16"/>
          <w:szCs w:val="16"/>
        </w:rPr>
        <w:t>52</w:t>
      </w:r>
      <w:r w:rsidRPr="00352547">
        <w:rPr>
          <w:color w:val="0D0D0D" w:themeColor="text1" w:themeTint="F2"/>
          <w:sz w:val="16"/>
          <w:szCs w:val="16"/>
        </w:rPr>
        <w:t xml:space="preserve"> tis.), </w:t>
      </w:r>
      <w:r>
        <w:rPr>
          <w:color w:val="0D0D0D" w:themeColor="text1" w:themeTint="F2"/>
          <w:sz w:val="16"/>
          <w:szCs w:val="16"/>
        </w:rPr>
        <w:t>především vlivem</w:t>
      </w:r>
      <w:r w:rsidRPr="00352547">
        <w:rPr>
          <w:color w:val="0D0D0D" w:themeColor="text1" w:themeTint="F2"/>
          <w:sz w:val="16"/>
          <w:szCs w:val="16"/>
        </w:rPr>
        <w:t xml:space="preserve"> mužů. Osoby, jež byly bez práce déle než rok, se na </w:t>
      </w:r>
      <w:r w:rsidRPr="007C7FE3">
        <w:rPr>
          <w:color w:val="0D0D0D" w:themeColor="text1" w:themeTint="F2"/>
          <w:sz w:val="16"/>
          <w:szCs w:val="16"/>
        </w:rPr>
        <w:t>celkovém počtu nezaměstnaných aktuálně podílely 33 % (o rok dříve 29 %), což je v dlouhodobém i mezinárodním kontextu průměrná hodnota.</w:t>
      </w:r>
    </w:p>
  </w:footnote>
  <w:footnote w:id="110">
    <w:p w14:paraId="1EA189B2" w14:textId="77777777" w:rsidR="009D4785" w:rsidRPr="000B5026" w:rsidRDefault="009D4785" w:rsidP="009D4785">
      <w:pPr>
        <w:pStyle w:val="Textpoznpodarou"/>
        <w:rPr>
          <w:sz w:val="16"/>
          <w:szCs w:val="16"/>
        </w:rPr>
      </w:pPr>
      <w:r w:rsidRPr="00C21987">
        <w:rPr>
          <w:rStyle w:val="Znakapoznpodarou"/>
          <w:color w:val="0D0D0D" w:themeColor="text1" w:themeTint="F2"/>
          <w:sz w:val="16"/>
          <w:szCs w:val="16"/>
        </w:rPr>
        <w:footnoteRef/>
      </w:r>
      <w:r w:rsidRPr="00C21987">
        <w:rPr>
          <w:color w:val="0D0D0D" w:themeColor="text1" w:themeTint="F2"/>
          <w:sz w:val="16"/>
          <w:szCs w:val="16"/>
        </w:rPr>
        <w:t xml:space="preserve"> </w:t>
      </w:r>
      <w:r w:rsidRPr="00C21987">
        <w:rPr>
          <w:rFonts w:cs="Arial"/>
          <w:color w:val="0D0D0D" w:themeColor="text1" w:themeTint="F2"/>
          <w:sz w:val="16"/>
          <w:szCs w:val="16"/>
        </w:rPr>
        <w:t>Nejvyšší podíl nezaměstnaných (k obyvatelstvu ve věku 15</w:t>
      </w:r>
      <w:r>
        <w:rPr>
          <w:rFonts w:cs="Arial"/>
          <w:color w:val="0D0D0D" w:themeColor="text1" w:themeTint="F2"/>
          <w:sz w:val="16"/>
          <w:szCs w:val="16"/>
        </w:rPr>
        <w:t>–</w:t>
      </w:r>
      <w:r w:rsidRPr="00C21987">
        <w:rPr>
          <w:rFonts w:cs="Arial"/>
          <w:color w:val="0D0D0D" w:themeColor="text1" w:themeTint="F2"/>
          <w:sz w:val="16"/>
          <w:szCs w:val="16"/>
        </w:rPr>
        <w:t xml:space="preserve">64 let) měli aktuálně muži v okrese Karviná (10,5 %) a ženy na Mostecku (11,8 %). Celková nezaměstnanost převyšující alespoň o polovinu celorepublikovou hodnotu </w:t>
      </w:r>
      <w:r>
        <w:rPr>
          <w:rFonts w:cs="Arial"/>
          <w:color w:val="0D0D0D" w:themeColor="text1" w:themeTint="F2"/>
          <w:sz w:val="16"/>
          <w:szCs w:val="16"/>
        </w:rPr>
        <w:t xml:space="preserve">se vedle výše uvedených regionů </w:t>
      </w:r>
      <w:r w:rsidRPr="00C21987">
        <w:rPr>
          <w:rFonts w:cs="Arial"/>
          <w:color w:val="0D0D0D" w:themeColor="text1" w:themeTint="F2"/>
          <w:sz w:val="16"/>
          <w:szCs w:val="16"/>
        </w:rPr>
        <w:t>vyskytovala</w:t>
      </w:r>
      <w:r>
        <w:rPr>
          <w:rFonts w:cs="Arial"/>
          <w:color w:val="0D0D0D" w:themeColor="text1" w:themeTint="F2"/>
          <w:sz w:val="16"/>
          <w:szCs w:val="16"/>
        </w:rPr>
        <w:t xml:space="preserve"> v okresech Bruntál, Sokolov, Chomutov, Znojmo a Děčín. N</w:t>
      </w:r>
      <w:r w:rsidRPr="00C21987">
        <w:rPr>
          <w:rFonts w:cs="Arial"/>
          <w:color w:val="0D0D0D" w:themeColor="text1" w:themeTint="F2"/>
          <w:sz w:val="16"/>
          <w:szCs w:val="16"/>
        </w:rPr>
        <w:t>aopak nejnižší (pod 3,6 %) byla v bezprostředním zázemí Prahy</w:t>
      </w:r>
      <w:r>
        <w:rPr>
          <w:rFonts w:cs="Arial"/>
          <w:color w:val="0D0D0D" w:themeColor="text1" w:themeTint="F2"/>
          <w:sz w:val="16"/>
          <w:szCs w:val="16"/>
        </w:rPr>
        <w:t xml:space="preserve"> a </w:t>
      </w:r>
      <w:r w:rsidRPr="00C21987">
        <w:rPr>
          <w:rFonts w:cs="Arial"/>
          <w:color w:val="0D0D0D" w:themeColor="text1" w:themeTint="F2"/>
          <w:sz w:val="16"/>
          <w:szCs w:val="16"/>
        </w:rPr>
        <w:t>na Rychnovsku</w:t>
      </w:r>
      <w:r>
        <w:rPr>
          <w:rFonts w:cs="Arial"/>
          <w:color w:val="0D0D0D" w:themeColor="text1" w:themeTint="F2"/>
          <w:sz w:val="16"/>
          <w:szCs w:val="16"/>
        </w:rPr>
        <w:t>,</w:t>
      </w:r>
      <w:r w:rsidRPr="00C21987">
        <w:rPr>
          <w:rFonts w:cs="Arial"/>
          <w:color w:val="0D0D0D" w:themeColor="text1" w:themeTint="F2"/>
          <w:sz w:val="16"/>
          <w:szCs w:val="16"/>
        </w:rPr>
        <w:t xml:space="preserve"> Pelhřimovsku a Mladoboleslav</w:t>
      </w:r>
      <w:r>
        <w:rPr>
          <w:rFonts w:cs="Arial"/>
          <w:color w:val="0D0D0D" w:themeColor="text1" w:themeTint="F2"/>
          <w:sz w:val="16"/>
          <w:szCs w:val="16"/>
        </w:rPr>
        <w:t>s</w:t>
      </w:r>
      <w:r w:rsidRPr="00C21987">
        <w:rPr>
          <w:rFonts w:cs="Arial"/>
          <w:color w:val="0D0D0D" w:themeColor="text1" w:themeTint="F2"/>
          <w:sz w:val="16"/>
          <w:szCs w:val="16"/>
        </w:rPr>
        <w:t xml:space="preserve">ku. </w:t>
      </w:r>
      <w:r w:rsidRPr="00C21987">
        <w:rPr>
          <w:rFonts w:cs="Arial"/>
          <w:color w:val="0D0D0D" w:themeColor="text1" w:themeTint="F2"/>
          <w:spacing w:val="-2"/>
          <w:sz w:val="16"/>
          <w:szCs w:val="16"/>
        </w:rPr>
        <w:t xml:space="preserve">Meziročně vzrostla nezaměstnanost ve všech okresech ČR – nejvíce na Sokolovsku (z </w:t>
      </w:r>
      <w:r>
        <w:rPr>
          <w:rFonts w:cs="Arial"/>
          <w:color w:val="0D0D0D" w:themeColor="text1" w:themeTint="F2"/>
          <w:spacing w:val="-2"/>
          <w:sz w:val="16"/>
          <w:szCs w:val="16"/>
        </w:rPr>
        <w:t>6,3</w:t>
      </w:r>
      <w:r w:rsidRPr="00C21987">
        <w:rPr>
          <w:rFonts w:cs="Arial"/>
          <w:color w:val="0D0D0D" w:themeColor="text1" w:themeTint="F2"/>
          <w:spacing w:val="-2"/>
          <w:sz w:val="16"/>
          <w:szCs w:val="16"/>
        </w:rPr>
        <w:t xml:space="preserve"> % na </w:t>
      </w:r>
      <w:r>
        <w:rPr>
          <w:rFonts w:cs="Arial"/>
          <w:color w:val="0D0D0D" w:themeColor="text1" w:themeTint="F2"/>
          <w:spacing w:val="-2"/>
          <w:sz w:val="16"/>
          <w:szCs w:val="16"/>
        </w:rPr>
        <w:t>8</w:t>
      </w:r>
      <w:r w:rsidRPr="00C21987">
        <w:rPr>
          <w:rFonts w:cs="Arial"/>
          <w:color w:val="0D0D0D" w:themeColor="text1" w:themeTint="F2"/>
          <w:spacing w:val="-2"/>
          <w:sz w:val="16"/>
          <w:szCs w:val="16"/>
        </w:rPr>
        <w:t>,</w:t>
      </w:r>
      <w:r>
        <w:rPr>
          <w:rFonts w:cs="Arial"/>
          <w:color w:val="0D0D0D" w:themeColor="text1" w:themeTint="F2"/>
          <w:spacing w:val="-2"/>
          <w:sz w:val="16"/>
          <w:szCs w:val="16"/>
        </w:rPr>
        <w:t>2</w:t>
      </w:r>
      <w:r w:rsidRPr="00C21987">
        <w:rPr>
          <w:rFonts w:cs="Arial"/>
          <w:color w:val="0D0D0D" w:themeColor="text1" w:themeTint="F2"/>
          <w:spacing w:val="-2"/>
          <w:sz w:val="16"/>
          <w:szCs w:val="16"/>
        </w:rPr>
        <w:t xml:space="preserve"> %)</w:t>
      </w:r>
      <w:r>
        <w:rPr>
          <w:rFonts w:cs="Arial"/>
          <w:color w:val="0D0D0D" w:themeColor="text1" w:themeTint="F2"/>
          <w:spacing w:val="-2"/>
          <w:sz w:val="16"/>
          <w:szCs w:val="16"/>
        </w:rPr>
        <w:t>, Mostecku</w:t>
      </w:r>
      <w:r w:rsidRPr="00C21987">
        <w:rPr>
          <w:rFonts w:cs="Arial"/>
          <w:color w:val="0D0D0D" w:themeColor="text1" w:themeTint="F2"/>
          <w:spacing w:val="-2"/>
          <w:sz w:val="16"/>
          <w:szCs w:val="16"/>
        </w:rPr>
        <w:t xml:space="preserve"> </w:t>
      </w:r>
      <w:r>
        <w:rPr>
          <w:rFonts w:cs="Arial"/>
          <w:color w:val="0D0D0D" w:themeColor="text1" w:themeTint="F2"/>
          <w:spacing w:val="-2"/>
          <w:sz w:val="16"/>
          <w:szCs w:val="16"/>
        </w:rPr>
        <w:t xml:space="preserve">(z 8,8 % na 10,3 %) </w:t>
      </w:r>
      <w:r w:rsidRPr="00C21987">
        <w:rPr>
          <w:rFonts w:cs="Arial"/>
          <w:color w:val="0D0D0D" w:themeColor="text1" w:themeTint="F2"/>
          <w:spacing w:val="-2"/>
          <w:sz w:val="16"/>
          <w:szCs w:val="16"/>
        </w:rPr>
        <w:t>a Českolipsku (z 4,</w:t>
      </w:r>
      <w:r>
        <w:rPr>
          <w:rFonts w:cs="Arial"/>
          <w:color w:val="0D0D0D" w:themeColor="text1" w:themeTint="F2"/>
          <w:spacing w:val="-2"/>
          <w:sz w:val="16"/>
          <w:szCs w:val="16"/>
        </w:rPr>
        <w:t>9</w:t>
      </w:r>
      <w:r w:rsidRPr="00C21987">
        <w:rPr>
          <w:rFonts w:cs="Arial"/>
          <w:color w:val="0D0D0D" w:themeColor="text1" w:themeTint="F2"/>
          <w:spacing w:val="-2"/>
          <w:sz w:val="16"/>
          <w:szCs w:val="16"/>
        </w:rPr>
        <w:t xml:space="preserve"> % na </w:t>
      </w:r>
      <w:r>
        <w:rPr>
          <w:rFonts w:cs="Arial"/>
          <w:color w:val="0D0D0D" w:themeColor="text1" w:themeTint="F2"/>
          <w:spacing w:val="-2"/>
          <w:sz w:val="16"/>
          <w:szCs w:val="16"/>
        </w:rPr>
        <w:t>6,4</w:t>
      </w:r>
      <w:r w:rsidRPr="00C21987">
        <w:rPr>
          <w:rFonts w:cs="Arial"/>
          <w:color w:val="0D0D0D" w:themeColor="text1" w:themeTint="F2"/>
          <w:spacing w:val="-2"/>
          <w:sz w:val="16"/>
          <w:szCs w:val="16"/>
        </w:rPr>
        <w:t xml:space="preserve"> %).</w:t>
      </w:r>
    </w:p>
  </w:footnote>
  <w:footnote w:id="111">
    <w:p w14:paraId="362C3121" w14:textId="77777777" w:rsidR="009D4785" w:rsidRPr="00A657A4" w:rsidRDefault="009D4785" w:rsidP="009D4785">
      <w:pPr>
        <w:pStyle w:val="Textpoznpodarou"/>
        <w:rPr>
          <w:rFonts w:cs="Arial"/>
          <w:sz w:val="16"/>
          <w:szCs w:val="16"/>
        </w:rPr>
      </w:pPr>
      <w:r w:rsidRPr="00723CD6">
        <w:rPr>
          <w:rStyle w:val="Znakapoznpodarou"/>
          <w:sz w:val="16"/>
          <w:szCs w:val="16"/>
        </w:rPr>
        <w:footnoteRef/>
      </w:r>
      <w:r w:rsidRPr="00723CD6">
        <w:rPr>
          <w:sz w:val="16"/>
          <w:szCs w:val="16"/>
        </w:rPr>
        <w:t xml:space="preserve"> </w:t>
      </w:r>
      <w:r w:rsidRPr="00723CD6">
        <w:rPr>
          <w:rStyle w:val="eop"/>
          <w:rFonts w:cs="Arial"/>
          <w:sz w:val="16"/>
          <w:szCs w:val="16"/>
        </w:rPr>
        <w:t>Dle experimentální statistiky ČSÚ (šetření u podniků p</w:t>
      </w:r>
      <w:r>
        <w:rPr>
          <w:rStyle w:val="eop"/>
          <w:rFonts w:cs="Arial"/>
          <w:sz w:val="16"/>
          <w:szCs w:val="16"/>
        </w:rPr>
        <w:t>rováděná od roku 2020) byla ve 4.</w:t>
      </w:r>
      <w:r w:rsidRPr="00723CD6">
        <w:rPr>
          <w:rStyle w:val="eop"/>
          <w:rFonts w:cs="Arial"/>
          <w:sz w:val="16"/>
          <w:szCs w:val="16"/>
        </w:rPr>
        <w:t xml:space="preserve"> čtvrtletí 2025 nabídka t</w:t>
      </w:r>
      <w:r>
        <w:rPr>
          <w:rStyle w:val="eop"/>
          <w:rFonts w:cs="Arial"/>
          <w:sz w:val="16"/>
          <w:szCs w:val="16"/>
        </w:rPr>
        <w:t>uzemských firem odhadnuta na 99</w:t>
      </w:r>
      <w:r w:rsidRPr="00723CD6">
        <w:rPr>
          <w:rStyle w:val="eop"/>
          <w:rFonts w:cs="Arial"/>
          <w:sz w:val="16"/>
          <w:szCs w:val="16"/>
        </w:rPr>
        <w:t xml:space="preserve"> tis. volných míst (j</w:t>
      </w:r>
      <w:r>
        <w:rPr>
          <w:rStyle w:val="eop"/>
          <w:rFonts w:cs="Arial"/>
          <w:sz w:val="16"/>
          <w:szCs w:val="16"/>
        </w:rPr>
        <w:t>de jen</w:t>
      </w:r>
      <w:r w:rsidRPr="00723CD6">
        <w:rPr>
          <w:rStyle w:val="eop"/>
          <w:rFonts w:cs="Arial"/>
          <w:sz w:val="16"/>
          <w:szCs w:val="16"/>
        </w:rPr>
        <w:t xml:space="preserve"> o místa v pracovním poměru, n</w:t>
      </w:r>
      <w:r>
        <w:rPr>
          <w:rStyle w:val="eop"/>
          <w:rFonts w:cs="Arial"/>
          <w:sz w:val="16"/>
          <w:szCs w:val="16"/>
        </w:rPr>
        <w:t>ikoli</w:t>
      </w:r>
      <w:r w:rsidRPr="00723CD6">
        <w:rPr>
          <w:rStyle w:val="eop"/>
          <w:rFonts w:cs="Arial"/>
          <w:sz w:val="16"/>
          <w:szCs w:val="16"/>
        </w:rPr>
        <w:t xml:space="preserve"> o přechodná zaměstnání, např. různé typy dohod). Počet míst se meziročně</w:t>
      </w:r>
      <w:r>
        <w:rPr>
          <w:rStyle w:val="eop"/>
          <w:rFonts w:cs="Arial"/>
          <w:sz w:val="16"/>
          <w:szCs w:val="16"/>
        </w:rPr>
        <w:t xml:space="preserve"> snížil</w:t>
      </w:r>
      <w:r w:rsidRPr="00723CD6">
        <w:rPr>
          <w:rStyle w:val="eop"/>
          <w:rFonts w:cs="Arial"/>
          <w:sz w:val="16"/>
          <w:szCs w:val="16"/>
        </w:rPr>
        <w:t xml:space="preserve"> o </w:t>
      </w:r>
      <w:r>
        <w:rPr>
          <w:rStyle w:val="eop"/>
          <w:rFonts w:cs="Arial"/>
          <w:sz w:val="16"/>
          <w:szCs w:val="16"/>
        </w:rPr>
        <w:t>2</w:t>
      </w:r>
      <w:r w:rsidRPr="00723CD6">
        <w:rPr>
          <w:rStyle w:val="eop"/>
          <w:rFonts w:cs="Arial"/>
          <w:sz w:val="16"/>
          <w:szCs w:val="16"/>
        </w:rPr>
        <w:t xml:space="preserve"> % (</w:t>
      </w:r>
      <w:r>
        <w:rPr>
          <w:rStyle w:val="eop"/>
          <w:rFonts w:cs="Arial"/>
          <w:sz w:val="16"/>
          <w:szCs w:val="16"/>
        </w:rPr>
        <w:t>mírně klesal i v předchozích loňských čtvrtletích</w:t>
      </w:r>
      <w:r w:rsidRPr="00723CD6">
        <w:rPr>
          <w:rStyle w:val="eop"/>
          <w:rFonts w:cs="Arial"/>
          <w:sz w:val="16"/>
          <w:szCs w:val="16"/>
        </w:rPr>
        <w:t xml:space="preserve">). </w:t>
      </w:r>
      <w:r>
        <w:rPr>
          <w:rStyle w:val="eop"/>
          <w:rFonts w:cs="Arial"/>
          <w:sz w:val="16"/>
          <w:szCs w:val="16"/>
        </w:rPr>
        <w:t>Na současném poklesu nabídky se podílely hlavně a</w:t>
      </w:r>
      <w:r w:rsidRPr="00723CD6">
        <w:rPr>
          <w:rStyle w:val="eop"/>
          <w:rFonts w:cs="Arial"/>
          <w:sz w:val="16"/>
          <w:szCs w:val="16"/>
        </w:rPr>
        <w:t>dministrativní a podpůrné činnosti</w:t>
      </w:r>
      <w:r>
        <w:rPr>
          <w:rStyle w:val="eop"/>
          <w:rFonts w:cs="Arial"/>
          <w:sz w:val="16"/>
          <w:szCs w:val="16"/>
        </w:rPr>
        <w:t xml:space="preserve"> (</w:t>
      </w:r>
      <w:r w:rsidRPr="00EA34AB">
        <w:rPr>
          <w:rFonts w:eastAsia="Times New Roman" w:cs="Arial"/>
          <w:spacing w:val="-5"/>
          <w:sz w:val="16"/>
          <w:szCs w:val="16"/>
        </w:rPr>
        <w:t>–</w:t>
      </w:r>
      <w:r>
        <w:rPr>
          <w:rStyle w:val="eop"/>
          <w:rFonts w:cs="Arial"/>
          <w:sz w:val="16"/>
          <w:szCs w:val="16"/>
        </w:rPr>
        <w:t xml:space="preserve">2,2 tis.) a dále veřejná správa a také doprava vč. skladování (shodně okolo 1 tis.) a trochu překvapivě i stavebnictví a informační a komunikační činnosti. Naopak nejvíce rostla nabídka míst v obchodu a průmyslu (shodně zhruba o 2 tis.) a </w:t>
      </w:r>
      <w:r w:rsidRPr="00296602">
        <w:rPr>
          <w:rStyle w:val="eop"/>
          <w:rFonts w:cs="Arial"/>
          <w:spacing w:val="-2"/>
          <w:sz w:val="16"/>
          <w:szCs w:val="16"/>
        </w:rPr>
        <w:t>ve vzdělávání (+1,2 tis.). Nejvíce volných pozic bylo v odvětvích s významnou rolí státu (26 tis.), v průmyslu (25 tis.)</w:t>
      </w:r>
      <w:r>
        <w:rPr>
          <w:rStyle w:val="eop"/>
          <w:rFonts w:cs="Arial"/>
          <w:spacing w:val="-2"/>
          <w:sz w:val="16"/>
          <w:szCs w:val="16"/>
        </w:rPr>
        <w:br/>
      </w:r>
      <w:r w:rsidRPr="00296602">
        <w:rPr>
          <w:rStyle w:val="eop"/>
          <w:rFonts w:cs="Arial"/>
          <w:spacing w:val="-2"/>
          <w:sz w:val="16"/>
          <w:szCs w:val="16"/>
        </w:rPr>
        <w:t>a v obchodu (13 tis.).</w:t>
      </w:r>
      <w:r>
        <w:rPr>
          <w:rStyle w:val="eop"/>
          <w:rFonts w:cs="Arial"/>
          <w:sz w:val="16"/>
          <w:szCs w:val="16"/>
        </w:rPr>
        <w:t xml:space="preserve"> </w:t>
      </w:r>
    </w:p>
  </w:footnote>
  <w:footnote w:id="112">
    <w:p w14:paraId="5865930F" w14:textId="77777777" w:rsidR="009D4785" w:rsidRPr="00BC4EF9" w:rsidRDefault="009D4785" w:rsidP="009D4785">
      <w:pPr>
        <w:pStyle w:val="Textpoznpodarou"/>
        <w:rPr>
          <w:sz w:val="16"/>
          <w:szCs w:val="16"/>
        </w:rPr>
      </w:pPr>
      <w:r w:rsidRPr="00BC4EF9">
        <w:rPr>
          <w:rStyle w:val="Znakapoznpodarou"/>
          <w:sz w:val="16"/>
          <w:szCs w:val="16"/>
        </w:rPr>
        <w:footnoteRef/>
      </w:r>
      <w:r w:rsidRPr="00BC4EF9">
        <w:rPr>
          <w:sz w:val="16"/>
          <w:szCs w:val="16"/>
        </w:rPr>
        <w:t xml:space="preserve"> Řada volných míst (zejména pro osoby s vyšší kvalifikací) je však inzerována jinou formou (např. přes pracovní portály).</w:t>
      </w:r>
      <w:r>
        <w:rPr>
          <w:sz w:val="16"/>
          <w:szCs w:val="16"/>
        </w:rPr>
        <w:t xml:space="preserve"> Současně zdaleka ne všichni nezaměstnaní (dle mezinárodního pojetí ILO) využívají jako primární zdroj informací o nabídce volných míst úřady práce. Lidé s vyšším vzděláním častěji preferují více způsobů hledání práce současně (</w:t>
      </w:r>
      <w:r w:rsidRPr="007300C1">
        <w:rPr>
          <w:sz w:val="16"/>
          <w:szCs w:val="16"/>
        </w:rPr>
        <w:t>umisťování a aktualizování životopisů</w:t>
      </w:r>
      <w:r>
        <w:rPr>
          <w:sz w:val="16"/>
          <w:szCs w:val="16"/>
        </w:rPr>
        <w:t>, aktivní absolvování pohovorů aj.).</w:t>
      </w:r>
    </w:p>
  </w:footnote>
  <w:footnote w:id="113">
    <w:p w14:paraId="4BC778A5" w14:textId="77777777" w:rsidR="009D4785" w:rsidRPr="00BC4EF9" w:rsidRDefault="009D4785" w:rsidP="009D4785">
      <w:pPr>
        <w:pStyle w:val="Textpoznpodarou"/>
        <w:rPr>
          <w:sz w:val="16"/>
          <w:szCs w:val="16"/>
        </w:rPr>
      </w:pPr>
      <w:r w:rsidRPr="00BC4EF9">
        <w:rPr>
          <w:rStyle w:val="Znakapoznpodarou"/>
          <w:sz w:val="16"/>
          <w:szCs w:val="16"/>
        </w:rPr>
        <w:footnoteRef/>
      </w:r>
      <w:r w:rsidRPr="00BC4EF9">
        <w:rPr>
          <w:sz w:val="16"/>
          <w:szCs w:val="16"/>
        </w:rPr>
        <w:t xml:space="preserve"> U </w:t>
      </w:r>
      <w:r w:rsidRPr="00BC4EF9">
        <w:rPr>
          <w:color w:val="0D0D0D" w:themeColor="text1" w:themeTint="F2"/>
          <w:sz w:val="16"/>
          <w:szCs w:val="16"/>
        </w:rPr>
        <w:t>téměř tří čtvrtin volných pracovních míst postačovalo uchazečům pouze základní vzdělání. Naopak více než třetina všech registrovaných uchazečů o práci disponuje alespoň maturitním vzděláním.</w:t>
      </w:r>
    </w:p>
  </w:footnote>
  <w:footnote w:id="114">
    <w:p w14:paraId="3E6C35BF" w14:textId="77777777" w:rsidR="009D4785" w:rsidRPr="00BC4EF9" w:rsidRDefault="009D4785" w:rsidP="009D4785">
      <w:pPr>
        <w:pStyle w:val="paragraph"/>
        <w:spacing w:before="0" w:beforeAutospacing="0" w:after="0" w:afterAutospacing="0"/>
        <w:textAlignment w:val="baseline"/>
        <w:rPr>
          <w:rFonts w:ascii="Arial" w:eastAsiaTheme="majorEastAsia" w:hAnsi="Arial" w:cs="Arial"/>
          <w:sz w:val="16"/>
          <w:szCs w:val="16"/>
        </w:rPr>
      </w:pPr>
      <w:r w:rsidRPr="00BC4EF9">
        <w:rPr>
          <w:rStyle w:val="Znakapoznpodarou"/>
          <w:sz w:val="16"/>
          <w:szCs w:val="16"/>
        </w:rPr>
        <w:footnoteRef/>
      </w:r>
      <w:r w:rsidRPr="00BC4EF9">
        <w:rPr>
          <w:sz w:val="16"/>
          <w:szCs w:val="16"/>
        </w:rPr>
        <w:t xml:space="preserve"> </w:t>
      </w:r>
      <w:r w:rsidRPr="00BC4EF9">
        <w:rPr>
          <w:rStyle w:val="normaltextrun"/>
          <w:rFonts w:ascii="Arial" w:eastAsiaTheme="majorEastAsia" w:hAnsi="Arial" w:cs="Arial"/>
          <w:sz w:val="16"/>
          <w:szCs w:val="16"/>
        </w:rPr>
        <w:t xml:space="preserve">Nejvíce uchazečů </w:t>
      </w:r>
      <w:r>
        <w:rPr>
          <w:rStyle w:val="normaltextrun"/>
          <w:rFonts w:ascii="Arial" w:eastAsiaTheme="majorEastAsia" w:hAnsi="Arial" w:cs="Arial"/>
          <w:sz w:val="16"/>
          <w:szCs w:val="16"/>
        </w:rPr>
        <w:t>o</w:t>
      </w:r>
      <w:r w:rsidRPr="00BC4EF9">
        <w:rPr>
          <w:rStyle w:val="normaltextrun"/>
          <w:rFonts w:ascii="Arial" w:eastAsiaTheme="majorEastAsia" w:hAnsi="Arial" w:cs="Arial"/>
          <w:sz w:val="16"/>
          <w:szCs w:val="16"/>
        </w:rPr>
        <w:t xml:space="preserve"> místo připadalo na konci ledna 2026 tradičně na okres Karviná (20), dále Sokolov a Děčín (shodně 17), Bruntál (14), Hodonín a Znojmo (12) a Jablonec n. Nisou (11) a Ústí nad Labem (10). Naopak téměř vyrovnaný poměr mezi uchazeči a místy byl v okresech Mladá Boleslav (1,3)</w:t>
      </w:r>
      <w:r>
        <w:rPr>
          <w:rStyle w:val="normaltextrun"/>
          <w:rFonts w:ascii="Arial" w:eastAsiaTheme="majorEastAsia" w:hAnsi="Arial" w:cs="Arial"/>
          <w:sz w:val="16"/>
          <w:szCs w:val="16"/>
        </w:rPr>
        <w:t>,</w:t>
      </w:r>
      <w:r w:rsidRPr="00BC4EF9">
        <w:rPr>
          <w:rStyle w:val="normaltextrun"/>
          <w:rFonts w:ascii="Arial" w:eastAsiaTheme="majorEastAsia" w:hAnsi="Arial" w:cs="Arial"/>
          <w:sz w:val="16"/>
          <w:szCs w:val="16"/>
        </w:rPr>
        <w:t xml:space="preserve"> Praha-východ a západ (1,4) a příznivý byl nadále </w:t>
      </w:r>
      <w:r>
        <w:rPr>
          <w:rStyle w:val="normaltextrun"/>
          <w:rFonts w:ascii="Arial" w:eastAsiaTheme="majorEastAsia" w:hAnsi="Arial" w:cs="Arial"/>
          <w:sz w:val="16"/>
          <w:szCs w:val="16"/>
        </w:rPr>
        <w:t xml:space="preserve">na </w:t>
      </w:r>
      <w:r w:rsidRPr="00BC4EF9">
        <w:rPr>
          <w:rStyle w:val="normaltextrun"/>
          <w:rFonts w:ascii="Arial" w:eastAsiaTheme="majorEastAsia" w:hAnsi="Arial" w:cs="Arial"/>
          <w:sz w:val="16"/>
          <w:szCs w:val="16"/>
        </w:rPr>
        <w:t>Tachovsku (1,6) a v Praze (1,7).</w:t>
      </w:r>
    </w:p>
  </w:footnote>
  <w:footnote w:id="115">
    <w:p w14:paraId="5856B820" w14:textId="77777777" w:rsidR="009D4785" w:rsidRPr="00487FFD" w:rsidRDefault="009D4785" w:rsidP="009D4785">
      <w:pPr>
        <w:pStyle w:val="Textpoznpodarou"/>
        <w:rPr>
          <w:sz w:val="16"/>
          <w:szCs w:val="16"/>
        </w:rPr>
      </w:pPr>
      <w:r w:rsidRPr="00487FFD">
        <w:rPr>
          <w:rStyle w:val="Znakapoznpodarou"/>
          <w:sz w:val="16"/>
          <w:szCs w:val="16"/>
        </w:rPr>
        <w:footnoteRef/>
      </w:r>
      <w:r w:rsidRPr="00487FFD">
        <w:rPr>
          <w:sz w:val="16"/>
          <w:szCs w:val="16"/>
        </w:rPr>
        <w:t xml:space="preserve"> </w:t>
      </w:r>
      <w:r>
        <w:rPr>
          <w:sz w:val="16"/>
          <w:szCs w:val="16"/>
        </w:rPr>
        <w:t>D</w:t>
      </w:r>
      <w:r w:rsidRPr="00487FFD">
        <w:rPr>
          <w:sz w:val="16"/>
          <w:szCs w:val="16"/>
        </w:rPr>
        <w:t>le předběžných výsledků Informací a statistik o průměrném výdělk</w:t>
      </w:r>
      <w:r>
        <w:rPr>
          <w:sz w:val="16"/>
          <w:szCs w:val="16"/>
        </w:rPr>
        <w:t>u</w:t>
      </w:r>
      <w:r w:rsidRPr="00487FFD">
        <w:rPr>
          <w:sz w:val="16"/>
          <w:szCs w:val="16"/>
        </w:rPr>
        <w:t xml:space="preserve"> (</w:t>
      </w:r>
      <w:r>
        <w:rPr>
          <w:sz w:val="16"/>
          <w:szCs w:val="16"/>
        </w:rPr>
        <w:t xml:space="preserve">v gesci </w:t>
      </w:r>
      <w:r w:rsidRPr="00487FFD">
        <w:rPr>
          <w:sz w:val="16"/>
          <w:szCs w:val="16"/>
        </w:rPr>
        <w:t xml:space="preserve">MPSV) </w:t>
      </w:r>
      <w:r>
        <w:rPr>
          <w:sz w:val="16"/>
          <w:szCs w:val="16"/>
        </w:rPr>
        <w:t>dosáhl loni medián mzdy Ukrajinců pracujících v tuzemsku jen 77 % mzdy pracovníků s českým občanstvím, u občanů Bulharska to bylo 91 %, Polska a Rumunska shodně 97 %, ale u Slováků 116 % a u ostatních cizinců celkově 97 %.</w:t>
      </w:r>
    </w:p>
  </w:footnote>
  <w:footnote w:id="116">
    <w:p w14:paraId="11E2985E" w14:textId="77777777" w:rsidR="009D4785" w:rsidRPr="003E1845" w:rsidRDefault="009D4785" w:rsidP="009D4785">
      <w:pPr>
        <w:pStyle w:val="Textpoznpodarou"/>
        <w:rPr>
          <w:spacing w:val="-4"/>
          <w:sz w:val="16"/>
          <w:szCs w:val="16"/>
        </w:rPr>
      </w:pPr>
      <w:r w:rsidRPr="003E1845">
        <w:rPr>
          <w:rStyle w:val="Znakapoznpodarou"/>
          <w:spacing w:val="-4"/>
          <w:sz w:val="16"/>
          <w:szCs w:val="16"/>
        </w:rPr>
        <w:footnoteRef/>
      </w:r>
      <w:r w:rsidRPr="003E1845">
        <w:rPr>
          <w:spacing w:val="-4"/>
          <w:sz w:val="16"/>
          <w:szCs w:val="16"/>
        </w:rPr>
        <w:t xml:space="preserve"> </w:t>
      </w:r>
      <w:r w:rsidRPr="003E1845">
        <w:rPr>
          <w:color w:val="0D0D0D" w:themeColor="text1" w:themeTint="F2"/>
          <w:spacing w:val="-4"/>
          <w:sz w:val="16"/>
          <w:szCs w:val="16"/>
        </w:rPr>
        <w:t>U čistých výdělků promlouvá do jejich vývoje ne</w:t>
      </w:r>
      <w:r>
        <w:rPr>
          <w:color w:val="0D0D0D" w:themeColor="text1" w:themeTint="F2"/>
          <w:spacing w:val="-4"/>
          <w:sz w:val="16"/>
          <w:szCs w:val="16"/>
        </w:rPr>
        <w:t>přízniv</w:t>
      </w:r>
      <w:r w:rsidRPr="003E1845">
        <w:rPr>
          <w:color w:val="0D0D0D" w:themeColor="text1" w:themeTint="F2"/>
          <w:spacing w:val="-4"/>
          <w:sz w:val="16"/>
          <w:szCs w:val="16"/>
        </w:rPr>
        <w:t>ě mírné zvýšení daňového zatížení práce vlivem znovuzavedení zaměstnaneckých odvodů na nemocenské pojištění (celkový odvod sociálního pojištění za zaměstnance se zvýšil z 6,5 % na 7,1 %), jež bylo schváleno v rámci vládního konsolidačního balíčku (s účinností od ledna 2024). K růstu kupní síly výdělků naopak přispělo zrušení superhrubé mzdy (led</w:t>
      </w:r>
      <w:r>
        <w:rPr>
          <w:color w:val="0D0D0D" w:themeColor="text1" w:themeTint="F2"/>
          <w:spacing w:val="-4"/>
          <w:sz w:val="16"/>
          <w:szCs w:val="16"/>
        </w:rPr>
        <w:t>en</w:t>
      </w:r>
      <w:r w:rsidRPr="003E1845">
        <w:rPr>
          <w:color w:val="0D0D0D" w:themeColor="text1" w:themeTint="F2"/>
          <w:spacing w:val="-4"/>
          <w:sz w:val="16"/>
          <w:szCs w:val="16"/>
        </w:rPr>
        <w:t xml:space="preserve"> 2021).</w:t>
      </w:r>
    </w:p>
  </w:footnote>
  <w:footnote w:id="117">
    <w:p w14:paraId="3CFC017A" w14:textId="77777777" w:rsidR="009D4785" w:rsidRPr="009C466F" w:rsidRDefault="009D4785" w:rsidP="009D4785">
      <w:pPr>
        <w:pStyle w:val="Textpoznpodarou"/>
        <w:rPr>
          <w:sz w:val="16"/>
          <w:szCs w:val="16"/>
        </w:rPr>
      </w:pPr>
      <w:r w:rsidRPr="009C466F">
        <w:rPr>
          <w:rStyle w:val="Znakapoznpodarou"/>
          <w:sz w:val="16"/>
          <w:szCs w:val="16"/>
        </w:rPr>
        <w:footnoteRef/>
      </w:r>
      <w:r w:rsidRPr="009C466F">
        <w:rPr>
          <w:sz w:val="16"/>
          <w:szCs w:val="16"/>
        </w:rPr>
        <w:t xml:space="preserve"> </w:t>
      </w:r>
      <w:r w:rsidRPr="009C466F">
        <w:rPr>
          <w:rStyle w:val="normaltextrun"/>
          <w:rFonts w:eastAsiaTheme="majorEastAsia" w:cs="Arial"/>
          <w:color w:val="000000"/>
          <w:sz w:val="16"/>
          <w:szCs w:val="16"/>
        </w:rPr>
        <w:t>To zahrnuje podnikatelské, zaměstnavatelské a profesní organizace a také osobní služby (např. kadeřnictví, pohřebnictví), opravy výrobků a také zaměstnávání domácího personálu.</w:t>
      </w:r>
    </w:p>
  </w:footnote>
  <w:footnote w:id="118">
    <w:p w14:paraId="1F87DE53" w14:textId="77777777" w:rsidR="00C65C22" w:rsidRDefault="00C65C22" w:rsidP="00C65C22">
      <w:pPr>
        <w:pStyle w:val="Textpoznpodarou"/>
        <w:rPr>
          <w:sz w:val="16"/>
          <w:szCs w:val="16"/>
        </w:rPr>
      </w:pPr>
      <w:r>
        <w:rPr>
          <w:rStyle w:val="Znakapoznpodarou"/>
          <w:sz w:val="16"/>
          <w:szCs w:val="16"/>
        </w:rPr>
        <w:footnoteRef/>
      </w:r>
      <w:r>
        <w:rPr>
          <w:sz w:val="16"/>
          <w:szCs w:val="16"/>
        </w:rPr>
        <w:t xml:space="preserve"> Zdrojem údajů v této kapitole je databáze ARAD České národní banky. Hodnoty směnných kurzů jsou rovněž převzaty od ČNB.</w:t>
      </w:r>
    </w:p>
  </w:footnote>
  <w:footnote w:id="119">
    <w:p w14:paraId="3A68D5B1" w14:textId="77777777" w:rsidR="00C65C22" w:rsidRPr="001F5F82" w:rsidRDefault="00C65C22" w:rsidP="00C65C22">
      <w:pPr>
        <w:pStyle w:val="Textpoznpodarou"/>
        <w:rPr>
          <w:sz w:val="16"/>
          <w:szCs w:val="16"/>
        </w:rPr>
      </w:pPr>
      <w:r w:rsidRPr="001F5F82">
        <w:rPr>
          <w:rStyle w:val="Znakapoznpodarou"/>
          <w:sz w:val="16"/>
          <w:szCs w:val="16"/>
        </w:rPr>
        <w:footnoteRef/>
      </w:r>
      <w:r w:rsidRPr="001F5F82">
        <w:rPr>
          <w:sz w:val="16"/>
          <w:szCs w:val="16"/>
        </w:rPr>
        <w:t xml:space="preserve"> Není</w:t>
      </w:r>
      <w:r>
        <w:rPr>
          <w:sz w:val="16"/>
          <w:szCs w:val="16"/>
        </w:rPr>
        <w:t>-</w:t>
      </w:r>
      <w:r w:rsidRPr="001F5F82">
        <w:rPr>
          <w:sz w:val="16"/>
          <w:szCs w:val="16"/>
        </w:rPr>
        <w:t>li uvedeno jinak, je změnou úrokových sazeb myšlen rozdíl mezi hodnotou ke dni 3</w:t>
      </w:r>
      <w:r>
        <w:rPr>
          <w:sz w:val="16"/>
          <w:szCs w:val="16"/>
        </w:rPr>
        <w:t>1. 12. 2025</w:t>
      </w:r>
      <w:r w:rsidRPr="001F5F82">
        <w:rPr>
          <w:sz w:val="16"/>
          <w:szCs w:val="16"/>
        </w:rPr>
        <w:t xml:space="preserve"> a</w:t>
      </w:r>
      <w:r>
        <w:rPr>
          <w:sz w:val="16"/>
          <w:szCs w:val="16"/>
        </w:rPr>
        <w:t> </w:t>
      </w:r>
      <w:r w:rsidRPr="001F5F82">
        <w:rPr>
          <w:sz w:val="16"/>
          <w:szCs w:val="16"/>
        </w:rPr>
        <w:t>3</w:t>
      </w:r>
      <w:r>
        <w:rPr>
          <w:sz w:val="16"/>
          <w:szCs w:val="16"/>
        </w:rPr>
        <w:t>0. 9</w:t>
      </w:r>
      <w:r w:rsidRPr="001F5F82">
        <w:rPr>
          <w:sz w:val="16"/>
          <w:szCs w:val="16"/>
        </w:rPr>
        <w:t>.</w:t>
      </w:r>
      <w:r>
        <w:rPr>
          <w:sz w:val="16"/>
          <w:szCs w:val="16"/>
        </w:rPr>
        <w:t xml:space="preserve"> 2025.</w:t>
      </w:r>
    </w:p>
  </w:footnote>
  <w:footnote w:id="120">
    <w:p w14:paraId="62DAC256" w14:textId="77777777" w:rsidR="00C65C22" w:rsidRPr="00651A71" w:rsidRDefault="00C65C22" w:rsidP="00C65C22">
      <w:pPr>
        <w:pStyle w:val="Textpoznpodarou"/>
        <w:rPr>
          <w:sz w:val="16"/>
          <w:szCs w:val="16"/>
        </w:rPr>
      </w:pPr>
      <w:r w:rsidRPr="00651A71">
        <w:rPr>
          <w:rStyle w:val="Znakapoznpodarou"/>
          <w:sz w:val="16"/>
          <w:szCs w:val="16"/>
        </w:rPr>
        <w:footnoteRef/>
      </w:r>
      <w:r w:rsidRPr="00651A71">
        <w:rPr>
          <w:sz w:val="16"/>
          <w:szCs w:val="16"/>
        </w:rPr>
        <w:t xml:space="preserve"> O</w:t>
      </w:r>
      <w:r w:rsidRPr="00651A71">
        <w:rPr>
          <w:spacing w:val="-3"/>
          <w:sz w:val="16"/>
          <w:szCs w:val="16"/>
          <w:lang w:eastAsia="en-US"/>
        </w:rPr>
        <w:t>byvatelstvo</w:t>
      </w:r>
      <w:r>
        <w:rPr>
          <w:spacing w:val="-3"/>
          <w:sz w:val="16"/>
          <w:szCs w:val="16"/>
          <w:lang w:eastAsia="en-US"/>
        </w:rPr>
        <w:t xml:space="preserve"> včetně </w:t>
      </w:r>
      <w:r w:rsidRPr="00651A71">
        <w:rPr>
          <w:spacing w:val="-3"/>
          <w:sz w:val="16"/>
          <w:szCs w:val="16"/>
          <w:lang w:eastAsia="en-US"/>
        </w:rPr>
        <w:t>živnostníků.</w:t>
      </w:r>
    </w:p>
  </w:footnote>
  <w:footnote w:id="121">
    <w:p w14:paraId="7D5E51AD" w14:textId="77777777" w:rsidR="00C65C22" w:rsidRPr="00284DA5" w:rsidRDefault="00C65C22" w:rsidP="00C65C22">
      <w:pPr>
        <w:pStyle w:val="Textpoznpodarou"/>
        <w:rPr>
          <w:sz w:val="16"/>
          <w:szCs w:val="16"/>
        </w:rPr>
      </w:pPr>
      <w:r w:rsidRPr="00284DA5">
        <w:rPr>
          <w:rStyle w:val="Znakapoznpodarou"/>
          <w:sz w:val="16"/>
          <w:szCs w:val="16"/>
        </w:rPr>
        <w:footnoteRef/>
      </w:r>
      <w:r w:rsidRPr="00284DA5">
        <w:rPr>
          <w:sz w:val="16"/>
          <w:szCs w:val="16"/>
        </w:rPr>
        <w:t xml:space="preserve"> V nových smlouvách jsou zahrnuty i</w:t>
      </w:r>
      <w:r>
        <w:rPr>
          <w:sz w:val="16"/>
          <w:szCs w:val="16"/>
        </w:rPr>
        <w:t> </w:t>
      </w:r>
      <w:r w:rsidRPr="00284DA5">
        <w:rPr>
          <w:sz w:val="16"/>
          <w:szCs w:val="16"/>
        </w:rPr>
        <w:t>refinancované úvěry a</w:t>
      </w:r>
      <w:r>
        <w:rPr>
          <w:sz w:val="16"/>
          <w:szCs w:val="16"/>
        </w:rPr>
        <w:t> </w:t>
      </w:r>
      <w:r w:rsidRPr="00284DA5">
        <w:rPr>
          <w:sz w:val="16"/>
          <w:szCs w:val="16"/>
        </w:rPr>
        <w:t>ostatní ujednání.</w:t>
      </w:r>
      <w:r>
        <w:rPr>
          <w:sz w:val="16"/>
          <w:szCs w:val="16"/>
        </w:rPr>
        <w:t xml:space="preserve"> Refinancované úvěry zahrnují stávající smlouvy sjednané nově u jiné banky, zatímco ostatní nová ujednání jsou stávající smlouvy sjednané s novými podmínkami u stejné banky.</w:t>
      </w:r>
    </w:p>
  </w:footnote>
  <w:footnote w:id="122">
    <w:p w14:paraId="26706464" w14:textId="77777777" w:rsidR="00C65C22" w:rsidRPr="00083800" w:rsidRDefault="00C65C22" w:rsidP="00C65C22">
      <w:pPr>
        <w:pStyle w:val="Textpoznpodarou"/>
        <w:rPr>
          <w:sz w:val="16"/>
          <w:szCs w:val="16"/>
        </w:rPr>
      </w:pPr>
      <w:r w:rsidRPr="00F323F2">
        <w:rPr>
          <w:rStyle w:val="Znakapoznpodarou"/>
          <w:sz w:val="16"/>
          <w:szCs w:val="16"/>
        </w:rPr>
        <w:footnoteRef/>
      </w:r>
      <w:r w:rsidRPr="00F323F2">
        <w:rPr>
          <w:sz w:val="16"/>
          <w:szCs w:val="16"/>
        </w:rPr>
        <w:t xml:space="preserve"> </w:t>
      </w:r>
      <w:r>
        <w:rPr>
          <w:sz w:val="16"/>
          <w:szCs w:val="16"/>
        </w:rPr>
        <w:t>Podíl začal prudce růst na přelomu let 2021 a 2022 a v</w:t>
      </w:r>
      <w:r w:rsidRPr="00F323F2">
        <w:rPr>
          <w:sz w:val="16"/>
          <w:szCs w:val="16"/>
        </w:rPr>
        <w:t>rcholu 52,5 % dosáhl ke konci prosince 2024.</w:t>
      </w:r>
    </w:p>
  </w:footnote>
  <w:footnote w:id="123">
    <w:p w14:paraId="40C8249F" w14:textId="77777777" w:rsidR="00C65C22" w:rsidRDefault="00C65C22" w:rsidP="00C65C22">
      <w:pPr>
        <w:pStyle w:val="Textpoznpodarou"/>
      </w:pPr>
      <w:r w:rsidRPr="00083800">
        <w:rPr>
          <w:rStyle w:val="Znakapoznpodarou"/>
          <w:sz w:val="16"/>
          <w:szCs w:val="16"/>
        </w:rPr>
        <w:footnoteRef/>
      </w:r>
      <w:r w:rsidRPr="00083800">
        <w:rPr>
          <w:sz w:val="16"/>
          <w:szCs w:val="16"/>
        </w:rPr>
        <w:t xml:space="preserve"> Objem úvěrů zde často výrazně kolísá. Na aktuálních výsledcích se podepsalo zejména razantní navýšení úvěrů v odvětví vydavatelských činností, tvorby programů a vysílání a informačních činností.</w:t>
      </w:r>
    </w:p>
  </w:footnote>
  <w:footnote w:id="124">
    <w:p w14:paraId="55DDB959" w14:textId="77777777" w:rsidR="00EC313D" w:rsidRPr="00FC6700" w:rsidRDefault="00EC313D" w:rsidP="00EC313D">
      <w:pPr>
        <w:pStyle w:val="Textpoznpodarou"/>
        <w:jc w:val="both"/>
        <w:rPr>
          <w:sz w:val="16"/>
          <w:szCs w:val="16"/>
        </w:rPr>
      </w:pPr>
      <w:r w:rsidRPr="008332EA">
        <w:rPr>
          <w:rStyle w:val="Znakapoznpodarou"/>
          <w:spacing w:val="-2"/>
          <w:sz w:val="16"/>
          <w:szCs w:val="16"/>
        </w:rPr>
        <w:footnoteRef/>
      </w:r>
      <w:r w:rsidRPr="008332EA">
        <w:rPr>
          <w:spacing w:val="-2"/>
          <w:sz w:val="16"/>
          <w:szCs w:val="16"/>
        </w:rPr>
        <w:t xml:space="preserve"> </w:t>
      </w:r>
      <w:r w:rsidRPr="00FC6700">
        <w:rPr>
          <w:color w:val="0D0D0D" w:themeColor="text1" w:themeTint="F2"/>
          <w:sz w:val="16"/>
          <w:szCs w:val="16"/>
        </w:rPr>
        <w:t xml:space="preserve">Není-li uvedeno jinak, vycházejí všechny údaje týkající se státního rozpočtu </w:t>
      </w:r>
      <w:r w:rsidRPr="00FC6700">
        <w:rPr>
          <w:rFonts w:cs="Arial"/>
          <w:color w:val="0D0D0D" w:themeColor="text1" w:themeTint="F2"/>
          <w:sz w:val="16"/>
          <w:szCs w:val="16"/>
        </w:rPr>
        <w:t>z dat Ministerstva financí (MF) ČR o pokladním plnění.</w:t>
      </w:r>
    </w:p>
  </w:footnote>
  <w:footnote w:id="125">
    <w:p w14:paraId="361C71AF" w14:textId="77777777" w:rsidR="00EC313D" w:rsidRPr="00FC6700" w:rsidRDefault="00EC313D" w:rsidP="00EC313D">
      <w:pPr>
        <w:pStyle w:val="Textpoznpodarou"/>
        <w:rPr>
          <w:sz w:val="16"/>
          <w:szCs w:val="16"/>
        </w:rPr>
      </w:pPr>
      <w:r w:rsidRPr="00FC6700">
        <w:rPr>
          <w:rStyle w:val="Znakapoznpodarou"/>
          <w:sz w:val="16"/>
          <w:szCs w:val="16"/>
        </w:rPr>
        <w:footnoteRef/>
      </w:r>
      <w:r w:rsidRPr="00FC6700">
        <w:rPr>
          <w:sz w:val="16"/>
          <w:szCs w:val="16"/>
        </w:rPr>
        <w:t xml:space="preserve"> Zákon o státním rozpočtu na rok 2025 (vycházející z makroekonomické predikce MF ze srpna 2024 a schválený na počátku prosince 2024) počít</w:t>
      </w:r>
      <w:r>
        <w:rPr>
          <w:sz w:val="16"/>
          <w:szCs w:val="16"/>
        </w:rPr>
        <w:t>al pro rok 2025</w:t>
      </w:r>
      <w:r w:rsidRPr="00FC6700">
        <w:rPr>
          <w:sz w:val="16"/>
          <w:szCs w:val="16"/>
        </w:rPr>
        <w:t xml:space="preserve"> </w:t>
      </w:r>
      <w:r>
        <w:rPr>
          <w:sz w:val="16"/>
          <w:szCs w:val="16"/>
        </w:rPr>
        <w:t>se</w:t>
      </w:r>
      <w:r w:rsidRPr="00FC6700">
        <w:rPr>
          <w:sz w:val="16"/>
          <w:szCs w:val="16"/>
        </w:rPr>
        <w:t xml:space="preserve"> schodkem 241 mld. korun, což je o 30 mld. nižší deficit než skutečně dosažený v roce 2024.</w:t>
      </w:r>
    </w:p>
  </w:footnote>
  <w:footnote w:id="126">
    <w:p w14:paraId="7C42250E" w14:textId="77777777" w:rsidR="00EC313D" w:rsidRPr="00FC6700" w:rsidRDefault="00EC313D" w:rsidP="00EC313D">
      <w:pPr>
        <w:pStyle w:val="Textpoznpodarou"/>
      </w:pPr>
      <w:r w:rsidRPr="00FC6700">
        <w:rPr>
          <w:rStyle w:val="Znakapoznpodarou"/>
          <w:sz w:val="16"/>
          <w:szCs w:val="16"/>
        </w:rPr>
        <w:footnoteRef/>
      </w:r>
      <w:r w:rsidRPr="00FC6700">
        <w:rPr>
          <w:sz w:val="16"/>
          <w:szCs w:val="16"/>
        </w:rPr>
        <w:t xml:space="preserve"> Jde o prostředky na programy</w:t>
      </w:r>
      <w:r w:rsidRPr="00FC6700">
        <w:rPr>
          <w:rFonts w:cs="Arial"/>
          <w:sz w:val="16"/>
          <w:szCs w:val="16"/>
        </w:rPr>
        <w:t xml:space="preserve"> z rozpočtu EU a Finančních mechanismů (FM) předfinancované ze SR a následně proplacené z</w:t>
      </w:r>
      <w:r w:rsidRPr="00FC6700">
        <w:rPr>
          <w:sz w:val="16"/>
          <w:szCs w:val="16"/>
        </w:rPr>
        <w:t> </w:t>
      </w:r>
      <w:r w:rsidRPr="00FC6700">
        <w:rPr>
          <w:rFonts w:cs="Arial"/>
          <w:sz w:val="16"/>
          <w:szCs w:val="16"/>
        </w:rPr>
        <w:t xml:space="preserve">rozpočtu EU a FM. </w:t>
      </w:r>
      <w:r w:rsidRPr="00FC6700">
        <w:rPr>
          <w:rFonts w:cs="Arial"/>
          <w:sz w:val="16"/>
          <w:szCs w:val="16"/>
          <w:lang w:eastAsia="en-US"/>
        </w:rPr>
        <w:t xml:space="preserve">Bez těchto prostředků (ve </w:t>
      </w:r>
      <w:r w:rsidRPr="00006DCC">
        <w:rPr>
          <w:rFonts w:cs="Arial"/>
          <w:color w:val="0D0D0D" w:themeColor="text1" w:themeTint="F2"/>
          <w:sz w:val="16"/>
          <w:szCs w:val="16"/>
          <w:lang w:eastAsia="en-US"/>
        </w:rPr>
        <w:t>schváleném SR zahrnutých s neutrálním dopadem) byl loňský schodek nejnižší po roce 20</w:t>
      </w:r>
      <w:r>
        <w:rPr>
          <w:rFonts w:cs="Arial"/>
          <w:color w:val="0D0D0D" w:themeColor="text1" w:themeTint="F2"/>
          <w:sz w:val="16"/>
          <w:szCs w:val="16"/>
          <w:lang w:eastAsia="en-US"/>
        </w:rPr>
        <w:t>19</w:t>
      </w:r>
      <w:r w:rsidRPr="00006DCC">
        <w:rPr>
          <w:rFonts w:cs="Arial"/>
          <w:color w:val="0D0D0D" w:themeColor="text1" w:themeTint="F2"/>
          <w:sz w:val="16"/>
          <w:szCs w:val="16"/>
          <w:lang w:eastAsia="en-US"/>
        </w:rPr>
        <w:t xml:space="preserve"> a současně se počtvrté v řadě meziročně snížil</w:t>
      </w:r>
      <w:r>
        <w:rPr>
          <w:rFonts w:cs="Arial"/>
          <w:color w:val="0D0D0D" w:themeColor="text1" w:themeTint="F2"/>
          <w:sz w:val="16"/>
          <w:szCs w:val="16"/>
          <w:lang w:eastAsia="en-US"/>
        </w:rPr>
        <w:t xml:space="preserve"> (z toho za loňský rok o 38,9 mld. korun).</w:t>
      </w:r>
    </w:p>
  </w:footnote>
  <w:footnote w:id="127">
    <w:p w14:paraId="10948C2A" w14:textId="77777777" w:rsidR="00EC313D" w:rsidRPr="00FC6700" w:rsidRDefault="00EC313D" w:rsidP="00EC313D">
      <w:pPr>
        <w:pStyle w:val="Textpoznpodarou"/>
        <w:rPr>
          <w:sz w:val="16"/>
          <w:szCs w:val="16"/>
        </w:rPr>
      </w:pPr>
      <w:r w:rsidRPr="00FC6700">
        <w:rPr>
          <w:rStyle w:val="Znakapoznpodarou"/>
          <w:sz w:val="16"/>
          <w:szCs w:val="16"/>
        </w:rPr>
        <w:footnoteRef/>
      </w:r>
      <w:r w:rsidRPr="00FC6700">
        <w:rPr>
          <w:sz w:val="16"/>
          <w:szCs w:val="16"/>
        </w:rPr>
        <w:t xml:space="preserve"> Od ledna 2025 došlo v rámci konsolidačního balíčku ke změně </w:t>
      </w:r>
      <w:r>
        <w:rPr>
          <w:sz w:val="16"/>
          <w:szCs w:val="16"/>
        </w:rPr>
        <w:t xml:space="preserve">RUD </w:t>
      </w:r>
      <w:r w:rsidRPr="00FC6700">
        <w:rPr>
          <w:sz w:val="16"/>
          <w:szCs w:val="16"/>
        </w:rPr>
        <w:t>tak, aby inkaso ze zvýšených sazeb sdílených daní bylo příjmem pouze státního rozpočtu (snížení</w:t>
      </w:r>
      <w:r w:rsidRPr="00FC6700">
        <w:rPr>
          <w:rFonts w:ascii="Calibri" w:hAnsi="Calibri"/>
          <w:sz w:val="16"/>
          <w:szCs w:val="16"/>
        </w:rPr>
        <w:t xml:space="preserve"> </w:t>
      </w:r>
      <w:r w:rsidRPr="00FC6700">
        <w:rPr>
          <w:sz w:val="16"/>
          <w:szCs w:val="16"/>
        </w:rPr>
        <w:t xml:space="preserve">podílu obcí na 24,16 % a krajů na 9,45 %). Pozitivní rozpočtový dopad této legislativní změny činil </w:t>
      </w:r>
      <w:r>
        <w:rPr>
          <w:sz w:val="16"/>
          <w:szCs w:val="16"/>
        </w:rPr>
        <w:t xml:space="preserve">za celý loňský rok </w:t>
      </w:r>
      <w:r w:rsidRPr="00FC6700">
        <w:rPr>
          <w:sz w:val="16"/>
          <w:szCs w:val="16"/>
        </w:rPr>
        <w:t xml:space="preserve">dle odhadu MF </w:t>
      </w:r>
      <w:r>
        <w:rPr>
          <w:sz w:val="16"/>
          <w:szCs w:val="16"/>
        </w:rPr>
        <w:t>13</w:t>
      </w:r>
      <w:r w:rsidRPr="00FC6700">
        <w:rPr>
          <w:sz w:val="16"/>
          <w:szCs w:val="16"/>
        </w:rPr>
        <w:t>,</w:t>
      </w:r>
      <w:r>
        <w:rPr>
          <w:sz w:val="16"/>
          <w:szCs w:val="16"/>
        </w:rPr>
        <w:t>3</w:t>
      </w:r>
      <w:r w:rsidRPr="00FC6700">
        <w:rPr>
          <w:sz w:val="16"/>
          <w:szCs w:val="16"/>
        </w:rPr>
        <w:t xml:space="preserve"> mld. korun.</w:t>
      </w:r>
    </w:p>
  </w:footnote>
  <w:footnote w:id="128">
    <w:p w14:paraId="2DD1E753" w14:textId="77777777" w:rsidR="00EC313D" w:rsidRPr="00FC6700" w:rsidRDefault="00EC313D" w:rsidP="00EC313D">
      <w:pPr>
        <w:spacing w:after="0" w:line="240" w:lineRule="auto"/>
        <w:rPr>
          <w:sz w:val="16"/>
          <w:szCs w:val="16"/>
        </w:rPr>
      </w:pPr>
      <w:r w:rsidRPr="00FC6700">
        <w:rPr>
          <w:rStyle w:val="Znakapoznpodarou"/>
          <w:sz w:val="16"/>
          <w:szCs w:val="16"/>
        </w:rPr>
        <w:footnoteRef/>
      </w:r>
      <w:r w:rsidRPr="00FC6700">
        <w:rPr>
          <w:sz w:val="16"/>
          <w:szCs w:val="16"/>
        </w:rPr>
        <w:t xml:space="preserve"> Příznivě působilo postupné zvyšování minimálního vyměřovacího základu osob samostatně výdělečně činných (od ledna 2025 z 30 % na 35 % průměrné mzdy) a také zvýšení sazby pojistného pro vybrané skupiny (např. zaměstnavatele hasičů či zdravotnických záchranářů a pracovníků působících v rizikovém zaměstnání). Naopak negativní vliv mělo uplatnění slev na pojistném (od ledna 2025 byla zavedena sleva 6,5 % z vyměřovacího základu pro pracující důchodce).</w:t>
      </w:r>
    </w:p>
  </w:footnote>
  <w:footnote w:id="129">
    <w:p w14:paraId="68A41A3D" w14:textId="77777777" w:rsidR="00EC313D" w:rsidRPr="00803326" w:rsidRDefault="00EC313D" w:rsidP="00EC313D">
      <w:pPr>
        <w:pStyle w:val="Textpoznpodarou"/>
        <w:rPr>
          <w:spacing w:val="-2"/>
        </w:rPr>
      </w:pPr>
      <w:r w:rsidRPr="00803326">
        <w:rPr>
          <w:rStyle w:val="Znakapoznpodarou"/>
          <w:spacing w:val="-2"/>
          <w:sz w:val="16"/>
          <w:szCs w:val="16"/>
        </w:rPr>
        <w:footnoteRef/>
      </w:r>
      <w:r w:rsidRPr="00803326">
        <w:rPr>
          <w:spacing w:val="-2"/>
          <w:sz w:val="16"/>
          <w:szCs w:val="16"/>
        </w:rPr>
        <w:t xml:space="preserve"> To se týká sjednocení dvou snížených sazeb (10 % a 15 %) do jedné ve výši 12 % (vyjma knih, jež jsou nově </w:t>
      </w:r>
      <w:r>
        <w:rPr>
          <w:spacing w:val="-2"/>
          <w:sz w:val="16"/>
          <w:szCs w:val="16"/>
        </w:rPr>
        <w:t xml:space="preserve">zcela osvobozeny </w:t>
      </w:r>
      <w:r w:rsidRPr="00803326">
        <w:rPr>
          <w:spacing w:val="-2"/>
          <w:sz w:val="16"/>
          <w:szCs w:val="16"/>
        </w:rPr>
        <w:t>od DPH). Řada zboží a služeb nově podléhá nižšímu zdanění (např. základní potraviny, léky, zdravotnické výrobky, stavební práce). Negativní rozpočtový dopad je tlumen hlavně přesunem některých položek bez prokazatelného sociálního či zdravotního významu do základní</w:t>
      </w:r>
      <w:r>
        <w:rPr>
          <w:spacing w:val="-2"/>
          <w:sz w:val="16"/>
          <w:szCs w:val="16"/>
        </w:rPr>
        <w:t>,</w:t>
      </w:r>
      <w:r w:rsidRPr="00803326">
        <w:rPr>
          <w:spacing w:val="-2"/>
          <w:sz w:val="16"/>
          <w:szCs w:val="16"/>
        </w:rPr>
        <w:t xml:space="preserve"> 21% sazby daně (pivo, nealkoholické nápoje, služby autorů a umělců, kadeřnické služby, palivové dřevo, komunální odpad, úklidové práce).</w:t>
      </w:r>
    </w:p>
  </w:footnote>
  <w:footnote w:id="130">
    <w:p w14:paraId="7A8F941D" w14:textId="77777777" w:rsidR="00EC313D" w:rsidRPr="00803326" w:rsidRDefault="00EC313D" w:rsidP="00EC313D">
      <w:pPr>
        <w:pStyle w:val="Textpoznpodarou"/>
        <w:rPr>
          <w:spacing w:val="-2"/>
          <w:sz w:val="16"/>
          <w:szCs w:val="16"/>
        </w:rPr>
      </w:pPr>
      <w:r w:rsidRPr="00803326">
        <w:rPr>
          <w:rStyle w:val="Znakapoznpodarou"/>
          <w:spacing w:val="-2"/>
          <w:sz w:val="16"/>
          <w:szCs w:val="16"/>
        </w:rPr>
        <w:footnoteRef/>
      </w:r>
      <w:r w:rsidRPr="00803326">
        <w:rPr>
          <w:spacing w:val="-2"/>
          <w:sz w:val="16"/>
          <w:szCs w:val="16"/>
        </w:rPr>
        <w:t xml:space="preserve"> Ten se v hotovostním plnění SR poprvé promítl v únoru 2024 a měl tak </w:t>
      </w:r>
      <w:r>
        <w:rPr>
          <w:spacing w:val="-2"/>
          <w:sz w:val="16"/>
          <w:szCs w:val="16"/>
        </w:rPr>
        <w:t xml:space="preserve">i </w:t>
      </w:r>
      <w:r w:rsidRPr="00803326">
        <w:rPr>
          <w:spacing w:val="-2"/>
          <w:sz w:val="16"/>
          <w:szCs w:val="16"/>
        </w:rPr>
        <w:t>loni stále vliv na meziroční tempo výš</w:t>
      </w:r>
      <w:r>
        <w:rPr>
          <w:spacing w:val="-2"/>
          <w:sz w:val="16"/>
          <w:szCs w:val="16"/>
        </w:rPr>
        <w:t>e</w:t>
      </w:r>
      <w:r w:rsidRPr="00803326">
        <w:rPr>
          <w:spacing w:val="-2"/>
          <w:sz w:val="16"/>
          <w:szCs w:val="16"/>
        </w:rPr>
        <w:t xml:space="preserve"> inkasa DPH.</w:t>
      </w:r>
    </w:p>
  </w:footnote>
  <w:footnote w:id="131">
    <w:p w14:paraId="71320356" w14:textId="77777777" w:rsidR="00EC313D" w:rsidRPr="00803326" w:rsidRDefault="00EC313D" w:rsidP="00EC313D">
      <w:pPr>
        <w:pStyle w:val="Textpoznpodarou"/>
        <w:rPr>
          <w:spacing w:val="-2"/>
          <w:sz w:val="16"/>
          <w:szCs w:val="16"/>
        </w:rPr>
      </w:pPr>
      <w:r w:rsidRPr="00803326">
        <w:rPr>
          <w:rStyle w:val="Znakapoznpodarou"/>
          <w:spacing w:val="-2"/>
          <w:sz w:val="16"/>
          <w:szCs w:val="16"/>
        </w:rPr>
        <w:footnoteRef/>
      </w:r>
      <w:r w:rsidRPr="00803326">
        <w:rPr>
          <w:spacing w:val="-2"/>
          <w:sz w:val="16"/>
          <w:szCs w:val="16"/>
        </w:rPr>
        <w:t xml:space="preserve"> Loni došlo k dalšímu zvýšení daňové sazby u klasických tabákových výrobků (o 5 %, v rámci plánu postupného zvyšování v období 2024 až 2027) i rozšíření okruhu zdaněných produktů: od 2024 náplní do e-cigaret (růst sazby o 15 %) a nikotinových sáčků a od 2025 dalších alternativ. Spotřeba alternativních tabákových výrobků roste i vlivem vyšší společenské tolerance a </w:t>
      </w:r>
      <w:r>
        <w:rPr>
          <w:spacing w:val="-2"/>
          <w:sz w:val="16"/>
          <w:szCs w:val="16"/>
        </w:rPr>
        <w:t xml:space="preserve">též </w:t>
      </w:r>
      <w:r w:rsidRPr="00803326">
        <w:rPr>
          <w:spacing w:val="-2"/>
          <w:sz w:val="16"/>
          <w:szCs w:val="16"/>
        </w:rPr>
        <w:t>stále relativně nižší úrovn</w:t>
      </w:r>
      <w:r>
        <w:rPr>
          <w:spacing w:val="-2"/>
          <w:sz w:val="16"/>
          <w:szCs w:val="16"/>
        </w:rPr>
        <w:t>ě</w:t>
      </w:r>
      <w:r w:rsidRPr="00803326">
        <w:rPr>
          <w:spacing w:val="-2"/>
          <w:sz w:val="16"/>
          <w:szCs w:val="16"/>
        </w:rPr>
        <w:t xml:space="preserve"> zdanění.</w:t>
      </w:r>
    </w:p>
  </w:footnote>
  <w:footnote w:id="132">
    <w:p w14:paraId="26B6DC2D" w14:textId="77777777" w:rsidR="00EC313D" w:rsidRPr="00803326" w:rsidRDefault="00EC313D" w:rsidP="00EC313D">
      <w:pPr>
        <w:pStyle w:val="Textpoznpodarou"/>
        <w:rPr>
          <w:spacing w:val="-2"/>
          <w:sz w:val="16"/>
          <w:szCs w:val="16"/>
        </w:rPr>
      </w:pPr>
      <w:r w:rsidRPr="00803326">
        <w:rPr>
          <w:rStyle w:val="Znakapoznpodarou"/>
          <w:spacing w:val="-2"/>
          <w:sz w:val="16"/>
          <w:szCs w:val="16"/>
        </w:rPr>
        <w:footnoteRef/>
      </w:r>
      <w:r w:rsidRPr="00803326">
        <w:rPr>
          <w:spacing w:val="-2"/>
          <w:sz w:val="16"/>
          <w:szCs w:val="16"/>
        </w:rPr>
        <w:t xml:space="preserve"> Dle údajů ČSÚ vzrostla od ledna do října 2025 spotřeba motorové nafty meziročně o 1,9 %, motorového benzínu o 1,5 % a leteckého petroleje o 1,0 %. Loni v květnu činila v Česku průměrná spotřebitelská cena </w:t>
      </w:r>
      <w:r w:rsidRPr="00803326">
        <w:rPr>
          <w:iCs/>
          <w:spacing w:val="-2"/>
          <w:sz w:val="16"/>
          <w:szCs w:val="16"/>
        </w:rPr>
        <w:t xml:space="preserve">benzínu (Natural 95) 33,9 korun/litr (nejméně od září 2021) </w:t>
      </w:r>
      <w:r>
        <w:rPr>
          <w:iCs/>
          <w:spacing w:val="-2"/>
          <w:sz w:val="16"/>
          <w:szCs w:val="16"/>
        </w:rPr>
        <w:br/>
      </w:r>
      <w:r w:rsidRPr="00803326">
        <w:rPr>
          <w:iCs/>
          <w:spacing w:val="-2"/>
          <w:sz w:val="16"/>
          <w:szCs w:val="16"/>
        </w:rPr>
        <w:t xml:space="preserve">a </w:t>
      </w:r>
      <w:r w:rsidRPr="00803326">
        <w:rPr>
          <w:spacing w:val="-2"/>
          <w:sz w:val="16"/>
          <w:szCs w:val="16"/>
        </w:rPr>
        <w:t>motorové nafty 32,7 korun/litr (nejméně od června 2023). K vyšší tuzemské spotřebě patrně přispěly i přeshraniční nákupy (popř. silnější tranzitní doprava), neboť cena těchto komodit patřila ve středoevropském prostoru k nejnižším.</w:t>
      </w:r>
    </w:p>
  </w:footnote>
  <w:footnote w:id="133">
    <w:p w14:paraId="50296D68" w14:textId="77777777" w:rsidR="00EC313D" w:rsidRPr="00803326" w:rsidRDefault="00EC313D" w:rsidP="00EC313D">
      <w:pPr>
        <w:pStyle w:val="Textpoznpodarou"/>
        <w:rPr>
          <w:spacing w:val="-2"/>
          <w:sz w:val="16"/>
          <w:szCs w:val="16"/>
        </w:rPr>
      </w:pPr>
      <w:r w:rsidRPr="00803326">
        <w:rPr>
          <w:rStyle w:val="Znakapoznpodarou"/>
          <w:spacing w:val="-2"/>
          <w:sz w:val="16"/>
          <w:szCs w:val="16"/>
        </w:rPr>
        <w:footnoteRef/>
      </w:r>
      <w:r w:rsidRPr="00803326">
        <w:rPr>
          <w:spacing w:val="-2"/>
          <w:sz w:val="16"/>
          <w:szCs w:val="16"/>
        </w:rPr>
        <w:t xml:space="preserve"> Kromě toho rostlo inkaso většiny energetických daní – hlavně ze zemního plynu a elektřiny. Naopak výběr daně z lihu se po stagnaci v roce 2024 loni mírně snížil, neboť efekt pokračujícího navyšování sazby daně nestačil kompenzovat klesající spotřebou (resp. přesun preferencí obyvatel k lihovinám s nižším obsahem alkoholu). Změny životního stylu populace se patrně odrazily i v pokračujícím mírném poklesu výběru daně z piva i šumivého vína.</w:t>
      </w:r>
    </w:p>
  </w:footnote>
  <w:footnote w:id="134">
    <w:p w14:paraId="60571E6C" w14:textId="77777777" w:rsidR="00EC313D" w:rsidRPr="00FC6700" w:rsidRDefault="00EC313D" w:rsidP="00EC313D">
      <w:pPr>
        <w:pStyle w:val="Textpoznpodarou"/>
        <w:rPr>
          <w:sz w:val="16"/>
          <w:szCs w:val="16"/>
        </w:rPr>
      </w:pPr>
      <w:r w:rsidRPr="00803326">
        <w:rPr>
          <w:rStyle w:val="Znakapoznpodarou"/>
          <w:spacing w:val="-2"/>
          <w:sz w:val="16"/>
          <w:szCs w:val="16"/>
        </w:rPr>
        <w:footnoteRef/>
      </w:r>
      <w:r w:rsidRPr="00803326">
        <w:rPr>
          <w:spacing w:val="-2"/>
          <w:sz w:val="16"/>
          <w:szCs w:val="16"/>
        </w:rPr>
        <w:t xml:space="preserve"> Ta se týká energetických, petrochemických a těžebních firem (v oblasti fosilních paliv) a zahrnuje i velké banky. Jde o 60% daňovou přirážku aplikovanou na nadměrný zisk těchto firem stanovený jako rozdíl mezi základem daně v letech 2023 až 2025 a průměrem základů daně za roky 2018 až 2021 navýšeným o 20 </w:t>
      </w:r>
      <w:r>
        <w:rPr>
          <w:spacing w:val="-2"/>
          <w:sz w:val="16"/>
          <w:szCs w:val="16"/>
        </w:rPr>
        <w:t>%</w:t>
      </w:r>
      <w:r w:rsidRPr="00803326">
        <w:rPr>
          <w:spacing w:val="-2"/>
          <w:sz w:val="16"/>
          <w:szCs w:val="16"/>
        </w:rPr>
        <w:t>. Drtivá většina inkasa této daně plynula do SR z odvětví energetiky.</w:t>
      </w:r>
    </w:p>
  </w:footnote>
  <w:footnote w:id="135">
    <w:p w14:paraId="093707CE" w14:textId="77777777" w:rsidR="00EC313D" w:rsidRPr="00FC6700" w:rsidRDefault="00EC313D" w:rsidP="00EC313D">
      <w:pPr>
        <w:pStyle w:val="Textpoznpodarou"/>
        <w:rPr>
          <w:sz w:val="16"/>
          <w:szCs w:val="16"/>
        </w:rPr>
      </w:pPr>
      <w:r w:rsidRPr="00FC6700">
        <w:rPr>
          <w:rStyle w:val="Znakapoznpodarou"/>
          <w:sz w:val="16"/>
          <w:szCs w:val="16"/>
        </w:rPr>
        <w:footnoteRef/>
      </w:r>
      <w:r w:rsidRPr="00FC6700">
        <w:rPr>
          <w:sz w:val="16"/>
          <w:szCs w:val="16"/>
        </w:rPr>
        <w:t xml:space="preserve"> Výběr této daně na úrovni všech veřejných rozpočtů byl </w:t>
      </w:r>
      <w:r>
        <w:rPr>
          <w:sz w:val="16"/>
          <w:szCs w:val="16"/>
        </w:rPr>
        <w:t>vloni</w:t>
      </w:r>
      <w:r w:rsidRPr="00FC6700">
        <w:rPr>
          <w:sz w:val="16"/>
          <w:szCs w:val="16"/>
        </w:rPr>
        <w:t xml:space="preserve"> meziročně vyšší o 10,</w:t>
      </w:r>
      <w:r>
        <w:rPr>
          <w:sz w:val="16"/>
          <w:szCs w:val="16"/>
        </w:rPr>
        <w:t>3</w:t>
      </w:r>
      <w:r w:rsidRPr="00FC6700">
        <w:rPr>
          <w:sz w:val="16"/>
          <w:szCs w:val="16"/>
        </w:rPr>
        <w:t xml:space="preserve"> % (+</w:t>
      </w:r>
      <w:r>
        <w:rPr>
          <w:sz w:val="16"/>
          <w:szCs w:val="16"/>
        </w:rPr>
        <w:t>27</w:t>
      </w:r>
      <w:r w:rsidRPr="00FC6700">
        <w:rPr>
          <w:sz w:val="16"/>
          <w:szCs w:val="16"/>
        </w:rPr>
        <w:t xml:space="preserve"> mld. korun). Z toho výběr váhově nejvýznamnější DPFO – od zaměstnavatelů (resp. plátců daně) – dosáhl </w:t>
      </w:r>
      <w:r>
        <w:rPr>
          <w:sz w:val="16"/>
          <w:szCs w:val="16"/>
        </w:rPr>
        <w:t>223</w:t>
      </w:r>
      <w:r w:rsidRPr="00FC6700">
        <w:rPr>
          <w:sz w:val="16"/>
          <w:szCs w:val="16"/>
        </w:rPr>
        <w:t xml:space="preserve"> mld. korun a poprvé překonal dosud rekordní úroveň </w:t>
      </w:r>
      <w:r>
        <w:rPr>
          <w:sz w:val="16"/>
          <w:szCs w:val="16"/>
        </w:rPr>
        <w:br/>
      </w:r>
      <w:r w:rsidRPr="00FC6700">
        <w:rPr>
          <w:sz w:val="16"/>
          <w:szCs w:val="16"/>
        </w:rPr>
        <w:t>z roku 2019 (o 3</w:t>
      </w:r>
      <w:r>
        <w:rPr>
          <w:sz w:val="16"/>
          <w:szCs w:val="16"/>
        </w:rPr>
        <w:t>,3</w:t>
      </w:r>
      <w:r w:rsidRPr="00FC6700">
        <w:rPr>
          <w:sz w:val="16"/>
          <w:szCs w:val="16"/>
        </w:rPr>
        <w:t xml:space="preserve"> %), kdy ještě platil režim superhrubé mzdy (s vyšším celkovým zdaněním).</w:t>
      </w:r>
    </w:p>
  </w:footnote>
  <w:footnote w:id="136">
    <w:p w14:paraId="1F3312E6" w14:textId="77777777" w:rsidR="00EC313D" w:rsidRPr="00FC6700" w:rsidRDefault="00EC313D" w:rsidP="00EC313D">
      <w:pPr>
        <w:pStyle w:val="Textpoznpodarou"/>
        <w:rPr>
          <w:sz w:val="16"/>
          <w:szCs w:val="16"/>
        </w:rPr>
      </w:pPr>
      <w:r w:rsidRPr="00FC6700">
        <w:rPr>
          <w:rStyle w:val="Znakapoznpodarou"/>
          <w:sz w:val="16"/>
          <w:szCs w:val="16"/>
        </w:rPr>
        <w:footnoteRef/>
      </w:r>
      <w:r w:rsidRPr="00FC6700">
        <w:rPr>
          <w:sz w:val="16"/>
          <w:szCs w:val="16"/>
        </w:rPr>
        <w:t xml:space="preserve"> Většina těchto změn začala ovlivňovat výši inkasa daně poprvé v únoru 2024. Vliv </w:t>
      </w:r>
      <w:r w:rsidRPr="00FC6700">
        <w:rPr>
          <w:color w:val="0D0D0D" w:themeColor="text1" w:themeTint="F2"/>
          <w:sz w:val="16"/>
          <w:szCs w:val="16"/>
        </w:rPr>
        <w:t xml:space="preserve">zrušení či omezení některých daňových slev se poprvé projevil až při ročním zúčtování daně (v dubnu 2025). </w:t>
      </w:r>
    </w:p>
  </w:footnote>
  <w:footnote w:id="137">
    <w:p w14:paraId="0568C9B7" w14:textId="77777777" w:rsidR="00EC313D" w:rsidRPr="00D6298B" w:rsidRDefault="00EC313D" w:rsidP="00EC313D">
      <w:pPr>
        <w:pStyle w:val="Textpoznpodarou"/>
        <w:rPr>
          <w:sz w:val="16"/>
          <w:szCs w:val="16"/>
        </w:rPr>
      </w:pPr>
      <w:r w:rsidRPr="00D6298B">
        <w:rPr>
          <w:rStyle w:val="Znakapoznpodarou"/>
          <w:sz w:val="16"/>
          <w:szCs w:val="16"/>
        </w:rPr>
        <w:footnoteRef/>
      </w:r>
      <w:r w:rsidRPr="00D6298B">
        <w:rPr>
          <w:sz w:val="16"/>
          <w:szCs w:val="16"/>
        </w:rPr>
        <w:t xml:space="preserve"> Ve srovnání s původně schválený</w:t>
      </w:r>
      <w:r>
        <w:rPr>
          <w:sz w:val="16"/>
          <w:szCs w:val="16"/>
        </w:rPr>
        <w:t>m</w:t>
      </w:r>
      <w:r w:rsidRPr="00D6298B">
        <w:rPr>
          <w:sz w:val="16"/>
          <w:szCs w:val="16"/>
        </w:rPr>
        <w:t xml:space="preserve"> SR</w:t>
      </w:r>
      <w:r>
        <w:rPr>
          <w:sz w:val="16"/>
          <w:szCs w:val="16"/>
        </w:rPr>
        <w:t xml:space="preserve"> na rok 2025</w:t>
      </w:r>
      <w:r w:rsidRPr="00D6298B">
        <w:rPr>
          <w:sz w:val="16"/>
          <w:szCs w:val="16"/>
        </w:rPr>
        <w:t xml:space="preserve"> loňské plnění zaostalo o 11 % a oproti rozpočtu po změnách dokonce</w:t>
      </w:r>
      <w:r>
        <w:rPr>
          <w:sz w:val="16"/>
          <w:szCs w:val="16"/>
        </w:rPr>
        <w:t xml:space="preserve"> o</w:t>
      </w:r>
      <w:r w:rsidRPr="00D6298B">
        <w:rPr>
          <w:sz w:val="16"/>
          <w:szCs w:val="16"/>
        </w:rPr>
        <w:t xml:space="preserve"> 20 %</w:t>
      </w:r>
      <w:r>
        <w:rPr>
          <w:sz w:val="16"/>
          <w:szCs w:val="16"/>
        </w:rPr>
        <w:t>, resp. 53 mld. korun</w:t>
      </w:r>
      <w:r w:rsidRPr="00D6298B">
        <w:rPr>
          <w:sz w:val="16"/>
          <w:szCs w:val="16"/>
        </w:rPr>
        <w:t xml:space="preserve"> (během loňského roku byl navýšen odhad v kategorii </w:t>
      </w:r>
      <w:r w:rsidRPr="00D6298B">
        <w:rPr>
          <w:color w:val="0D0D0D" w:themeColor="text1" w:themeTint="F2"/>
          <w:sz w:val="16"/>
          <w:szCs w:val="16"/>
        </w:rPr>
        <w:t>nedaňové a kapitálové příjmy i přijaté transfery</w:t>
      </w:r>
      <w:r>
        <w:rPr>
          <w:color w:val="0D0D0D" w:themeColor="text1" w:themeTint="F2"/>
          <w:sz w:val="16"/>
          <w:szCs w:val="16"/>
        </w:rPr>
        <w:t xml:space="preserve">, což souviselo hlavně s rychlejším průběžným čerpáním investic ze SR, jež směřovaly na předfinancování společných projektů ČR a EU).  </w:t>
      </w:r>
    </w:p>
  </w:footnote>
  <w:footnote w:id="138">
    <w:p w14:paraId="200F21E3" w14:textId="77777777" w:rsidR="00EC313D" w:rsidRPr="00DE22E0" w:rsidRDefault="00EC313D" w:rsidP="00EC313D">
      <w:pPr>
        <w:pStyle w:val="Textpoznpodarou"/>
        <w:rPr>
          <w:sz w:val="16"/>
          <w:szCs w:val="16"/>
        </w:rPr>
      </w:pPr>
      <w:r w:rsidRPr="00DE22E0">
        <w:rPr>
          <w:rStyle w:val="Znakapoznpodarou"/>
          <w:sz w:val="16"/>
          <w:szCs w:val="16"/>
        </w:rPr>
        <w:footnoteRef/>
      </w:r>
      <w:r w:rsidRPr="00DE22E0">
        <w:rPr>
          <w:sz w:val="16"/>
          <w:szCs w:val="16"/>
        </w:rPr>
        <w:t xml:space="preserve"> Schválený SR přitom v roce 2025 předpokládal příjmy z prodeje povolenek ve výši 30 mld. korun.</w:t>
      </w:r>
      <w:r>
        <w:rPr>
          <w:sz w:val="16"/>
          <w:szCs w:val="16"/>
        </w:rPr>
        <w:t xml:space="preserve"> Nenaplnění očekávaného výnosu bylo ovlivněno výraznějším než předpokládaným působením mechanismu rezervy tržní stability. Relativně nízká cena povolenek na evropském trhu v letech 2024 i 2025 souvisela i s přetrvávajícím vysokým množstvím povolenek v oběhu vlivem poklesu objemu vypouštěných emisí a s celkovým ochlazením trhu. </w:t>
      </w:r>
    </w:p>
  </w:footnote>
  <w:footnote w:id="139">
    <w:p w14:paraId="7F93C1F9" w14:textId="77777777" w:rsidR="00EC313D" w:rsidRPr="00FC6700" w:rsidRDefault="00EC313D" w:rsidP="00EC313D">
      <w:pPr>
        <w:pStyle w:val="Textpoznpodarou"/>
        <w:rPr>
          <w:sz w:val="16"/>
          <w:szCs w:val="16"/>
        </w:rPr>
      </w:pPr>
      <w:r w:rsidRPr="00FC6700">
        <w:rPr>
          <w:rStyle w:val="Znakapoznpodarou"/>
          <w:sz w:val="16"/>
          <w:szCs w:val="16"/>
        </w:rPr>
        <w:footnoteRef/>
      </w:r>
      <w:r w:rsidRPr="00FC6700">
        <w:rPr>
          <w:sz w:val="16"/>
          <w:szCs w:val="16"/>
        </w:rPr>
        <w:t xml:space="preserve"> Výdaje na platy učitelů vzrostly od 1. 1. 2025 o 7 %, u ostatních pedagogických (vychovatelé, asistenti pedagoga) a nepedagogických </w:t>
      </w:r>
      <w:r w:rsidRPr="00C74167">
        <w:rPr>
          <w:spacing w:val="-4"/>
          <w:sz w:val="16"/>
          <w:szCs w:val="16"/>
        </w:rPr>
        <w:t>pracovníků vzrostly o 5 %. Zvýšení platových tarifů o 1 400 Kč se dotklo jen nepedagogických pracovníků. Meziroční růst výdajů zohledňuje</w:t>
      </w:r>
      <w:r w:rsidRPr="00FC6700">
        <w:rPr>
          <w:sz w:val="16"/>
          <w:szCs w:val="16"/>
        </w:rPr>
        <w:t xml:space="preserve"> i pokračující růst počtu žáků a studentů v regionálním školství a větší mír</w:t>
      </w:r>
      <w:r>
        <w:rPr>
          <w:sz w:val="16"/>
          <w:szCs w:val="16"/>
        </w:rPr>
        <w:t>u</w:t>
      </w:r>
      <w:r w:rsidRPr="00FC6700">
        <w:rPr>
          <w:sz w:val="16"/>
          <w:szCs w:val="16"/>
        </w:rPr>
        <w:t xml:space="preserve"> využití dělení hodin v rámci zvyšování kvality výuky.</w:t>
      </w:r>
    </w:p>
  </w:footnote>
  <w:footnote w:id="140">
    <w:p w14:paraId="62857CB8" w14:textId="77777777" w:rsidR="00EC313D" w:rsidRPr="004027E4" w:rsidRDefault="00EC313D" w:rsidP="00EC313D">
      <w:pPr>
        <w:pStyle w:val="Textpoznpodarou"/>
        <w:rPr>
          <w:sz w:val="16"/>
          <w:szCs w:val="16"/>
        </w:rPr>
      </w:pPr>
      <w:r w:rsidRPr="004027E4">
        <w:rPr>
          <w:rStyle w:val="Znakapoznpodarou"/>
          <w:sz w:val="16"/>
          <w:szCs w:val="16"/>
        </w:rPr>
        <w:footnoteRef/>
      </w:r>
      <w:r w:rsidRPr="004027E4">
        <w:rPr>
          <w:sz w:val="16"/>
          <w:szCs w:val="16"/>
        </w:rPr>
        <w:t xml:space="preserve"> Tento odhad byl v průběhu </w:t>
      </w:r>
      <w:r>
        <w:rPr>
          <w:sz w:val="16"/>
          <w:szCs w:val="16"/>
        </w:rPr>
        <w:t xml:space="preserve">loňského </w:t>
      </w:r>
      <w:r w:rsidRPr="004027E4">
        <w:rPr>
          <w:sz w:val="16"/>
          <w:szCs w:val="16"/>
        </w:rPr>
        <w:t xml:space="preserve">roku mírně zvýšen tak, že očekávané výdaje na sociální dávky v roce 2025 měly převýšit </w:t>
      </w:r>
      <w:r>
        <w:rPr>
          <w:sz w:val="16"/>
          <w:szCs w:val="16"/>
        </w:rPr>
        <w:t xml:space="preserve">jejich </w:t>
      </w:r>
      <w:r w:rsidRPr="004027E4">
        <w:rPr>
          <w:sz w:val="16"/>
          <w:szCs w:val="16"/>
        </w:rPr>
        <w:t>skutečné čerpání v předchozím roce o rovná 2 %.</w:t>
      </w:r>
    </w:p>
  </w:footnote>
  <w:footnote w:id="141">
    <w:p w14:paraId="360E8413" w14:textId="77777777" w:rsidR="00EC313D" w:rsidRPr="00FC6700" w:rsidRDefault="00EC313D" w:rsidP="00EC313D">
      <w:pPr>
        <w:spacing w:after="0" w:line="240" w:lineRule="auto"/>
        <w:jc w:val="left"/>
        <w:rPr>
          <w:rFonts w:eastAsia="Calibri" w:cs="Verdana"/>
          <w:color w:val="000000"/>
          <w:sz w:val="16"/>
          <w:szCs w:val="16"/>
        </w:rPr>
      </w:pPr>
      <w:r w:rsidRPr="00FC6700">
        <w:rPr>
          <w:rFonts w:eastAsia="Calibri" w:cs="Verdana"/>
          <w:color w:val="000000"/>
          <w:sz w:val="16"/>
          <w:szCs w:val="16"/>
          <w:vertAlign w:val="superscript"/>
        </w:rPr>
        <w:footnoteRef/>
      </w:r>
      <w:r w:rsidRPr="00FC6700">
        <w:rPr>
          <w:rFonts w:eastAsia="Calibri" w:cs="Verdana"/>
          <w:color w:val="000000"/>
          <w:sz w:val="16"/>
          <w:szCs w:val="16"/>
        </w:rPr>
        <w:t xml:space="preserve"> Základní výše výměry důchodu se zvýšila na 4 660 Kč (+260 korun); procentní výměra se zvýšila o 0,6 % a důchodcům, kteří dosáhli v lednu 2025 věku 85 let, b</w:t>
      </w:r>
      <w:r>
        <w:rPr>
          <w:rFonts w:eastAsia="Calibri" w:cs="Verdana"/>
          <w:color w:val="000000"/>
          <w:sz w:val="16"/>
          <w:szCs w:val="16"/>
        </w:rPr>
        <w:t>yla</w:t>
      </w:r>
      <w:r w:rsidRPr="00FC6700">
        <w:rPr>
          <w:rFonts w:eastAsia="Calibri" w:cs="Verdana"/>
          <w:color w:val="000000"/>
          <w:sz w:val="16"/>
          <w:szCs w:val="16"/>
        </w:rPr>
        <w:t xml:space="preserve"> procentní výměra navýšena ještě o 1 000 korun. </w:t>
      </w:r>
      <w:r w:rsidRPr="00FC6700">
        <w:rPr>
          <w:sz w:val="16"/>
          <w:szCs w:val="16"/>
        </w:rPr>
        <w:t xml:space="preserve">Průměrný měsíční starobní důchod (bez souběhu </w:t>
      </w:r>
      <w:r w:rsidRPr="00FC6700">
        <w:rPr>
          <w:sz w:val="16"/>
          <w:szCs w:val="16"/>
        </w:rPr>
        <w:br/>
        <w:t xml:space="preserve">s ostatními důchody) byl v </w:t>
      </w:r>
      <w:r>
        <w:rPr>
          <w:sz w:val="16"/>
          <w:szCs w:val="16"/>
        </w:rPr>
        <w:t>prosinci</w:t>
      </w:r>
      <w:r w:rsidRPr="00FC6700">
        <w:rPr>
          <w:sz w:val="16"/>
          <w:szCs w:val="16"/>
        </w:rPr>
        <w:t xml:space="preserve"> 2025 meziročně vyšší o rovná 2 %, když dosáhl u mužů 22,3 tis. korun, u žen 19,9 tis. korun.</w:t>
      </w:r>
    </w:p>
  </w:footnote>
  <w:footnote w:id="142">
    <w:p w14:paraId="65ED8F96" w14:textId="77777777" w:rsidR="00EC313D" w:rsidRPr="00FC6700" w:rsidRDefault="00EC313D" w:rsidP="00EC313D">
      <w:pPr>
        <w:spacing w:after="0" w:line="240" w:lineRule="auto"/>
        <w:jc w:val="left"/>
        <w:rPr>
          <w:rFonts w:eastAsia="Calibri" w:cs="Verdana"/>
          <w:color w:val="000000"/>
          <w:sz w:val="16"/>
          <w:szCs w:val="16"/>
        </w:rPr>
      </w:pPr>
      <w:r w:rsidRPr="00FC6700">
        <w:rPr>
          <w:rStyle w:val="Znakapoznpodarou"/>
          <w:sz w:val="16"/>
          <w:szCs w:val="16"/>
        </w:rPr>
        <w:footnoteRef/>
      </w:r>
      <w:r w:rsidRPr="00FC6700">
        <w:rPr>
          <w:sz w:val="16"/>
          <w:szCs w:val="16"/>
        </w:rPr>
        <w:t xml:space="preserve"> </w:t>
      </w:r>
      <w:r w:rsidRPr="00FC6700">
        <w:rPr>
          <w:rFonts w:eastAsia="Calibri" w:cs="Verdana"/>
          <w:color w:val="000000"/>
          <w:sz w:val="16"/>
          <w:szCs w:val="16"/>
        </w:rPr>
        <w:t>Od října 2024 se potřebná doba pojištění zvýšila z 35 na 40 let. Již dříve došlo k dalším zpřísněním: maximální doba předčasnosti se zkrátila z 5 let na 3 roky, zrušila se valorizace procentní výměry předčasného důchodu až do doby dosažení důchodového věku a výrazně vzrostlo krácení výše důchodu pro předčasnost.</w:t>
      </w:r>
      <w:r>
        <w:rPr>
          <w:rFonts w:eastAsia="Calibri" w:cs="Verdana"/>
          <w:color w:val="000000"/>
          <w:sz w:val="16"/>
          <w:szCs w:val="16"/>
        </w:rPr>
        <w:t xml:space="preserve"> Celkový počet osob s trvale kráceným starobním důchodem (pro předčasnost) byl loni na konci roku meziročně vyšší jen o 0,4 % (nejnižší přírůstek v současném miléniu). </w:t>
      </w:r>
      <w:r w:rsidRPr="005467B6">
        <w:rPr>
          <w:rFonts w:eastAsia="Calibri" w:cs="Verdana"/>
          <w:color w:val="000000"/>
          <w:sz w:val="16"/>
          <w:szCs w:val="16"/>
        </w:rPr>
        <w:t>I tak se t</w:t>
      </w:r>
      <w:r>
        <w:rPr>
          <w:rFonts w:eastAsia="Calibri" w:cs="Verdana"/>
          <w:color w:val="000000"/>
          <w:sz w:val="16"/>
          <w:szCs w:val="16"/>
        </w:rPr>
        <w:t>ito</w:t>
      </w:r>
      <w:r w:rsidRPr="005467B6">
        <w:rPr>
          <w:rFonts w:eastAsia="Calibri" w:cs="Verdana"/>
          <w:color w:val="000000"/>
          <w:sz w:val="16"/>
          <w:szCs w:val="16"/>
        </w:rPr>
        <w:t xml:space="preserve"> lidé na celkovém počtu starobních důchodců podílel</w:t>
      </w:r>
      <w:r>
        <w:rPr>
          <w:rFonts w:eastAsia="Calibri" w:cs="Verdana"/>
          <w:color w:val="000000"/>
          <w:sz w:val="16"/>
          <w:szCs w:val="16"/>
        </w:rPr>
        <w:t>i</w:t>
      </w:r>
      <w:r w:rsidRPr="005467B6">
        <w:rPr>
          <w:rFonts w:eastAsia="Calibri" w:cs="Verdana"/>
          <w:color w:val="000000"/>
          <w:sz w:val="16"/>
          <w:szCs w:val="16"/>
        </w:rPr>
        <w:t xml:space="preserve"> již skoro z jedné třetiny.</w:t>
      </w:r>
    </w:p>
  </w:footnote>
  <w:footnote w:id="143">
    <w:p w14:paraId="65AA60A8" w14:textId="77777777" w:rsidR="00EC313D" w:rsidRPr="00FC6700" w:rsidRDefault="00EC313D" w:rsidP="00EC313D">
      <w:pPr>
        <w:spacing w:after="0" w:line="240" w:lineRule="auto"/>
      </w:pPr>
      <w:r w:rsidRPr="00FC6700">
        <w:rPr>
          <w:rStyle w:val="Znakapoznpodarou"/>
          <w:rFonts w:eastAsia="Calibri"/>
          <w:sz w:val="16"/>
          <w:szCs w:val="16"/>
        </w:rPr>
        <w:footnoteRef/>
      </w:r>
      <w:r w:rsidRPr="00FC6700">
        <w:rPr>
          <w:rStyle w:val="Znakapoznpodarou"/>
          <w:rFonts w:eastAsia="Calibri"/>
          <w:sz w:val="16"/>
          <w:szCs w:val="16"/>
        </w:rPr>
        <w:t xml:space="preserve"> </w:t>
      </w:r>
      <w:r w:rsidRPr="00FC6700">
        <w:rPr>
          <w:rFonts w:eastAsia="Calibri"/>
          <w:sz w:val="16"/>
          <w:szCs w:val="16"/>
        </w:rPr>
        <w:t xml:space="preserve">Jde o rozdíl mezi příjmy z pojistného na důchodové pojištění a výdaji na tyto dávky (vč. výdajů na jejich správu) </w:t>
      </w:r>
      <w:r w:rsidRPr="00FC6700">
        <w:rPr>
          <w:rFonts w:cs="Arial"/>
          <w:color w:val="000000" w:themeColor="text1"/>
          <w:sz w:val="16"/>
          <w:szCs w:val="16"/>
        </w:rPr>
        <w:t>dle účetní bilance MF.</w:t>
      </w:r>
    </w:p>
  </w:footnote>
  <w:footnote w:id="144">
    <w:p w14:paraId="544AEDD6" w14:textId="77777777" w:rsidR="00EC313D" w:rsidRPr="00FC6700" w:rsidRDefault="00EC313D" w:rsidP="00EC313D">
      <w:pPr>
        <w:pStyle w:val="Textpoznpodarou"/>
        <w:rPr>
          <w:sz w:val="16"/>
          <w:szCs w:val="16"/>
        </w:rPr>
      </w:pPr>
      <w:r w:rsidRPr="00FC6700">
        <w:rPr>
          <w:rStyle w:val="Znakapoznpodarou"/>
          <w:sz w:val="16"/>
          <w:szCs w:val="16"/>
        </w:rPr>
        <w:footnoteRef/>
      </w:r>
      <w:r w:rsidRPr="00FC6700">
        <w:rPr>
          <w:sz w:val="16"/>
          <w:szCs w:val="16"/>
        </w:rPr>
        <w:t xml:space="preserve"> To úzce souviselo se </w:t>
      </w:r>
      <w:r w:rsidRPr="00FC6700">
        <w:rPr>
          <w:color w:val="0D0D0D" w:themeColor="text1" w:themeTint="F2"/>
          <w:sz w:val="16"/>
          <w:szCs w:val="16"/>
        </w:rPr>
        <w:t xml:space="preserve">zákonným navýšením částek pro osoby ve 2. až 4. stupni závislosti u dětí i dospělých (od července 2024). Tyto příspěvky pobíralo </w:t>
      </w:r>
      <w:r>
        <w:rPr>
          <w:color w:val="0D0D0D" w:themeColor="text1" w:themeTint="F2"/>
          <w:sz w:val="16"/>
          <w:szCs w:val="16"/>
        </w:rPr>
        <w:t>loni v prosinci</w:t>
      </w:r>
      <w:r w:rsidRPr="00FC6700">
        <w:rPr>
          <w:color w:val="0D0D0D" w:themeColor="text1" w:themeTint="F2"/>
          <w:sz w:val="16"/>
          <w:szCs w:val="16"/>
        </w:rPr>
        <w:t xml:space="preserve"> 3</w:t>
      </w:r>
      <w:r>
        <w:rPr>
          <w:color w:val="0D0D0D" w:themeColor="text1" w:themeTint="F2"/>
          <w:sz w:val="16"/>
          <w:szCs w:val="16"/>
        </w:rPr>
        <w:t>81</w:t>
      </w:r>
      <w:r w:rsidRPr="00FC6700">
        <w:rPr>
          <w:color w:val="0D0D0D" w:themeColor="text1" w:themeTint="F2"/>
          <w:sz w:val="16"/>
          <w:szCs w:val="16"/>
        </w:rPr>
        <w:t xml:space="preserve"> tis. osob, meziročně o 1,5 % více (proti roku 2015 ale o 11,6 % více).</w:t>
      </w:r>
    </w:p>
  </w:footnote>
  <w:footnote w:id="145">
    <w:p w14:paraId="59931EA8" w14:textId="77777777" w:rsidR="00EC313D" w:rsidRPr="00FC6700" w:rsidRDefault="00EC313D" w:rsidP="00EC313D">
      <w:pPr>
        <w:pStyle w:val="Textpoznpodarou"/>
        <w:rPr>
          <w:sz w:val="16"/>
          <w:szCs w:val="16"/>
        </w:rPr>
      </w:pPr>
      <w:r w:rsidRPr="00FC6700">
        <w:rPr>
          <w:rStyle w:val="Znakapoznpodarou"/>
          <w:sz w:val="16"/>
          <w:szCs w:val="16"/>
        </w:rPr>
        <w:footnoteRef/>
      </w:r>
      <w:r w:rsidRPr="00FC6700">
        <w:rPr>
          <w:sz w:val="16"/>
          <w:szCs w:val="16"/>
        </w:rPr>
        <w:t xml:space="preserve"> </w:t>
      </w:r>
      <w:r w:rsidRPr="00FC6700">
        <w:rPr>
          <w:color w:val="0D0D0D" w:themeColor="text1" w:themeTint="F2"/>
          <w:sz w:val="16"/>
          <w:szCs w:val="16"/>
        </w:rPr>
        <w:t xml:space="preserve">Meziroční vývoj je ovlivněn navýšením započitatelných nákladů na bydlení a ubytování pro účely stanovení nároku na humanitární dávku. </w:t>
      </w:r>
      <w:r w:rsidRPr="00FC6700">
        <w:rPr>
          <w:sz w:val="16"/>
          <w:szCs w:val="16"/>
        </w:rPr>
        <w:t>V </w:t>
      </w:r>
      <w:r>
        <w:rPr>
          <w:sz w:val="16"/>
          <w:szCs w:val="16"/>
        </w:rPr>
        <w:t>prosinci</w:t>
      </w:r>
      <w:r w:rsidRPr="00FC6700">
        <w:rPr>
          <w:sz w:val="16"/>
          <w:szCs w:val="16"/>
        </w:rPr>
        <w:t xml:space="preserve"> 2025 bylo vyplaceno 4</w:t>
      </w:r>
      <w:r>
        <w:rPr>
          <w:sz w:val="16"/>
          <w:szCs w:val="16"/>
        </w:rPr>
        <w:t>5</w:t>
      </w:r>
      <w:r w:rsidRPr="00FC6700">
        <w:rPr>
          <w:sz w:val="16"/>
          <w:szCs w:val="16"/>
        </w:rPr>
        <w:t xml:space="preserve"> tis. dávek. Meziročně o </w:t>
      </w:r>
      <w:r>
        <w:rPr>
          <w:sz w:val="16"/>
          <w:szCs w:val="16"/>
        </w:rPr>
        <w:t>sedminu</w:t>
      </w:r>
      <w:r w:rsidRPr="00FC6700">
        <w:rPr>
          <w:sz w:val="16"/>
          <w:szCs w:val="16"/>
        </w:rPr>
        <w:t xml:space="preserve"> méně (a </w:t>
      </w:r>
      <w:r>
        <w:rPr>
          <w:sz w:val="16"/>
          <w:szCs w:val="16"/>
        </w:rPr>
        <w:t>proti prosinci</w:t>
      </w:r>
      <w:r w:rsidRPr="00FC6700">
        <w:rPr>
          <w:sz w:val="16"/>
          <w:szCs w:val="16"/>
        </w:rPr>
        <w:t xml:space="preserve"> 2022 dokonce o polovinu méně).</w:t>
      </w:r>
    </w:p>
  </w:footnote>
  <w:footnote w:id="146">
    <w:p w14:paraId="7C0BECCB" w14:textId="77777777" w:rsidR="00EC313D" w:rsidRPr="00FC6700" w:rsidRDefault="00EC313D" w:rsidP="00EC313D">
      <w:pPr>
        <w:pStyle w:val="Textpoznpodarou"/>
        <w:rPr>
          <w:sz w:val="16"/>
          <w:szCs w:val="16"/>
        </w:rPr>
      </w:pPr>
      <w:r w:rsidRPr="00FC6700">
        <w:rPr>
          <w:rStyle w:val="Znakapoznpodarou"/>
          <w:sz w:val="16"/>
          <w:szCs w:val="16"/>
        </w:rPr>
        <w:footnoteRef/>
      </w:r>
      <w:r w:rsidRPr="00FC6700">
        <w:rPr>
          <w:sz w:val="16"/>
          <w:szCs w:val="16"/>
        </w:rPr>
        <w:t xml:space="preserve"> </w:t>
      </w:r>
      <w:r w:rsidRPr="00FC6700">
        <w:rPr>
          <w:color w:val="0D0D0D" w:themeColor="text1" w:themeTint="F2"/>
          <w:sz w:val="16"/>
          <w:szCs w:val="16"/>
        </w:rPr>
        <w:t>Vlivem navýšení částek normativních nákladů na bydlení počet příjemců této dávky dále mírně rostl (te</w:t>
      </w:r>
      <w:r>
        <w:rPr>
          <w:color w:val="0D0D0D" w:themeColor="text1" w:themeTint="F2"/>
          <w:sz w:val="16"/>
          <w:szCs w:val="16"/>
        </w:rPr>
        <w:t>n loni v prosinci</w:t>
      </w:r>
      <w:r w:rsidRPr="00FC6700">
        <w:rPr>
          <w:sz w:val="16"/>
          <w:szCs w:val="16"/>
        </w:rPr>
        <w:t xml:space="preserve"> činil </w:t>
      </w:r>
      <w:r>
        <w:rPr>
          <w:sz w:val="16"/>
          <w:szCs w:val="16"/>
        </w:rPr>
        <w:br/>
      </w:r>
      <w:r w:rsidRPr="00FC6700">
        <w:rPr>
          <w:sz w:val="16"/>
          <w:szCs w:val="16"/>
        </w:rPr>
        <w:t>3</w:t>
      </w:r>
      <w:r>
        <w:rPr>
          <w:sz w:val="16"/>
          <w:szCs w:val="16"/>
        </w:rPr>
        <w:t>07</w:t>
      </w:r>
      <w:r w:rsidRPr="00FC6700">
        <w:rPr>
          <w:sz w:val="16"/>
          <w:szCs w:val="16"/>
        </w:rPr>
        <w:t xml:space="preserve"> tis. a meziročně byl vyšší o 7 %</w:t>
      </w:r>
      <w:r>
        <w:rPr>
          <w:sz w:val="16"/>
          <w:szCs w:val="16"/>
        </w:rPr>
        <w:t xml:space="preserve"> a z</w:t>
      </w:r>
      <w:r w:rsidRPr="00FC6700">
        <w:rPr>
          <w:sz w:val="16"/>
          <w:szCs w:val="16"/>
        </w:rPr>
        <w:t>a poslední čtyři roky se počet příjemců zdvojnásobil</w:t>
      </w:r>
      <w:r>
        <w:rPr>
          <w:sz w:val="16"/>
          <w:szCs w:val="16"/>
        </w:rPr>
        <w:t>)</w:t>
      </w:r>
      <w:r w:rsidRPr="00FC6700">
        <w:rPr>
          <w:sz w:val="16"/>
          <w:szCs w:val="16"/>
        </w:rPr>
        <w:t>.</w:t>
      </w:r>
    </w:p>
  </w:footnote>
  <w:footnote w:id="147">
    <w:p w14:paraId="708818CF" w14:textId="77777777" w:rsidR="00EC313D" w:rsidRPr="00FC6700" w:rsidRDefault="00EC313D" w:rsidP="00EC313D">
      <w:pPr>
        <w:pStyle w:val="Textpoznpodarou"/>
        <w:rPr>
          <w:sz w:val="16"/>
          <w:szCs w:val="16"/>
        </w:rPr>
      </w:pPr>
      <w:r w:rsidRPr="00FC6700">
        <w:rPr>
          <w:rStyle w:val="Znakapoznpodarou"/>
          <w:sz w:val="16"/>
          <w:szCs w:val="16"/>
        </w:rPr>
        <w:footnoteRef/>
      </w:r>
      <w:r w:rsidRPr="00FC6700">
        <w:rPr>
          <w:sz w:val="16"/>
          <w:szCs w:val="16"/>
        </w:rPr>
        <w:t xml:space="preserve"> Ve srovnání s rekordním čerpáním v „pandemickém roce“ 2020 však vydal stát na tyto dávky l</w:t>
      </w:r>
      <w:r>
        <w:rPr>
          <w:sz w:val="16"/>
          <w:szCs w:val="16"/>
        </w:rPr>
        <w:t>oni</w:t>
      </w:r>
      <w:r w:rsidRPr="00FC6700">
        <w:rPr>
          <w:sz w:val="16"/>
          <w:szCs w:val="16"/>
        </w:rPr>
        <w:t xml:space="preserve"> o 1</w:t>
      </w:r>
      <w:r>
        <w:rPr>
          <w:sz w:val="16"/>
          <w:szCs w:val="16"/>
        </w:rPr>
        <w:t>1</w:t>
      </w:r>
      <w:r w:rsidRPr="00FC6700">
        <w:rPr>
          <w:sz w:val="16"/>
          <w:szCs w:val="16"/>
        </w:rPr>
        <w:t xml:space="preserve"> % méně.</w:t>
      </w:r>
    </w:p>
  </w:footnote>
  <w:footnote w:id="148">
    <w:p w14:paraId="302CC126" w14:textId="77777777" w:rsidR="00EC313D" w:rsidRPr="00FC6700" w:rsidRDefault="00EC313D" w:rsidP="00EC313D">
      <w:pPr>
        <w:pStyle w:val="Textpoznpodarou"/>
        <w:rPr>
          <w:sz w:val="16"/>
          <w:szCs w:val="16"/>
        </w:rPr>
      </w:pPr>
      <w:r w:rsidRPr="00FC6700">
        <w:rPr>
          <w:rStyle w:val="Znakapoznpodarou"/>
          <w:sz w:val="16"/>
          <w:szCs w:val="16"/>
        </w:rPr>
        <w:footnoteRef/>
      </w:r>
      <w:r w:rsidRPr="00FC6700">
        <w:rPr>
          <w:sz w:val="16"/>
          <w:szCs w:val="16"/>
        </w:rPr>
        <w:t xml:space="preserve"> Projevil se zde i vliv vyšší nemocnosti. Dle údajů ČSSZ dosáhl </w:t>
      </w:r>
      <w:r>
        <w:rPr>
          <w:sz w:val="16"/>
          <w:szCs w:val="16"/>
        </w:rPr>
        <w:t>v roce 2025</w:t>
      </w:r>
      <w:r w:rsidRPr="00FC6700">
        <w:rPr>
          <w:sz w:val="16"/>
          <w:szCs w:val="16"/>
        </w:rPr>
        <w:t xml:space="preserve"> počet prostonaných dnů (spojených s dočasnou pracovní neschopností) </w:t>
      </w:r>
      <w:r>
        <w:rPr>
          <w:sz w:val="16"/>
          <w:szCs w:val="16"/>
        </w:rPr>
        <w:t xml:space="preserve">76,3 </w:t>
      </w:r>
      <w:r w:rsidRPr="00FC6700">
        <w:rPr>
          <w:sz w:val="16"/>
          <w:szCs w:val="16"/>
        </w:rPr>
        <w:t>mil., meziročně se sice mírně zvýšil (+</w:t>
      </w:r>
      <w:r>
        <w:rPr>
          <w:sz w:val="16"/>
          <w:szCs w:val="16"/>
        </w:rPr>
        <w:t>0</w:t>
      </w:r>
      <w:r w:rsidRPr="00FC6700">
        <w:rPr>
          <w:sz w:val="16"/>
          <w:szCs w:val="16"/>
        </w:rPr>
        <w:t>,</w:t>
      </w:r>
      <w:r>
        <w:rPr>
          <w:sz w:val="16"/>
          <w:szCs w:val="16"/>
        </w:rPr>
        <w:t>4</w:t>
      </w:r>
      <w:r w:rsidRPr="00FC6700">
        <w:rPr>
          <w:sz w:val="16"/>
          <w:szCs w:val="16"/>
        </w:rPr>
        <w:t xml:space="preserve"> %), avšak šlo o druhý nejnižší počet za posledních šest let.</w:t>
      </w:r>
    </w:p>
  </w:footnote>
  <w:footnote w:id="149">
    <w:p w14:paraId="3FFAA3B3" w14:textId="77777777" w:rsidR="00EC313D" w:rsidRPr="00FC6700" w:rsidRDefault="00EC313D" w:rsidP="00EC313D">
      <w:pPr>
        <w:pStyle w:val="Textpoznpodarou"/>
      </w:pPr>
      <w:r w:rsidRPr="00FC6700">
        <w:rPr>
          <w:rStyle w:val="Znakapoznpodarou"/>
          <w:sz w:val="16"/>
          <w:szCs w:val="16"/>
        </w:rPr>
        <w:footnoteRef/>
      </w:r>
      <w:r w:rsidRPr="00FC6700">
        <w:rPr>
          <w:rStyle w:val="Znakapoznpodarou"/>
          <w:sz w:val="16"/>
          <w:szCs w:val="16"/>
        </w:rPr>
        <w:t xml:space="preserve"> </w:t>
      </w:r>
      <w:r w:rsidRPr="00FC6700">
        <w:rPr>
          <w:sz w:val="16"/>
          <w:szCs w:val="16"/>
        </w:rPr>
        <w:t>Od ledna 2024 došlo k znovuzavedení hrazení nemocenského pojištění zaměstnanci (ve výši 0,6 % vyměřovacího základu) i ke zvýšení vyměřovacího základu pro osoby samostatně výdělečně činné. Později následovalo i stanovení limitů pro vznik účasti na pojištění zaměstnance pracujícího na základě dohody o provedení práce (od ledna 2025 je tento limit ve výši 11 500 korun).</w:t>
      </w:r>
    </w:p>
  </w:footnote>
  <w:footnote w:id="150">
    <w:p w14:paraId="0D66DC27" w14:textId="77777777" w:rsidR="00EC313D" w:rsidRPr="00FC6700" w:rsidRDefault="00EC313D" w:rsidP="00EC313D">
      <w:pPr>
        <w:pStyle w:val="Textpoznpodarou"/>
        <w:rPr>
          <w:sz w:val="16"/>
          <w:szCs w:val="16"/>
        </w:rPr>
      </w:pPr>
      <w:r w:rsidRPr="00FC6700">
        <w:rPr>
          <w:rStyle w:val="Znakapoznpodarou"/>
          <w:sz w:val="16"/>
          <w:szCs w:val="16"/>
        </w:rPr>
        <w:footnoteRef/>
      </w:r>
      <w:r w:rsidRPr="00FC6700">
        <w:rPr>
          <w:sz w:val="16"/>
          <w:szCs w:val="16"/>
        </w:rPr>
        <w:t xml:space="preserve"> To vyjadřuje r</w:t>
      </w:r>
      <w:r w:rsidRPr="00FC6700">
        <w:rPr>
          <w:rFonts w:cs="Arial"/>
          <w:color w:val="000000" w:themeColor="text1"/>
          <w:sz w:val="16"/>
          <w:szCs w:val="16"/>
        </w:rPr>
        <w:t>ozdíl mezi příjmy z pojistného na nemocenské pojištění</w:t>
      </w:r>
      <w:r w:rsidRPr="00FC6700">
        <w:rPr>
          <w:rFonts w:ascii="Segoe UI" w:eastAsia="Times New Roman" w:hAnsi="Segoe UI" w:cs="Segoe UI"/>
          <w:b/>
          <w:bCs/>
          <w:color w:val="000000"/>
          <w:sz w:val="16"/>
          <w:szCs w:val="16"/>
        </w:rPr>
        <w:t xml:space="preserve"> </w:t>
      </w:r>
      <w:r w:rsidRPr="00FC6700">
        <w:rPr>
          <w:rFonts w:cs="Arial"/>
          <w:color w:val="000000" w:themeColor="text1"/>
          <w:sz w:val="16"/>
          <w:szCs w:val="16"/>
        </w:rPr>
        <w:t xml:space="preserve">a výdaji na dávky z tohoto </w:t>
      </w:r>
      <w:r w:rsidRPr="00FC6700">
        <w:rPr>
          <w:rFonts w:cs="Arial"/>
          <w:color w:val="0D0D0D" w:themeColor="text1" w:themeTint="F2"/>
          <w:sz w:val="16"/>
          <w:szCs w:val="16"/>
        </w:rPr>
        <w:t>pojištění</w:t>
      </w:r>
      <w:r w:rsidRPr="00FC6700">
        <w:rPr>
          <w:rFonts w:cs="Arial"/>
          <w:color w:val="000000" w:themeColor="text1"/>
          <w:sz w:val="16"/>
          <w:szCs w:val="16"/>
        </w:rPr>
        <w:t xml:space="preserve"> dle účetní bilance ČSSZ.</w:t>
      </w:r>
    </w:p>
  </w:footnote>
  <w:footnote w:id="151">
    <w:p w14:paraId="3E187AA4" w14:textId="77777777" w:rsidR="00EC313D" w:rsidRPr="002F2349" w:rsidRDefault="00EC313D" w:rsidP="00EC313D">
      <w:pPr>
        <w:pStyle w:val="Textpoznpodarou"/>
        <w:rPr>
          <w:sz w:val="16"/>
          <w:szCs w:val="16"/>
        </w:rPr>
      </w:pPr>
      <w:r w:rsidRPr="002F2349">
        <w:rPr>
          <w:rStyle w:val="Znakapoznpodarou"/>
          <w:sz w:val="16"/>
          <w:szCs w:val="16"/>
        </w:rPr>
        <w:footnoteRef/>
      </w:r>
      <w:r w:rsidRPr="002F2349">
        <w:rPr>
          <w:sz w:val="16"/>
          <w:szCs w:val="16"/>
        </w:rPr>
        <w:t xml:space="preserve"> Čisté výdaje odpovídají saldu rozpočtové kapitoly Státní dluh (č. 396).</w:t>
      </w:r>
    </w:p>
  </w:footnote>
  <w:footnote w:id="152">
    <w:p w14:paraId="4C25C171" w14:textId="77777777" w:rsidR="00EC313D" w:rsidRPr="002F2349" w:rsidRDefault="00EC313D" w:rsidP="00EC313D">
      <w:pPr>
        <w:pStyle w:val="Textpoznpodarou"/>
      </w:pPr>
      <w:r w:rsidRPr="002F2349">
        <w:rPr>
          <w:rStyle w:val="Znakapoznpodarou"/>
          <w:sz w:val="16"/>
          <w:szCs w:val="16"/>
        </w:rPr>
        <w:footnoteRef/>
      </w:r>
      <w:r w:rsidRPr="002F2349">
        <w:rPr>
          <w:sz w:val="16"/>
          <w:szCs w:val="16"/>
        </w:rPr>
        <w:t xml:space="preserve"> Jejich celkový prodej na primárním a sekundárním trhu loni dosáhl 486 mld. korun (o rok dříve 376 mld.)</w:t>
      </w:r>
      <w:r>
        <w:rPr>
          <w:sz w:val="16"/>
          <w:szCs w:val="16"/>
        </w:rPr>
        <w:t>.</w:t>
      </w:r>
      <w:r w:rsidRPr="002F2349">
        <w:rPr>
          <w:sz w:val="16"/>
          <w:szCs w:val="16"/>
        </w:rPr>
        <w:t xml:space="preserve"> Průměrná doba do splatnosti nově prodaných korunových dluhopisů činila 8,9 roku a průměrný roční výnos nově prodaných fixně úročených dluhopisů činil 4,21 %. Zatímco doba splatnosti se meziročně mírně snížila (o 1,5 roku), průměrný výnos vzrostl (o 0,26 p. b.), avšak jeho loňská výše byla stále mírně nižší než u nově emitovaných státních dluhopisů v roce 2022 i 2023.</w:t>
      </w:r>
    </w:p>
  </w:footnote>
  <w:footnote w:id="153">
    <w:p w14:paraId="5F7ADA0D" w14:textId="77777777" w:rsidR="00EC313D" w:rsidRPr="002F2349" w:rsidRDefault="00EC313D" w:rsidP="00EC313D">
      <w:pPr>
        <w:pStyle w:val="Textpoznpodarou"/>
        <w:rPr>
          <w:sz w:val="16"/>
          <w:szCs w:val="16"/>
        </w:rPr>
      </w:pPr>
      <w:r w:rsidRPr="002F2349">
        <w:rPr>
          <w:rStyle w:val="Znakapoznpodarou"/>
          <w:sz w:val="16"/>
          <w:szCs w:val="16"/>
        </w:rPr>
        <w:footnoteRef/>
      </w:r>
      <w:r w:rsidRPr="002F2349">
        <w:rPr>
          <w:sz w:val="16"/>
          <w:szCs w:val="16"/>
        </w:rPr>
        <w:t xml:space="preserve"> Toto navýšení se od ledna 2025 odráží v plošném zvýšení platových tarifů pro příslušníky bezpečnostních sborů a vojáků </w:t>
      </w:r>
      <w:r>
        <w:rPr>
          <w:sz w:val="16"/>
          <w:szCs w:val="16"/>
        </w:rPr>
        <w:br/>
      </w:r>
      <w:r w:rsidRPr="002F2349">
        <w:rPr>
          <w:sz w:val="16"/>
          <w:szCs w:val="16"/>
        </w:rPr>
        <w:t>(o 1500 korun) a většiny ostatních státních zaměstnanců (o 1400 korun). Od července 2025 se dále posílily výdaje na platy vojáků, (služební tarify a příspěvky na bydlení) policistů, hasičů a dalších příslušníků bezpečnostních složek (vyšší stabilizační příspěvky).</w:t>
      </w:r>
    </w:p>
  </w:footnote>
  <w:footnote w:id="154">
    <w:p w14:paraId="070C01F0" w14:textId="77777777" w:rsidR="00EC313D" w:rsidRPr="002F2349" w:rsidRDefault="00EC313D" w:rsidP="00EC313D">
      <w:pPr>
        <w:pStyle w:val="Textpoznpodarou"/>
        <w:rPr>
          <w:sz w:val="16"/>
          <w:szCs w:val="16"/>
        </w:rPr>
      </w:pPr>
      <w:r w:rsidRPr="002F2349">
        <w:rPr>
          <w:rStyle w:val="Znakapoznpodarou"/>
          <w:sz w:val="16"/>
          <w:szCs w:val="16"/>
        </w:rPr>
        <w:footnoteRef/>
      </w:r>
      <w:r w:rsidRPr="002F2349">
        <w:rPr>
          <w:sz w:val="16"/>
          <w:szCs w:val="16"/>
        </w:rPr>
        <w:t xml:space="preserve"> Jde o kompenzace za dodávku elektřiny a plynu zákazníkům a na ztráty z důvodu </w:t>
      </w:r>
      <w:proofErr w:type="spellStart"/>
      <w:r w:rsidRPr="002F2349">
        <w:rPr>
          <w:sz w:val="16"/>
          <w:szCs w:val="16"/>
        </w:rPr>
        <w:t>zastropování</w:t>
      </w:r>
      <w:proofErr w:type="spellEnd"/>
      <w:r w:rsidRPr="002F2349">
        <w:rPr>
          <w:sz w:val="16"/>
          <w:szCs w:val="16"/>
        </w:rPr>
        <w:t xml:space="preserve"> jejich cen (s meziročním poklesem </w:t>
      </w:r>
      <w:r w:rsidRPr="002F2349">
        <w:rPr>
          <w:sz w:val="16"/>
          <w:szCs w:val="16"/>
        </w:rPr>
        <w:br/>
        <w:t>o 7,4 mld. korun) a dotace provozovateli přenosové soustavy (−1,3 mld. korun), které se ještě vyplácely na počátku roku 2024.</w:t>
      </w:r>
    </w:p>
  </w:footnote>
  <w:footnote w:id="155">
    <w:p w14:paraId="0243D5D6" w14:textId="77777777" w:rsidR="00CF262D" w:rsidRPr="00C73ACE" w:rsidRDefault="00CF262D" w:rsidP="00EC313D">
      <w:pPr>
        <w:pStyle w:val="Textpoznpodarou"/>
        <w:rPr>
          <w:spacing w:val="-3"/>
          <w:sz w:val="16"/>
          <w:szCs w:val="16"/>
        </w:rPr>
      </w:pPr>
      <w:r w:rsidRPr="00C73ACE">
        <w:rPr>
          <w:rStyle w:val="Znakapoznpodarou"/>
          <w:spacing w:val="-3"/>
          <w:sz w:val="16"/>
          <w:szCs w:val="16"/>
        </w:rPr>
        <w:footnoteRef/>
      </w:r>
      <w:r w:rsidRPr="00C73ACE">
        <w:rPr>
          <w:rStyle w:val="Znakapoznpodarou"/>
          <w:spacing w:val="-3"/>
        </w:rPr>
        <w:t xml:space="preserve"> </w:t>
      </w:r>
      <w:r w:rsidRPr="00C73ACE">
        <w:rPr>
          <w:color w:val="0D0D0D" w:themeColor="text1" w:themeTint="F2"/>
          <w:spacing w:val="-3"/>
          <w:sz w:val="16"/>
          <w:szCs w:val="16"/>
        </w:rPr>
        <w:t>Projevi</w:t>
      </w:r>
      <w:r w:rsidRPr="00C73ACE">
        <w:rPr>
          <w:spacing w:val="-3"/>
          <w:sz w:val="16"/>
          <w:szCs w:val="16"/>
        </w:rPr>
        <w:t>l se dopad nově zavedené automatické valorizace, jež od ledna 2024 upravuje vyměřovací základ platby o součet 100 % růstu spotřebitelských cen a 50 % růstu reálných mezd. Vlivem toho vzrostla od ledna 2025</w:t>
      </w:r>
      <w:r>
        <w:rPr>
          <w:spacing w:val="-3"/>
          <w:sz w:val="16"/>
          <w:szCs w:val="16"/>
        </w:rPr>
        <w:t xml:space="preserve"> </w:t>
      </w:r>
      <w:r w:rsidRPr="00C73ACE">
        <w:rPr>
          <w:spacing w:val="-3"/>
          <w:sz w:val="16"/>
          <w:szCs w:val="16"/>
        </w:rPr>
        <w:t>m</w:t>
      </w:r>
      <w:r>
        <w:rPr>
          <w:spacing w:val="-3"/>
          <w:sz w:val="16"/>
          <w:szCs w:val="16"/>
        </w:rPr>
        <w:t>ěsíční</w:t>
      </w:r>
      <w:r w:rsidRPr="00C73ACE">
        <w:rPr>
          <w:spacing w:val="-3"/>
          <w:sz w:val="16"/>
          <w:szCs w:val="16"/>
        </w:rPr>
        <w:t xml:space="preserve"> platba za osobu z 2085 korun na 2127 korun.</w:t>
      </w:r>
    </w:p>
  </w:footnote>
  <w:footnote w:id="156">
    <w:p w14:paraId="59005904" w14:textId="77777777" w:rsidR="00CF262D" w:rsidRPr="009D655C" w:rsidRDefault="00CF262D" w:rsidP="00EC313D">
      <w:pPr>
        <w:pStyle w:val="Textpoznpodarou"/>
        <w:rPr>
          <w:sz w:val="16"/>
          <w:szCs w:val="16"/>
        </w:rPr>
      </w:pPr>
      <w:r w:rsidRPr="009D655C">
        <w:rPr>
          <w:rStyle w:val="Znakapoznpodarou"/>
          <w:sz w:val="16"/>
          <w:szCs w:val="16"/>
        </w:rPr>
        <w:footnoteRef/>
      </w:r>
      <w:r w:rsidRPr="009D655C">
        <w:rPr>
          <w:sz w:val="16"/>
          <w:szCs w:val="16"/>
        </w:rPr>
        <w:t xml:space="preserve"> Loňské čerpání současně překonalo původní rozpočtové očekávání (dle schváleného SR), jež činilo 250 mld. korun.</w:t>
      </w:r>
      <w:r>
        <w:rPr>
          <w:sz w:val="16"/>
          <w:szCs w:val="16"/>
        </w:rPr>
        <w:t xml:space="preserve"> Toto očekávání bylo zároveň během roku průběžně upravováno rozpočtovými opatřeními (až těsně pod 270 mld. ve 3. čtvrtletí).</w:t>
      </w:r>
    </w:p>
  </w:footnote>
  <w:footnote w:id="157">
    <w:p w14:paraId="7D63CDAF" w14:textId="77777777" w:rsidR="00CF262D" w:rsidRPr="00557CA2" w:rsidRDefault="00CF262D" w:rsidP="00EC313D">
      <w:pPr>
        <w:pStyle w:val="Textpoznpodarou"/>
        <w:rPr>
          <w:sz w:val="16"/>
          <w:szCs w:val="16"/>
        </w:rPr>
      </w:pPr>
      <w:r w:rsidRPr="00557CA2">
        <w:rPr>
          <w:rStyle w:val="Znakapoznpodarou"/>
          <w:sz w:val="16"/>
          <w:szCs w:val="16"/>
        </w:rPr>
        <w:footnoteRef/>
      </w:r>
      <w:r w:rsidRPr="00557CA2">
        <w:rPr>
          <w:sz w:val="16"/>
          <w:szCs w:val="16"/>
        </w:rPr>
        <w:t xml:space="preserve"> To souvisí s postupným náběhem čerpání těchto výdajů v novém (aktuálním) programovém období EU.</w:t>
      </w:r>
    </w:p>
  </w:footnote>
  <w:footnote w:id="158">
    <w:p w14:paraId="254E673C" w14:textId="77777777" w:rsidR="005722EB" w:rsidRPr="002F2349" w:rsidRDefault="005722EB" w:rsidP="00EC313D">
      <w:pPr>
        <w:pStyle w:val="Textpoznpodarou"/>
        <w:rPr>
          <w:sz w:val="16"/>
          <w:szCs w:val="16"/>
        </w:rPr>
      </w:pPr>
      <w:r w:rsidRPr="002F2349">
        <w:rPr>
          <w:rStyle w:val="Znakapoznpodarou"/>
          <w:sz w:val="16"/>
          <w:szCs w:val="16"/>
        </w:rPr>
        <w:footnoteRef/>
      </w:r>
      <w:r w:rsidRPr="002F2349">
        <w:rPr>
          <w:sz w:val="16"/>
          <w:szCs w:val="16"/>
        </w:rPr>
        <w:t xml:space="preserve"> Údaje o hospodaření sektoru vládních institucí v Česku za 4. čtvrtletí 2025 zveřejní ČSÚ 1. dubna 2026, </w:t>
      </w:r>
      <w:proofErr w:type="spellStart"/>
      <w:r w:rsidRPr="002F2349">
        <w:rPr>
          <w:sz w:val="16"/>
          <w:szCs w:val="16"/>
        </w:rPr>
        <w:t>Eurostat</w:t>
      </w:r>
      <w:proofErr w:type="spellEnd"/>
      <w:r w:rsidRPr="002F2349">
        <w:rPr>
          <w:sz w:val="16"/>
          <w:szCs w:val="16"/>
        </w:rPr>
        <w:t xml:space="preserve"> za členské státy Unie následovně 22. dubna. Detailnější zhodnocení tuzemského vývoje za 3. čtvrtletí 2025 nabízí publikace </w:t>
      </w:r>
      <w:hyperlink r:id="rId3" w:history="1">
        <w:r w:rsidRPr="002F2349">
          <w:rPr>
            <w:rStyle w:val="Hypertextovodkaz"/>
            <w:i/>
            <w:color w:val="auto"/>
            <w:sz w:val="16"/>
            <w:szCs w:val="16"/>
          </w:rPr>
          <w:t>Analýza sektorových účtů</w:t>
        </w:r>
      </w:hyperlink>
    </w:p>
  </w:footnote>
  <w:footnote w:id="159">
    <w:p w14:paraId="4BDB25B7" w14:textId="77777777" w:rsidR="005722EB" w:rsidRPr="002F2349" w:rsidRDefault="005722EB" w:rsidP="00EC313D">
      <w:pPr>
        <w:pStyle w:val="Textpoznpodarou"/>
        <w:rPr>
          <w:sz w:val="16"/>
          <w:szCs w:val="16"/>
        </w:rPr>
      </w:pPr>
      <w:r w:rsidRPr="002F2349">
        <w:rPr>
          <w:rStyle w:val="Znakapoznpodarou"/>
          <w:sz w:val="16"/>
          <w:szCs w:val="16"/>
        </w:rPr>
        <w:footnoteRef/>
      </w:r>
      <w:r w:rsidRPr="002F2349">
        <w:rPr>
          <w:sz w:val="16"/>
          <w:szCs w:val="16"/>
        </w:rPr>
        <w:t xml:space="preserve"> Není-li uvedeno jinak, jsou údaje o hospodaření sektoru VI v ČR vyjádřeny v nominálním vyjádření a bez sezónního očištění.</w:t>
      </w:r>
    </w:p>
  </w:footnote>
  <w:footnote w:id="160">
    <w:p w14:paraId="3142AACF" w14:textId="77777777" w:rsidR="005722EB" w:rsidRPr="002F2349" w:rsidRDefault="005722EB" w:rsidP="00EC313D">
      <w:pPr>
        <w:pStyle w:val="Textpoznpodarou"/>
        <w:rPr>
          <w:sz w:val="16"/>
          <w:szCs w:val="16"/>
        </w:rPr>
      </w:pPr>
      <w:r w:rsidRPr="002F2349">
        <w:rPr>
          <w:rStyle w:val="Znakapoznpodarou"/>
          <w:sz w:val="16"/>
          <w:szCs w:val="16"/>
        </w:rPr>
        <w:footnoteRef/>
      </w:r>
      <w:r w:rsidRPr="002F2349">
        <w:rPr>
          <w:sz w:val="16"/>
          <w:szCs w:val="16"/>
        </w:rPr>
        <w:t xml:space="preserve"> Za tímto zhoršením stály místní vládní instituce, jejichž přebytek klesl o 13,8 % na 70,0 mld. korun (a byl tak ve stejném období nejnižší za poslední čtyři roky). Naopak schodek ústředních vládních institucí, který v posledních letech tradičně dominantně přispíval ke zhoršení salda hospodaření sektoru VI, se meziročně zmírnil o 3,3 %, na 155 mld (nejlepší výsledek za posledních šest let). Deficit zdravotních pojišťoven se pak meziročně utlumil zhruba o 5 mld. korun.</w:t>
      </w:r>
    </w:p>
  </w:footnote>
  <w:footnote w:id="161">
    <w:p w14:paraId="659F8C0E" w14:textId="77777777" w:rsidR="005722EB" w:rsidRPr="002F2349" w:rsidRDefault="005722EB" w:rsidP="00EC313D">
      <w:pPr>
        <w:pStyle w:val="Textpoznpodarou"/>
        <w:rPr>
          <w:sz w:val="16"/>
          <w:szCs w:val="16"/>
        </w:rPr>
      </w:pPr>
      <w:r w:rsidRPr="002F2349">
        <w:rPr>
          <w:rStyle w:val="Znakapoznpodarou"/>
          <w:sz w:val="16"/>
          <w:szCs w:val="16"/>
        </w:rPr>
        <w:footnoteRef/>
      </w:r>
      <w:r w:rsidRPr="002F2349">
        <w:rPr>
          <w:sz w:val="16"/>
          <w:szCs w:val="16"/>
        </w:rPr>
        <w:t xml:space="preserve"> Naopak příjmy z dividend, jež v roce 2024 stály dominantně za poklesem vlastnických důchodů sektoru vládních institucí, se loni meziročně zvýšily (a fakticky se vrátily na úroveň z 1. až 3. čtvrtletí 2023).</w:t>
      </w:r>
    </w:p>
  </w:footnote>
  <w:footnote w:id="162">
    <w:p w14:paraId="396F5200" w14:textId="77777777" w:rsidR="005722EB" w:rsidRPr="002F2349" w:rsidRDefault="005722EB" w:rsidP="00EC313D">
      <w:pPr>
        <w:pStyle w:val="Textpoznpodarou"/>
        <w:rPr>
          <w:sz w:val="16"/>
          <w:szCs w:val="16"/>
        </w:rPr>
      </w:pPr>
      <w:r w:rsidRPr="002F2349">
        <w:rPr>
          <w:rStyle w:val="Znakapoznpodarou"/>
          <w:sz w:val="16"/>
          <w:szCs w:val="16"/>
        </w:rPr>
        <w:footnoteRef/>
      </w:r>
      <w:r w:rsidRPr="002F2349">
        <w:rPr>
          <w:sz w:val="16"/>
          <w:szCs w:val="16"/>
        </w:rPr>
        <w:t xml:space="preserve"> Všechny níže uvedené údaje o saldu hospodaření jsou vyjádřeny po očištění o sezónnost i pracovní dny.</w:t>
      </w:r>
    </w:p>
  </w:footnote>
  <w:footnote w:id="163">
    <w:p w14:paraId="7EA991A1" w14:textId="77777777" w:rsidR="005722EB" w:rsidRPr="002F2349" w:rsidRDefault="005722EB" w:rsidP="00EC313D">
      <w:pPr>
        <w:pStyle w:val="Textpoznpodarou"/>
        <w:rPr>
          <w:sz w:val="16"/>
          <w:szCs w:val="16"/>
        </w:rPr>
      </w:pPr>
      <w:r w:rsidRPr="002F2349">
        <w:rPr>
          <w:rStyle w:val="Znakapoznpodarou"/>
          <w:sz w:val="16"/>
          <w:szCs w:val="16"/>
        </w:rPr>
        <w:footnoteRef/>
      </w:r>
      <w:r w:rsidRPr="002F2349">
        <w:rPr>
          <w:sz w:val="16"/>
          <w:szCs w:val="16"/>
        </w:rPr>
        <w:t xml:space="preserve"> Jde o zahájení tzv. procesu řízení o nadměrném schodku kvůli porušení rozpočtových pravidel. Tato standardní procedura byla po dočasném přerušení v letech 2020 až 2023 (v důsledku pandemie covid</w:t>
      </w:r>
      <w:r>
        <w:rPr>
          <w:sz w:val="16"/>
          <w:szCs w:val="16"/>
        </w:rPr>
        <w:t>u</w:t>
      </w:r>
      <w:r w:rsidRPr="002F2349">
        <w:rPr>
          <w:sz w:val="16"/>
          <w:szCs w:val="16"/>
        </w:rPr>
        <w:t xml:space="preserve">-19) obnovena. V roce 2024 bylo zahájeno řízení s Belgií, Francií, Itálií, Maltou a některými středoevropskými členy (Slovensko, Polsko, Maďarsko), </w:t>
      </w:r>
      <w:r>
        <w:rPr>
          <w:sz w:val="16"/>
          <w:szCs w:val="16"/>
        </w:rPr>
        <w:t xml:space="preserve">o </w:t>
      </w:r>
      <w:r w:rsidRPr="002F2349">
        <w:rPr>
          <w:sz w:val="16"/>
          <w:szCs w:val="16"/>
        </w:rPr>
        <w:t>rok později s Rakouskem a letos s Finskem.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4C456F" w14:paraId="63EB0BA1" w14:textId="77777777" w:rsidTr="7BDB84E4">
      <w:trPr>
        <w:trHeight w:val="300"/>
      </w:trPr>
      <w:tc>
        <w:tcPr>
          <w:tcW w:w="3210" w:type="dxa"/>
        </w:tcPr>
        <w:p w14:paraId="357BF5F4" w14:textId="22EABFF2" w:rsidR="004C456F" w:rsidRDefault="004C456F" w:rsidP="7BDB84E4">
          <w:pPr>
            <w:pStyle w:val="Zhlav"/>
            <w:ind w:left="-115"/>
          </w:pPr>
        </w:p>
      </w:tc>
      <w:tc>
        <w:tcPr>
          <w:tcW w:w="3210" w:type="dxa"/>
        </w:tcPr>
        <w:p w14:paraId="2B8B2F90" w14:textId="25F76AAE" w:rsidR="004C456F" w:rsidRDefault="004C456F" w:rsidP="7BDB84E4">
          <w:pPr>
            <w:pStyle w:val="Zhlav"/>
            <w:jc w:val="center"/>
          </w:pPr>
        </w:p>
      </w:tc>
      <w:tc>
        <w:tcPr>
          <w:tcW w:w="3210" w:type="dxa"/>
        </w:tcPr>
        <w:p w14:paraId="63170252" w14:textId="0C92FE13" w:rsidR="004C456F" w:rsidRDefault="004C456F" w:rsidP="7BDB84E4">
          <w:pPr>
            <w:pStyle w:val="Zhlav"/>
            <w:ind w:right="-115"/>
            <w:jc w:val="right"/>
          </w:pPr>
        </w:p>
      </w:tc>
    </w:tr>
  </w:tbl>
  <w:p w14:paraId="7C250868" w14:textId="2D1B868B" w:rsidR="004C456F" w:rsidRDefault="004C456F" w:rsidP="7BDB84E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4C456F" w14:paraId="3353788A" w14:textId="77777777" w:rsidTr="7BDB84E4">
      <w:trPr>
        <w:trHeight w:val="300"/>
      </w:trPr>
      <w:tc>
        <w:tcPr>
          <w:tcW w:w="3210" w:type="dxa"/>
        </w:tcPr>
        <w:p w14:paraId="1FBBBEEE" w14:textId="678CCEA8" w:rsidR="004C456F" w:rsidRDefault="004C456F" w:rsidP="7BDB84E4">
          <w:pPr>
            <w:pStyle w:val="Zhlav"/>
            <w:ind w:left="-115"/>
          </w:pPr>
        </w:p>
      </w:tc>
      <w:tc>
        <w:tcPr>
          <w:tcW w:w="3210" w:type="dxa"/>
        </w:tcPr>
        <w:p w14:paraId="0386F6B5" w14:textId="59E86013" w:rsidR="004C456F" w:rsidRDefault="004C456F" w:rsidP="7BDB84E4">
          <w:pPr>
            <w:pStyle w:val="Zhlav"/>
            <w:jc w:val="center"/>
          </w:pPr>
        </w:p>
      </w:tc>
      <w:tc>
        <w:tcPr>
          <w:tcW w:w="3210" w:type="dxa"/>
        </w:tcPr>
        <w:p w14:paraId="55DF6978" w14:textId="7A91F53E" w:rsidR="004C456F" w:rsidRDefault="004C456F" w:rsidP="7BDB84E4">
          <w:pPr>
            <w:pStyle w:val="Zhlav"/>
            <w:ind w:right="-115"/>
            <w:jc w:val="right"/>
          </w:pPr>
        </w:p>
      </w:tc>
    </w:tr>
  </w:tbl>
  <w:p w14:paraId="07352E89" w14:textId="3FA50847" w:rsidR="004C456F" w:rsidRDefault="004C456F" w:rsidP="7BDB84E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2986" w14:textId="3C11EE3B" w:rsidR="004C456F" w:rsidRPr="00C27E4F" w:rsidRDefault="004C456F" w:rsidP="00C27E4F">
    <w:pPr>
      <w:pStyle w:val="Zhlav"/>
    </w:pPr>
    <w:r>
      <w:t>Vývoj ekonomiky České republiky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2987" w14:textId="4F78F164" w:rsidR="004C456F" w:rsidRPr="006F5416" w:rsidRDefault="004C456F" w:rsidP="00937AE2">
    <w:pPr>
      <w:pStyle w:val="Zhlav"/>
    </w:pPr>
    <w:r>
      <w:t>Vývoj ekonomiky České republiky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143297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C5946"/>
    <w:multiLevelType w:val="hybridMultilevel"/>
    <w:tmpl w:val="4C1C2D78"/>
    <w:lvl w:ilvl="0" w:tplc="B01A56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95764B"/>
    <w:multiLevelType w:val="hybridMultilevel"/>
    <w:tmpl w:val="84788BC8"/>
    <w:lvl w:ilvl="0" w:tplc="1B96A2C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9D55121"/>
    <w:multiLevelType w:val="hybridMultilevel"/>
    <w:tmpl w:val="338E27C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0D361065"/>
    <w:multiLevelType w:val="hybridMultilevel"/>
    <w:tmpl w:val="991072C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0E145AAD"/>
    <w:multiLevelType w:val="hybridMultilevel"/>
    <w:tmpl w:val="963044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8B35353"/>
    <w:multiLevelType w:val="multilevel"/>
    <w:tmpl w:val="1C0E9EAE"/>
    <w:name w:val="Analyza"/>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i w:val="0"/>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pStyle w:val="Nadpis5"/>
      <w:suff w:val="space"/>
      <w:lvlText w:val="%1.%2.%3.%4.%5"/>
      <w:lvlJc w:val="left"/>
      <w:pPr>
        <w:ind w:left="1008" w:hanging="1008"/>
      </w:pPr>
      <w:rPr>
        <w:rFonts w:hint="default"/>
      </w:rPr>
    </w:lvl>
    <w:lvl w:ilvl="5">
      <w:start w:val="1"/>
      <w:numFmt w:val="decimal"/>
      <w:pStyle w:val="Nadpis6"/>
      <w:suff w:val="space"/>
      <w:lvlText w:val="%1.%2.%3.%4.%5.%6"/>
      <w:lvlJc w:val="left"/>
      <w:pPr>
        <w:ind w:left="1152" w:hanging="1152"/>
      </w:pPr>
      <w:rPr>
        <w:rFonts w:hint="default"/>
      </w:rPr>
    </w:lvl>
    <w:lvl w:ilvl="6">
      <w:start w:val="1"/>
      <w:numFmt w:val="decimal"/>
      <w:pStyle w:val="Nadpis7"/>
      <w:suff w:val="space"/>
      <w:lvlText w:val="%1.%2.%3.%4.%5.%6.%7"/>
      <w:lvlJc w:val="left"/>
      <w:pPr>
        <w:ind w:left="1296" w:hanging="1296"/>
      </w:pPr>
      <w:rPr>
        <w:rFonts w:hint="default"/>
      </w:rPr>
    </w:lvl>
    <w:lvl w:ilvl="7">
      <w:start w:val="1"/>
      <w:numFmt w:val="decimal"/>
      <w:pStyle w:val="Nadpis8"/>
      <w:suff w:val="space"/>
      <w:lvlText w:val="%1.%2.%3.%4.%5.%6.%7.%8"/>
      <w:lvlJc w:val="left"/>
      <w:pPr>
        <w:ind w:left="1440" w:hanging="1440"/>
      </w:pPr>
      <w:rPr>
        <w:rFonts w:hint="default"/>
      </w:rPr>
    </w:lvl>
    <w:lvl w:ilvl="8">
      <w:start w:val="1"/>
      <w:numFmt w:val="decimal"/>
      <w:pStyle w:val="Nadpis9"/>
      <w:suff w:val="space"/>
      <w:lvlText w:val="%1.%2.%3.%4.%5.%6.%7.%8.%9"/>
      <w:lvlJc w:val="left"/>
      <w:pPr>
        <w:ind w:left="1584" w:hanging="1584"/>
      </w:pPr>
      <w:rPr>
        <w:rFonts w:hint="default"/>
      </w:rPr>
    </w:lvl>
  </w:abstractNum>
  <w:abstractNum w:abstractNumId="16" w15:restartNumberingAfterBreak="0">
    <w:nsid w:val="1E462C8E"/>
    <w:multiLevelType w:val="hybridMultilevel"/>
    <w:tmpl w:val="84B464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2C64F20"/>
    <w:multiLevelType w:val="hybridMultilevel"/>
    <w:tmpl w:val="ADE25A6C"/>
    <w:lvl w:ilvl="0" w:tplc="04050001">
      <w:start w:val="1"/>
      <w:numFmt w:val="bullet"/>
      <w:lvlText w:val=""/>
      <w:lvlJc w:val="left"/>
      <w:pPr>
        <w:ind w:left="363"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8352333"/>
    <w:multiLevelType w:val="multilevel"/>
    <w:tmpl w:val="D0ACFA4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28DA62F8"/>
    <w:multiLevelType w:val="hybridMultilevel"/>
    <w:tmpl w:val="419C87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A5A7A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C2420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D106EA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11355C0"/>
    <w:multiLevelType w:val="multilevel"/>
    <w:tmpl w:val="697E8BE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39914012"/>
    <w:multiLevelType w:val="multilevel"/>
    <w:tmpl w:val="F380FB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C7C1667"/>
    <w:multiLevelType w:val="hybridMultilevel"/>
    <w:tmpl w:val="735E7570"/>
    <w:lvl w:ilvl="0" w:tplc="5588AF8E">
      <w:start w:val="1"/>
      <w:numFmt w:val="decimal"/>
      <w:lvlText w:val="%1."/>
      <w:lvlJc w:val="left"/>
      <w:pPr>
        <w:ind w:left="4800" w:hanging="360"/>
      </w:pPr>
      <w:rPr>
        <w:rFonts w:hint="default"/>
      </w:rPr>
    </w:lvl>
    <w:lvl w:ilvl="1" w:tplc="04050019" w:tentative="1">
      <w:start w:val="1"/>
      <w:numFmt w:val="lowerLetter"/>
      <w:lvlText w:val="%2."/>
      <w:lvlJc w:val="left"/>
      <w:pPr>
        <w:ind w:left="5520" w:hanging="360"/>
      </w:pPr>
    </w:lvl>
    <w:lvl w:ilvl="2" w:tplc="0405001B" w:tentative="1">
      <w:start w:val="1"/>
      <w:numFmt w:val="lowerRoman"/>
      <w:lvlText w:val="%3."/>
      <w:lvlJc w:val="right"/>
      <w:pPr>
        <w:ind w:left="6240" w:hanging="180"/>
      </w:pPr>
    </w:lvl>
    <w:lvl w:ilvl="3" w:tplc="0405000F" w:tentative="1">
      <w:start w:val="1"/>
      <w:numFmt w:val="decimal"/>
      <w:lvlText w:val="%4."/>
      <w:lvlJc w:val="left"/>
      <w:pPr>
        <w:ind w:left="6960" w:hanging="360"/>
      </w:pPr>
    </w:lvl>
    <w:lvl w:ilvl="4" w:tplc="04050019" w:tentative="1">
      <w:start w:val="1"/>
      <w:numFmt w:val="lowerLetter"/>
      <w:lvlText w:val="%5."/>
      <w:lvlJc w:val="left"/>
      <w:pPr>
        <w:ind w:left="7680" w:hanging="360"/>
      </w:pPr>
    </w:lvl>
    <w:lvl w:ilvl="5" w:tplc="0405001B" w:tentative="1">
      <w:start w:val="1"/>
      <w:numFmt w:val="lowerRoman"/>
      <w:lvlText w:val="%6."/>
      <w:lvlJc w:val="right"/>
      <w:pPr>
        <w:ind w:left="8400" w:hanging="180"/>
      </w:pPr>
    </w:lvl>
    <w:lvl w:ilvl="6" w:tplc="0405000F" w:tentative="1">
      <w:start w:val="1"/>
      <w:numFmt w:val="decimal"/>
      <w:lvlText w:val="%7."/>
      <w:lvlJc w:val="left"/>
      <w:pPr>
        <w:ind w:left="9120" w:hanging="360"/>
      </w:pPr>
    </w:lvl>
    <w:lvl w:ilvl="7" w:tplc="04050019" w:tentative="1">
      <w:start w:val="1"/>
      <w:numFmt w:val="lowerLetter"/>
      <w:lvlText w:val="%8."/>
      <w:lvlJc w:val="left"/>
      <w:pPr>
        <w:ind w:left="9840" w:hanging="360"/>
      </w:pPr>
    </w:lvl>
    <w:lvl w:ilvl="8" w:tplc="0405001B" w:tentative="1">
      <w:start w:val="1"/>
      <w:numFmt w:val="lowerRoman"/>
      <w:lvlText w:val="%9."/>
      <w:lvlJc w:val="right"/>
      <w:pPr>
        <w:ind w:left="10560" w:hanging="180"/>
      </w:pPr>
    </w:lvl>
  </w:abstractNum>
  <w:abstractNum w:abstractNumId="27" w15:restartNumberingAfterBreak="0">
    <w:nsid w:val="3D4D0562"/>
    <w:multiLevelType w:val="hybridMultilevel"/>
    <w:tmpl w:val="E8A8F2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3BB1D16"/>
    <w:multiLevelType w:val="hybridMultilevel"/>
    <w:tmpl w:val="CA4409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44558D6"/>
    <w:multiLevelType w:val="hybridMultilevel"/>
    <w:tmpl w:val="1B90B8E0"/>
    <w:lvl w:ilvl="0" w:tplc="4B66ED1E">
      <w:start w:val="1"/>
      <w:numFmt w:val="decimal"/>
      <w:lvlText w:val="%1."/>
      <w:lvlJc w:val="left"/>
      <w:pPr>
        <w:ind w:left="4905" w:hanging="360"/>
      </w:pPr>
      <w:rPr>
        <w:rFonts w:hint="default"/>
      </w:rPr>
    </w:lvl>
    <w:lvl w:ilvl="1" w:tplc="04050019" w:tentative="1">
      <w:start w:val="1"/>
      <w:numFmt w:val="lowerLetter"/>
      <w:lvlText w:val="%2."/>
      <w:lvlJc w:val="left"/>
      <w:pPr>
        <w:ind w:left="5625" w:hanging="360"/>
      </w:pPr>
    </w:lvl>
    <w:lvl w:ilvl="2" w:tplc="0405001B" w:tentative="1">
      <w:start w:val="1"/>
      <w:numFmt w:val="lowerRoman"/>
      <w:lvlText w:val="%3."/>
      <w:lvlJc w:val="right"/>
      <w:pPr>
        <w:ind w:left="6345" w:hanging="180"/>
      </w:pPr>
    </w:lvl>
    <w:lvl w:ilvl="3" w:tplc="0405000F" w:tentative="1">
      <w:start w:val="1"/>
      <w:numFmt w:val="decimal"/>
      <w:lvlText w:val="%4."/>
      <w:lvlJc w:val="left"/>
      <w:pPr>
        <w:ind w:left="7065" w:hanging="360"/>
      </w:pPr>
    </w:lvl>
    <w:lvl w:ilvl="4" w:tplc="04050019" w:tentative="1">
      <w:start w:val="1"/>
      <w:numFmt w:val="lowerLetter"/>
      <w:lvlText w:val="%5."/>
      <w:lvlJc w:val="left"/>
      <w:pPr>
        <w:ind w:left="7785" w:hanging="360"/>
      </w:pPr>
    </w:lvl>
    <w:lvl w:ilvl="5" w:tplc="0405001B" w:tentative="1">
      <w:start w:val="1"/>
      <w:numFmt w:val="lowerRoman"/>
      <w:lvlText w:val="%6."/>
      <w:lvlJc w:val="right"/>
      <w:pPr>
        <w:ind w:left="8505" w:hanging="180"/>
      </w:pPr>
    </w:lvl>
    <w:lvl w:ilvl="6" w:tplc="0405000F" w:tentative="1">
      <w:start w:val="1"/>
      <w:numFmt w:val="decimal"/>
      <w:lvlText w:val="%7."/>
      <w:lvlJc w:val="left"/>
      <w:pPr>
        <w:ind w:left="9225" w:hanging="360"/>
      </w:pPr>
    </w:lvl>
    <w:lvl w:ilvl="7" w:tplc="04050019" w:tentative="1">
      <w:start w:val="1"/>
      <w:numFmt w:val="lowerLetter"/>
      <w:lvlText w:val="%8."/>
      <w:lvlJc w:val="left"/>
      <w:pPr>
        <w:ind w:left="9945" w:hanging="360"/>
      </w:pPr>
    </w:lvl>
    <w:lvl w:ilvl="8" w:tplc="0405001B" w:tentative="1">
      <w:start w:val="1"/>
      <w:numFmt w:val="lowerRoman"/>
      <w:lvlText w:val="%9."/>
      <w:lvlJc w:val="right"/>
      <w:pPr>
        <w:ind w:left="10665" w:hanging="180"/>
      </w:pPr>
    </w:lvl>
  </w:abstractNum>
  <w:abstractNum w:abstractNumId="30" w15:restartNumberingAfterBreak="0">
    <w:nsid w:val="479678F7"/>
    <w:multiLevelType w:val="hybridMultilevel"/>
    <w:tmpl w:val="A4DE71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95051A8"/>
    <w:multiLevelType w:val="hybridMultilevel"/>
    <w:tmpl w:val="DEACEA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ADA4287"/>
    <w:multiLevelType w:val="multilevel"/>
    <w:tmpl w:val="1C0E9EAE"/>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i w:val="0"/>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34"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E490F3B"/>
    <w:multiLevelType w:val="hybridMultilevel"/>
    <w:tmpl w:val="D64CB604"/>
    <w:lvl w:ilvl="0" w:tplc="67AC8A1C">
      <w:start w:val="1"/>
      <w:numFmt w:val="bullet"/>
      <w:lvlText w:val=""/>
      <w:lvlJc w:val="left"/>
      <w:pPr>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655F88"/>
    <w:multiLevelType w:val="hybridMultilevel"/>
    <w:tmpl w:val="70283F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38567A6"/>
    <w:multiLevelType w:val="hybridMultilevel"/>
    <w:tmpl w:val="50E0FC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8CB210F"/>
    <w:multiLevelType w:val="multilevel"/>
    <w:tmpl w:val="D64CB604"/>
    <w:lvl w:ilvl="0">
      <w:start w:val="1"/>
      <w:numFmt w:val="bullet"/>
      <w:lvlText w:val=""/>
      <w:lvlJc w:val="left"/>
      <w:pPr>
        <w:ind w:left="357" w:hanging="35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CD405E1"/>
    <w:multiLevelType w:val="multilevel"/>
    <w:tmpl w:val="5FCA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EF3AA7"/>
    <w:multiLevelType w:val="multilevel"/>
    <w:tmpl w:val="9092D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B048D2"/>
    <w:multiLevelType w:val="hybridMultilevel"/>
    <w:tmpl w:val="D2A0FC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87747AF"/>
    <w:multiLevelType w:val="hybridMultilevel"/>
    <w:tmpl w:val="76204D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B651B2D"/>
    <w:multiLevelType w:val="hybridMultilevel"/>
    <w:tmpl w:val="858498FC"/>
    <w:lvl w:ilvl="0" w:tplc="B4A838D0">
      <w:start w:val="1"/>
      <w:numFmt w:val="bullet"/>
      <w:pStyle w:val="Normalodrka"/>
      <w:lvlText w:val=""/>
      <w:lvlJc w:val="left"/>
      <w:pPr>
        <w:ind w:left="363"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DA7946"/>
    <w:multiLevelType w:val="multilevel"/>
    <w:tmpl w:val="6F3E3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8E301A"/>
    <w:multiLevelType w:val="hybridMultilevel"/>
    <w:tmpl w:val="1A92D79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694960533">
    <w:abstractNumId w:val="31"/>
  </w:num>
  <w:num w:numId="2" w16cid:durableId="997685702">
    <w:abstractNumId w:val="8"/>
  </w:num>
  <w:num w:numId="3" w16cid:durableId="2038313518">
    <w:abstractNumId w:val="3"/>
  </w:num>
  <w:num w:numId="4" w16cid:durableId="331031531">
    <w:abstractNumId w:val="2"/>
  </w:num>
  <w:num w:numId="5" w16cid:durableId="1757743337">
    <w:abstractNumId w:val="1"/>
  </w:num>
  <w:num w:numId="6" w16cid:durableId="409816451">
    <w:abstractNumId w:val="0"/>
  </w:num>
  <w:num w:numId="7" w16cid:durableId="1318534121">
    <w:abstractNumId w:val="9"/>
  </w:num>
  <w:num w:numId="8" w16cid:durableId="262305282">
    <w:abstractNumId w:val="7"/>
  </w:num>
  <w:num w:numId="9" w16cid:durableId="136917715">
    <w:abstractNumId w:val="6"/>
  </w:num>
  <w:num w:numId="10" w16cid:durableId="2045862263">
    <w:abstractNumId w:val="5"/>
  </w:num>
  <w:num w:numId="11" w16cid:durableId="191305307">
    <w:abstractNumId w:val="4"/>
  </w:num>
  <w:num w:numId="12" w16cid:durableId="333654438">
    <w:abstractNumId w:val="18"/>
  </w:num>
  <w:num w:numId="13" w16cid:durableId="969557016">
    <w:abstractNumId w:val="34"/>
  </w:num>
  <w:num w:numId="14" w16cid:durableId="607392429">
    <w:abstractNumId w:val="15"/>
  </w:num>
  <w:num w:numId="15" w16cid:durableId="1953782534">
    <w:abstractNumId w:val="24"/>
  </w:num>
  <w:num w:numId="16" w16cid:durableId="2048219208">
    <w:abstractNumId w:val="19"/>
  </w:num>
  <w:num w:numId="17" w16cid:durableId="684745295">
    <w:abstractNumId w:val="35"/>
  </w:num>
  <w:num w:numId="18" w16cid:durableId="1764376373">
    <w:abstractNumId w:val="25"/>
  </w:num>
  <w:num w:numId="19" w16cid:durableId="807280038">
    <w:abstractNumId w:val="38"/>
  </w:num>
  <w:num w:numId="20" w16cid:durableId="1692685976">
    <w:abstractNumId w:val="43"/>
  </w:num>
  <w:num w:numId="21" w16cid:durableId="1978029892">
    <w:abstractNumId w:val="33"/>
  </w:num>
  <w:num w:numId="22" w16cid:durableId="718896653">
    <w:abstractNumId w:val="23"/>
  </w:num>
  <w:num w:numId="23" w16cid:durableId="159078720">
    <w:abstractNumId w:val="21"/>
  </w:num>
  <w:num w:numId="24" w16cid:durableId="1135441192">
    <w:abstractNumId w:val="22"/>
  </w:num>
  <w:num w:numId="25" w16cid:durableId="1815366340">
    <w:abstractNumId w:val="41"/>
  </w:num>
  <w:num w:numId="26" w16cid:durableId="1577863405">
    <w:abstractNumId w:val="42"/>
  </w:num>
  <w:num w:numId="27" w16cid:durableId="223610688">
    <w:abstractNumId w:val="43"/>
  </w:num>
  <w:num w:numId="28" w16cid:durableId="1207061094">
    <w:abstractNumId w:val="13"/>
  </w:num>
  <w:num w:numId="29" w16cid:durableId="1693920833">
    <w:abstractNumId w:val="27"/>
  </w:num>
  <w:num w:numId="30" w16cid:durableId="1876775477">
    <w:abstractNumId w:val="26"/>
  </w:num>
  <w:num w:numId="31" w16cid:durableId="179972127">
    <w:abstractNumId w:val="10"/>
  </w:num>
  <w:num w:numId="32" w16cid:durableId="970136012">
    <w:abstractNumId w:val="28"/>
  </w:num>
  <w:num w:numId="33" w16cid:durableId="1617836376">
    <w:abstractNumId w:val="12"/>
  </w:num>
  <w:num w:numId="34" w16cid:durableId="357007340">
    <w:abstractNumId w:val="45"/>
  </w:num>
  <w:num w:numId="35" w16cid:durableId="2131776467">
    <w:abstractNumId w:val="11"/>
  </w:num>
  <w:num w:numId="36" w16cid:durableId="1776095800">
    <w:abstractNumId w:val="37"/>
  </w:num>
  <w:num w:numId="37" w16cid:durableId="862209000">
    <w:abstractNumId w:val="30"/>
  </w:num>
  <w:num w:numId="38" w16cid:durableId="322010878">
    <w:abstractNumId w:val="29"/>
  </w:num>
  <w:num w:numId="39" w16cid:durableId="1458373311">
    <w:abstractNumId w:val="39"/>
  </w:num>
  <w:num w:numId="40" w16cid:durableId="288441997">
    <w:abstractNumId w:val="44"/>
  </w:num>
  <w:num w:numId="41" w16cid:durableId="952595072">
    <w:abstractNumId w:val="40"/>
  </w:num>
  <w:num w:numId="42" w16cid:durableId="1427652868">
    <w:abstractNumId w:val="32"/>
  </w:num>
  <w:num w:numId="43" w16cid:durableId="1024401835">
    <w:abstractNumId w:val="20"/>
  </w:num>
  <w:num w:numId="44" w16cid:durableId="428089243">
    <w:abstractNumId w:val="14"/>
  </w:num>
  <w:num w:numId="45" w16cid:durableId="82647767">
    <w:abstractNumId w:val="36"/>
  </w:num>
  <w:num w:numId="46" w16cid:durableId="215163427">
    <w:abstractNumId w:val="16"/>
  </w:num>
  <w:num w:numId="47" w16cid:durableId="222064403">
    <w:abstractNumId w:val="43"/>
  </w:num>
  <w:num w:numId="48" w16cid:durableId="1639922006">
    <w:abstractNumId w:val="43"/>
    <w:lvlOverride w:ilvl="0">
      <w:startOverride w:val="1"/>
    </w:lvlOverride>
  </w:num>
  <w:num w:numId="49" w16cid:durableId="150910159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drawingGridHorizontalSpacing w:val="110"/>
  <w:displayHorizontalDrawingGridEvery w:val="2"/>
  <w:characterSpacingControl w:val="doNotCompress"/>
  <w:hdrShapeDefaults>
    <o:shapedefaults v:ext="edit" spidmax="2050">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062"/>
    <w:rsid w:val="0000209D"/>
    <w:rsid w:val="00004D5A"/>
    <w:rsid w:val="000056D5"/>
    <w:rsid w:val="00006ABD"/>
    <w:rsid w:val="0000767A"/>
    <w:rsid w:val="00010256"/>
    <w:rsid w:val="00010702"/>
    <w:rsid w:val="00011912"/>
    <w:rsid w:val="00011F39"/>
    <w:rsid w:val="00017058"/>
    <w:rsid w:val="0001750B"/>
    <w:rsid w:val="0002195D"/>
    <w:rsid w:val="000234D6"/>
    <w:rsid w:val="00023D29"/>
    <w:rsid w:val="00026389"/>
    <w:rsid w:val="00031AE0"/>
    <w:rsid w:val="000322EF"/>
    <w:rsid w:val="00033FCD"/>
    <w:rsid w:val="000347D3"/>
    <w:rsid w:val="00040D10"/>
    <w:rsid w:val="00041CEC"/>
    <w:rsid w:val="0004694F"/>
    <w:rsid w:val="000522E4"/>
    <w:rsid w:val="00054EA4"/>
    <w:rsid w:val="00055507"/>
    <w:rsid w:val="000610E1"/>
    <w:rsid w:val="00062EC5"/>
    <w:rsid w:val="00062F22"/>
    <w:rsid w:val="000673C2"/>
    <w:rsid w:val="000712B3"/>
    <w:rsid w:val="00073A4E"/>
    <w:rsid w:val="0008263E"/>
    <w:rsid w:val="000829B1"/>
    <w:rsid w:val="00082C19"/>
    <w:rsid w:val="00085395"/>
    <w:rsid w:val="00087634"/>
    <w:rsid w:val="00087F2B"/>
    <w:rsid w:val="000912CC"/>
    <w:rsid w:val="00092201"/>
    <w:rsid w:val="00095135"/>
    <w:rsid w:val="000974D1"/>
    <w:rsid w:val="0009799E"/>
    <w:rsid w:val="000A1183"/>
    <w:rsid w:val="000A256D"/>
    <w:rsid w:val="000A395A"/>
    <w:rsid w:val="000A3A2C"/>
    <w:rsid w:val="000A5265"/>
    <w:rsid w:val="000A57D4"/>
    <w:rsid w:val="000B3CE2"/>
    <w:rsid w:val="000B7C8D"/>
    <w:rsid w:val="000C004E"/>
    <w:rsid w:val="000C2CF1"/>
    <w:rsid w:val="000C3408"/>
    <w:rsid w:val="000C6AFD"/>
    <w:rsid w:val="000C7C6F"/>
    <w:rsid w:val="000D1B52"/>
    <w:rsid w:val="000D3CE8"/>
    <w:rsid w:val="000D5637"/>
    <w:rsid w:val="000E15EA"/>
    <w:rsid w:val="000E22F0"/>
    <w:rsid w:val="000E6FBD"/>
    <w:rsid w:val="000F49A9"/>
    <w:rsid w:val="00100F5C"/>
    <w:rsid w:val="00101CDA"/>
    <w:rsid w:val="00102C41"/>
    <w:rsid w:val="00104C4C"/>
    <w:rsid w:val="00107F50"/>
    <w:rsid w:val="00117623"/>
    <w:rsid w:val="0012096D"/>
    <w:rsid w:val="0012192F"/>
    <w:rsid w:val="001224E5"/>
    <w:rsid w:val="00124940"/>
    <w:rsid w:val="00125D69"/>
    <w:rsid w:val="001405FA"/>
    <w:rsid w:val="00142254"/>
    <w:rsid w:val="001425C3"/>
    <w:rsid w:val="001476BD"/>
    <w:rsid w:val="00151983"/>
    <w:rsid w:val="00153D91"/>
    <w:rsid w:val="001612F4"/>
    <w:rsid w:val="00161AB8"/>
    <w:rsid w:val="0016256B"/>
    <w:rsid w:val="001625B5"/>
    <w:rsid w:val="00163793"/>
    <w:rsid w:val="0016649F"/>
    <w:rsid w:val="00170621"/>
    <w:rsid w:val="001706D6"/>
    <w:rsid w:val="001714F2"/>
    <w:rsid w:val="00175B9F"/>
    <w:rsid w:val="00175C9E"/>
    <w:rsid w:val="00181BBC"/>
    <w:rsid w:val="00184B08"/>
    <w:rsid w:val="00185010"/>
    <w:rsid w:val="0019143B"/>
    <w:rsid w:val="001A0487"/>
    <w:rsid w:val="001A108E"/>
    <w:rsid w:val="001A4CA3"/>
    <w:rsid w:val="001A552F"/>
    <w:rsid w:val="001A5B6F"/>
    <w:rsid w:val="001A6170"/>
    <w:rsid w:val="001A7280"/>
    <w:rsid w:val="001B2CA9"/>
    <w:rsid w:val="001B3110"/>
    <w:rsid w:val="001B4729"/>
    <w:rsid w:val="001B6310"/>
    <w:rsid w:val="001B6C09"/>
    <w:rsid w:val="001B73E6"/>
    <w:rsid w:val="001C05CD"/>
    <w:rsid w:val="001C3924"/>
    <w:rsid w:val="001D1815"/>
    <w:rsid w:val="001D40D7"/>
    <w:rsid w:val="001D48D4"/>
    <w:rsid w:val="001D68B2"/>
    <w:rsid w:val="001E1C2E"/>
    <w:rsid w:val="001E504C"/>
    <w:rsid w:val="001E5850"/>
    <w:rsid w:val="001E6062"/>
    <w:rsid w:val="001E6753"/>
    <w:rsid w:val="001F4597"/>
    <w:rsid w:val="00203DA4"/>
    <w:rsid w:val="00207871"/>
    <w:rsid w:val="002118B9"/>
    <w:rsid w:val="00213E46"/>
    <w:rsid w:val="00214CF7"/>
    <w:rsid w:val="002152E4"/>
    <w:rsid w:val="00216286"/>
    <w:rsid w:val="00216A01"/>
    <w:rsid w:val="002175EA"/>
    <w:rsid w:val="00217C5B"/>
    <w:rsid w:val="0022139E"/>
    <w:rsid w:val="00222729"/>
    <w:rsid w:val="00222833"/>
    <w:rsid w:val="002252E0"/>
    <w:rsid w:val="002255F6"/>
    <w:rsid w:val="00227850"/>
    <w:rsid w:val="00227A53"/>
    <w:rsid w:val="00230682"/>
    <w:rsid w:val="00230C6E"/>
    <w:rsid w:val="00233546"/>
    <w:rsid w:val="00233CD7"/>
    <w:rsid w:val="00233D05"/>
    <w:rsid w:val="00236443"/>
    <w:rsid w:val="00237B95"/>
    <w:rsid w:val="00241B06"/>
    <w:rsid w:val="00242119"/>
    <w:rsid w:val="002421C4"/>
    <w:rsid w:val="00242C10"/>
    <w:rsid w:val="002436BA"/>
    <w:rsid w:val="00244A15"/>
    <w:rsid w:val="0024661A"/>
    <w:rsid w:val="00247319"/>
    <w:rsid w:val="0024741D"/>
    <w:rsid w:val="0024799E"/>
    <w:rsid w:val="00247EE7"/>
    <w:rsid w:val="00252D48"/>
    <w:rsid w:val="00253C0F"/>
    <w:rsid w:val="002558C1"/>
    <w:rsid w:val="00255B30"/>
    <w:rsid w:val="00261A17"/>
    <w:rsid w:val="0027099B"/>
    <w:rsid w:val="00271465"/>
    <w:rsid w:val="00275385"/>
    <w:rsid w:val="00281666"/>
    <w:rsid w:val="0028207A"/>
    <w:rsid w:val="00282918"/>
    <w:rsid w:val="00285412"/>
    <w:rsid w:val="00290725"/>
    <w:rsid w:val="00291407"/>
    <w:rsid w:val="00291640"/>
    <w:rsid w:val="0029568F"/>
    <w:rsid w:val="00295A5D"/>
    <w:rsid w:val="002A1407"/>
    <w:rsid w:val="002A16D4"/>
    <w:rsid w:val="002A230C"/>
    <w:rsid w:val="002A66B0"/>
    <w:rsid w:val="002B2299"/>
    <w:rsid w:val="002B4845"/>
    <w:rsid w:val="002B48B4"/>
    <w:rsid w:val="002C2FE9"/>
    <w:rsid w:val="002C43BD"/>
    <w:rsid w:val="002C5568"/>
    <w:rsid w:val="002D0E59"/>
    <w:rsid w:val="002E02A1"/>
    <w:rsid w:val="002E42AC"/>
    <w:rsid w:val="002E4E4C"/>
    <w:rsid w:val="002F3E4F"/>
    <w:rsid w:val="00302ADD"/>
    <w:rsid w:val="00304771"/>
    <w:rsid w:val="0030495D"/>
    <w:rsid w:val="003052D4"/>
    <w:rsid w:val="00306C5B"/>
    <w:rsid w:val="00307B34"/>
    <w:rsid w:val="003103E0"/>
    <w:rsid w:val="0031173F"/>
    <w:rsid w:val="00314F9F"/>
    <w:rsid w:val="003209D6"/>
    <w:rsid w:val="00321205"/>
    <w:rsid w:val="00321924"/>
    <w:rsid w:val="00324442"/>
    <w:rsid w:val="0032656E"/>
    <w:rsid w:val="00327D4E"/>
    <w:rsid w:val="00332190"/>
    <w:rsid w:val="00340188"/>
    <w:rsid w:val="003421E1"/>
    <w:rsid w:val="0034226A"/>
    <w:rsid w:val="00343182"/>
    <w:rsid w:val="0034335E"/>
    <w:rsid w:val="00344668"/>
    <w:rsid w:val="003462D9"/>
    <w:rsid w:val="00360C86"/>
    <w:rsid w:val="00360FBC"/>
    <w:rsid w:val="00362E90"/>
    <w:rsid w:val="00364FA0"/>
    <w:rsid w:val="003657F3"/>
    <w:rsid w:val="00366591"/>
    <w:rsid w:val="00371826"/>
    <w:rsid w:val="00373504"/>
    <w:rsid w:val="00374FEF"/>
    <w:rsid w:val="0038123E"/>
    <w:rsid w:val="003818DC"/>
    <w:rsid w:val="00382C5B"/>
    <w:rsid w:val="00384327"/>
    <w:rsid w:val="00385D98"/>
    <w:rsid w:val="003A1A03"/>
    <w:rsid w:val="003A2B4D"/>
    <w:rsid w:val="003A2B5E"/>
    <w:rsid w:val="003A2D12"/>
    <w:rsid w:val="003A478C"/>
    <w:rsid w:val="003A5525"/>
    <w:rsid w:val="003A6B38"/>
    <w:rsid w:val="003B461F"/>
    <w:rsid w:val="003B5A32"/>
    <w:rsid w:val="003B6B31"/>
    <w:rsid w:val="003B7AFA"/>
    <w:rsid w:val="003C1099"/>
    <w:rsid w:val="003C3490"/>
    <w:rsid w:val="003C6550"/>
    <w:rsid w:val="003C7E62"/>
    <w:rsid w:val="003D5B4E"/>
    <w:rsid w:val="003D6920"/>
    <w:rsid w:val="003E3F1E"/>
    <w:rsid w:val="003E48F2"/>
    <w:rsid w:val="003E4C91"/>
    <w:rsid w:val="003E5DB7"/>
    <w:rsid w:val="003E62A5"/>
    <w:rsid w:val="003F313C"/>
    <w:rsid w:val="003F37FC"/>
    <w:rsid w:val="003F4B2C"/>
    <w:rsid w:val="003F551C"/>
    <w:rsid w:val="003F62B0"/>
    <w:rsid w:val="003F72ED"/>
    <w:rsid w:val="003F7D23"/>
    <w:rsid w:val="00400DF4"/>
    <w:rsid w:val="0040550D"/>
    <w:rsid w:val="004069FF"/>
    <w:rsid w:val="00407510"/>
    <w:rsid w:val="00407C13"/>
    <w:rsid w:val="0041041D"/>
    <w:rsid w:val="00410638"/>
    <w:rsid w:val="00410694"/>
    <w:rsid w:val="0041501E"/>
    <w:rsid w:val="004159C3"/>
    <w:rsid w:val="00416EB7"/>
    <w:rsid w:val="00420136"/>
    <w:rsid w:val="00432A58"/>
    <w:rsid w:val="00434617"/>
    <w:rsid w:val="00440900"/>
    <w:rsid w:val="00441BF6"/>
    <w:rsid w:val="00443556"/>
    <w:rsid w:val="004441A0"/>
    <w:rsid w:val="004455BA"/>
    <w:rsid w:val="00446D77"/>
    <w:rsid w:val="0045078A"/>
    <w:rsid w:val="0045086D"/>
    <w:rsid w:val="00451504"/>
    <w:rsid w:val="004557A9"/>
    <w:rsid w:val="00456339"/>
    <w:rsid w:val="004607BF"/>
    <w:rsid w:val="00460FB3"/>
    <w:rsid w:val="00465F26"/>
    <w:rsid w:val="0046627E"/>
    <w:rsid w:val="00476240"/>
    <w:rsid w:val="00476439"/>
    <w:rsid w:val="0047735C"/>
    <w:rsid w:val="004776BC"/>
    <w:rsid w:val="0048139F"/>
    <w:rsid w:val="00481E40"/>
    <w:rsid w:val="00484ECE"/>
    <w:rsid w:val="00485567"/>
    <w:rsid w:val="004915CB"/>
    <w:rsid w:val="004924DC"/>
    <w:rsid w:val="004963C7"/>
    <w:rsid w:val="004976EF"/>
    <w:rsid w:val="004A14E4"/>
    <w:rsid w:val="004A3212"/>
    <w:rsid w:val="004A5494"/>
    <w:rsid w:val="004A61C5"/>
    <w:rsid w:val="004A77DF"/>
    <w:rsid w:val="004B1417"/>
    <w:rsid w:val="004B55B7"/>
    <w:rsid w:val="004B5A60"/>
    <w:rsid w:val="004B6468"/>
    <w:rsid w:val="004B7125"/>
    <w:rsid w:val="004C180F"/>
    <w:rsid w:val="004C384C"/>
    <w:rsid w:val="004C3867"/>
    <w:rsid w:val="004C456F"/>
    <w:rsid w:val="004C4CD0"/>
    <w:rsid w:val="004C5B81"/>
    <w:rsid w:val="004C6092"/>
    <w:rsid w:val="004C70DC"/>
    <w:rsid w:val="004D0211"/>
    <w:rsid w:val="004D0794"/>
    <w:rsid w:val="004D5C93"/>
    <w:rsid w:val="004E1288"/>
    <w:rsid w:val="004E7C6B"/>
    <w:rsid w:val="004F06F5"/>
    <w:rsid w:val="004F16B2"/>
    <w:rsid w:val="004F2C1B"/>
    <w:rsid w:val="004F33A0"/>
    <w:rsid w:val="004F3A59"/>
    <w:rsid w:val="005040A8"/>
    <w:rsid w:val="00504EE1"/>
    <w:rsid w:val="0050689D"/>
    <w:rsid w:val="00510205"/>
    <w:rsid w:val="005108C0"/>
    <w:rsid w:val="00511873"/>
    <w:rsid w:val="00511DE3"/>
    <w:rsid w:val="00512A2F"/>
    <w:rsid w:val="00513B7E"/>
    <w:rsid w:val="00515684"/>
    <w:rsid w:val="00515C74"/>
    <w:rsid w:val="00516086"/>
    <w:rsid w:val="0051713B"/>
    <w:rsid w:val="0052007E"/>
    <w:rsid w:val="0052337A"/>
    <w:rsid w:val="00525137"/>
    <w:rsid w:val="005251DD"/>
    <w:rsid w:val="00532CE7"/>
    <w:rsid w:val="00532E62"/>
    <w:rsid w:val="0053324C"/>
    <w:rsid w:val="00533DAC"/>
    <w:rsid w:val="00534A28"/>
    <w:rsid w:val="00541508"/>
    <w:rsid w:val="00543498"/>
    <w:rsid w:val="00545512"/>
    <w:rsid w:val="00553016"/>
    <w:rsid w:val="0055599F"/>
    <w:rsid w:val="00556995"/>
    <w:rsid w:val="00556D68"/>
    <w:rsid w:val="00563EB8"/>
    <w:rsid w:val="005647BF"/>
    <w:rsid w:val="0056486D"/>
    <w:rsid w:val="00564AF1"/>
    <w:rsid w:val="0056601A"/>
    <w:rsid w:val="005722EB"/>
    <w:rsid w:val="0057364B"/>
    <w:rsid w:val="00574773"/>
    <w:rsid w:val="0058050D"/>
    <w:rsid w:val="0058308D"/>
    <w:rsid w:val="00583FFD"/>
    <w:rsid w:val="00591099"/>
    <w:rsid w:val="005911BE"/>
    <w:rsid w:val="00593152"/>
    <w:rsid w:val="00596010"/>
    <w:rsid w:val="005A10F2"/>
    <w:rsid w:val="005A14E8"/>
    <w:rsid w:val="005A21E0"/>
    <w:rsid w:val="005A28FF"/>
    <w:rsid w:val="005A3DF8"/>
    <w:rsid w:val="005A5113"/>
    <w:rsid w:val="005A5549"/>
    <w:rsid w:val="005A7038"/>
    <w:rsid w:val="005B121D"/>
    <w:rsid w:val="005B3361"/>
    <w:rsid w:val="005C06ED"/>
    <w:rsid w:val="005C2609"/>
    <w:rsid w:val="005C6CF0"/>
    <w:rsid w:val="005D0D46"/>
    <w:rsid w:val="005D5802"/>
    <w:rsid w:val="005D7119"/>
    <w:rsid w:val="005D7241"/>
    <w:rsid w:val="005D7890"/>
    <w:rsid w:val="005E705E"/>
    <w:rsid w:val="005E7C78"/>
    <w:rsid w:val="005F18C5"/>
    <w:rsid w:val="005F3374"/>
    <w:rsid w:val="005F3491"/>
    <w:rsid w:val="005F3EB1"/>
    <w:rsid w:val="005F46D8"/>
    <w:rsid w:val="005F5469"/>
    <w:rsid w:val="00603FF5"/>
    <w:rsid w:val="00604307"/>
    <w:rsid w:val="0060487F"/>
    <w:rsid w:val="00604EAD"/>
    <w:rsid w:val="00605D96"/>
    <w:rsid w:val="006104FB"/>
    <w:rsid w:val="00612A2F"/>
    <w:rsid w:val="0061390C"/>
    <w:rsid w:val="006165E5"/>
    <w:rsid w:val="00616E05"/>
    <w:rsid w:val="00622275"/>
    <w:rsid w:val="00624093"/>
    <w:rsid w:val="00625F8F"/>
    <w:rsid w:val="006350D5"/>
    <w:rsid w:val="006404A7"/>
    <w:rsid w:val="006451E4"/>
    <w:rsid w:val="00645B33"/>
    <w:rsid w:val="006516CB"/>
    <w:rsid w:val="00656FC8"/>
    <w:rsid w:val="00657E87"/>
    <w:rsid w:val="00660072"/>
    <w:rsid w:val="00664803"/>
    <w:rsid w:val="0066504F"/>
    <w:rsid w:val="00665BA4"/>
    <w:rsid w:val="00667AF2"/>
    <w:rsid w:val="006710C9"/>
    <w:rsid w:val="006712EC"/>
    <w:rsid w:val="0067229E"/>
    <w:rsid w:val="006741AC"/>
    <w:rsid w:val="00674D89"/>
    <w:rsid w:val="00675E37"/>
    <w:rsid w:val="0068174E"/>
    <w:rsid w:val="00681DCE"/>
    <w:rsid w:val="0068260E"/>
    <w:rsid w:val="0068697A"/>
    <w:rsid w:val="00693FEC"/>
    <w:rsid w:val="0069490A"/>
    <w:rsid w:val="00695BEF"/>
    <w:rsid w:val="006977F6"/>
    <w:rsid w:val="00697A13"/>
    <w:rsid w:val="006A109C"/>
    <w:rsid w:val="006A2056"/>
    <w:rsid w:val="006A31AB"/>
    <w:rsid w:val="006B0F92"/>
    <w:rsid w:val="006B173A"/>
    <w:rsid w:val="006B344A"/>
    <w:rsid w:val="006B6C74"/>
    <w:rsid w:val="006B759B"/>
    <w:rsid w:val="006B78D8"/>
    <w:rsid w:val="006C113F"/>
    <w:rsid w:val="006C123E"/>
    <w:rsid w:val="006C1752"/>
    <w:rsid w:val="006C4460"/>
    <w:rsid w:val="006C4ED6"/>
    <w:rsid w:val="006C56D4"/>
    <w:rsid w:val="006C6924"/>
    <w:rsid w:val="006C70EB"/>
    <w:rsid w:val="006C7CA6"/>
    <w:rsid w:val="006D3E8A"/>
    <w:rsid w:val="006D61F6"/>
    <w:rsid w:val="006E279A"/>
    <w:rsid w:val="006E313B"/>
    <w:rsid w:val="006E41EC"/>
    <w:rsid w:val="006E4254"/>
    <w:rsid w:val="006E50F8"/>
    <w:rsid w:val="006E7227"/>
    <w:rsid w:val="006F438E"/>
    <w:rsid w:val="006F5416"/>
    <w:rsid w:val="006F7076"/>
    <w:rsid w:val="00702448"/>
    <w:rsid w:val="00705242"/>
    <w:rsid w:val="00706AD4"/>
    <w:rsid w:val="00707150"/>
    <w:rsid w:val="00710078"/>
    <w:rsid w:val="00710229"/>
    <w:rsid w:val="0071217E"/>
    <w:rsid w:val="007140BE"/>
    <w:rsid w:val="007143B4"/>
    <w:rsid w:val="007211F5"/>
    <w:rsid w:val="0072213B"/>
    <w:rsid w:val="00723946"/>
    <w:rsid w:val="007240E2"/>
    <w:rsid w:val="00725BB5"/>
    <w:rsid w:val="00730517"/>
    <w:rsid w:val="00730AE8"/>
    <w:rsid w:val="00730F1B"/>
    <w:rsid w:val="00733628"/>
    <w:rsid w:val="007342AC"/>
    <w:rsid w:val="00741493"/>
    <w:rsid w:val="00743C34"/>
    <w:rsid w:val="007457F6"/>
    <w:rsid w:val="00752180"/>
    <w:rsid w:val="00753CAB"/>
    <w:rsid w:val="00755202"/>
    <w:rsid w:val="00755D3A"/>
    <w:rsid w:val="007578D3"/>
    <w:rsid w:val="007609C6"/>
    <w:rsid w:val="00760EA4"/>
    <w:rsid w:val="0076175D"/>
    <w:rsid w:val="00763B85"/>
    <w:rsid w:val="00764744"/>
    <w:rsid w:val="0076521E"/>
    <w:rsid w:val="00765C12"/>
    <w:rsid w:val="007661E9"/>
    <w:rsid w:val="00770784"/>
    <w:rsid w:val="00773220"/>
    <w:rsid w:val="00776169"/>
    <w:rsid w:val="00776527"/>
    <w:rsid w:val="00776EAB"/>
    <w:rsid w:val="00780EF1"/>
    <w:rsid w:val="00782AD8"/>
    <w:rsid w:val="00790711"/>
    <w:rsid w:val="00790764"/>
    <w:rsid w:val="0079124F"/>
    <w:rsid w:val="0079453C"/>
    <w:rsid w:val="00794677"/>
    <w:rsid w:val="00795928"/>
    <w:rsid w:val="00797445"/>
    <w:rsid w:val="007A3861"/>
    <w:rsid w:val="007A4577"/>
    <w:rsid w:val="007A516D"/>
    <w:rsid w:val="007B6689"/>
    <w:rsid w:val="007C6BBD"/>
    <w:rsid w:val="007D293C"/>
    <w:rsid w:val="007D40DF"/>
    <w:rsid w:val="007E29B4"/>
    <w:rsid w:val="007E435A"/>
    <w:rsid w:val="007E76C3"/>
    <w:rsid w:val="007E7E61"/>
    <w:rsid w:val="007E7FCE"/>
    <w:rsid w:val="007F0076"/>
    <w:rsid w:val="007F0845"/>
    <w:rsid w:val="007F708D"/>
    <w:rsid w:val="00800216"/>
    <w:rsid w:val="00801E13"/>
    <w:rsid w:val="00807365"/>
    <w:rsid w:val="00807C82"/>
    <w:rsid w:val="00810C82"/>
    <w:rsid w:val="00811E1D"/>
    <w:rsid w:val="00814B15"/>
    <w:rsid w:val="00816905"/>
    <w:rsid w:val="00821777"/>
    <w:rsid w:val="00821C44"/>
    <w:rsid w:val="00821FF6"/>
    <w:rsid w:val="00822574"/>
    <w:rsid w:val="00825C4D"/>
    <w:rsid w:val="008304D1"/>
    <w:rsid w:val="00830D03"/>
    <w:rsid w:val="0083143E"/>
    <w:rsid w:val="00831CDE"/>
    <w:rsid w:val="00834304"/>
    <w:rsid w:val="00834FAA"/>
    <w:rsid w:val="0083516C"/>
    <w:rsid w:val="00836086"/>
    <w:rsid w:val="00843A14"/>
    <w:rsid w:val="00846121"/>
    <w:rsid w:val="008462A8"/>
    <w:rsid w:val="0084708F"/>
    <w:rsid w:val="008477C8"/>
    <w:rsid w:val="00847963"/>
    <w:rsid w:val="00850815"/>
    <w:rsid w:val="0085114D"/>
    <w:rsid w:val="00852217"/>
    <w:rsid w:val="00853B8D"/>
    <w:rsid w:val="00854F24"/>
    <w:rsid w:val="00855408"/>
    <w:rsid w:val="00855712"/>
    <w:rsid w:val="00856D65"/>
    <w:rsid w:val="00861B41"/>
    <w:rsid w:val="00861BE3"/>
    <w:rsid w:val="00863434"/>
    <w:rsid w:val="00865E4C"/>
    <w:rsid w:val="008701E4"/>
    <w:rsid w:val="0087052A"/>
    <w:rsid w:val="00871069"/>
    <w:rsid w:val="00875A32"/>
    <w:rsid w:val="00876086"/>
    <w:rsid w:val="008766AC"/>
    <w:rsid w:val="00881EAF"/>
    <w:rsid w:val="008825B0"/>
    <w:rsid w:val="00884AD6"/>
    <w:rsid w:val="008873D4"/>
    <w:rsid w:val="00890D6D"/>
    <w:rsid w:val="0089126C"/>
    <w:rsid w:val="0089296D"/>
    <w:rsid w:val="00893E85"/>
    <w:rsid w:val="00894031"/>
    <w:rsid w:val="00895508"/>
    <w:rsid w:val="008A6CB4"/>
    <w:rsid w:val="008B542E"/>
    <w:rsid w:val="008B5CF6"/>
    <w:rsid w:val="008B76AB"/>
    <w:rsid w:val="008B7C02"/>
    <w:rsid w:val="008B7D2B"/>
    <w:rsid w:val="008C0049"/>
    <w:rsid w:val="008C0E88"/>
    <w:rsid w:val="008C1968"/>
    <w:rsid w:val="008C53CB"/>
    <w:rsid w:val="008C6FD4"/>
    <w:rsid w:val="008D1BA1"/>
    <w:rsid w:val="008D1E6A"/>
    <w:rsid w:val="008D2A16"/>
    <w:rsid w:val="008D632C"/>
    <w:rsid w:val="008D6B35"/>
    <w:rsid w:val="008D75D9"/>
    <w:rsid w:val="008E163D"/>
    <w:rsid w:val="008E2C57"/>
    <w:rsid w:val="008E31FF"/>
    <w:rsid w:val="008E6F06"/>
    <w:rsid w:val="008E7FC9"/>
    <w:rsid w:val="008F029B"/>
    <w:rsid w:val="008F3FC9"/>
    <w:rsid w:val="008F585B"/>
    <w:rsid w:val="009003A8"/>
    <w:rsid w:val="00901518"/>
    <w:rsid w:val="00902500"/>
    <w:rsid w:val="00902EFF"/>
    <w:rsid w:val="00906401"/>
    <w:rsid w:val="0091155E"/>
    <w:rsid w:val="00912A92"/>
    <w:rsid w:val="0091728D"/>
    <w:rsid w:val="0092180B"/>
    <w:rsid w:val="00921F14"/>
    <w:rsid w:val="009231A3"/>
    <w:rsid w:val="00924AC8"/>
    <w:rsid w:val="0092597A"/>
    <w:rsid w:val="00925E75"/>
    <w:rsid w:val="00930FB1"/>
    <w:rsid w:val="0093139F"/>
    <w:rsid w:val="00932443"/>
    <w:rsid w:val="00934464"/>
    <w:rsid w:val="00937AE2"/>
    <w:rsid w:val="00943853"/>
    <w:rsid w:val="0094427A"/>
    <w:rsid w:val="00945245"/>
    <w:rsid w:val="009452D0"/>
    <w:rsid w:val="00956572"/>
    <w:rsid w:val="00957309"/>
    <w:rsid w:val="0095759C"/>
    <w:rsid w:val="009607C5"/>
    <w:rsid w:val="00961532"/>
    <w:rsid w:val="0096774F"/>
    <w:rsid w:val="00967E76"/>
    <w:rsid w:val="009721DB"/>
    <w:rsid w:val="0097239B"/>
    <w:rsid w:val="00974071"/>
    <w:rsid w:val="00974923"/>
    <w:rsid w:val="009808F7"/>
    <w:rsid w:val="00980D3D"/>
    <w:rsid w:val="00981FFA"/>
    <w:rsid w:val="009855E1"/>
    <w:rsid w:val="00986D06"/>
    <w:rsid w:val="00987A30"/>
    <w:rsid w:val="00992CF3"/>
    <w:rsid w:val="00994868"/>
    <w:rsid w:val="0099574A"/>
    <w:rsid w:val="009968D6"/>
    <w:rsid w:val="009A1CAB"/>
    <w:rsid w:val="009A60D1"/>
    <w:rsid w:val="009B6FD3"/>
    <w:rsid w:val="009C02C3"/>
    <w:rsid w:val="009C1750"/>
    <w:rsid w:val="009C2E29"/>
    <w:rsid w:val="009C3F5D"/>
    <w:rsid w:val="009C554B"/>
    <w:rsid w:val="009C719E"/>
    <w:rsid w:val="009C7A10"/>
    <w:rsid w:val="009D1120"/>
    <w:rsid w:val="009D3ACD"/>
    <w:rsid w:val="009D4785"/>
    <w:rsid w:val="009E1988"/>
    <w:rsid w:val="009E5273"/>
    <w:rsid w:val="009E5DDB"/>
    <w:rsid w:val="009E7F05"/>
    <w:rsid w:val="009F46B7"/>
    <w:rsid w:val="009F4CA7"/>
    <w:rsid w:val="009F7558"/>
    <w:rsid w:val="009F791A"/>
    <w:rsid w:val="00A04CEF"/>
    <w:rsid w:val="00A10D66"/>
    <w:rsid w:val="00A14114"/>
    <w:rsid w:val="00A14995"/>
    <w:rsid w:val="00A1537C"/>
    <w:rsid w:val="00A16413"/>
    <w:rsid w:val="00A16E1D"/>
    <w:rsid w:val="00A17D5B"/>
    <w:rsid w:val="00A17EB2"/>
    <w:rsid w:val="00A206E5"/>
    <w:rsid w:val="00A20CC0"/>
    <w:rsid w:val="00A23447"/>
    <w:rsid w:val="00A23E43"/>
    <w:rsid w:val="00A25216"/>
    <w:rsid w:val="00A30F65"/>
    <w:rsid w:val="00A32BF2"/>
    <w:rsid w:val="00A33549"/>
    <w:rsid w:val="00A33A89"/>
    <w:rsid w:val="00A34D27"/>
    <w:rsid w:val="00A40EAC"/>
    <w:rsid w:val="00A40EDD"/>
    <w:rsid w:val="00A418BC"/>
    <w:rsid w:val="00A4206C"/>
    <w:rsid w:val="00A4632B"/>
    <w:rsid w:val="00A46DE0"/>
    <w:rsid w:val="00A472EB"/>
    <w:rsid w:val="00A47FCA"/>
    <w:rsid w:val="00A50D73"/>
    <w:rsid w:val="00A52CAD"/>
    <w:rsid w:val="00A53FC7"/>
    <w:rsid w:val="00A60799"/>
    <w:rsid w:val="00A62CE1"/>
    <w:rsid w:val="00A668A3"/>
    <w:rsid w:val="00A6741E"/>
    <w:rsid w:val="00A754EA"/>
    <w:rsid w:val="00A75E40"/>
    <w:rsid w:val="00A770F4"/>
    <w:rsid w:val="00A77D1D"/>
    <w:rsid w:val="00A84A6A"/>
    <w:rsid w:val="00A857C0"/>
    <w:rsid w:val="00A90FED"/>
    <w:rsid w:val="00AA2996"/>
    <w:rsid w:val="00AA2A70"/>
    <w:rsid w:val="00AA2DA1"/>
    <w:rsid w:val="00AA4B30"/>
    <w:rsid w:val="00AA52BF"/>
    <w:rsid w:val="00AA559A"/>
    <w:rsid w:val="00AB2AF1"/>
    <w:rsid w:val="00AB535B"/>
    <w:rsid w:val="00AC45BD"/>
    <w:rsid w:val="00AC5791"/>
    <w:rsid w:val="00AD168E"/>
    <w:rsid w:val="00AD306C"/>
    <w:rsid w:val="00AD4F16"/>
    <w:rsid w:val="00AD5323"/>
    <w:rsid w:val="00AD68C4"/>
    <w:rsid w:val="00AE09B3"/>
    <w:rsid w:val="00AE0ED3"/>
    <w:rsid w:val="00AE153F"/>
    <w:rsid w:val="00AE1A2E"/>
    <w:rsid w:val="00AE1A83"/>
    <w:rsid w:val="00AE31A7"/>
    <w:rsid w:val="00AF1DE9"/>
    <w:rsid w:val="00AF6128"/>
    <w:rsid w:val="00B00913"/>
    <w:rsid w:val="00B01593"/>
    <w:rsid w:val="00B01CF3"/>
    <w:rsid w:val="00B023F2"/>
    <w:rsid w:val="00B04705"/>
    <w:rsid w:val="00B04E70"/>
    <w:rsid w:val="00B07959"/>
    <w:rsid w:val="00B07BBB"/>
    <w:rsid w:val="00B10325"/>
    <w:rsid w:val="00B10A4D"/>
    <w:rsid w:val="00B14BC1"/>
    <w:rsid w:val="00B17E71"/>
    <w:rsid w:val="00B17FDE"/>
    <w:rsid w:val="00B2379C"/>
    <w:rsid w:val="00B25189"/>
    <w:rsid w:val="00B2687D"/>
    <w:rsid w:val="00B26897"/>
    <w:rsid w:val="00B32DDB"/>
    <w:rsid w:val="00B34528"/>
    <w:rsid w:val="00B34CC9"/>
    <w:rsid w:val="00B402FC"/>
    <w:rsid w:val="00B439DA"/>
    <w:rsid w:val="00B46604"/>
    <w:rsid w:val="00B50624"/>
    <w:rsid w:val="00B530CD"/>
    <w:rsid w:val="00B55F5E"/>
    <w:rsid w:val="00B5752E"/>
    <w:rsid w:val="00B63A11"/>
    <w:rsid w:val="00B63B6A"/>
    <w:rsid w:val="00B64C24"/>
    <w:rsid w:val="00B6608F"/>
    <w:rsid w:val="00B67768"/>
    <w:rsid w:val="00B679FB"/>
    <w:rsid w:val="00B71EF7"/>
    <w:rsid w:val="00B7665A"/>
    <w:rsid w:val="00B76D1E"/>
    <w:rsid w:val="00B8028A"/>
    <w:rsid w:val="00B80B8B"/>
    <w:rsid w:val="00B80EC6"/>
    <w:rsid w:val="00B84CF6"/>
    <w:rsid w:val="00B857A1"/>
    <w:rsid w:val="00B87623"/>
    <w:rsid w:val="00B92D1D"/>
    <w:rsid w:val="00B938C5"/>
    <w:rsid w:val="00B95940"/>
    <w:rsid w:val="00BA37EA"/>
    <w:rsid w:val="00BA5256"/>
    <w:rsid w:val="00BA6C2B"/>
    <w:rsid w:val="00BB22F6"/>
    <w:rsid w:val="00BB46F3"/>
    <w:rsid w:val="00BB4CB1"/>
    <w:rsid w:val="00BB4F98"/>
    <w:rsid w:val="00BB73ED"/>
    <w:rsid w:val="00BC5C12"/>
    <w:rsid w:val="00BC7154"/>
    <w:rsid w:val="00BC731E"/>
    <w:rsid w:val="00BD366B"/>
    <w:rsid w:val="00BD6D50"/>
    <w:rsid w:val="00BE18B9"/>
    <w:rsid w:val="00BE2495"/>
    <w:rsid w:val="00BF1578"/>
    <w:rsid w:val="00BF3B1D"/>
    <w:rsid w:val="00BF6D32"/>
    <w:rsid w:val="00BF71A0"/>
    <w:rsid w:val="00BF723F"/>
    <w:rsid w:val="00C02943"/>
    <w:rsid w:val="00C16FB0"/>
    <w:rsid w:val="00C21F94"/>
    <w:rsid w:val="00C27913"/>
    <w:rsid w:val="00C27E4F"/>
    <w:rsid w:val="00C325AE"/>
    <w:rsid w:val="00C32964"/>
    <w:rsid w:val="00C33B68"/>
    <w:rsid w:val="00C36A79"/>
    <w:rsid w:val="00C401D2"/>
    <w:rsid w:val="00C405D4"/>
    <w:rsid w:val="00C41D07"/>
    <w:rsid w:val="00C4431F"/>
    <w:rsid w:val="00C4513B"/>
    <w:rsid w:val="00C5390B"/>
    <w:rsid w:val="00C53E5D"/>
    <w:rsid w:val="00C54141"/>
    <w:rsid w:val="00C5418A"/>
    <w:rsid w:val="00C54697"/>
    <w:rsid w:val="00C65535"/>
    <w:rsid w:val="00C65C22"/>
    <w:rsid w:val="00C66B0D"/>
    <w:rsid w:val="00C71E85"/>
    <w:rsid w:val="00C72884"/>
    <w:rsid w:val="00C73885"/>
    <w:rsid w:val="00C73BA9"/>
    <w:rsid w:val="00C747B1"/>
    <w:rsid w:val="00C82191"/>
    <w:rsid w:val="00C83134"/>
    <w:rsid w:val="00C85545"/>
    <w:rsid w:val="00C9003C"/>
    <w:rsid w:val="00C90CF4"/>
    <w:rsid w:val="00C92EB6"/>
    <w:rsid w:val="00C93389"/>
    <w:rsid w:val="00C96040"/>
    <w:rsid w:val="00C9769E"/>
    <w:rsid w:val="00CA0914"/>
    <w:rsid w:val="00CA6AB4"/>
    <w:rsid w:val="00CA7BE7"/>
    <w:rsid w:val="00CB2F3F"/>
    <w:rsid w:val="00CB4930"/>
    <w:rsid w:val="00CC0E87"/>
    <w:rsid w:val="00CC2E7D"/>
    <w:rsid w:val="00CC6B42"/>
    <w:rsid w:val="00CD10A5"/>
    <w:rsid w:val="00CD2076"/>
    <w:rsid w:val="00CD29B5"/>
    <w:rsid w:val="00CD6331"/>
    <w:rsid w:val="00CD7704"/>
    <w:rsid w:val="00CD7AFB"/>
    <w:rsid w:val="00CE3E57"/>
    <w:rsid w:val="00CE670B"/>
    <w:rsid w:val="00CF19CB"/>
    <w:rsid w:val="00CF262D"/>
    <w:rsid w:val="00CF322D"/>
    <w:rsid w:val="00CF39C9"/>
    <w:rsid w:val="00CF4908"/>
    <w:rsid w:val="00CF51EC"/>
    <w:rsid w:val="00CF59E5"/>
    <w:rsid w:val="00CF73AE"/>
    <w:rsid w:val="00D040DD"/>
    <w:rsid w:val="00D075BE"/>
    <w:rsid w:val="00D13986"/>
    <w:rsid w:val="00D21D83"/>
    <w:rsid w:val="00D235B7"/>
    <w:rsid w:val="00D23C02"/>
    <w:rsid w:val="00D23F97"/>
    <w:rsid w:val="00D25F28"/>
    <w:rsid w:val="00D26071"/>
    <w:rsid w:val="00D27973"/>
    <w:rsid w:val="00D35E1A"/>
    <w:rsid w:val="00D37C1E"/>
    <w:rsid w:val="00D40B2B"/>
    <w:rsid w:val="00D40F7C"/>
    <w:rsid w:val="00D417B7"/>
    <w:rsid w:val="00D42211"/>
    <w:rsid w:val="00D42756"/>
    <w:rsid w:val="00D50F46"/>
    <w:rsid w:val="00D567C6"/>
    <w:rsid w:val="00D57677"/>
    <w:rsid w:val="00D61DF8"/>
    <w:rsid w:val="00D66223"/>
    <w:rsid w:val="00D674D7"/>
    <w:rsid w:val="00D71625"/>
    <w:rsid w:val="00D751DA"/>
    <w:rsid w:val="00D8084C"/>
    <w:rsid w:val="00D915EA"/>
    <w:rsid w:val="00D95B68"/>
    <w:rsid w:val="00D96855"/>
    <w:rsid w:val="00DA47A8"/>
    <w:rsid w:val="00DA48C1"/>
    <w:rsid w:val="00DA7C0C"/>
    <w:rsid w:val="00DB08A9"/>
    <w:rsid w:val="00DB2EC8"/>
    <w:rsid w:val="00DB5AF8"/>
    <w:rsid w:val="00DB5FC0"/>
    <w:rsid w:val="00DB6566"/>
    <w:rsid w:val="00DC1B9B"/>
    <w:rsid w:val="00DC1E84"/>
    <w:rsid w:val="00DC40D2"/>
    <w:rsid w:val="00DC48F1"/>
    <w:rsid w:val="00DC4EDE"/>
    <w:rsid w:val="00DC5B3B"/>
    <w:rsid w:val="00DD129F"/>
    <w:rsid w:val="00DD4EFE"/>
    <w:rsid w:val="00DE02BD"/>
    <w:rsid w:val="00DE5DBA"/>
    <w:rsid w:val="00DF42FF"/>
    <w:rsid w:val="00DF5908"/>
    <w:rsid w:val="00E01C0E"/>
    <w:rsid w:val="00E03F9A"/>
    <w:rsid w:val="00E0465E"/>
    <w:rsid w:val="00E04694"/>
    <w:rsid w:val="00E063CE"/>
    <w:rsid w:val="00E12B1E"/>
    <w:rsid w:val="00E12F7C"/>
    <w:rsid w:val="00E15B76"/>
    <w:rsid w:val="00E17262"/>
    <w:rsid w:val="00E20B53"/>
    <w:rsid w:val="00E253A2"/>
    <w:rsid w:val="00E314B9"/>
    <w:rsid w:val="00E329EF"/>
    <w:rsid w:val="00E3309D"/>
    <w:rsid w:val="00E374F4"/>
    <w:rsid w:val="00E409C2"/>
    <w:rsid w:val="00E43C1C"/>
    <w:rsid w:val="00E45931"/>
    <w:rsid w:val="00E47EBA"/>
    <w:rsid w:val="00E50156"/>
    <w:rsid w:val="00E51643"/>
    <w:rsid w:val="00E53470"/>
    <w:rsid w:val="00E53874"/>
    <w:rsid w:val="00E539F6"/>
    <w:rsid w:val="00E54E39"/>
    <w:rsid w:val="00E55091"/>
    <w:rsid w:val="00E6519D"/>
    <w:rsid w:val="00E67696"/>
    <w:rsid w:val="00E71654"/>
    <w:rsid w:val="00E71A58"/>
    <w:rsid w:val="00E72A7A"/>
    <w:rsid w:val="00E75C94"/>
    <w:rsid w:val="00E7677B"/>
    <w:rsid w:val="00E849A6"/>
    <w:rsid w:val="00E91024"/>
    <w:rsid w:val="00E920F4"/>
    <w:rsid w:val="00E93820"/>
    <w:rsid w:val="00E944EF"/>
    <w:rsid w:val="00E94A86"/>
    <w:rsid w:val="00E96143"/>
    <w:rsid w:val="00EA038B"/>
    <w:rsid w:val="00EA0987"/>
    <w:rsid w:val="00EA0C68"/>
    <w:rsid w:val="00EA32BC"/>
    <w:rsid w:val="00EA4302"/>
    <w:rsid w:val="00EA6C97"/>
    <w:rsid w:val="00EA7407"/>
    <w:rsid w:val="00EB39C7"/>
    <w:rsid w:val="00EB3D8F"/>
    <w:rsid w:val="00EB4511"/>
    <w:rsid w:val="00EB4A12"/>
    <w:rsid w:val="00EC03D7"/>
    <w:rsid w:val="00EC15CC"/>
    <w:rsid w:val="00EC313D"/>
    <w:rsid w:val="00ED62C6"/>
    <w:rsid w:val="00ED64C1"/>
    <w:rsid w:val="00EE0E68"/>
    <w:rsid w:val="00EE3446"/>
    <w:rsid w:val="00EE3E78"/>
    <w:rsid w:val="00EE4B1B"/>
    <w:rsid w:val="00EE7F19"/>
    <w:rsid w:val="00EF150D"/>
    <w:rsid w:val="00EF1F5A"/>
    <w:rsid w:val="00EF47BF"/>
    <w:rsid w:val="00EF6DB3"/>
    <w:rsid w:val="00F04811"/>
    <w:rsid w:val="00F0488C"/>
    <w:rsid w:val="00F066CF"/>
    <w:rsid w:val="00F10F11"/>
    <w:rsid w:val="00F15AAA"/>
    <w:rsid w:val="00F15BEF"/>
    <w:rsid w:val="00F17E83"/>
    <w:rsid w:val="00F24407"/>
    <w:rsid w:val="00F24931"/>
    <w:rsid w:val="00F24FAA"/>
    <w:rsid w:val="00F252A0"/>
    <w:rsid w:val="00F25B4A"/>
    <w:rsid w:val="00F25DEE"/>
    <w:rsid w:val="00F3364D"/>
    <w:rsid w:val="00F437CC"/>
    <w:rsid w:val="00F43E29"/>
    <w:rsid w:val="00F44537"/>
    <w:rsid w:val="00F44B6A"/>
    <w:rsid w:val="00F47067"/>
    <w:rsid w:val="00F50FC3"/>
    <w:rsid w:val="00F51087"/>
    <w:rsid w:val="00F5188A"/>
    <w:rsid w:val="00F52106"/>
    <w:rsid w:val="00F525EB"/>
    <w:rsid w:val="00F63DDE"/>
    <w:rsid w:val="00F63FB7"/>
    <w:rsid w:val="00F6421B"/>
    <w:rsid w:val="00F649D2"/>
    <w:rsid w:val="00F6602B"/>
    <w:rsid w:val="00F66643"/>
    <w:rsid w:val="00F66E76"/>
    <w:rsid w:val="00F66FD9"/>
    <w:rsid w:val="00F67C4E"/>
    <w:rsid w:val="00F70D20"/>
    <w:rsid w:val="00F72275"/>
    <w:rsid w:val="00F73990"/>
    <w:rsid w:val="00F73A0C"/>
    <w:rsid w:val="00F756DB"/>
    <w:rsid w:val="00F84E7D"/>
    <w:rsid w:val="00F85066"/>
    <w:rsid w:val="00F87A4D"/>
    <w:rsid w:val="00F90035"/>
    <w:rsid w:val="00F92283"/>
    <w:rsid w:val="00F9785E"/>
    <w:rsid w:val="00FA5D4D"/>
    <w:rsid w:val="00FA60AD"/>
    <w:rsid w:val="00FA7115"/>
    <w:rsid w:val="00FB0EE2"/>
    <w:rsid w:val="00FB4423"/>
    <w:rsid w:val="00FB542E"/>
    <w:rsid w:val="00FB6631"/>
    <w:rsid w:val="00FC0E5F"/>
    <w:rsid w:val="00FC1A95"/>
    <w:rsid w:val="00FC56DE"/>
    <w:rsid w:val="00FC6700"/>
    <w:rsid w:val="00FC684B"/>
    <w:rsid w:val="00FD1A5F"/>
    <w:rsid w:val="00FD3265"/>
    <w:rsid w:val="00FD5F92"/>
    <w:rsid w:val="00FD66F9"/>
    <w:rsid w:val="00FD78F8"/>
    <w:rsid w:val="00FE2F78"/>
    <w:rsid w:val="00FE470B"/>
    <w:rsid w:val="00FF4082"/>
    <w:rsid w:val="00FF7090"/>
    <w:rsid w:val="00FF7B96"/>
    <w:rsid w:val="010E6CF6"/>
    <w:rsid w:val="0274CEEB"/>
    <w:rsid w:val="11D0C0D9"/>
    <w:rsid w:val="1C7F89FF"/>
    <w:rsid w:val="304DB734"/>
    <w:rsid w:val="30D0B3BE"/>
    <w:rsid w:val="52CC52E2"/>
    <w:rsid w:val="55C2456F"/>
    <w:rsid w:val="614CA75B"/>
    <w:rsid w:val="6B2670A5"/>
    <w:rsid w:val="6E1EAC99"/>
    <w:rsid w:val="7BDB84E4"/>
    <w:rsid w:val="7DB22EB4"/>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ecf4dd,#eaecee,#fcec0a,#fcecdb,#f1daf5"/>
    </o:shapedefaults>
    <o:shapelayout v:ext="edit">
      <o:idmap v:ext="edit" data="2"/>
    </o:shapelayout>
  </w:shapeDefaults>
  <w:decimalSymbol w:val=","/>
  <w:listSeparator w:val=";"/>
  <w14:docId w14:val="21432897"/>
  <w15:docId w15:val="{3A7C6927-7F52-4209-ABA9-A0ACA8657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4FA0"/>
    <w:pPr>
      <w:spacing w:after="240" w:line="276" w:lineRule="auto"/>
      <w:jc w:val="both"/>
    </w:pPr>
    <w:rPr>
      <w:rFonts w:ascii="Arial" w:eastAsia="Times New Roman" w:hAnsi="Arial"/>
      <w:szCs w:val="24"/>
      <w:lang w:eastAsia="cs-CZ"/>
    </w:rPr>
  </w:style>
  <w:style w:type="paragraph" w:styleId="Nadpis1">
    <w:name w:val="heading 1"/>
    <w:next w:val="Normln"/>
    <w:link w:val="Nadpis1Char"/>
    <w:uiPriority w:val="9"/>
    <w:qFormat/>
    <w:rsid w:val="00EA0987"/>
    <w:pPr>
      <w:keepNext/>
      <w:keepLines/>
      <w:spacing w:after="100" w:line="276" w:lineRule="auto"/>
      <w:contextualSpacing/>
      <w:outlineLvl w:val="0"/>
    </w:pPr>
    <w:rPr>
      <w:rFonts w:ascii="Arial" w:eastAsia="MS Gothic" w:hAnsi="Arial"/>
      <w:b/>
      <w:bCs/>
      <w:color w:val="86BF5E"/>
      <w:sz w:val="32"/>
      <w:szCs w:val="28"/>
      <w:lang w:eastAsia="cs-CZ"/>
    </w:rPr>
  </w:style>
  <w:style w:type="paragraph" w:styleId="Nadpis2">
    <w:name w:val="heading 2"/>
    <w:next w:val="Normln"/>
    <w:link w:val="Nadpis2Char"/>
    <w:uiPriority w:val="9"/>
    <w:qFormat/>
    <w:rsid w:val="00EA0987"/>
    <w:pPr>
      <w:keepNext/>
      <w:keepLines/>
      <w:spacing w:line="276" w:lineRule="auto"/>
      <w:outlineLvl w:val="1"/>
    </w:pPr>
    <w:rPr>
      <w:rFonts w:ascii="Arial" w:eastAsia="MS Gothic" w:hAnsi="Arial"/>
      <w:b/>
      <w:bCs/>
      <w:color w:val="86BF5E"/>
      <w:sz w:val="28"/>
      <w:szCs w:val="26"/>
      <w:lang w:eastAsia="cs-CZ"/>
    </w:rPr>
  </w:style>
  <w:style w:type="paragraph" w:styleId="Nadpis3">
    <w:name w:val="heading 3"/>
    <w:next w:val="Normln"/>
    <w:link w:val="Nadpis3Char"/>
    <w:uiPriority w:val="9"/>
    <w:qFormat/>
    <w:rsid w:val="00EA0987"/>
    <w:pPr>
      <w:keepNext/>
      <w:keepLines/>
      <w:spacing w:line="276" w:lineRule="auto"/>
      <w:outlineLvl w:val="2"/>
    </w:pPr>
    <w:rPr>
      <w:rFonts w:ascii="Arial" w:eastAsia="MS Gothic" w:hAnsi="Arial"/>
      <w:b/>
      <w:bCs/>
      <w:color w:val="86BF5E"/>
      <w:sz w:val="24"/>
      <w:szCs w:val="24"/>
      <w:lang w:eastAsia="cs-CZ"/>
    </w:rPr>
  </w:style>
  <w:style w:type="paragraph" w:styleId="Nadpis4">
    <w:name w:val="heading 4"/>
    <w:next w:val="Normln"/>
    <w:link w:val="Nadpis4Char"/>
    <w:uiPriority w:val="9"/>
    <w:qFormat/>
    <w:rsid w:val="0041041D"/>
    <w:pPr>
      <w:keepNext/>
      <w:keepLines/>
      <w:spacing w:line="276" w:lineRule="auto"/>
      <w:outlineLvl w:val="3"/>
    </w:pPr>
    <w:rPr>
      <w:rFonts w:ascii="Arial" w:eastAsia="MS Gothic" w:hAnsi="Arial"/>
      <w:b/>
      <w:bCs/>
      <w:iCs/>
      <w:color w:val="86BF5E"/>
      <w:szCs w:val="24"/>
      <w:lang w:eastAsia="cs-CZ"/>
    </w:rPr>
  </w:style>
  <w:style w:type="paragraph" w:styleId="Nadpis5">
    <w:name w:val="heading 5"/>
    <w:basedOn w:val="Normln"/>
    <w:next w:val="Normln"/>
    <w:link w:val="Nadpis5Char"/>
    <w:uiPriority w:val="9"/>
    <w:semiHidden/>
    <w:unhideWhenUsed/>
    <w:rsid w:val="007A516D"/>
    <w:pPr>
      <w:keepNext/>
      <w:keepLines/>
      <w:numPr>
        <w:ilvl w:val="4"/>
        <w:numId w:val="14"/>
      </w:numPr>
      <w:tabs>
        <w:tab w:val="num" w:pos="360"/>
      </w:tabs>
      <w:spacing w:before="200" w:after="0"/>
      <w:ind w:left="0" w:firstLine="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7A516D"/>
    <w:pPr>
      <w:keepNext/>
      <w:keepLines/>
      <w:numPr>
        <w:ilvl w:val="5"/>
        <w:numId w:val="14"/>
      </w:numPr>
      <w:tabs>
        <w:tab w:val="num" w:pos="360"/>
      </w:tabs>
      <w:spacing w:before="200" w:after="0"/>
      <w:ind w:left="0" w:firstLine="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7A516D"/>
    <w:pPr>
      <w:keepNext/>
      <w:keepLines/>
      <w:numPr>
        <w:ilvl w:val="6"/>
        <w:numId w:val="14"/>
      </w:numPr>
      <w:tabs>
        <w:tab w:val="num" w:pos="360"/>
      </w:tabs>
      <w:spacing w:before="200" w:after="0"/>
      <w:ind w:left="0" w:firstLine="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7A516D"/>
    <w:pPr>
      <w:keepNext/>
      <w:keepLines/>
      <w:numPr>
        <w:ilvl w:val="7"/>
        <w:numId w:val="14"/>
      </w:numPr>
      <w:tabs>
        <w:tab w:val="num" w:pos="360"/>
      </w:tabs>
      <w:spacing w:before="200" w:after="0"/>
      <w:ind w:left="0" w:firstLine="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semiHidden/>
    <w:unhideWhenUsed/>
    <w:qFormat/>
    <w:rsid w:val="007A516D"/>
    <w:pPr>
      <w:numPr>
        <w:ilvl w:val="8"/>
        <w:numId w:val="14"/>
      </w:numPr>
      <w:tabs>
        <w:tab w:val="num" w:pos="360"/>
      </w:tabs>
      <w:spacing w:before="240" w:after="60"/>
      <w:ind w:left="0" w:firstLine="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qFormat/>
    <w:rsid w:val="00EA0987"/>
    <w:rPr>
      <w:rFonts w:ascii="Arial" w:eastAsia="MS Gothic" w:hAnsi="Arial"/>
      <w:b/>
      <w:bCs/>
      <w:color w:val="86BF5E"/>
      <w:sz w:val="32"/>
      <w:szCs w:val="28"/>
      <w:lang w:eastAsia="cs-CZ"/>
    </w:rPr>
  </w:style>
  <w:style w:type="character" w:customStyle="1" w:styleId="Nadpis2Char">
    <w:name w:val="Nadpis 2 Char"/>
    <w:link w:val="Nadpis2"/>
    <w:uiPriority w:val="9"/>
    <w:rsid w:val="00EA0987"/>
    <w:rPr>
      <w:rFonts w:ascii="Arial" w:eastAsia="MS Gothic" w:hAnsi="Arial"/>
      <w:b/>
      <w:bCs/>
      <w:color w:val="86BF5E"/>
      <w:sz w:val="28"/>
      <w:szCs w:val="26"/>
      <w:lang w:eastAsia="cs-CZ"/>
    </w:rPr>
  </w:style>
  <w:style w:type="character" w:customStyle="1" w:styleId="Nadpis3Char">
    <w:name w:val="Nadpis 3 Char"/>
    <w:link w:val="Nadpis3"/>
    <w:uiPriority w:val="9"/>
    <w:rsid w:val="00EA0987"/>
    <w:rPr>
      <w:rFonts w:ascii="Arial" w:eastAsia="MS Gothic" w:hAnsi="Arial"/>
      <w:b/>
      <w:bCs/>
      <w:color w:val="86BF5E"/>
      <w:sz w:val="24"/>
      <w:szCs w:val="24"/>
      <w:lang w:eastAsia="cs-CZ"/>
    </w:rPr>
  </w:style>
  <w:style w:type="character" w:customStyle="1" w:styleId="Nadpis4Char">
    <w:name w:val="Nadpis 4 Char"/>
    <w:link w:val="Nadpis4"/>
    <w:uiPriority w:val="9"/>
    <w:rsid w:val="0041041D"/>
    <w:rPr>
      <w:rFonts w:ascii="Arial" w:eastAsia="MS Gothic" w:hAnsi="Arial"/>
      <w:b/>
      <w:bCs/>
      <w:iCs/>
      <w:color w:val="86BF5E"/>
      <w:szCs w:val="24"/>
      <w:lang w:eastAsia="cs-CZ"/>
    </w:rPr>
  </w:style>
  <w:style w:type="character" w:customStyle="1" w:styleId="Nadpis9Char">
    <w:name w:val="Nadpis 9 Char"/>
    <w:link w:val="Nadpis9"/>
    <w:uiPriority w:val="9"/>
    <w:semiHidden/>
    <w:rsid w:val="007A516D"/>
    <w:rPr>
      <w:rFonts w:ascii="Cambria" w:eastAsia="Times New Roman" w:hAnsi="Cambria"/>
      <w:sz w:val="22"/>
      <w:szCs w:val="22"/>
      <w:lang w:eastAsia="cs-CZ"/>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0A57D4"/>
    <w:pPr>
      <w:spacing w:after="80" w:line="288" w:lineRule="auto"/>
    </w:pPr>
    <w:rPr>
      <w:rFonts w:ascii="Arial" w:eastAsia="Times New Roman" w:hAnsi="Arial"/>
      <w:b/>
      <w:color w:val="86BF5E"/>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A-Box1">
    <w:name w:val="A-Box 1"/>
    <w:next w:val="Normln"/>
    <w:qFormat/>
    <w:rsid w:val="00EA0987"/>
    <w:pPr>
      <w:shd w:val="clear" w:color="auto" w:fill="F0F6E9"/>
      <w:spacing w:before="240" w:after="240" w:line="276" w:lineRule="auto"/>
      <w:contextualSpacing/>
      <w:jc w:val="both"/>
    </w:pPr>
    <w:rPr>
      <w:rFonts w:ascii="Arial" w:hAnsi="Arial" w:cs="Arial"/>
      <w:lang w:eastAsia="cs-CZ"/>
    </w:rPr>
  </w:style>
  <w:style w:type="paragraph" w:customStyle="1" w:styleId="A-Box2">
    <w:name w:val="A-Box 2"/>
    <w:next w:val="Normln"/>
    <w:qFormat/>
    <w:rsid w:val="00EA0987"/>
    <w:pPr>
      <w:spacing w:before="240" w:after="240" w:line="276" w:lineRule="auto"/>
      <w:contextualSpacing/>
      <w:jc w:val="both"/>
    </w:pPr>
    <w:rPr>
      <w:rFonts w:ascii="Arial" w:hAnsi="Arial" w:cs="Arial"/>
      <w:color w:val="86BF5E"/>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0A57D4"/>
    <w:pPr>
      <w:spacing w:after="40"/>
      <w:contextualSpacing/>
    </w:pPr>
    <w:rPr>
      <w:b/>
      <w:caps/>
      <w:sz w:val="24"/>
    </w:rPr>
  </w:style>
  <w:style w:type="paragraph" w:customStyle="1" w:styleId="TLKontakty">
    <w:name w:val="TL Kontakty"/>
    <w:qFormat/>
    <w:rsid w:val="000A57D4"/>
    <w:pPr>
      <w:spacing w:after="160" w:line="259" w:lineRule="auto"/>
      <w:contextualSpacing/>
    </w:pPr>
    <w:rPr>
      <w:rFonts w:ascii="Arial" w:eastAsia="Times New Roman" w:hAnsi="Arial"/>
      <w:b/>
      <w:color w:val="86BF5E"/>
      <w:lang w:eastAsia="cs-CZ"/>
    </w:rPr>
  </w:style>
  <w:style w:type="paragraph" w:styleId="Nzev">
    <w:name w:val="Title"/>
    <w:link w:val="NzevChar"/>
    <w:uiPriority w:val="10"/>
    <w:qFormat/>
    <w:rsid w:val="001E6062"/>
    <w:pPr>
      <w:spacing w:line="288" w:lineRule="auto"/>
    </w:pPr>
    <w:rPr>
      <w:rFonts w:ascii="Arial" w:eastAsia="Times New Roman" w:hAnsi="Arial"/>
      <w:b/>
      <w:bCs/>
      <w:caps/>
      <w:color w:val="000000" w:themeColor="text1"/>
      <w:kern w:val="28"/>
      <w:sz w:val="56"/>
      <w:szCs w:val="32"/>
      <w:lang w:eastAsia="cs-CZ"/>
    </w:rPr>
  </w:style>
  <w:style w:type="character" w:customStyle="1" w:styleId="NzevChar">
    <w:name w:val="Název Char"/>
    <w:link w:val="Nzev"/>
    <w:uiPriority w:val="10"/>
    <w:rsid w:val="001E6062"/>
    <w:rPr>
      <w:rFonts w:ascii="Arial" w:eastAsia="Times New Roman" w:hAnsi="Arial"/>
      <w:b/>
      <w:bCs/>
      <w:caps/>
      <w:color w:val="000000" w:themeColor="text1"/>
      <w:kern w:val="28"/>
      <w:sz w:val="56"/>
      <w:szCs w:val="32"/>
      <w:lang w:eastAsia="cs-CZ"/>
    </w:rPr>
  </w:style>
  <w:style w:type="paragraph" w:styleId="Podnadpis">
    <w:name w:val="Subtitle"/>
    <w:link w:val="PodnadpisChar"/>
    <w:uiPriority w:val="11"/>
    <w:qFormat/>
    <w:rsid w:val="001E6062"/>
    <w:pPr>
      <w:spacing w:line="288" w:lineRule="auto"/>
    </w:pPr>
    <w:rPr>
      <w:rFonts w:ascii="Arial" w:eastAsia="Times New Roman" w:hAnsi="Arial" w:cs="Arial"/>
      <w:b/>
      <w:color w:val="000000" w:themeColor="text1"/>
      <w:sz w:val="28"/>
      <w:szCs w:val="24"/>
      <w:lang w:eastAsia="cs-CZ"/>
    </w:rPr>
  </w:style>
  <w:style w:type="character" w:customStyle="1" w:styleId="PodnadpisChar">
    <w:name w:val="Podnadpis Char"/>
    <w:link w:val="Podnadpis"/>
    <w:uiPriority w:val="11"/>
    <w:rsid w:val="001E6062"/>
    <w:rPr>
      <w:rFonts w:ascii="Arial" w:eastAsia="Times New Roman" w:hAnsi="Arial" w:cs="Arial"/>
      <w:b/>
      <w:color w:val="000000" w:themeColor="text1"/>
      <w:sz w:val="28"/>
      <w:szCs w:val="24"/>
      <w:lang w:eastAsia="cs-CZ"/>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character" w:customStyle="1" w:styleId="Nadpis5Char">
    <w:name w:val="Nadpis 5 Char"/>
    <w:basedOn w:val="Standardnpsmoodstavce"/>
    <w:link w:val="Nadpis5"/>
    <w:uiPriority w:val="9"/>
    <w:semiHidden/>
    <w:rsid w:val="007A516D"/>
    <w:rPr>
      <w:rFonts w:asciiTheme="majorHAnsi" w:eastAsiaTheme="majorEastAsia" w:hAnsiTheme="majorHAnsi" w:cstheme="majorBidi"/>
      <w:color w:val="243F60" w:themeColor="accent1" w:themeShade="7F"/>
      <w:szCs w:val="24"/>
      <w:lang w:eastAsia="cs-CZ"/>
    </w:rPr>
  </w:style>
  <w:style w:type="character" w:customStyle="1" w:styleId="Nadpis6Char">
    <w:name w:val="Nadpis 6 Char"/>
    <w:basedOn w:val="Standardnpsmoodstavce"/>
    <w:link w:val="Nadpis6"/>
    <w:uiPriority w:val="9"/>
    <w:semiHidden/>
    <w:rsid w:val="007A516D"/>
    <w:rPr>
      <w:rFonts w:asciiTheme="majorHAnsi" w:eastAsiaTheme="majorEastAsia" w:hAnsiTheme="majorHAnsi" w:cstheme="majorBidi"/>
      <w:i/>
      <w:iCs/>
      <w:color w:val="243F60" w:themeColor="accent1" w:themeShade="7F"/>
      <w:szCs w:val="24"/>
      <w:lang w:eastAsia="cs-CZ"/>
    </w:rPr>
  </w:style>
  <w:style w:type="character" w:customStyle="1" w:styleId="Nadpis7Char">
    <w:name w:val="Nadpis 7 Char"/>
    <w:basedOn w:val="Standardnpsmoodstavce"/>
    <w:link w:val="Nadpis7"/>
    <w:uiPriority w:val="9"/>
    <w:semiHidden/>
    <w:rsid w:val="007A516D"/>
    <w:rPr>
      <w:rFonts w:asciiTheme="majorHAnsi" w:eastAsiaTheme="majorEastAsia" w:hAnsiTheme="majorHAnsi" w:cstheme="majorBidi"/>
      <w:i/>
      <w:iCs/>
      <w:color w:val="404040" w:themeColor="text1" w:themeTint="BF"/>
      <w:szCs w:val="24"/>
      <w:lang w:eastAsia="cs-CZ"/>
    </w:rPr>
  </w:style>
  <w:style w:type="character" w:customStyle="1" w:styleId="Nadpis8Char">
    <w:name w:val="Nadpis 8 Char"/>
    <w:basedOn w:val="Standardnpsmoodstavce"/>
    <w:link w:val="Nadpis8"/>
    <w:uiPriority w:val="9"/>
    <w:semiHidden/>
    <w:rsid w:val="007A516D"/>
    <w:rPr>
      <w:rFonts w:asciiTheme="majorHAnsi" w:eastAsiaTheme="majorEastAsia" w:hAnsiTheme="majorHAnsi" w:cstheme="majorBidi"/>
      <w:color w:val="404040" w:themeColor="text1" w:themeTint="BF"/>
      <w:lang w:eastAsia="cs-CZ"/>
    </w:rPr>
  </w:style>
  <w:style w:type="paragraph" w:styleId="Textpoznpodarou">
    <w:name w:val="footnote text"/>
    <w:aliases w:val="Text pozn. pod čarou_martin_ang"/>
    <w:basedOn w:val="Normln"/>
    <w:link w:val="TextpoznpodarouChar"/>
    <w:qFormat/>
    <w:rsid w:val="008E7FC9"/>
    <w:pPr>
      <w:spacing w:after="0" w:line="240" w:lineRule="auto"/>
      <w:jc w:val="left"/>
    </w:pPr>
    <w:rPr>
      <w:rFonts w:eastAsia="Calibri"/>
      <w:szCs w:val="20"/>
    </w:rPr>
  </w:style>
  <w:style w:type="character" w:customStyle="1" w:styleId="TextpoznpodarouChar">
    <w:name w:val="Text pozn. pod čarou Char"/>
    <w:aliases w:val="Text pozn. pod čarou_martin_ang Char"/>
    <w:basedOn w:val="Standardnpsmoodstavce"/>
    <w:link w:val="Textpoznpodarou"/>
    <w:qFormat/>
    <w:rsid w:val="008E7FC9"/>
    <w:rPr>
      <w:rFonts w:ascii="Arial" w:hAnsi="Arial"/>
      <w:lang w:eastAsia="cs-CZ"/>
    </w:rPr>
  </w:style>
  <w:style w:type="paragraph" w:styleId="Bezmezer">
    <w:name w:val="No Spacing"/>
    <w:uiPriority w:val="1"/>
    <w:qFormat/>
    <w:rsid w:val="00AD68C4"/>
    <w:pPr>
      <w:jc w:val="both"/>
    </w:pPr>
    <w:rPr>
      <w:rFonts w:ascii="Arial" w:eastAsia="Times New Roman" w:hAnsi="Arial"/>
      <w:szCs w:val="24"/>
      <w:lang w:eastAsia="cs-CZ"/>
    </w:rPr>
  </w:style>
  <w:style w:type="paragraph" w:customStyle="1" w:styleId="Marginlie">
    <w:name w:val="Marginálie"/>
    <w:basedOn w:val="Normln"/>
    <w:qFormat/>
    <w:rsid w:val="0089296D"/>
    <w:pPr>
      <w:spacing w:after="0"/>
      <w:jc w:val="left"/>
    </w:pPr>
    <w:rPr>
      <w:spacing w:val="-2"/>
      <w:sz w:val="16"/>
      <w:szCs w:val="16"/>
    </w:rPr>
  </w:style>
  <w:style w:type="paragraph" w:styleId="Odstavecseseznamem">
    <w:name w:val="List Paragraph"/>
    <w:basedOn w:val="Normln"/>
    <w:link w:val="OdstavecseseznamemChar"/>
    <w:uiPriority w:val="34"/>
    <w:qFormat/>
    <w:rsid w:val="006B0F92"/>
    <w:pPr>
      <w:ind w:left="720"/>
      <w:contextualSpacing/>
    </w:pPr>
  </w:style>
  <w:style w:type="paragraph" w:customStyle="1" w:styleId="Normalodrka">
    <w:name w:val="Normal odrážka"/>
    <w:qFormat/>
    <w:rsid w:val="006B0F92"/>
    <w:pPr>
      <w:numPr>
        <w:numId w:val="20"/>
      </w:numPr>
      <w:spacing w:after="240" w:line="276" w:lineRule="auto"/>
      <w:jc w:val="both"/>
    </w:pPr>
    <w:rPr>
      <w:rFonts w:ascii="Arial" w:eastAsia="Times New Roman" w:hAnsi="Arial"/>
      <w:szCs w:val="24"/>
      <w:lang w:eastAsia="cs-CZ"/>
    </w:rPr>
  </w:style>
  <w:style w:type="paragraph" w:customStyle="1" w:styleId="Box1">
    <w:name w:val="Box 1"/>
    <w:next w:val="Normln"/>
    <w:qFormat/>
    <w:rsid w:val="00EA0987"/>
    <w:pPr>
      <w:shd w:val="clear" w:color="auto" w:fill="F0F6E9"/>
      <w:spacing w:before="240" w:after="240" w:line="276" w:lineRule="auto"/>
      <w:ind w:left="709"/>
      <w:contextualSpacing/>
      <w:jc w:val="both"/>
    </w:pPr>
    <w:rPr>
      <w:rFonts w:ascii="Arial" w:hAnsi="Arial" w:cs="Arial"/>
      <w:lang w:eastAsia="cs-CZ"/>
    </w:rPr>
  </w:style>
  <w:style w:type="paragraph" w:customStyle="1" w:styleId="Box2">
    <w:name w:val="Box 2"/>
    <w:next w:val="Normln"/>
    <w:qFormat/>
    <w:rsid w:val="00EA0987"/>
    <w:pPr>
      <w:spacing w:before="240" w:after="240" w:line="276" w:lineRule="auto"/>
      <w:ind w:left="709"/>
      <w:contextualSpacing/>
      <w:jc w:val="both"/>
    </w:pPr>
    <w:rPr>
      <w:rFonts w:ascii="Arial" w:hAnsi="Arial" w:cs="Arial"/>
      <w:b/>
      <w:color w:val="86BF5E"/>
      <w:lang w:eastAsia="cs-CZ"/>
    </w:rPr>
  </w:style>
  <w:style w:type="character" w:styleId="Zdraznnintenzivn">
    <w:name w:val="Intense Emphasis"/>
    <w:basedOn w:val="Standardnpsmoodstavce"/>
    <w:uiPriority w:val="21"/>
    <w:qFormat/>
    <w:rsid w:val="001E6062"/>
    <w:rPr>
      <w:i/>
      <w:iCs/>
      <w:color w:val="000000" w:themeColor="text1"/>
    </w:rPr>
  </w:style>
  <w:style w:type="character" w:styleId="Odkazintenzivn">
    <w:name w:val="Intense Reference"/>
    <w:basedOn w:val="Standardnpsmoodstavce"/>
    <w:uiPriority w:val="32"/>
    <w:qFormat/>
    <w:rsid w:val="001E6062"/>
    <w:rPr>
      <w:b/>
      <w:bCs/>
      <w:smallCaps/>
      <w:color w:val="000000" w:themeColor="text1"/>
      <w:spacing w:val="5"/>
    </w:rPr>
  </w:style>
  <w:style w:type="character" w:styleId="Znakapoznpodarou">
    <w:name w:val="footnote reference"/>
    <w:basedOn w:val="Standardnpsmoodstavce"/>
    <w:rsid w:val="00E063CE"/>
    <w:rPr>
      <w:rFonts w:cs="Times New Roman"/>
      <w:vertAlign w:val="superscript"/>
    </w:rPr>
  </w:style>
  <w:style w:type="paragraph" w:customStyle="1" w:styleId="Nadpis11">
    <w:name w:val="Nadpis 11"/>
    <w:basedOn w:val="Normln"/>
    <w:uiPriority w:val="9"/>
    <w:qFormat/>
    <w:rsid w:val="008A6CB4"/>
    <w:pPr>
      <w:keepNext/>
      <w:keepLines/>
      <w:spacing w:after="100"/>
      <w:contextualSpacing/>
      <w:jc w:val="left"/>
      <w:outlineLvl w:val="0"/>
    </w:pPr>
    <w:rPr>
      <w:rFonts w:eastAsia="MS Gothic"/>
      <w:b/>
      <w:bCs/>
      <w:color w:val="71818C"/>
      <w:sz w:val="32"/>
      <w:szCs w:val="28"/>
    </w:rPr>
  </w:style>
  <w:style w:type="paragraph" w:customStyle="1" w:styleId="Textpoznpodarou1">
    <w:name w:val="Text pozn. pod čarou1"/>
    <w:basedOn w:val="Normln"/>
    <w:qFormat/>
    <w:rsid w:val="008A6CB4"/>
    <w:pPr>
      <w:spacing w:after="0" w:line="240" w:lineRule="auto"/>
      <w:jc w:val="left"/>
    </w:pPr>
    <w:rPr>
      <w:rFonts w:eastAsia="Calibri"/>
      <w:szCs w:val="20"/>
    </w:rPr>
  </w:style>
  <w:style w:type="character" w:styleId="Zdraznn">
    <w:name w:val="Emphasis"/>
    <w:basedOn w:val="Standardnpsmoodstavce"/>
    <w:uiPriority w:val="20"/>
    <w:qFormat/>
    <w:rsid w:val="00C4431F"/>
    <w:rPr>
      <w:i/>
      <w:iCs/>
    </w:rPr>
  </w:style>
  <w:style w:type="character" w:customStyle="1" w:styleId="normaltextrun">
    <w:name w:val="normaltextrun"/>
    <w:basedOn w:val="Standardnpsmoodstavce"/>
    <w:rsid w:val="00C4431F"/>
  </w:style>
  <w:style w:type="paragraph" w:customStyle="1" w:styleId="paragraph">
    <w:name w:val="paragraph"/>
    <w:basedOn w:val="Normln"/>
    <w:rsid w:val="00C4431F"/>
    <w:pPr>
      <w:spacing w:before="100" w:beforeAutospacing="1" w:after="100" w:afterAutospacing="1" w:line="240" w:lineRule="auto"/>
      <w:jc w:val="left"/>
    </w:pPr>
    <w:rPr>
      <w:rFonts w:ascii="Times New Roman" w:hAnsi="Times New Roman"/>
      <w:sz w:val="24"/>
    </w:rPr>
  </w:style>
  <w:style w:type="character" w:customStyle="1" w:styleId="eop">
    <w:name w:val="eop"/>
    <w:basedOn w:val="Standardnpsmoodstavce"/>
    <w:rsid w:val="00C4431F"/>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adpisobsahu">
    <w:name w:val="TOC Heading"/>
    <w:basedOn w:val="Nadpis1"/>
    <w:next w:val="Normln"/>
    <w:uiPriority w:val="39"/>
    <w:unhideWhenUsed/>
    <w:qFormat/>
    <w:rsid w:val="00603FF5"/>
    <w:pPr>
      <w:spacing w:before="240" w:after="0" w:line="259" w:lineRule="auto"/>
      <w:contextualSpacing w:val="0"/>
      <w:outlineLvl w:val="9"/>
    </w:pPr>
    <w:rPr>
      <w:rFonts w:asciiTheme="majorHAnsi" w:eastAsiaTheme="majorEastAsia" w:hAnsiTheme="majorHAnsi" w:cstheme="majorBidi"/>
      <w:b w:val="0"/>
      <w:bCs w:val="0"/>
      <w:color w:val="365F91" w:themeColor="accent1" w:themeShade="BF"/>
      <w:szCs w:val="32"/>
    </w:rPr>
  </w:style>
  <w:style w:type="character" w:styleId="Odkaznakoment">
    <w:name w:val="annotation reference"/>
    <w:basedOn w:val="Standardnpsmoodstavce"/>
    <w:uiPriority w:val="99"/>
    <w:semiHidden/>
    <w:unhideWhenUsed/>
    <w:rsid w:val="00545512"/>
    <w:rPr>
      <w:sz w:val="16"/>
      <w:szCs w:val="16"/>
    </w:rPr>
  </w:style>
  <w:style w:type="paragraph" w:styleId="Textkomente">
    <w:name w:val="annotation text"/>
    <w:basedOn w:val="Normln"/>
    <w:link w:val="TextkomenteChar"/>
    <w:uiPriority w:val="99"/>
    <w:unhideWhenUsed/>
    <w:rsid w:val="00545512"/>
    <w:pPr>
      <w:spacing w:line="240" w:lineRule="auto"/>
    </w:pPr>
    <w:rPr>
      <w:szCs w:val="20"/>
    </w:rPr>
  </w:style>
  <w:style w:type="character" w:customStyle="1" w:styleId="TextkomenteChar">
    <w:name w:val="Text komentáře Char"/>
    <w:basedOn w:val="Standardnpsmoodstavce"/>
    <w:link w:val="Textkomente"/>
    <w:uiPriority w:val="99"/>
    <w:rsid w:val="00545512"/>
    <w:rPr>
      <w:rFonts w:ascii="Arial" w:eastAsia="Times New Roman" w:hAnsi="Arial"/>
      <w:lang w:eastAsia="cs-CZ"/>
    </w:rPr>
  </w:style>
  <w:style w:type="paragraph" w:styleId="Pedmtkomente">
    <w:name w:val="annotation subject"/>
    <w:basedOn w:val="Textkomente"/>
    <w:next w:val="Textkomente"/>
    <w:link w:val="PedmtkomenteChar"/>
    <w:uiPriority w:val="99"/>
    <w:semiHidden/>
    <w:unhideWhenUsed/>
    <w:rsid w:val="00545512"/>
    <w:rPr>
      <w:b/>
      <w:bCs/>
    </w:rPr>
  </w:style>
  <w:style w:type="character" w:customStyle="1" w:styleId="PedmtkomenteChar">
    <w:name w:val="Předmět komentáře Char"/>
    <w:basedOn w:val="TextkomenteChar"/>
    <w:link w:val="Pedmtkomente"/>
    <w:uiPriority w:val="99"/>
    <w:semiHidden/>
    <w:rsid w:val="00545512"/>
    <w:rPr>
      <w:rFonts w:ascii="Arial" w:eastAsia="Times New Roman" w:hAnsi="Arial"/>
      <w:b/>
      <w:bCs/>
      <w:lang w:eastAsia="cs-CZ"/>
    </w:rPr>
  </w:style>
  <w:style w:type="paragraph" w:styleId="Rozloendokumentu">
    <w:name w:val="Document Map"/>
    <w:basedOn w:val="Normln"/>
    <w:link w:val="RozloendokumentuChar"/>
    <w:uiPriority w:val="99"/>
    <w:semiHidden/>
    <w:rsid w:val="00545512"/>
    <w:pPr>
      <w:spacing w:after="0" w:line="288" w:lineRule="auto"/>
      <w:jc w:val="left"/>
    </w:pPr>
    <w:rPr>
      <w:rFonts w:ascii="Tahoma" w:eastAsia="Calibri" w:hAnsi="Tahoma" w:cs="Tahoma"/>
      <w:sz w:val="16"/>
      <w:szCs w:val="16"/>
    </w:rPr>
  </w:style>
  <w:style w:type="character" w:customStyle="1" w:styleId="RozloendokumentuChar">
    <w:name w:val="Rozložení dokumentu Char"/>
    <w:basedOn w:val="Standardnpsmoodstavce"/>
    <w:link w:val="Rozloendokumentu"/>
    <w:uiPriority w:val="99"/>
    <w:semiHidden/>
    <w:rsid w:val="00545512"/>
    <w:rPr>
      <w:rFonts w:ascii="Tahoma" w:hAnsi="Tahoma" w:cs="Tahoma"/>
      <w:sz w:val="16"/>
      <w:szCs w:val="16"/>
      <w:lang w:eastAsia="cs-CZ"/>
    </w:rPr>
  </w:style>
  <w:style w:type="paragraph" w:customStyle="1" w:styleId="Nadpis12">
    <w:name w:val="Nadpis 12"/>
    <w:basedOn w:val="Normln"/>
    <w:uiPriority w:val="9"/>
    <w:qFormat/>
    <w:rsid w:val="00545512"/>
    <w:pPr>
      <w:keepNext/>
      <w:keepLines/>
      <w:spacing w:after="100"/>
      <w:contextualSpacing/>
      <w:jc w:val="left"/>
      <w:outlineLvl w:val="0"/>
    </w:pPr>
    <w:rPr>
      <w:rFonts w:eastAsia="MS Gothic"/>
      <w:b/>
      <w:bCs/>
      <w:color w:val="71818C"/>
      <w:sz w:val="32"/>
      <w:szCs w:val="28"/>
    </w:rPr>
  </w:style>
  <w:style w:type="character" w:customStyle="1" w:styleId="spelle">
    <w:name w:val="spelle"/>
    <w:basedOn w:val="Standardnpsmoodstavce"/>
    <w:rsid w:val="00545512"/>
  </w:style>
  <w:style w:type="paragraph" w:styleId="Revize">
    <w:name w:val="Revision"/>
    <w:hidden/>
    <w:uiPriority w:val="99"/>
    <w:semiHidden/>
    <w:rsid w:val="00545512"/>
    <w:rPr>
      <w:rFonts w:ascii="Arial" w:eastAsia="Times New Roman" w:hAnsi="Arial"/>
      <w:szCs w:val="24"/>
      <w:lang w:eastAsia="cs-CZ"/>
    </w:rPr>
  </w:style>
  <w:style w:type="character" w:customStyle="1" w:styleId="odkaz-style-wrapper">
    <w:name w:val="odkaz-style-wrapper"/>
    <w:basedOn w:val="Standardnpsmoodstavce"/>
    <w:rsid w:val="00545512"/>
  </w:style>
  <w:style w:type="character" w:customStyle="1" w:styleId="tabulka">
    <w:name w:val="tabulka"/>
    <w:basedOn w:val="Standardnpsmoodstavce"/>
    <w:rsid w:val="00545512"/>
  </w:style>
  <w:style w:type="paragraph" w:customStyle="1" w:styleId="Default">
    <w:name w:val="Default"/>
    <w:rsid w:val="00545512"/>
    <w:pPr>
      <w:autoSpaceDE w:val="0"/>
      <w:autoSpaceDN w:val="0"/>
      <w:adjustRightInd w:val="0"/>
    </w:pPr>
    <w:rPr>
      <w:rFonts w:cs="Calibri"/>
      <w:color w:val="000000"/>
      <w:sz w:val="24"/>
      <w:szCs w:val="24"/>
    </w:rPr>
  </w:style>
  <w:style w:type="paragraph" w:styleId="Normlnweb">
    <w:name w:val="Normal (Web)"/>
    <w:basedOn w:val="Normln"/>
    <w:uiPriority w:val="99"/>
    <w:semiHidden/>
    <w:unhideWhenUsed/>
    <w:rsid w:val="00545512"/>
    <w:pPr>
      <w:spacing w:before="100" w:beforeAutospacing="1" w:after="100" w:afterAutospacing="1" w:line="240" w:lineRule="auto"/>
      <w:jc w:val="left"/>
    </w:pPr>
    <w:rPr>
      <w:rFonts w:ascii="Times New Roman" w:hAnsi="Times New Roman"/>
      <w:sz w:val="24"/>
    </w:rPr>
  </w:style>
  <w:style w:type="paragraph" w:styleId="FormtovanvHTML">
    <w:name w:val="HTML Preformatted"/>
    <w:basedOn w:val="Normln"/>
    <w:link w:val="FormtovanvHTMLChar"/>
    <w:uiPriority w:val="99"/>
    <w:semiHidden/>
    <w:unhideWhenUsed/>
    <w:rsid w:val="00545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Cs w:val="20"/>
    </w:rPr>
  </w:style>
  <w:style w:type="character" w:customStyle="1" w:styleId="FormtovanvHTMLChar">
    <w:name w:val="Formátovaný v HTML Char"/>
    <w:basedOn w:val="Standardnpsmoodstavce"/>
    <w:link w:val="FormtovanvHTML"/>
    <w:uiPriority w:val="99"/>
    <w:semiHidden/>
    <w:rsid w:val="00545512"/>
    <w:rPr>
      <w:rFonts w:ascii="Courier New" w:eastAsia="Times New Roman" w:hAnsi="Courier New" w:cs="Courier New"/>
      <w:lang w:eastAsia="cs-CZ"/>
    </w:rPr>
  </w:style>
  <w:style w:type="paragraph" w:customStyle="1" w:styleId="cay">
    <w:name w:val="c_ay"/>
    <w:basedOn w:val="Normln"/>
    <w:rsid w:val="00545512"/>
    <w:pPr>
      <w:spacing w:before="100" w:beforeAutospacing="1" w:after="100" w:afterAutospacing="1" w:line="240" w:lineRule="auto"/>
      <w:jc w:val="left"/>
    </w:pPr>
    <w:rPr>
      <w:rFonts w:ascii="Times New Roman" w:hAnsi="Times New Roman"/>
      <w:sz w:val="24"/>
    </w:rPr>
  </w:style>
  <w:style w:type="character" w:customStyle="1" w:styleId="cew">
    <w:name w:val="c_ew"/>
    <w:basedOn w:val="Standardnpsmoodstavce"/>
    <w:rsid w:val="00545512"/>
  </w:style>
  <w:style w:type="character" w:styleId="Sledovanodkaz">
    <w:name w:val="FollowedHyperlink"/>
    <w:basedOn w:val="Standardnpsmoodstavce"/>
    <w:uiPriority w:val="99"/>
    <w:semiHidden/>
    <w:unhideWhenUsed/>
    <w:rsid w:val="00545512"/>
    <w:rPr>
      <w:color w:val="800080" w:themeColor="followedHyperlink"/>
      <w:u w:val="single"/>
    </w:rPr>
  </w:style>
  <w:style w:type="character" w:customStyle="1" w:styleId="cfu">
    <w:name w:val="c_fu"/>
    <w:basedOn w:val="Standardnpsmoodstavce"/>
    <w:rsid w:val="00BF3B1D"/>
  </w:style>
  <w:style w:type="character" w:customStyle="1" w:styleId="OdstavecseseznamemChar">
    <w:name w:val="Odstavec se seznamem Char"/>
    <w:basedOn w:val="Standardnpsmoodstavce"/>
    <w:link w:val="Odstavecseseznamem"/>
    <w:uiPriority w:val="34"/>
    <w:rsid w:val="00CF59E5"/>
    <w:rPr>
      <w:rFonts w:ascii="Arial" w:eastAsia="Times New Roman" w:hAnsi="Arial"/>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66344914">
      <w:bodyDiv w:val="1"/>
      <w:marLeft w:val="0"/>
      <w:marRight w:val="0"/>
      <w:marTop w:val="0"/>
      <w:marBottom w:val="0"/>
      <w:divBdr>
        <w:top w:val="none" w:sz="0" w:space="0" w:color="auto"/>
        <w:left w:val="none" w:sz="0" w:space="0" w:color="auto"/>
        <w:bottom w:val="none" w:sz="0" w:space="0" w:color="auto"/>
        <w:right w:val="none" w:sz="0" w:space="0" w:color="auto"/>
      </w:divBdr>
    </w:div>
    <w:div w:id="110517919">
      <w:bodyDiv w:val="1"/>
      <w:marLeft w:val="0"/>
      <w:marRight w:val="0"/>
      <w:marTop w:val="0"/>
      <w:marBottom w:val="0"/>
      <w:divBdr>
        <w:top w:val="none" w:sz="0" w:space="0" w:color="auto"/>
        <w:left w:val="none" w:sz="0" w:space="0" w:color="auto"/>
        <w:bottom w:val="none" w:sz="0" w:space="0" w:color="auto"/>
        <w:right w:val="none" w:sz="0" w:space="0" w:color="auto"/>
      </w:divBdr>
    </w:div>
    <w:div w:id="112676334">
      <w:bodyDiv w:val="1"/>
      <w:marLeft w:val="0"/>
      <w:marRight w:val="0"/>
      <w:marTop w:val="0"/>
      <w:marBottom w:val="0"/>
      <w:divBdr>
        <w:top w:val="none" w:sz="0" w:space="0" w:color="auto"/>
        <w:left w:val="none" w:sz="0" w:space="0" w:color="auto"/>
        <w:bottom w:val="none" w:sz="0" w:space="0" w:color="auto"/>
        <w:right w:val="none" w:sz="0" w:space="0" w:color="auto"/>
      </w:divBdr>
    </w:div>
    <w:div w:id="243729605">
      <w:bodyDiv w:val="1"/>
      <w:marLeft w:val="0"/>
      <w:marRight w:val="0"/>
      <w:marTop w:val="0"/>
      <w:marBottom w:val="0"/>
      <w:divBdr>
        <w:top w:val="none" w:sz="0" w:space="0" w:color="auto"/>
        <w:left w:val="none" w:sz="0" w:space="0" w:color="auto"/>
        <w:bottom w:val="none" w:sz="0" w:space="0" w:color="auto"/>
        <w:right w:val="none" w:sz="0" w:space="0" w:color="auto"/>
      </w:divBdr>
    </w:div>
    <w:div w:id="255015632">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387458773">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733701289">
      <w:bodyDiv w:val="1"/>
      <w:marLeft w:val="0"/>
      <w:marRight w:val="0"/>
      <w:marTop w:val="0"/>
      <w:marBottom w:val="0"/>
      <w:divBdr>
        <w:top w:val="none" w:sz="0" w:space="0" w:color="auto"/>
        <w:left w:val="none" w:sz="0" w:space="0" w:color="auto"/>
        <w:bottom w:val="none" w:sz="0" w:space="0" w:color="auto"/>
        <w:right w:val="none" w:sz="0" w:space="0" w:color="auto"/>
      </w:divBdr>
    </w:div>
    <w:div w:id="883518353">
      <w:bodyDiv w:val="1"/>
      <w:marLeft w:val="0"/>
      <w:marRight w:val="0"/>
      <w:marTop w:val="0"/>
      <w:marBottom w:val="0"/>
      <w:divBdr>
        <w:top w:val="none" w:sz="0" w:space="0" w:color="auto"/>
        <w:left w:val="none" w:sz="0" w:space="0" w:color="auto"/>
        <w:bottom w:val="none" w:sz="0" w:space="0" w:color="auto"/>
        <w:right w:val="none" w:sz="0" w:space="0" w:color="auto"/>
      </w:divBdr>
    </w:div>
    <w:div w:id="932319695">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276136441">
      <w:bodyDiv w:val="1"/>
      <w:marLeft w:val="0"/>
      <w:marRight w:val="0"/>
      <w:marTop w:val="0"/>
      <w:marBottom w:val="0"/>
      <w:divBdr>
        <w:top w:val="none" w:sz="0" w:space="0" w:color="auto"/>
        <w:left w:val="none" w:sz="0" w:space="0" w:color="auto"/>
        <w:bottom w:val="none" w:sz="0" w:space="0" w:color="auto"/>
        <w:right w:val="none" w:sz="0" w:space="0" w:color="auto"/>
      </w:divBdr>
    </w:div>
    <w:div w:id="128300063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566721734">
      <w:bodyDiv w:val="1"/>
      <w:marLeft w:val="0"/>
      <w:marRight w:val="0"/>
      <w:marTop w:val="0"/>
      <w:marBottom w:val="0"/>
      <w:divBdr>
        <w:top w:val="none" w:sz="0" w:space="0" w:color="auto"/>
        <w:left w:val="none" w:sz="0" w:space="0" w:color="auto"/>
        <w:bottom w:val="none" w:sz="0" w:space="0" w:color="auto"/>
        <w:right w:val="none" w:sz="0" w:space="0" w:color="auto"/>
      </w:divBdr>
    </w:div>
    <w:div w:id="1639457441">
      <w:bodyDiv w:val="1"/>
      <w:marLeft w:val="0"/>
      <w:marRight w:val="0"/>
      <w:marTop w:val="0"/>
      <w:marBottom w:val="0"/>
      <w:divBdr>
        <w:top w:val="none" w:sz="0" w:space="0" w:color="auto"/>
        <w:left w:val="none" w:sz="0" w:space="0" w:color="auto"/>
        <w:bottom w:val="none" w:sz="0" w:space="0" w:color="auto"/>
        <w:right w:val="none" w:sz="0" w:space="0" w:color="auto"/>
      </w:divBdr>
    </w:div>
    <w:div w:id="1716924412">
      <w:bodyDiv w:val="1"/>
      <w:marLeft w:val="0"/>
      <w:marRight w:val="0"/>
      <w:marTop w:val="0"/>
      <w:marBottom w:val="0"/>
      <w:divBdr>
        <w:top w:val="none" w:sz="0" w:space="0" w:color="auto"/>
        <w:left w:val="none" w:sz="0" w:space="0" w:color="auto"/>
        <w:bottom w:val="none" w:sz="0" w:space="0" w:color="auto"/>
        <w:right w:val="none" w:sz="0" w:space="0" w:color="auto"/>
      </w:divBdr>
    </w:div>
    <w:div w:id="1856962653">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06206753">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chart" Target="charts/chart3.xml"/><Relationship Id="rId26" Type="http://schemas.openxmlformats.org/officeDocument/2006/relationships/chart" Target="charts/chart11.xml"/><Relationship Id="rId39" Type="http://schemas.openxmlformats.org/officeDocument/2006/relationships/footer" Target="footer4.xml"/><Relationship Id="rId21" Type="http://schemas.openxmlformats.org/officeDocument/2006/relationships/chart" Target="charts/chart6.xml"/><Relationship Id="rId34" Type="http://schemas.openxmlformats.org/officeDocument/2006/relationships/chart" Target="charts/chart19.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chart" Target="charts/chart5.xml"/><Relationship Id="rId29" Type="http://schemas.openxmlformats.org/officeDocument/2006/relationships/chart" Target="charts/chart14.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chart" Target="charts/chart9.xml"/><Relationship Id="rId32" Type="http://schemas.openxmlformats.org/officeDocument/2006/relationships/chart" Target="charts/chart17.xml"/><Relationship Id="rId37" Type="http://schemas.openxmlformats.org/officeDocument/2006/relationships/header" Target="header4.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chart" Target="charts/chart8.xml"/><Relationship Id="rId28" Type="http://schemas.openxmlformats.org/officeDocument/2006/relationships/chart" Target="charts/chart13.xm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hart" Target="charts/chart4.xml"/><Relationship Id="rId31" Type="http://schemas.openxmlformats.org/officeDocument/2006/relationships/chart" Target="charts/chart1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hart" Target="charts/chart7.xml"/><Relationship Id="rId27" Type="http://schemas.openxmlformats.org/officeDocument/2006/relationships/chart" Target="charts/chart12.xml"/><Relationship Id="rId30" Type="http://schemas.openxmlformats.org/officeDocument/2006/relationships/chart" Target="charts/chart15.xml"/><Relationship Id="rId35" Type="http://schemas.openxmlformats.org/officeDocument/2006/relationships/chart" Target="charts/chart20.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chart" Target="charts/chart2.xml"/><Relationship Id="rId25" Type="http://schemas.openxmlformats.org/officeDocument/2006/relationships/chart" Target="charts/chart10.xml"/><Relationship Id="rId33" Type="http://schemas.openxmlformats.org/officeDocument/2006/relationships/chart" Target="charts/chart18.xml"/><Relationship Id="rId38"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s://csu.gov.cz/produkty/analyza-ctvrtletnich-sektorovych-uctu-3-ctvrtleti-2025" TargetMode="External"/><Relationship Id="rId2" Type="http://schemas.openxmlformats.org/officeDocument/2006/relationships/hyperlink" Target="https://csu.gov.cz/metodicka-poznamka-k-indexu-spotrebitelskych-cen-imputovane-najemne" TargetMode="External"/><Relationship Id="rId1" Type="http://schemas.openxmlformats.org/officeDocument/2006/relationships/hyperlink" Target="https://www.czso.cz/csu/czso/aktualizace-metody-propoctu-zahranicni-obchod-se-zbozi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https://czsocz-my.sharepoint.com/personal/karolina_zabojnikova_czso_cz/Documents/Dokumenty/Anal&#253;za/Q/2025Q4/Makroanal&#253;za%20grafy.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3" Type="http://schemas.openxmlformats.org/officeDocument/2006/relationships/oleObject" Target="https://czsocz-my.sharepoint.com/personal/karolina_zabojnikova_czso_cz/Documents/Dokumenty/Anal&#253;za/Q/2025Q4/Makroanal&#253;za%20grafy.xlsx" TargetMode="External"/><Relationship Id="rId2" Type="http://schemas.microsoft.com/office/2011/relationships/chartColorStyle" Target="colors2.xml"/><Relationship Id="rId1" Type="http://schemas.microsoft.com/office/2011/relationships/chartStyle" Target="style2.xml"/></Relationships>
</file>

<file path=word/charts/_rels/chart11.xml.rels><?xml version="1.0" encoding="UTF-8" standalone="yes"?>
<Relationships xmlns="http://schemas.openxmlformats.org/package/2006/relationships"><Relationship Id="rId1" Type="http://schemas.openxmlformats.org/officeDocument/2006/relationships/oleObject" Target="https://czsocz-my.sharepoint.com/personal/karolina_zabojnikova_czso_cz/Documents/Dokumenty/Anal&#253;za/Q/2025Q4/Makroanal&#253;za%20grafy.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czsocz-my.sharepoint.com/personal/karolina_zabojnikova_czso_cz/Documents/Dokumenty/Anal&#253;za/Q/2025Q4/Makroanal&#253;za%20grafy.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czsocz-my.sharepoint.com/personal/karolina_zabojnikova_czso_cz/Documents/Dokumenty/Anal&#253;za/Q/2025Q4/Makroanal&#253;za%20grafy.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F:\Qmakro-2025\cekorok%202025\Trh%20pr&#225;ce\Grafy-TRH%20PR&#193;CE%20celorok-2025.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F:\Qmakro-2025\cekorok%202025\Trh%20pr&#225;ce\Grafy-TRH%20PR&#193;CE%20celorok-2025.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F:\Qmakro-2025\cekorok%202025\Trh%20pr&#225;ce\Grafy-TRH%20PR&#193;CE%20celorok-2025.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czsocz-my.sharepoint.com/personal/karolina_zabojnikova_czso_cz/Documents/Dokumenty/Anal&#253;za/Q/2025Q4/Makroanal&#253;za%20grafy.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F:\Qmakro-2025\cekorok%202025\Grafy-st&#225;tn&#237;%20rozpo&#269;et-rok-2025.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E:\Qmakro-2025\cekorok%202025\Grafy-st&#225;tn&#237;%20rozpo&#269;et-rok-202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czsocz-my.sharepoint.com/personal/karolina_zabojnikova_czso_cz/Documents/Dokumenty/Anal&#253;za/Q/2025Q4/Makroanal&#253;za%20grafy.xlsx" TargetMode="External"/></Relationships>
</file>

<file path=word/charts/_rels/chart20.xml.rels><?xml version="1.0" encoding="UTF-8" standalone="yes"?>
<Relationships xmlns="http://schemas.openxmlformats.org/package/2006/relationships"><Relationship Id="rId3" Type="http://schemas.openxmlformats.org/officeDocument/2006/relationships/oleObject" Target="file:///F:\Qmakro-2025\cekorok%202025\Grafy-st&#225;tn&#237;%20rozpo&#269;et-rok-2025.xlsx" TargetMode="External"/><Relationship Id="rId2" Type="http://schemas.microsoft.com/office/2011/relationships/chartColorStyle" Target="colors3.xml"/><Relationship Id="rId1" Type="http://schemas.microsoft.com/office/2011/relationships/chartStyle" Target="style3.xml"/></Relationships>
</file>

<file path=word/charts/_rels/chart3.xml.rels><?xml version="1.0" encoding="UTF-8" standalone="yes"?>
<Relationships xmlns="http://schemas.openxmlformats.org/package/2006/relationships"><Relationship Id="rId1" Type="http://schemas.openxmlformats.org/officeDocument/2006/relationships/oleObject" Target="https://czsocz-my.sharepoint.com/personal/karolina_zabojnikova_czso_cz/Documents/Dokumenty/Anal&#253;za/Q/2025Q4/Makroanal&#253;za%20grafy.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Qmakro-2025\cekorok%202025\Odv&#283;tv&#237;\ODV&#282;TV&#205;_grafy_celorok-2025-akt.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Qmakro-2025\cekorok%202025\Odv&#283;tv&#237;\ODV&#282;TV&#205;_grafy_celorok-2025-ak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Qmakro-2025\cekorok%202025\Odv&#283;tv&#237;\ODV&#282;TV&#205;_grafy_celorok-2025-akt.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F:\Qmakro-2025\cekorok%202025\Odv&#283;tv&#237;\ODV&#282;TV&#205;_grafy_celorok-2025-akt.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F:\Qmakro-2025\cekorok%202025\Odv&#283;tv&#237;\aktualizace%20dat\ODV&#282;TV&#205;_grafy_celorok-2025.xlsx" TargetMode="External"/></Relationships>
</file>

<file path=word/charts/_rels/chart9.xml.rels><?xml version="1.0" encoding="UTF-8" standalone="yes"?>
<Relationships xmlns="http://schemas.openxmlformats.org/package/2006/relationships"><Relationship Id="rId3" Type="http://schemas.openxmlformats.org/officeDocument/2006/relationships/oleObject" Target="https://czsocz-my.sharepoint.com/personal/karolina_zabojnikova_czso_cz/Documents/Dokumenty/Anal&#253;za/Q/2025Q4/Makroanal&#253;za%20grafy.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8324257007767645E-2"/>
          <c:y val="2.3046636085626952E-2"/>
          <c:w val="0.92008633063154344"/>
          <c:h val="0.74192840256671611"/>
        </c:manualLayout>
      </c:layout>
      <c:barChart>
        <c:barDir val="col"/>
        <c:grouping val="clustered"/>
        <c:varyColors val="0"/>
        <c:ser>
          <c:idx val="0"/>
          <c:order val="0"/>
          <c:tx>
            <c:strRef>
              <c:f>'souhrnná výkonnost 1'!$C$4</c:f>
              <c:strCache>
                <c:ptCount val="1"/>
                <c:pt idx="0">
                  <c:v>ČR meziroční změna</c:v>
                </c:pt>
              </c:strCache>
            </c:strRef>
          </c:tx>
          <c:spPr>
            <a:solidFill>
              <a:srgbClr val="85898E"/>
            </a:solidFill>
            <a:ln>
              <a:noFill/>
            </a:ln>
          </c:spPr>
          <c:invertIfNegative val="0"/>
          <c:cat>
            <c:multiLvlStrRef>
              <c:f>'souhrnná výkonnost 1'!$A$13:$B$36</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f>'souhrnná výkonnost 1'!$C$13:$C$36</c:f>
              <c:numCache>
                <c:formatCode>0.0</c:formatCode>
                <c:ptCount val="24"/>
                <c:pt idx="0">
                  <c:v>-1.5351861916054617</c:v>
                </c:pt>
                <c:pt idx="1">
                  <c:v>-10.559587702388853</c:v>
                </c:pt>
                <c:pt idx="2">
                  <c:v>-4.6694083752601188</c:v>
                </c:pt>
                <c:pt idx="3">
                  <c:v>-4.5192273145153194</c:v>
                </c:pt>
                <c:pt idx="4">
                  <c:v>-1.2664124847114806</c:v>
                </c:pt>
                <c:pt idx="5">
                  <c:v>9.7297062446547216</c:v>
                </c:pt>
                <c:pt idx="6">
                  <c:v>3.9961916951869227</c:v>
                </c:pt>
                <c:pt idx="7">
                  <c:v>3.9239124588274592</c:v>
                </c:pt>
                <c:pt idx="8">
                  <c:v>4.8491281313959291</c:v>
                </c:pt>
                <c:pt idx="9">
                  <c:v>3.6598190972935782</c:v>
                </c:pt>
                <c:pt idx="10">
                  <c:v>2.0291799214766684</c:v>
                </c:pt>
                <c:pt idx="11">
                  <c:v>0.95170963681438536</c:v>
                </c:pt>
                <c:pt idx="12">
                  <c:v>0.26248598087539676</c:v>
                </c:pt>
                <c:pt idx="13">
                  <c:v>0.21777400207922426</c:v>
                </c:pt>
                <c:pt idx="14">
                  <c:v>-0.2818883582691285</c:v>
                </c:pt>
                <c:pt idx="15">
                  <c:v>0.48633188147042006</c:v>
                </c:pt>
                <c:pt idx="16">
                  <c:v>0.50112217790925229</c:v>
                </c:pt>
                <c:pt idx="17">
                  <c:v>0.53795436954789011</c:v>
                </c:pt>
                <c:pt idx="18">
                  <c:v>1.5167845788735406</c:v>
                </c:pt>
                <c:pt idx="19">
                  <c:v>1.9540450586190872</c:v>
                </c:pt>
                <c:pt idx="20">
                  <c:v>2.4336347581521522</c:v>
                </c:pt>
                <c:pt idx="21">
                  <c:v>2.5962890487377024</c:v>
                </c:pt>
                <c:pt idx="22">
                  <c:v>2.7833123155343031</c:v>
                </c:pt>
                <c:pt idx="23">
                  <c:v>2.5574982004102083</c:v>
                </c:pt>
              </c:numCache>
            </c:numRef>
          </c:val>
          <c:extLst>
            <c:ext xmlns:c16="http://schemas.microsoft.com/office/drawing/2014/chart" uri="{C3380CC4-5D6E-409C-BE32-E72D297353CC}">
              <c16:uniqueId val="{00000000-AB39-4205-A22D-1595D09E705E}"/>
            </c:ext>
          </c:extLst>
        </c:ser>
        <c:ser>
          <c:idx val="1"/>
          <c:order val="1"/>
          <c:tx>
            <c:strRef>
              <c:f>'souhrnná výkonnost 1'!$D$4</c:f>
              <c:strCache>
                <c:ptCount val="1"/>
                <c:pt idx="0">
                  <c:v>EU27 meziroční změna</c:v>
                </c:pt>
              </c:strCache>
            </c:strRef>
          </c:tx>
          <c:spPr>
            <a:solidFill>
              <a:srgbClr val="B8BBC0"/>
            </a:solidFill>
            <a:ln>
              <a:noFill/>
            </a:ln>
          </c:spPr>
          <c:invertIfNegative val="0"/>
          <c:cat>
            <c:multiLvlStrRef>
              <c:f>'souhrnná výkonnost 1'!$A$13:$B$36</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f>'souhrnná výkonnost 1'!$D$13:$D$36</c:f>
              <c:numCache>
                <c:formatCode>#\ ##0.##########</c:formatCode>
                <c:ptCount val="24"/>
                <c:pt idx="0">
                  <c:v>-2.2000000000000002</c:v>
                </c:pt>
                <c:pt idx="1">
                  <c:v>-13.1</c:v>
                </c:pt>
                <c:pt idx="2">
                  <c:v>-3.9</c:v>
                </c:pt>
                <c:pt idx="3">
                  <c:v>-3.5</c:v>
                </c:pt>
                <c:pt idx="4">
                  <c:v>0.3</c:v>
                </c:pt>
                <c:pt idx="5">
                  <c:v>14.7</c:v>
                </c:pt>
                <c:pt idx="6">
                  <c:v>5.3</c:v>
                </c:pt>
                <c:pt idx="7">
                  <c:v>5.8</c:v>
                </c:pt>
                <c:pt idx="8">
                  <c:v>5.6</c:v>
                </c:pt>
                <c:pt idx="9">
                  <c:v>4.2</c:v>
                </c:pt>
                <c:pt idx="10">
                  <c:v>2.9</c:v>
                </c:pt>
                <c:pt idx="11">
                  <c:v>1.8</c:v>
                </c:pt>
                <c:pt idx="12">
                  <c:v>1.2</c:v>
                </c:pt>
                <c:pt idx="13">
                  <c:v>0.4</c:v>
                </c:pt>
                <c:pt idx="14">
                  <c:v>0.1</c:v>
                </c:pt>
                <c:pt idx="15">
                  <c:v>0.4</c:v>
                </c:pt>
                <c:pt idx="16">
                  <c:v>0.6</c:v>
                </c:pt>
                <c:pt idx="17">
                  <c:v>0.8</c:v>
                </c:pt>
                <c:pt idx="18">
                  <c:v>1.1000000000000001</c:v>
                </c:pt>
                <c:pt idx="19">
                  <c:v>1.5</c:v>
                </c:pt>
                <c:pt idx="20">
                  <c:v>1.7</c:v>
                </c:pt>
                <c:pt idx="21">
                  <c:v>1.7</c:v>
                </c:pt>
                <c:pt idx="22">
                  <c:v>1.7</c:v>
                </c:pt>
                <c:pt idx="23">
                  <c:v>1.4</c:v>
                </c:pt>
              </c:numCache>
            </c:numRef>
          </c:val>
          <c:extLst>
            <c:ext xmlns:c16="http://schemas.microsoft.com/office/drawing/2014/chart" uri="{C3380CC4-5D6E-409C-BE32-E72D297353CC}">
              <c16:uniqueId val="{00000001-AB39-4205-A22D-1595D09E705E}"/>
            </c:ext>
          </c:extLst>
        </c:ser>
        <c:dLbls>
          <c:showLegendKey val="0"/>
          <c:showVal val="0"/>
          <c:showCatName val="0"/>
          <c:showSerName val="0"/>
          <c:showPercent val="0"/>
          <c:showBubbleSize val="0"/>
        </c:dLbls>
        <c:gapWidth val="100"/>
        <c:axId val="267753344"/>
        <c:axId val="267767808"/>
      </c:barChart>
      <c:lineChart>
        <c:grouping val="standard"/>
        <c:varyColors val="0"/>
        <c:ser>
          <c:idx val="2"/>
          <c:order val="2"/>
          <c:tx>
            <c:strRef>
              <c:f>'souhrnná výkonnost 1'!$E$4</c:f>
              <c:strCache>
                <c:ptCount val="1"/>
                <c:pt idx="0">
                  <c:v>ČR mezičtvrtletní změna</c:v>
                </c:pt>
              </c:strCache>
            </c:strRef>
          </c:tx>
          <c:spPr>
            <a:ln w="19050">
              <a:noFill/>
            </a:ln>
          </c:spPr>
          <c:marker>
            <c:symbol val="dash"/>
            <c:size val="8"/>
            <c:spPr>
              <a:solidFill>
                <a:srgbClr val="009CB5"/>
              </a:solidFill>
              <a:ln>
                <a:noFill/>
              </a:ln>
            </c:spPr>
          </c:marker>
          <c:cat>
            <c:multiLvlStrRef>
              <c:f>'souhrnná výkonnost 1'!$A$13:$B$36</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f>'souhrnná výkonnost 1'!$E$13:$E$36</c:f>
              <c:numCache>
                <c:formatCode>0.0</c:formatCode>
                <c:ptCount val="24"/>
                <c:pt idx="0">
                  <c:v>-3.2943412602672453</c:v>
                </c:pt>
                <c:pt idx="1">
                  <c:v>-8.7133959463388635</c:v>
                </c:pt>
                <c:pt idx="2">
                  <c:v>7.3327293273359544</c:v>
                </c:pt>
                <c:pt idx="3">
                  <c:v>0.76850445129137768</c:v>
                </c:pt>
                <c:pt idx="4">
                  <c:v>2.0267802636908527E-4</c:v>
                </c:pt>
                <c:pt idx="5">
                  <c:v>1.4533402357052267</c:v>
                </c:pt>
                <c:pt idx="6">
                  <c:v>1.724459823175593</c:v>
                </c:pt>
                <c:pt idx="7">
                  <c:v>0.69846851601238313</c:v>
                </c:pt>
                <c:pt idx="8">
                  <c:v>0.89048627675430225</c:v>
                </c:pt>
                <c:pt idx="9">
                  <c:v>0.30254979774397839</c:v>
                </c:pt>
                <c:pt idx="10">
                  <c:v>0.12426515979501573</c:v>
                </c:pt>
                <c:pt idx="11">
                  <c:v>-0.36494890653776224</c:v>
                </c:pt>
                <c:pt idx="12">
                  <c:v>0.20168060866517123</c:v>
                </c:pt>
                <c:pt idx="13">
                  <c:v>0.25781995251938383</c:v>
                </c:pt>
                <c:pt idx="14">
                  <c:v>-0.37493098735598096</c:v>
                </c:pt>
                <c:pt idx="15">
                  <c:v>0.4026314414784764</c:v>
                </c:pt>
                <c:pt idx="16">
                  <c:v>0.21642900809541743</c:v>
                </c:pt>
                <c:pt idx="17">
                  <c:v>0.29456297745026916</c:v>
                </c:pt>
                <c:pt idx="18">
                  <c:v>0.59501143654981092</c:v>
                </c:pt>
                <c:pt idx="19">
                  <c:v>0.83509295977751208</c:v>
                </c:pt>
                <c:pt idx="20">
                  <c:v>0.68784499800180754</c:v>
                </c:pt>
                <c:pt idx="21">
                  <c:v>0.45382063758503932</c:v>
                </c:pt>
                <c:pt idx="22">
                  <c:v>0.77838656480000168</c:v>
                </c:pt>
                <c:pt idx="23">
                  <c:v>0.61355906699667173</c:v>
                </c:pt>
              </c:numCache>
            </c:numRef>
          </c:val>
          <c:smooth val="0"/>
          <c:extLst>
            <c:ext xmlns:c16="http://schemas.microsoft.com/office/drawing/2014/chart" uri="{C3380CC4-5D6E-409C-BE32-E72D297353CC}">
              <c16:uniqueId val="{00000002-AB39-4205-A22D-1595D09E705E}"/>
            </c:ext>
          </c:extLst>
        </c:ser>
        <c:ser>
          <c:idx val="3"/>
          <c:order val="3"/>
          <c:tx>
            <c:strRef>
              <c:f>'souhrnná výkonnost 1'!$F$4</c:f>
              <c:strCache>
                <c:ptCount val="1"/>
                <c:pt idx="0">
                  <c:v>EU27 mezičtvrtletní změna</c:v>
                </c:pt>
              </c:strCache>
            </c:strRef>
          </c:tx>
          <c:spPr>
            <a:ln w="19050">
              <a:noFill/>
            </a:ln>
          </c:spPr>
          <c:marker>
            <c:symbol val="dash"/>
            <c:size val="8"/>
            <c:spPr>
              <a:solidFill>
                <a:srgbClr val="BC5B80"/>
              </a:solidFill>
              <a:ln>
                <a:noFill/>
              </a:ln>
            </c:spPr>
          </c:marker>
          <c:cat>
            <c:multiLvlStrRef>
              <c:f>'souhrnná výkonnost 1'!$A$13:$B$36</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f>'souhrnná výkonnost 1'!$F$13:$F$36</c:f>
              <c:numCache>
                <c:formatCode>#\ ##0.##########</c:formatCode>
                <c:ptCount val="24"/>
                <c:pt idx="0">
                  <c:v>-2.9</c:v>
                </c:pt>
                <c:pt idx="1">
                  <c:v>-10.8</c:v>
                </c:pt>
                <c:pt idx="2">
                  <c:v>10.8</c:v>
                </c:pt>
                <c:pt idx="3">
                  <c:v>0.5</c:v>
                </c:pt>
                <c:pt idx="4">
                  <c:v>0.9</c:v>
                </c:pt>
                <c:pt idx="5">
                  <c:v>2.1</c:v>
                </c:pt>
                <c:pt idx="6">
                  <c:v>1.7</c:v>
                </c:pt>
                <c:pt idx="7" formatCode="#\ ##0.0">
                  <c:v>1</c:v>
                </c:pt>
                <c:pt idx="8">
                  <c:v>0.7</c:v>
                </c:pt>
                <c:pt idx="9">
                  <c:v>0.8</c:v>
                </c:pt>
                <c:pt idx="10">
                  <c:v>0.4</c:v>
                </c:pt>
                <c:pt idx="11">
                  <c:v>-0.2</c:v>
                </c:pt>
                <c:pt idx="12">
                  <c:v>0.1</c:v>
                </c:pt>
                <c:pt idx="13">
                  <c:v>0.1</c:v>
                </c:pt>
                <c:pt idx="14">
                  <c:v>0.1</c:v>
                </c:pt>
                <c:pt idx="15">
                  <c:v>0.1</c:v>
                </c:pt>
                <c:pt idx="16">
                  <c:v>0.4</c:v>
                </c:pt>
                <c:pt idx="17">
                  <c:v>0.3</c:v>
                </c:pt>
                <c:pt idx="18">
                  <c:v>0.4</c:v>
                </c:pt>
                <c:pt idx="19">
                  <c:v>0.5</c:v>
                </c:pt>
                <c:pt idx="20">
                  <c:v>0.5</c:v>
                </c:pt>
                <c:pt idx="21">
                  <c:v>0.3</c:v>
                </c:pt>
                <c:pt idx="22">
                  <c:v>0.4</c:v>
                </c:pt>
                <c:pt idx="23">
                  <c:v>0.2</c:v>
                </c:pt>
              </c:numCache>
            </c:numRef>
          </c:val>
          <c:smooth val="0"/>
          <c:extLst>
            <c:ext xmlns:c16="http://schemas.microsoft.com/office/drawing/2014/chart" uri="{C3380CC4-5D6E-409C-BE32-E72D297353CC}">
              <c16:uniqueId val="{00000003-AB39-4205-A22D-1595D09E705E}"/>
            </c:ext>
          </c:extLst>
        </c:ser>
        <c:dLbls>
          <c:showLegendKey val="0"/>
          <c:showVal val="0"/>
          <c:showCatName val="0"/>
          <c:showSerName val="0"/>
          <c:showPercent val="0"/>
          <c:showBubbleSize val="0"/>
        </c:dLbls>
        <c:marker val="1"/>
        <c:smooth val="0"/>
        <c:axId val="267753344"/>
        <c:axId val="267767808"/>
      </c:lineChart>
      <c:catAx>
        <c:axId val="267753344"/>
        <c:scaling>
          <c:orientation val="minMax"/>
        </c:scaling>
        <c:delete val="0"/>
        <c:axPos val="b"/>
        <c:numFmt formatCode="General" sourceLinked="0"/>
        <c:majorTickMark val="out"/>
        <c:minorTickMark val="none"/>
        <c:tickLblPos val="low"/>
        <c:spPr>
          <a:ln>
            <a:solidFill>
              <a:schemeClr val="tx1"/>
            </a:solidFill>
          </a:ln>
        </c:spPr>
        <c:txPr>
          <a:bodyPr rot="0" vert="horz"/>
          <a:lstStyle/>
          <a:p>
            <a:pPr>
              <a:defRPr/>
            </a:pPr>
            <a:endParaRPr lang="cs-CZ"/>
          </a:p>
        </c:txPr>
        <c:crossAx val="267767808"/>
        <c:crosses val="autoZero"/>
        <c:auto val="1"/>
        <c:lblAlgn val="ctr"/>
        <c:lblOffset val="100"/>
        <c:noMultiLvlLbl val="0"/>
      </c:catAx>
      <c:valAx>
        <c:axId val="267767808"/>
        <c:scaling>
          <c:orientation val="minMax"/>
          <c:max val="15"/>
          <c:min val="-15"/>
        </c:scaling>
        <c:delete val="0"/>
        <c:axPos val="l"/>
        <c:majorGridlines>
          <c:spPr>
            <a:ln w="6350">
              <a:solidFill>
                <a:schemeClr val="bg1">
                  <a:lumMod val="75000"/>
                </a:schemeClr>
              </a:solidFill>
            </a:ln>
          </c:spPr>
        </c:majorGridlines>
        <c:numFmt formatCode="0" sourceLinked="0"/>
        <c:majorTickMark val="out"/>
        <c:minorTickMark val="none"/>
        <c:tickLblPos val="nextTo"/>
        <c:spPr>
          <a:ln>
            <a:solidFill>
              <a:schemeClr val="tx1"/>
            </a:solidFill>
          </a:ln>
        </c:spPr>
        <c:crossAx val="267753344"/>
        <c:crosses val="autoZero"/>
        <c:crossBetween val="between"/>
        <c:majorUnit val="3"/>
      </c:valAx>
      <c:spPr>
        <a:ln>
          <a:solidFill>
            <a:schemeClr val="tx1"/>
          </a:solidFill>
        </a:ln>
      </c:spPr>
    </c:plotArea>
    <c:legend>
      <c:legendPos val="b"/>
      <c:layout>
        <c:manualLayout>
          <c:xMode val="edge"/>
          <c:yMode val="edge"/>
          <c:x val="5.8431906450523471E-2"/>
          <c:y val="0.89437255125717996"/>
          <c:w val="0.91838441404930771"/>
          <c:h val="9.0301755758791014E-2"/>
        </c:manualLayout>
      </c:layout>
      <c:overlay val="0"/>
      <c:spPr>
        <a:ln w="6350">
          <a:solidFill>
            <a:schemeClr val="tx1"/>
          </a:solidFill>
        </a:ln>
      </c:spPr>
    </c:legend>
    <c:plotVisOnly val="1"/>
    <c:dispBlanksAs val="gap"/>
    <c:showDLblsOverMax val="0"/>
  </c:chart>
  <c:spPr>
    <a:ln>
      <a:noFill/>
    </a:ln>
  </c:spPr>
  <c:txPr>
    <a:bodyPr/>
    <a:lstStyle/>
    <a:p>
      <a:pPr>
        <a:defRPr sz="800" baseline="0">
          <a:latin typeface="Arial" pitchFamily="34" charset="0"/>
        </a:defRPr>
      </a:pPr>
      <a:endParaRPr lang="cs-CZ"/>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1324074074074073E-2"/>
          <c:y val="4.0005727376861394E-2"/>
          <c:w val="0.88059911616161612"/>
          <c:h val="0.76044243986254301"/>
        </c:manualLayout>
      </c:layout>
      <c:barChart>
        <c:barDir val="col"/>
        <c:grouping val="clustered"/>
        <c:varyColors val="0"/>
        <c:ser>
          <c:idx val="2"/>
          <c:order val="2"/>
          <c:tx>
            <c:strRef>
              <c:f>'Vnější vztahy'!$E$6</c:f>
              <c:strCache>
                <c:ptCount val="1"/>
                <c:pt idx="0">
                  <c:v>Bilance</c:v>
                </c:pt>
              </c:strCache>
            </c:strRef>
          </c:tx>
          <c:spPr>
            <a:solidFill>
              <a:srgbClr val="85898E"/>
            </a:solidFill>
            <a:ln>
              <a:noFill/>
            </a:ln>
            <a:effectLst/>
          </c:spPr>
          <c:invertIfNegative val="0"/>
          <c:cat>
            <c:multiLvlStrRef>
              <c:f>'Vnější vztahy'!$A$11:$B$34</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f>'Vnější vztahy'!$E$11:$E$34</c:f>
              <c:numCache>
                <c:formatCode>0.0</c:formatCode>
                <c:ptCount val="24"/>
                <c:pt idx="0">
                  <c:v>36.182428658999996</c:v>
                </c:pt>
                <c:pt idx="1">
                  <c:v>9.2911503559999993</c:v>
                </c:pt>
                <c:pt idx="2">
                  <c:v>55.286836668000007</c:v>
                </c:pt>
                <c:pt idx="3">
                  <c:v>78.879761297999991</c:v>
                </c:pt>
                <c:pt idx="4">
                  <c:v>60.916821217999995</c:v>
                </c:pt>
                <c:pt idx="5">
                  <c:v>13.848192235000001</c:v>
                </c:pt>
                <c:pt idx="6">
                  <c:v>-54.700282055000002</c:v>
                </c:pt>
                <c:pt idx="7">
                  <c:v>-29.269374235000001</c:v>
                </c:pt>
                <c:pt idx="8">
                  <c:v>-12.635912592</c:v>
                </c:pt>
                <c:pt idx="9">
                  <c:v>-73.225200095999995</c:v>
                </c:pt>
                <c:pt idx="10">
                  <c:v>-64.314002961</c:v>
                </c:pt>
                <c:pt idx="11">
                  <c:v>-54.639469009000003</c:v>
                </c:pt>
                <c:pt idx="12">
                  <c:v>40.885161205999999</c:v>
                </c:pt>
                <c:pt idx="13">
                  <c:v>36.180839551999995</c:v>
                </c:pt>
                <c:pt idx="14">
                  <c:v>-1.2235418870000001</c:v>
                </c:pt>
                <c:pt idx="15">
                  <c:v>46.660049057999998</c:v>
                </c:pt>
                <c:pt idx="16">
                  <c:v>82.282917839000007</c:v>
                </c:pt>
                <c:pt idx="17">
                  <c:v>70.988541018000006</c:v>
                </c:pt>
                <c:pt idx="18">
                  <c:v>27.293198606000001</c:v>
                </c:pt>
                <c:pt idx="19">
                  <c:v>39.924275514999998</c:v>
                </c:pt>
                <c:pt idx="20">
                  <c:v>76.079699594999994</c:v>
                </c:pt>
                <c:pt idx="21">
                  <c:v>56.132810357000004</c:v>
                </c:pt>
                <c:pt idx="22">
                  <c:v>28.243833686999999</c:v>
                </c:pt>
                <c:pt idx="23">
                  <c:v>52.393365281999998</c:v>
                </c:pt>
              </c:numCache>
            </c:numRef>
          </c:val>
          <c:extLst>
            <c:ext xmlns:c16="http://schemas.microsoft.com/office/drawing/2014/chart" uri="{C3380CC4-5D6E-409C-BE32-E72D297353CC}">
              <c16:uniqueId val="{00000000-0C0D-4710-98DA-6C8965B40836}"/>
            </c:ext>
          </c:extLst>
        </c:ser>
        <c:dLbls>
          <c:showLegendKey val="0"/>
          <c:showVal val="0"/>
          <c:showCatName val="0"/>
          <c:showSerName val="0"/>
          <c:showPercent val="0"/>
          <c:showBubbleSize val="0"/>
        </c:dLbls>
        <c:gapWidth val="90"/>
        <c:axId val="1842150016"/>
        <c:axId val="1842137120"/>
      </c:barChart>
      <c:lineChart>
        <c:grouping val="standard"/>
        <c:varyColors val="0"/>
        <c:ser>
          <c:idx val="0"/>
          <c:order val="0"/>
          <c:tx>
            <c:strRef>
              <c:f>'Vnější vztahy'!$C$6</c:f>
              <c:strCache>
                <c:ptCount val="1"/>
                <c:pt idx="0">
                  <c:v>Vývoz</c:v>
                </c:pt>
              </c:strCache>
            </c:strRef>
          </c:tx>
          <c:spPr>
            <a:ln w="28575" cap="rnd">
              <a:noFill/>
              <a:round/>
            </a:ln>
            <a:effectLst/>
          </c:spPr>
          <c:marker>
            <c:symbol val="dash"/>
            <c:size val="9"/>
            <c:spPr>
              <a:solidFill>
                <a:srgbClr val="174F70"/>
              </a:solidFill>
              <a:ln w="9525">
                <a:noFill/>
              </a:ln>
              <a:effectLst/>
            </c:spPr>
          </c:marker>
          <c:cat>
            <c:multiLvlStrRef>
              <c:f>'Vnější vztahy'!$A$11:$B$34</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f>'Vnější vztahy'!$C$11:$C$34</c:f>
              <c:numCache>
                <c:formatCode>#\ ##0.0</c:formatCode>
                <c:ptCount val="24"/>
                <c:pt idx="0">
                  <c:v>-6.4135636115999972</c:v>
                </c:pt>
                <c:pt idx="1">
                  <c:v>-25.037497579399997</c:v>
                </c:pt>
                <c:pt idx="2">
                  <c:v>-3.5785611728999953</c:v>
                </c:pt>
                <c:pt idx="3">
                  <c:v>7.411852265899995</c:v>
                </c:pt>
                <c:pt idx="4">
                  <c:v>10.962313304399999</c:v>
                </c:pt>
                <c:pt idx="5">
                  <c:v>41.981094956100009</c:v>
                </c:pt>
                <c:pt idx="6">
                  <c:v>3.4515742189000065</c:v>
                </c:pt>
                <c:pt idx="7">
                  <c:v>2.749198525500006</c:v>
                </c:pt>
                <c:pt idx="8">
                  <c:v>8.0064988441999958</c:v>
                </c:pt>
                <c:pt idx="9">
                  <c:v>11.287163968300007</c:v>
                </c:pt>
                <c:pt idx="10">
                  <c:v>22.470879917399998</c:v>
                </c:pt>
                <c:pt idx="11">
                  <c:v>13.234980039600003</c:v>
                </c:pt>
                <c:pt idx="12">
                  <c:v>10.691327997000002</c:v>
                </c:pt>
                <c:pt idx="13">
                  <c:v>0.90534101039999371</c:v>
                </c:pt>
                <c:pt idx="14">
                  <c:v>-6.7264620790000009</c:v>
                </c:pt>
                <c:pt idx="15">
                  <c:v>-1.1504207308999952</c:v>
                </c:pt>
                <c:pt idx="16">
                  <c:v>-8.6901433099995984E-2</c:v>
                </c:pt>
                <c:pt idx="17">
                  <c:v>4.7005744015000062</c:v>
                </c:pt>
                <c:pt idx="18">
                  <c:v>10.984825847799996</c:v>
                </c:pt>
                <c:pt idx="19">
                  <c:v>4.9824641242999945</c:v>
                </c:pt>
                <c:pt idx="20">
                  <c:v>6.3007884744999956</c:v>
                </c:pt>
                <c:pt idx="21">
                  <c:v>3.1311916589999953</c:v>
                </c:pt>
                <c:pt idx="22">
                  <c:v>1.3007654241999944</c:v>
                </c:pt>
                <c:pt idx="23">
                  <c:v>0.14150779739999564</c:v>
                </c:pt>
              </c:numCache>
            </c:numRef>
          </c:val>
          <c:smooth val="0"/>
          <c:extLst>
            <c:ext xmlns:c16="http://schemas.microsoft.com/office/drawing/2014/chart" uri="{C3380CC4-5D6E-409C-BE32-E72D297353CC}">
              <c16:uniqueId val="{00000001-0C0D-4710-98DA-6C8965B40836}"/>
            </c:ext>
          </c:extLst>
        </c:ser>
        <c:ser>
          <c:idx val="1"/>
          <c:order val="1"/>
          <c:tx>
            <c:strRef>
              <c:f>'Vnější vztahy'!$D$6</c:f>
              <c:strCache>
                <c:ptCount val="1"/>
                <c:pt idx="0">
                  <c:v>Dovoz</c:v>
                </c:pt>
              </c:strCache>
            </c:strRef>
          </c:tx>
          <c:spPr>
            <a:ln w="28575" cap="rnd">
              <a:noFill/>
              <a:round/>
            </a:ln>
            <a:effectLst/>
          </c:spPr>
          <c:marker>
            <c:symbol val="dash"/>
            <c:size val="9"/>
            <c:spPr>
              <a:solidFill>
                <a:srgbClr val="BC5B80"/>
              </a:solidFill>
              <a:ln w="9525">
                <a:noFill/>
              </a:ln>
              <a:effectLst/>
            </c:spPr>
          </c:marker>
          <c:cat>
            <c:multiLvlStrRef>
              <c:f>'Vnější vztahy'!$A$11:$B$34</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f>'Vnější vztahy'!$D$11:$D$34</c:f>
              <c:numCache>
                <c:formatCode>#\ ##0.0</c:formatCode>
                <c:ptCount val="24"/>
                <c:pt idx="0">
                  <c:v>-5.3981676209999989</c:v>
                </c:pt>
                <c:pt idx="1">
                  <c:v>-21.285728278400001</c:v>
                </c:pt>
                <c:pt idx="2">
                  <c:v>-6.8912364523999941</c:v>
                </c:pt>
                <c:pt idx="3">
                  <c:v>0.22314936540000474</c:v>
                </c:pt>
                <c:pt idx="4">
                  <c:v>8.4767312925000056</c:v>
                </c:pt>
                <c:pt idx="5">
                  <c:v>41.887499316600014</c:v>
                </c:pt>
                <c:pt idx="6">
                  <c:v>17.303793961099998</c:v>
                </c:pt>
                <c:pt idx="7">
                  <c:v>14.923030300799994</c:v>
                </c:pt>
                <c:pt idx="8">
                  <c:v>16.659765110899997</c:v>
                </c:pt>
                <c:pt idx="9">
                  <c:v>20.193090002000005</c:v>
                </c:pt>
                <c:pt idx="10">
                  <c:v>22.188267180799997</c:v>
                </c:pt>
                <c:pt idx="11">
                  <c:v>15.2991180633</c:v>
                </c:pt>
                <c:pt idx="12">
                  <c:v>5.5018043466999984</c:v>
                </c:pt>
                <c:pt idx="13">
                  <c:v>-8.2960208406999953</c:v>
                </c:pt>
                <c:pt idx="14">
                  <c:v>-11.801975368499996</c:v>
                </c:pt>
                <c:pt idx="15">
                  <c:v>-9.5344571271999996</c:v>
                </c:pt>
                <c:pt idx="16">
                  <c:v>-3.8011078601000037</c:v>
                </c:pt>
                <c:pt idx="17">
                  <c:v>1.682577773999995</c:v>
                </c:pt>
                <c:pt idx="18">
                  <c:v>8.1790772874000055</c:v>
                </c:pt>
                <c:pt idx="19">
                  <c:v>5.8165725733999949</c:v>
                </c:pt>
                <c:pt idx="20">
                  <c:v>7.3619518505999935</c:v>
                </c:pt>
                <c:pt idx="21">
                  <c:v>4.6622883934000043</c:v>
                </c:pt>
                <c:pt idx="22">
                  <c:v>1.2468480380999978</c:v>
                </c:pt>
                <c:pt idx="23">
                  <c:v>-0.93837025649999362</c:v>
                </c:pt>
              </c:numCache>
            </c:numRef>
          </c:val>
          <c:smooth val="0"/>
          <c:extLst>
            <c:ext xmlns:c16="http://schemas.microsoft.com/office/drawing/2014/chart" uri="{C3380CC4-5D6E-409C-BE32-E72D297353CC}">
              <c16:uniqueId val="{00000002-0C0D-4710-98DA-6C8965B40836}"/>
            </c:ext>
          </c:extLst>
        </c:ser>
        <c:dLbls>
          <c:showLegendKey val="0"/>
          <c:showVal val="0"/>
          <c:showCatName val="0"/>
          <c:showSerName val="0"/>
          <c:showPercent val="0"/>
          <c:showBubbleSize val="0"/>
        </c:dLbls>
        <c:marker val="1"/>
        <c:smooth val="0"/>
        <c:axId val="1621653648"/>
        <c:axId val="1621653232"/>
      </c:lineChart>
      <c:catAx>
        <c:axId val="1621653648"/>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mn-cs"/>
              </a:defRPr>
            </a:pPr>
            <a:endParaRPr lang="cs-CZ"/>
          </a:p>
        </c:txPr>
        <c:crossAx val="1621653232"/>
        <c:crosses val="autoZero"/>
        <c:auto val="1"/>
        <c:lblAlgn val="ctr"/>
        <c:lblOffset val="100"/>
        <c:noMultiLvlLbl val="0"/>
      </c:catAx>
      <c:valAx>
        <c:axId val="1621653232"/>
        <c:scaling>
          <c:orientation val="minMax"/>
          <c:min val="-4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mn-cs"/>
              </a:defRPr>
            </a:pPr>
            <a:endParaRPr lang="cs-CZ"/>
          </a:p>
        </c:txPr>
        <c:crossAx val="1621653648"/>
        <c:crosses val="autoZero"/>
        <c:crossBetween val="between"/>
      </c:valAx>
      <c:valAx>
        <c:axId val="1842137120"/>
        <c:scaling>
          <c:orientation val="minMax"/>
          <c:min val="-80"/>
        </c:scaling>
        <c:delete val="0"/>
        <c:axPos val="r"/>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mn-cs"/>
              </a:defRPr>
            </a:pPr>
            <a:endParaRPr lang="cs-CZ"/>
          </a:p>
        </c:txPr>
        <c:crossAx val="1842150016"/>
        <c:crosses val="max"/>
        <c:crossBetween val="between"/>
      </c:valAx>
      <c:catAx>
        <c:axId val="1842150016"/>
        <c:scaling>
          <c:orientation val="minMax"/>
        </c:scaling>
        <c:delete val="1"/>
        <c:axPos val="b"/>
        <c:numFmt formatCode="General" sourceLinked="1"/>
        <c:majorTickMark val="out"/>
        <c:minorTickMark val="none"/>
        <c:tickLblPos val="nextTo"/>
        <c:crossAx val="1842137120"/>
        <c:crosses val="autoZero"/>
        <c:auto val="1"/>
        <c:lblAlgn val="ctr"/>
        <c:lblOffset val="100"/>
        <c:noMultiLvlLbl val="0"/>
      </c:catAx>
      <c:spPr>
        <a:noFill/>
        <a:ln>
          <a:noFill/>
        </a:ln>
        <a:effectLst/>
      </c:spPr>
    </c:plotArea>
    <c:legend>
      <c:legendPos val="b"/>
      <c:layout>
        <c:manualLayout>
          <c:xMode val="edge"/>
          <c:yMode val="edge"/>
          <c:x val="6.7334595959595941E-2"/>
          <c:y val="0.9241869988545246"/>
          <c:w val="0.85464057239057234"/>
          <c:h val="5.3991695303550975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mn-cs"/>
            </a:defRPr>
          </a:pPr>
          <a:endParaRPr lang="cs-CZ"/>
        </a:p>
      </c:txPr>
    </c:legend>
    <c:plotVisOnly val="1"/>
    <c:dispBlanksAs val="gap"/>
    <c:showDLblsOverMax val="0"/>
  </c:chart>
  <c:spPr>
    <a:solidFill>
      <a:schemeClr val="bg1"/>
    </a:solidFill>
    <a:ln w="9525" cap="flat" cmpd="sng" algn="ctr">
      <a:noFill/>
      <a:round/>
    </a:ln>
    <a:effectLst/>
  </c:spPr>
  <c:txPr>
    <a:bodyPr/>
    <a:lstStyle/>
    <a:p>
      <a:pPr>
        <a:defRPr sz="800" baseline="0">
          <a:latin typeface="Arial" panose="020B0604020202020204" pitchFamily="34" charset="0"/>
        </a:defRPr>
      </a:pPr>
      <a:endParaRPr lang="cs-CZ"/>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8568840579710145E-2"/>
          <c:y val="2.1811315924220299E-2"/>
          <c:w val="0.92237743255066085"/>
          <c:h val="0.71471575213004157"/>
        </c:manualLayout>
      </c:layout>
      <c:barChart>
        <c:barDir val="col"/>
        <c:grouping val="clustered"/>
        <c:varyColors val="0"/>
        <c:ser>
          <c:idx val="0"/>
          <c:order val="0"/>
          <c:tx>
            <c:strRef>
              <c:f>'Ceny 2'!$C$5</c:f>
              <c:strCache>
                <c:ptCount val="1"/>
                <c:pt idx="0">
                  <c:v>Celkem</c:v>
                </c:pt>
              </c:strCache>
            </c:strRef>
          </c:tx>
          <c:spPr>
            <a:solidFill>
              <a:srgbClr val="85898E"/>
            </a:solidFill>
            <a:ln w="19050">
              <a:noFill/>
            </a:ln>
          </c:spPr>
          <c:invertIfNegative val="0"/>
          <c:cat>
            <c:multiLvlStrRef>
              <c:f>'Ceny 2'!$A$14:$B$37</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f>'Ceny 2'!$C$14:$C$37</c:f>
              <c:numCache>
                <c:formatCode>0.0</c:formatCode>
                <c:ptCount val="24"/>
                <c:pt idx="0">
                  <c:v>3.6</c:v>
                </c:pt>
                <c:pt idx="1">
                  <c:v>3.1</c:v>
                </c:pt>
                <c:pt idx="2">
                  <c:v>3.3</c:v>
                </c:pt>
                <c:pt idx="3">
                  <c:v>2.6</c:v>
                </c:pt>
                <c:pt idx="4">
                  <c:v>2.2000000000000002</c:v>
                </c:pt>
                <c:pt idx="5">
                  <c:v>2.9</c:v>
                </c:pt>
                <c:pt idx="6">
                  <c:v>4.0999999999999996</c:v>
                </c:pt>
                <c:pt idx="7">
                  <c:v>6.1</c:v>
                </c:pt>
                <c:pt idx="8">
                  <c:v>11.2</c:v>
                </c:pt>
                <c:pt idx="9">
                  <c:v>15.8</c:v>
                </c:pt>
                <c:pt idx="10">
                  <c:v>17.600000000000001</c:v>
                </c:pt>
                <c:pt idx="11">
                  <c:v>15.7</c:v>
                </c:pt>
                <c:pt idx="12">
                  <c:v>16.399999999999999</c:v>
                </c:pt>
                <c:pt idx="13">
                  <c:v>11.1</c:v>
                </c:pt>
                <c:pt idx="14">
                  <c:v>8</c:v>
                </c:pt>
                <c:pt idx="15">
                  <c:v>7.6</c:v>
                </c:pt>
                <c:pt idx="16">
                  <c:v>2.1</c:v>
                </c:pt>
                <c:pt idx="17">
                  <c:v>2.5</c:v>
                </c:pt>
                <c:pt idx="18">
                  <c:v>2.2999999999999998</c:v>
                </c:pt>
                <c:pt idx="19">
                  <c:v>2.9</c:v>
                </c:pt>
                <c:pt idx="20">
                  <c:v>2.7</c:v>
                </c:pt>
                <c:pt idx="21">
                  <c:v>2.4</c:v>
                </c:pt>
                <c:pt idx="22">
                  <c:v>2.5</c:v>
                </c:pt>
                <c:pt idx="23">
                  <c:v>2.2000000000000002</c:v>
                </c:pt>
              </c:numCache>
            </c:numRef>
          </c:val>
          <c:extLst>
            <c:ext xmlns:c16="http://schemas.microsoft.com/office/drawing/2014/chart" uri="{C3380CC4-5D6E-409C-BE32-E72D297353CC}">
              <c16:uniqueId val="{00000000-09BB-4322-A7A0-CBF4AEBFBA82}"/>
            </c:ext>
          </c:extLst>
        </c:ser>
        <c:dLbls>
          <c:showLegendKey val="0"/>
          <c:showVal val="0"/>
          <c:showCatName val="0"/>
          <c:showSerName val="0"/>
          <c:showPercent val="0"/>
          <c:showBubbleSize val="0"/>
        </c:dLbls>
        <c:gapWidth val="95"/>
        <c:axId val="270120064"/>
        <c:axId val="270121600"/>
      </c:barChart>
      <c:lineChart>
        <c:grouping val="standard"/>
        <c:varyColors val="0"/>
        <c:ser>
          <c:idx val="1"/>
          <c:order val="1"/>
          <c:tx>
            <c:strRef>
              <c:f>'Ceny 2'!$D$5</c:f>
              <c:strCache>
                <c:ptCount val="1"/>
                <c:pt idx="0">
                  <c:v>Potraviny a nealkoholické nápoje</c:v>
                </c:pt>
              </c:strCache>
            </c:strRef>
          </c:tx>
          <c:spPr>
            <a:ln w="19050">
              <a:solidFill>
                <a:srgbClr val="009CB5"/>
              </a:solidFill>
            </a:ln>
          </c:spPr>
          <c:marker>
            <c:symbol val="none"/>
          </c:marker>
          <c:cat>
            <c:multiLvlStrRef>
              <c:f>'Ceny 2'!$A$14:$B$37</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f>'Ceny 2'!$D$14:$D$37</c:f>
              <c:numCache>
                <c:formatCode>0.0</c:formatCode>
                <c:ptCount val="24"/>
                <c:pt idx="0">
                  <c:v>6.1</c:v>
                </c:pt>
                <c:pt idx="1">
                  <c:v>6.5</c:v>
                </c:pt>
                <c:pt idx="2">
                  <c:v>4</c:v>
                </c:pt>
                <c:pt idx="3">
                  <c:v>1.7</c:v>
                </c:pt>
                <c:pt idx="4">
                  <c:v>0.3</c:v>
                </c:pt>
                <c:pt idx="5">
                  <c:v>-0.8</c:v>
                </c:pt>
                <c:pt idx="6">
                  <c:v>1.4</c:v>
                </c:pt>
                <c:pt idx="7">
                  <c:v>2.2999999999999998</c:v>
                </c:pt>
                <c:pt idx="8">
                  <c:v>6.7</c:v>
                </c:pt>
                <c:pt idx="9">
                  <c:v>14.6</c:v>
                </c:pt>
                <c:pt idx="10">
                  <c:v>20</c:v>
                </c:pt>
                <c:pt idx="11">
                  <c:v>25.5</c:v>
                </c:pt>
                <c:pt idx="12">
                  <c:v>24.1</c:v>
                </c:pt>
                <c:pt idx="13">
                  <c:v>14.6</c:v>
                </c:pt>
                <c:pt idx="14">
                  <c:v>7.8</c:v>
                </c:pt>
                <c:pt idx="15">
                  <c:v>1.6</c:v>
                </c:pt>
                <c:pt idx="16">
                  <c:v>-4.9000000000000004</c:v>
                </c:pt>
                <c:pt idx="17">
                  <c:v>-3.6</c:v>
                </c:pt>
                <c:pt idx="18">
                  <c:v>-1.4</c:v>
                </c:pt>
                <c:pt idx="19">
                  <c:v>0.9</c:v>
                </c:pt>
                <c:pt idx="20">
                  <c:v>5.0999999999999996</c:v>
                </c:pt>
                <c:pt idx="21">
                  <c:v>5.2</c:v>
                </c:pt>
                <c:pt idx="22">
                  <c:v>4.2</c:v>
                </c:pt>
                <c:pt idx="23">
                  <c:v>2.5</c:v>
                </c:pt>
              </c:numCache>
            </c:numRef>
          </c:val>
          <c:smooth val="0"/>
          <c:extLst>
            <c:ext xmlns:c16="http://schemas.microsoft.com/office/drawing/2014/chart" uri="{C3380CC4-5D6E-409C-BE32-E72D297353CC}">
              <c16:uniqueId val="{00000001-09BB-4322-A7A0-CBF4AEBFBA82}"/>
            </c:ext>
          </c:extLst>
        </c:ser>
        <c:ser>
          <c:idx val="3"/>
          <c:order val="2"/>
          <c:tx>
            <c:strRef>
              <c:f>'Ceny 2'!$F$5</c:f>
              <c:strCache>
                <c:ptCount val="1"/>
                <c:pt idx="0">
                  <c:v>Bydlení a energie</c:v>
                </c:pt>
              </c:strCache>
            </c:strRef>
          </c:tx>
          <c:spPr>
            <a:ln w="19050">
              <a:solidFill>
                <a:srgbClr val="BC5B80"/>
              </a:solidFill>
            </a:ln>
          </c:spPr>
          <c:marker>
            <c:symbol val="none"/>
          </c:marker>
          <c:cat>
            <c:multiLvlStrRef>
              <c:f>'Ceny 2'!$A$14:$B$37</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f>'Ceny 2'!$F$14:$F$37</c:f>
              <c:numCache>
                <c:formatCode>0.0</c:formatCode>
                <c:ptCount val="24"/>
                <c:pt idx="0">
                  <c:v>4.2</c:v>
                </c:pt>
                <c:pt idx="1">
                  <c:v>3.2</c:v>
                </c:pt>
                <c:pt idx="2">
                  <c:v>2.7</c:v>
                </c:pt>
                <c:pt idx="3">
                  <c:v>1.4</c:v>
                </c:pt>
                <c:pt idx="4">
                  <c:v>0.6</c:v>
                </c:pt>
                <c:pt idx="5">
                  <c:v>1.3</c:v>
                </c:pt>
                <c:pt idx="6">
                  <c:v>3.6</c:v>
                </c:pt>
                <c:pt idx="7">
                  <c:v>5.6</c:v>
                </c:pt>
                <c:pt idx="8">
                  <c:v>16</c:v>
                </c:pt>
                <c:pt idx="9">
                  <c:v>21.4</c:v>
                </c:pt>
                <c:pt idx="10">
                  <c:v>23.6</c:v>
                </c:pt>
                <c:pt idx="11">
                  <c:v>14.9</c:v>
                </c:pt>
                <c:pt idx="12">
                  <c:v>22.2</c:v>
                </c:pt>
                <c:pt idx="13">
                  <c:v>16</c:v>
                </c:pt>
                <c:pt idx="14">
                  <c:v>11.6</c:v>
                </c:pt>
                <c:pt idx="15">
                  <c:v>17.8</c:v>
                </c:pt>
                <c:pt idx="16">
                  <c:v>3.4</c:v>
                </c:pt>
                <c:pt idx="17">
                  <c:v>3.1</c:v>
                </c:pt>
                <c:pt idx="18">
                  <c:v>3.2</c:v>
                </c:pt>
                <c:pt idx="19">
                  <c:v>4.2</c:v>
                </c:pt>
                <c:pt idx="20">
                  <c:v>1.4</c:v>
                </c:pt>
                <c:pt idx="21">
                  <c:v>1.9</c:v>
                </c:pt>
                <c:pt idx="22">
                  <c:v>2</c:v>
                </c:pt>
                <c:pt idx="23">
                  <c:v>1.9</c:v>
                </c:pt>
              </c:numCache>
            </c:numRef>
          </c:val>
          <c:smooth val="0"/>
          <c:extLst>
            <c:ext xmlns:c16="http://schemas.microsoft.com/office/drawing/2014/chart" uri="{C3380CC4-5D6E-409C-BE32-E72D297353CC}">
              <c16:uniqueId val="{00000002-09BB-4322-A7A0-CBF4AEBFBA82}"/>
            </c:ext>
          </c:extLst>
        </c:ser>
        <c:ser>
          <c:idx val="4"/>
          <c:order val="3"/>
          <c:tx>
            <c:strRef>
              <c:f>'Ceny 2'!$G$5</c:f>
              <c:strCache>
                <c:ptCount val="1"/>
                <c:pt idx="0">
                  <c:v>Doprava</c:v>
                </c:pt>
              </c:strCache>
            </c:strRef>
          </c:tx>
          <c:spPr>
            <a:ln w="19050">
              <a:solidFill>
                <a:srgbClr val="174F70"/>
              </a:solidFill>
            </a:ln>
          </c:spPr>
          <c:marker>
            <c:symbol val="none"/>
          </c:marker>
          <c:cat>
            <c:multiLvlStrRef>
              <c:f>'Ceny 2'!$A$14:$B$37</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f>'Ceny 2'!$G$14:$G$37</c:f>
              <c:numCache>
                <c:formatCode>0.0</c:formatCode>
                <c:ptCount val="24"/>
                <c:pt idx="0" formatCode="General">
                  <c:v>1.7</c:v>
                </c:pt>
                <c:pt idx="1">
                  <c:v>-3.4</c:v>
                </c:pt>
                <c:pt idx="2">
                  <c:v>-0.2</c:v>
                </c:pt>
                <c:pt idx="3">
                  <c:v>0.6</c:v>
                </c:pt>
                <c:pt idx="4">
                  <c:v>2.4</c:v>
                </c:pt>
                <c:pt idx="5">
                  <c:v>9.1</c:v>
                </c:pt>
                <c:pt idx="6">
                  <c:v>8.8000000000000007</c:v>
                </c:pt>
                <c:pt idx="7">
                  <c:v>13.1</c:v>
                </c:pt>
                <c:pt idx="8">
                  <c:v>17.2</c:v>
                </c:pt>
                <c:pt idx="9">
                  <c:v>22.7</c:v>
                </c:pt>
                <c:pt idx="10">
                  <c:v>19.7</c:v>
                </c:pt>
                <c:pt idx="11">
                  <c:v>13.1</c:v>
                </c:pt>
                <c:pt idx="12">
                  <c:v>4.5</c:v>
                </c:pt>
                <c:pt idx="13">
                  <c:v>-4</c:v>
                </c:pt>
                <c:pt idx="14">
                  <c:v>-2.4</c:v>
                </c:pt>
                <c:pt idx="15">
                  <c:v>-1.6</c:v>
                </c:pt>
                <c:pt idx="16">
                  <c:v>1.7</c:v>
                </c:pt>
                <c:pt idx="17">
                  <c:v>4.5999999999999996</c:v>
                </c:pt>
                <c:pt idx="18">
                  <c:v>0.9</c:v>
                </c:pt>
                <c:pt idx="19">
                  <c:v>0.1</c:v>
                </c:pt>
                <c:pt idx="20">
                  <c:v>0.3</c:v>
                </c:pt>
                <c:pt idx="21">
                  <c:v>-2.7</c:v>
                </c:pt>
                <c:pt idx="22">
                  <c:v>-0.9</c:v>
                </c:pt>
                <c:pt idx="23">
                  <c:v>0.1</c:v>
                </c:pt>
              </c:numCache>
            </c:numRef>
          </c:val>
          <c:smooth val="0"/>
          <c:extLst>
            <c:ext xmlns:c16="http://schemas.microsoft.com/office/drawing/2014/chart" uri="{C3380CC4-5D6E-409C-BE32-E72D297353CC}">
              <c16:uniqueId val="{00000003-09BB-4322-A7A0-CBF4AEBFBA82}"/>
            </c:ext>
          </c:extLst>
        </c:ser>
        <c:ser>
          <c:idx val="2"/>
          <c:order val="4"/>
          <c:tx>
            <c:strRef>
              <c:f>'Ceny 2'!$E$5</c:f>
              <c:strCache>
                <c:ptCount val="1"/>
                <c:pt idx="0">
                  <c:v>Alkoholické nápoje a tabák</c:v>
                </c:pt>
              </c:strCache>
              <c:extLst xmlns:c15="http://schemas.microsoft.com/office/drawing/2012/chart"/>
            </c:strRef>
          </c:tx>
          <c:spPr>
            <a:ln w="19050">
              <a:solidFill>
                <a:srgbClr val="CC9610"/>
              </a:solidFill>
            </a:ln>
          </c:spPr>
          <c:marker>
            <c:symbol val="none"/>
          </c:marker>
          <c:cat>
            <c:multiLvlStrRef>
              <c:f>'Ceny 2'!$A$14:$B$37</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f>'Ceny 2'!$E$14:$E$37</c:f>
              <c:numCache>
                <c:formatCode>0.0</c:formatCode>
                <c:ptCount val="24"/>
                <c:pt idx="0" formatCode="General">
                  <c:v>3.5</c:v>
                </c:pt>
                <c:pt idx="1">
                  <c:v>6.6</c:v>
                </c:pt>
                <c:pt idx="2">
                  <c:v>10.3</c:v>
                </c:pt>
                <c:pt idx="3">
                  <c:v>9.9</c:v>
                </c:pt>
                <c:pt idx="4">
                  <c:v>9.9</c:v>
                </c:pt>
                <c:pt idx="5">
                  <c:v>9.8000000000000007</c:v>
                </c:pt>
                <c:pt idx="6">
                  <c:v>6.5</c:v>
                </c:pt>
                <c:pt idx="7">
                  <c:v>7.7</c:v>
                </c:pt>
                <c:pt idx="8">
                  <c:v>7.1</c:v>
                </c:pt>
                <c:pt idx="9">
                  <c:v>5.6</c:v>
                </c:pt>
                <c:pt idx="10">
                  <c:v>6.3</c:v>
                </c:pt>
                <c:pt idx="11">
                  <c:v>6</c:v>
                </c:pt>
                <c:pt idx="12">
                  <c:v>6.8</c:v>
                </c:pt>
                <c:pt idx="13">
                  <c:v>6.5</c:v>
                </c:pt>
                <c:pt idx="14">
                  <c:v>7.2</c:v>
                </c:pt>
                <c:pt idx="15">
                  <c:v>5.9</c:v>
                </c:pt>
                <c:pt idx="16">
                  <c:v>4.7</c:v>
                </c:pt>
                <c:pt idx="17">
                  <c:v>6.2</c:v>
                </c:pt>
                <c:pt idx="18">
                  <c:v>4.5999999999999996</c:v>
                </c:pt>
                <c:pt idx="19">
                  <c:v>4.8</c:v>
                </c:pt>
                <c:pt idx="20">
                  <c:v>5.0999999999999996</c:v>
                </c:pt>
                <c:pt idx="21">
                  <c:v>3.3</c:v>
                </c:pt>
                <c:pt idx="22">
                  <c:v>3.5</c:v>
                </c:pt>
                <c:pt idx="23">
                  <c:v>4.0999999999999996</c:v>
                </c:pt>
              </c:numCache>
            </c:numRef>
          </c:val>
          <c:smooth val="0"/>
          <c:extLst xmlns:c15="http://schemas.microsoft.com/office/drawing/2012/chart">
            <c:ext xmlns:c16="http://schemas.microsoft.com/office/drawing/2014/chart" uri="{C3380CC4-5D6E-409C-BE32-E72D297353CC}">
              <c16:uniqueId val="{00000004-09BB-4322-A7A0-CBF4AEBFBA82}"/>
            </c:ext>
          </c:extLst>
        </c:ser>
        <c:ser>
          <c:idx val="5"/>
          <c:order val="5"/>
          <c:tx>
            <c:strRef>
              <c:f>'Ceny 2'!$H$5</c:f>
              <c:strCache>
                <c:ptCount val="1"/>
                <c:pt idx="0">
                  <c:v>Stravování a ubytování</c:v>
                </c:pt>
              </c:strCache>
            </c:strRef>
          </c:tx>
          <c:spPr>
            <a:ln w="19050">
              <a:solidFill>
                <a:srgbClr val="86BF5E"/>
              </a:solidFill>
            </a:ln>
          </c:spPr>
          <c:marker>
            <c:symbol val="none"/>
          </c:marker>
          <c:cat>
            <c:multiLvlStrRef>
              <c:f>'Ceny 2'!$A$14:$B$37</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f>'Ceny 2'!$H$14:$H$37</c:f>
              <c:numCache>
                <c:formatCode>0.0</c:formatCode>
                <c:ptCount val="24"/>
                <c:pt idx="0">
                  <c:v>5.5</c:v>
                </c:pt>
                <c:pt idx="1">
                  <c:v>5.0999999999999996</c:v>
                </c:pt>
                <c:pt idx="2">
                  <c:v>4.9000000000000004</c:v>
                </c:pt>
                <c:pt idx="3">
                  <c:v>4.3</c:v>
                </c:pt>
                <c:pt idx="4">
                  <c:v>3</c:v>
                </c:pt>
                <c:pt idx="5">
                  <c:v>2.9</c:v>
                </c:pt>
                <c:pt idx="6">
                  <c:v>4.5999999999999996</c:v>
                </c:pt>
                <c:pt idx="7">
                  <c:v>6.8</c:v>
                </c:pt>
                <c:pt idx="8">
                  <c:v>12.3</c:v>
                </c:pt>
                <c:pt idx="9">
                  <c:v>21.4</c:v>
                </c:pt>
                <c:pt idx="10">
                  <c:v>24.3</c:v>
                </c:pt>
                <c:pt idx="11">
                  <c:v>25.6</c:v>
                </c:pt>
                <c:pt idx="12">
                  <c:v>22.4</c:v>
                </c:pt>
                <c:pt idx="13">
                  <c:v>15.4</c:v>
                </c:pt>
                <c:pt idx="14">
                  <c:v>11.6</c:v>
                </c:pt>
                <c:pt idx="15">
                  <c:v>8.8000000000000007</c:v>
                </c:pt>
                <c:pt idx="16">
                  <c:v>8.6</c:v>
                </c:pt>
                <c:pt idx="17">
                  <c:v>7.8</c:v>
                </c:pt>
                <c:pt idx="18">
                  <c:v>7.2</c:v>
                </c:pt>
                <c:pt idx="19">
                  <c:v>7</c:v>
                </c:pt>
                <c:pt idx="20">
                  <c:v>5.3</c:v>
                </c:pt>
                <c:pt idx="21">
                  <c:v>4.9000000000000004</c:v>
                </c:pt>
                <c:pt idx="22">
                  <c:v>4.8</c:v>
                </c:pt>
                <c:pt idx="23">
                  <c:v>4.7</c:v>
                </c:pt>
              </c:numCache>
            </c:numRef>
          </c:val>
          <c:smooth val="0"/>
          <c:extLst>
            <c:ext xmlns:c16="http://schemas.microsoft.com/office/drawing/2014/chart" uri="{C3380CC4-5D6E-409C-BE32-E72D297353CC}">
              <c16:uniqueId val="{00000005-09BB-4322-A7A0-CBF4AEBFBA82}"/>
            </c:ext>
          </c:extLst>
        </c:ser>
        <c:dLbls>
          <c:showLegendKey val="0"/>
          <c:showVal val="0"/>
          <c:showCatName val="0"/>
          <c:showSerName val="0"/>
          <c:showPercent val="0"/>
          <c:showBubbleSize val="0"/>
        </c:dLbls>
        <c:marker val="1"/>
        <c:smooth val="0"/>
        <c:axId val="270120064"/>
        <c:axId val="270121600"/>
        <c:extLst>
          <c:ext xmlns:c15="http://schemas.microsoft.com/office/drawing/2012/chart" uri="{02D57815-91ED-43cb-92C2-25804820EDAC}">
            <c15:filteredLineSeries>
              <c15:ser>
                <c:idx val="6"/>
                <c:order val="6"/>
                <c:tx>
                  <c:strRef>
                    <c:extLst>
                      <c:ext uri="{02D57815-91ED-43cb-92C2-25804820EDAC}">
                        <c15:formulaRef>
                          <c15:sqref>'Ceny 2'!$I$5</c15:sqref>
                        </c15:formulaRef>
                      </c:ext>
                    </c:extLst>
                    <c:strCache>
                      <c:ptCount val="1"/>
                      <c:pt idx="0">
                        <c:v>Rekreace a kultura</c:v>
                      </c:pt>
                    </c:strCache>
                  </c:strRef>
                </c:tx>
                <c:spPr>
                  <a:ln w="19050">
                    <a:solidFill>
                      <a:srgbClr val="FF0000"/>
                    </a:solidFill>
                  </a:ln>
                </c:spPr>
                <c:marker>
                  <c:symbol val="none"/>
                </c:marker>
                <c:cat>
                  <c:multiLvlStrRef>
                    <c:extLst>
                      <c:ext uri="{02D57815-91ED-43cb-92C2-25804820EDAC}">
                        <c15:formulaRef>
                          <c15:sqref>'Ceny 2'!$A$14:$B$37</c15:sqref>
                        </c15:formulaRef>
                      </c:ext>
                    </c:extLst>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extLst>
                      <c:ext uri="{02D57815-91ED-43cb-92C2-25804820EDAC}">
                        <c15:formulaRef>
                          <c15:sqref>'Ceny 2'!$I$10:$I$30</c15:sqref>
                        </c15:formulaRef>
                      </c:ext>
                    </c:extLst>
                    <c:numCache>
                      <c:formatCode>General</c:formatCode>
                      <c:ptCount val="21"/>
                      <c:pt idx="0">
                        <c:v>1.7000000000000028</c:v>
                      </c:pt>
                      <c:pt idx="1">
                        <c:v>1</c:v>
                      </c:pt>
                      <c:pt idx="2">
                        <c:v>1.7000000000000028</c:v>
                      </c:pt>
                      <c:pt idx="3">
                        <c:v>2.0999999999999943</c:v>
                      </c:pt>
                      <c:pt idx="4">
                        <c:v>2.0999999999999943</c:v>
                      </c:pt>
                      <c:pt idx="5">
                        <c:v>2</c:v>
                      </c:pt>
                      <c:pt idx="6">
                        <c:v>2.2000000000000028</c:v>
                      </c:pt>
                      <c:pt idx="7">
                        <c:v>2.5</c:v>
                      </c:pt>
                      <c:pt idx="8">
                        <c:v>1.4000000000000057</c:v>
                      </c:pt>
                      <c:pt idx="9">
                        <c:v>2</c:v>
                      </c:pt>
                      <c:pt idx="10">
                        <c:v>3.0999999999999943</c:v>
                      </c:pt>
                      <c:pt idx="11">
                        <c:v>5.2999999999999972</c:v>
                      </c:pt>
                      <c:pt idx="12">
                        <c:v>8.5</c:v>
                      </c:pt>
                      <c:pt idx="13">
                        <c:v>11.299999999999997</c:v>
                      </c:pt>
                      <c:pt idx="14">
                        <c:v>12.599999999999994</c:v>
                      </c:pt>
                      <c:pt idx="15" formatCode="0.0">
                        <c:v>13.2</c:v>
                      </c:pt>
                      <c:pt idx="16" formatCode="0.0">
                        <c:v>14</c:v>
                      </c:pt>
                      <c:pt idx="17" formatCode="0.0">
                        <c:v>11.7</c:v>
                      </c:pt>
                      <c:pt idx="18" formatCode="0.0">
                        <c:v>9.6999999999999993</c:v>
                      </c:pt>
                      <c:pt idx="19" formatCode="0.0">
                        <c:v>6.9</c:v>
                      </c:pt>
                      <c:pt idx="20" formatCode="0.0">
                        <c:v>4.4000000000000004</c:v>
                      </c:pt>
                    </c:numCache>
                  </c:numRef>
                </c:val>
                <c:smooth val="0"/>
                <c:extLst>
                  <c:ext xmlns:c16="http://schemas.microsoft.com/office/drawing/2014/chart" uri="{C3380CC4-5D6E-409C-BE32-E72D297353CC}">
                    <c16:uniqueId val="{00000006-09BB-4322-A7A0-CBF4AEBFBA82}"/>
                  </c:ext>
                </c:extLst>
              </c15:ser>
            </c15:filteredLineSeries>
            <c15:filteredLineSeries>
              <c15:ser>
                <c:idx val="7"/>
                <c:order val="7"/>
                <c:tx>
                  <c:strRef>
                    <c:extLst xmlns:c15="http://schemas.microsoft.com/office/drawing/2012/chart">
                      <c:ext xmlns:c15="http://schemas.microsoft.com/office/drawing/2012/chart" uri="{02D57815-91ED-43cb-92C2-25804820EDAC}">
                        <c15:formulaRef>
                          <c15:sqref>'Ceny 2'!$J$5</c15:sqref>
                        </c15:formulaRef>
                      </c:ext>
                    </c:extLst>
                    <c:strCache>
                      <c:ptCount val="1"/>
                      <c:pt idx="0">
                        <c:v>Odívání a obuv</c:v>
                      </c:pt>
                    </c:strCache>
                  </c:strRef>
                </c:tx>
                <c:spPr>
                  <a:ln w="19050">
                    <a:solidFill>
                      <a:srgbClr val="E8AFB2"/>
                    </a:solidFill>
                  </a:ln>
                </c:spPr>
                <c:marker>
                  <c:symbol val="none"/>
                </c:marker>
                <c:cat>
                  <c:multiLvlStrRef>
                    <c:extLst xmlns:c15="http://schemas.microsoft.com/office/drawing/2012/chart">
                      <c:ext xmlns:c15="http://schemas.microsoft.com/office/drawing/2012/chart" uri="{02D57815-91ED-43cb-92C2-25804820EDAC}">
                        <c15:formulaRef>
                          <c15:sqref>'Ceny 2'!$A$14:$B$37</c15:sqref>
                        </c15:formulaRef>
                      </c:ext>
                    </c:extLst>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extLst xmlns:c15="http://schemas.microsoft.com/office/drawing/2012/chart">
                      <c:ext xmlns:c15="http://schemas.microsoft.com/office/drawing/2012/chart" uri="{02D57815-91ED-43cb-92C2-25804820EDAC}">
                        <c15:formulaRef>
                          <c15:sqref>'Ceny 2'!$J$6:$J$24</c15:sqref>
                        </c15:formulaRef>
                      </c:ext>
                    </c:extLst>
                    <c:numCache>
                      <c:formatCode>General</c:formatCode>
                      <c:ptCount val="19"/>
                      <c:pt idx="0">
                        <c:v>-0.29999999999999716</c:v>
                      </c:pt>
                      <c:pt idx="1">
                        <c:v>-1</c:v>
                      </c:pt>
                      <c:pt idx="2">
                        <c:v>-1.4000000000000057</c:v>
                      </c:pt>
                      <c:pt idx="3">
                        <c:v>-1.7000000000000028</c:v>
                      </c:pt>
                      <c:pt idx="4">
                        <c:v>-1.0999999999999943</c:v>
                      </c:pt>
                      <c:pt idx="5">
                        <c:v>-1.9000000000000057</c:v>
                      </c:pt>
                      <c:pt idx="6">
                        <c:v>-1.5</c:v>
                      </c:pt>
                      <c:pt idx="7">
                        <c:v>-0.29999999999999716</c:v>
                      </c:pt>
                      <c:pt idx="8">
                        <c:v>3.5</c:v>
                      </c:pt>
                      <c:pt idx="9">
                        <c:v>3.4000000000000057</c:v>
                      </c:pt>
                      <c:pt idx="10">
                        <c:v>4.5</c:v>
                      </c:pt>
                      <c:pt idx="11">
                        <c:v>3.4000000000000057</c:v>
                      </c:pt>
                      <c:pt idx="12">
                        <c:v>2.7000000000000028</c:v>
                      </c:pt>
                      <c:pt idx="13">
                        <c:v>2.9000000000000057</c:v>
                      </c:pt>
                      <c:pt idx="14">
                        <c:v>7.7999999999999972</c:v>
                      </c:pt>
                      <c:pt idx="15">
                        <c:v>12.599999999999994</c:v>
                      </c:pt>
                      <c:pt idx="16">
                        <c:v>16.900000000000006</c:v>
                      </c:pt>
                      <c:pt idx="17">
                        <c:v>20</c:v>
                      </c:pt>
                      <c:pt idx="18">
                        <c:v>19</c:v>
                      </c:pt>
                    </c:numCache>
                  </c:numRef>
                </c:val>
                <c:smooth val="0"/>
                <c:extLst xmlns:c15="http://schemas.microsoft.com/office/drawing/2012/chart">
                  <c:ext xmlns:c16="http://schemas.microsoft.com/office/drawing/2014/chart" uri="{C3380CC4-5D6E-409C-BE32-E72D297353CC}">
                    <c16:uniqueId val="{00000007-09BB-4322-A7A0-CBF4AEBFBA82}"/>
                  </c:ext>
                </c:extLst>
              </c15:ser>
            </c15:filteredLineSeries>
          </c:ext>
        </c:extLst>
      </c:lineChart>
      <c:catAx>
        <c:axId val="270120064"/>
        <c:scaling>
          <c:orientation val="minMax"/>
        </c:scaling>
        <c:delete val="0"/>
        <c:axPos val="b"/>
        <c:numFmt formatCode="General" sourceLinked="0"/>
        <c:majorTickMark val="out"/>
        <c:minorTickMark val="none"/>
        <c:tickLblPos val="low"/>
        <c:spPr>
          <a:ln>
            <a:solidFill>
              <a:schemeClr val="tx1"/>
            </a:solidFill>
          </a:ln>
        </c:spPr>
        <c:txPr>
          <a:bodyPr rot="0" vert="horz"/>
          <a:lstStyle/>
          <a:p>
            <a:pPr>
              <a:defRPr/>
            </a:pPr>
            <a:endParaRPr lang="cs-CZ"/>
          </a:p>
        </c:txPr>
        <c:crossAx val="270121600"/>
        <c:crosses val="autoZero"/>
        <c:auto val="1"/>
        <c:lblAlgn val="ctr"/>
        <c:lblOffset val="100"/>
        <c:noMultiLvlLbl val="0"/>
      </c:catAx>
      <c:valAx>
        <c:axId val="270121600"/>
        <c:scaling>
          <c:orientation val="minMax"/>
          <c:max val="27"/>
          <c:min val="-6"/>
        </c:scaling>
        <c:delete val="0"/>
        <c:axPos val="l"/>
        <c:majorGridlines>
          <c:spPr>
            <a:ln w="6350">
              <a:solidFill>
                <a:schemeClr val="bg1">
                  <a:lumMod val="75000"/>
                </a:schemeClr>
              </a:solidFill>
            </a:ln>
          </c:spPr>
        </c:majorGridlines>
        <c:numFmt formatCode="0" sourceLinked="0"/>
        <c:majorTickMark val="out"/>
        <c:minorTickMark val="none"/>
        <c:tickLblPos val="nextTo"/>
        <c:spPr>
          <a:ln>
            <a:solidFill>
              <a:schemeClr val="tx1"/>
            </a:solidFill>
          </a:ln>
        </c:spPr>
        <c:crossAx val="270120064"/>
        <c:crosses val="autoZero"/>
        <c:crossBetween val="between"/>
        <c:majorUnit val="3"/>
      </c:valAx>
      <c:spPr>
        <a:ln>
          <a:solidFill>
            <a:schemeClr val="tx1"/>
          </a:solidFill>
        </a:ln>
      </c:spPr>
    </c:plotArea>
    <c:legend>
      <c:legendPos val="b"/>
      <c:layout>
        <c:manualLayout>
          <c:xMode val="edge"/>
          <c:yMode val="edge"/>
          <c:x val="5.3882134414049307E-2"/>
          <c:y val="0.85802375323651925"/>
          <c:w val="0.92470364741641342"/>
          <c:h val="0.1312535179556456"/>
        </c:manualLayout>
      </c:layout>
      <c:overlay val="0"/>
      <c:spPr>
        <a:ln w="6350">
          <a:noFill/>
        </a:ln>
      </c:spPr>
    </c:legend>
    <c:plotVisOnly val="1"/>
    <c:dispBlanksAs val="gap"/>
    <c:showDLblsOverMax val="0"/>
  </c:chart>
  <c:spPr>
    <a:ln>
      <a:noFill/>
    </a:ln>
  </c:spPr>
  <c:txPr>
    <a:bodyPr/>
    <a:lstStyle/>
    <a:p>
      <a:pPr>
        <a:defRPr sz="800" baseline="0">
          <a:latin typeface="Arial" pitchFamily="34" charset="0"/>
        </a:defRPr>
      </a:pPr>
      <a:endParaRPr lang="cs-CZ"/>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070373184734885E-2"/>
          <c:y val="2.9569886214146503E-2"/>
          <c:w val="0.90493308848362042"/>
          <c:h val="0.73556653157716956"/>
        </c:manualLayout>
      </c:layout>
      <c:barChart>
        <c:barDir val="col"/>
        <c:grouping val="clustered"/>
        <c:varyColors val="0"/>
        <c:ser>
          <c:idx val="0"/>
          <c:order val="0"/>
          <c:tx>
            <c:strRef>
              <c:f>'Ceny 1'!$C$5</c:f>
              <c:strCache>
                <c:ptCount val="1"/>
                <c:pt idx="0">
                  <c:v>Realizované ceny starších bytů, ČR</c:v>
                </c:pt>
              </c:strCache>
            </c:strRef>
          </c:tx>
          <c:spPr>
            <a:solidFill>
              <a:srgbClr val="B8BBC0"/>
            </a:solidFill>
            <a:ln w="19050">
              <a:noFill/>
            </a:ln>
          </c:spPr>
          <c:invertIfNegative val="0"/>
          <c:cat>
            <c:multiLvlStrRef>
              <c:f>'Ceny 1'!$A$14:$B$37</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f>'Ceny 1'!$C$14:$C$37</c:f>
              <c:numCache>
                <c:formatCode>0.0</c:formatCode>
                <c:ptCount val="24"/>
                <c:pt idx="0">
                  <c:v>10.599999999999994</c:v>
                </c:pt>
                <c:pt idx="1">
                  <c:v>10.200000000000003</c:v>
                </c:pt>
                <c:pt idx="2">
                  <c:v>11.200000000000003</c:v>
                </c:pt>
                <c:pt idx="3">
                  <c:v>13.299999999999997</c:v>
                </c:pt>
                <c:pt idx="4">
                  <c:v>15.200000000000003</c:v>
                </c:pt>
                <c:pt idx="5">
                  <c:v>17.900000000000006</c:v>
                </c:pt>
                <c:pt idx="6">
                  <c:v>21.299999999999997</c:v>
                </c:pt>
                <c:pt idx="7">
                  <c:v>25.200000000000003</c:v>
                </c:pt>
                <c:pt idx="8">
                  <c:v>27.299999999999997</c:v>
                </c:pt>
                <c:pt idx="9">
                  <c:v>27.599999999999994</c:v>
                </c:pt>
                <c:pt idx="10">
                  <c:v>23.400000000000006</c:v>
                </c:pt>
                <c:pt idx="11">
                  <c:v>13.799999999999997</c:v>
                </c:pt>
                <c:pt idx="12">
                  <c:v>3.7000000000000028</c:v>
                </c:pt>
                <c:pt idx="13">
                  <c:v>-4.0999999999999943</c:v>
                </c:pt>
                <c:pt idx="14">
                  <c:v>-7</c:v>
                </c:pt>
                <c:pt idx="15">
                  <c:v>-5.5</c:v>
                </c:pt>
                <c:pt idx="16">
                  <c:v>9.9999999999994316E-2</c:v>
                </c:pt>
                <c:pt idx="17">
                  <c:v>6.0999999999999943</c:v>
                </c:pt>
                <c:pt idx="18">
                  <c:v>10.700000000000003</c:v>
                </c:pt>
                <c:pt idx="19">
                  <c:v>14.200000000000003</c:v>
                </c:pt>
                <c:pt idx="20">
                  <c:v>15.799999999999997</c:v>
                </c:pt>
                <c:pt idx="21">
                  <c:v>16.299999999999997</c:v>
                </c:pt>
                <c:pt idx="22">
                  <c:v>15.900000000000006</c:v>
                </c:pt>
                <c:pt idx="23">
                  <c:v>16</c:v>
                </c:pt>
              </c:numCache>
            </c:numRef>
          </c:val>
          <c:extLst>
            <c:ext xmlns:c16="http://schemas.microsoft.com/office/drawing/2014/chart" uri="{C3380CC4-5D6E-409C-BE32-E72D297353CC}">
              <c16:uniqueId val="{00000000-97A7-4B74-8836-145BFD80056B}"/>
            </c:ext>
          </c:extLst>
        </c:ser>
        <c:ser>
          <c:idx val="1"/>
          <c:order val="1"/>
          <c:tx>
            <c:strRef>
              <c:f>'Ceny 1'!$D$5</c:f>
              <c:strCache>
                <c:ptCount val="1"/>
                <c:pt idx="0">
                  <c:v>Realizované ceny starších bytů, Praha</c:v>
                </c:pt>
              </c:strCache>
            </c:strRef>
          </c:tx>
          <c:spPr>
            <a:solidFill>
              <a:srgbClr val="85898E"/>
            </a:solidFill>
            <a:ln w="19050">
              <a:noFill/>
            </a:ln>
          </c:spPr>
          <c:invertIfNegative val="0"/>
          <c:cat>
            <c:multiLvlStrRef>
              <c:f>'Ceny 1'!$A$14:$B$37</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f>'Ceny 1'!$D$14:$D$37</c:f>
              <c:numCache>
                <c:formatCode>0.0</c:formatCode>
                <c:ptCount val="24"/>
                <c:pt idx="0">
                  <c:v>6.2000000000000028</c:v>
                </c:pt>
                <c:pt idx="1">
                  <c:v>8</c:v>
                </c:pt>
                <c:pt idx="2">
                  <c:v>9.4000000000000057</c:v>
                </c:pt>
                <c:pt idx="3">
                  <c:v>10.599999999999994</c:v>
                </c:pt>
                <c:pt idx="4">
                  <c:v>14.299999999999997</c:v>
                </c:pt>
                <c:pt idx="5">
                  <c:v>15.799999999999997</c:v>
                </c:pt>
                <c:pt idx="6">
                  <c:v>16.599999999999994</c:v>
                </c:pt>
                <c:pt idx="7">
                  <c:v>20</c:v>
                </c:pt>
                <c:pt idx="8">
                  <c:v>19</c:v>
                </c:pt>
                <c:pt idx="9">
                  <c:v>16.700000000000003</c:v>
                </c:pt>
                <c:pt idx="10">
                  <c:v>15.599999999999994</c:v>
                </c:pt>
                <c:pt idx="11">
                  <c:v>8.4000000000000057</c:v>
                </c:pt>
                <c:pt idx="12">
                  <c:v>1.2000000000000028</c:v>
                </c:pt>
                <c:pt idx="13">
                  <c:v>-3.5999999999999943</c:v>
                </c:pt>
                <c:pt idx="14">
                  <c:v>-5.2999999999999972</c:v>
                </c:pt>
                <c:pt idx="15">
                  <c:v>-2.5999999999999943</c:v>
                </c:pt>
                <c:pt idx="16">
                  <c:v>1</c:v>
                </c:pt>
                <c:pt idx="17">
                  <c:v>8.5999999999999943</c:v>
                </c:pt>
                <c:pt idx="18">
                  <c:v>11.799999999999997</c:v>
                </c:pt>
                <c:pt idx="19">
                  <c:v>12.099999999999994</c:v>
                </c:pt>
                <c:pt idx="20">
                  <c:v>15.799999999999997</c:v>
                </c:pt>
                <c:pt idx="21">
                  <c:v>13.599999999999994</c:v>
                </c:pt>
                <c:pt idx="22">
                  <c:v>13.400000000000006</c:v>
                </c:pt>
                <c:pt idx="23">
                  <c:v>13.700000000000003</c:v>
                </c:pt>
              </c:numCache>
            </c:numRef>
          </c:val>
          <c:extLst>
            <c:ext xmlns:c16="http://schemas.microsoft.com/office/drawing/2014/chart" uri="{C3380CC4-5D6E-409C-BE32-E72D297353CC}">
              <c16:uniqueId val="{00000001-97A7-4B74-8836-145BFD80056B}"/>
            </c:ext>
          </c:extLst>
        </c:ser>
        <c:dLbls>
          <c:showLegendKey val="0"/>
          <c:showVal val="0"/>
          <c:showCatName val="0"/>
          <c:showSerName val="0"/>
          <c:showPercent val="0"/>
          <c:showBubbleSize val="0"/>
        </c:dLbls>
        <c:gapWidth val="95"/>
        <c:axId val="270057856"/>
        <c:axId val="270059392"/>
      </c:barChart>
      <c:lineChart>
        <c:grouping val="standard"/>
        <c:varyColors val="0"/>
        <c:ser>
          <c:idx val="2"/>
          <c:order val="2"/>
          <c:tx>
            <c:strRef>
              <c:f>'Ceny 1'!$E$5</c:f>
              <c:strCache>
                <c:ptCount val="1"/>
                <c:pt idx="0">
                  <c:v>Nabídkové ceny bytů, ČR</c:v>
                </c:pt>
              </c:strCache>
            </c:strRef>
          </c:tx>
          <c:spPr>
            <a:ln w="19050">
              <a:solidFill>
                <a:srgbClr val="BC5B80"/>
              </a:solidFill>
            </a:ln>
          </c:spPr>
          <c:marker>
            <c:symbol val="none"/>
          </c:marker>
          <c:cat>
            <c:multiLvlStrRef>
              <c:f>'Ceny 1'!$A$14:$B$37</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f>'Ceny 1'!$E$14:$E$37</c:f>
              <c:numCache>
                <c:formatCode>0.0</c:formatCode>
                <c:ptCount val="24"/>
                <c:pt idx="0">
                  <c:v>6.0465116279069662</c:v>
                </c:pt>
                <c:pt idx="1">
                  <c:v>7.1334214002641829</c:v>
                </c:pt>
                <c:pt idx="2">
                  <c:v>7.9870129870129887</c:v>
                </c:pt>
                <c:pt idx="3">
                  <c:v>7.6481835564053569</c:v>
                </c:pt>
                <c:pt idx="4">
                  <c:v>7.6441102756892292</c:v>
                </c:pt>
                <c:pt idx="5">
                  <c:v>7.9531442663378584</c:v>
                </c:pt>
                <c:pt idx="6">
                  <c:v>9.3205051112447421</c:v>
                </c:pt>
                <c:pt idx="7">
                  <c:v>12.433392539964473</c:v>
                </c:pt>
                <c:pt idx="8">
                  <c:v>16.880093131548307</c:v>
                </c:pt>
                <c:pt idx="9">
                  <c:v>24.671616219303274</c:v>
                </c:pt>
                <c:pt idx="10">
                  <c:v>22.937293729372925</c:v>
                </c:pt>
                <c:pt idx="11">
                  <c:v>18.325434439178508</c:v>
                </c:pt>
                <c:pt idx="12">
                  <c:v>9.8107569721115624</c:v>
                </c:pt>
                <c:pt idx="13">
                  <c:v>-0.73293632615667548</c:v>
                </c:pt>
                <c:pt idx="14">
                  <c:v>-3.3109619686800897</c:v>
                </c:pt>
                <c:pt idx="15">
                  <c:v>-4.1833555852247315</c:v>
                </c:pt>
                <c:pt idx="16">
                  <c:v>-0.68027210884353906</c:v>
                </c:pt>
                <c:pt idx="17">
                  <c:v>3.3687125057683573</c:v>
                </c:pt>
                <c:pt idx="18">
                  <c:v>6.9412309116150084</c:v>
                </c:pt>
                <c:pt idx="19">
                  <c:v>10.682768230376212</c:v>
                </c:pt>
                <c:pt idx="20">
                  <c:v>15.662100456621019</c:v>
                </c:pt>
                <c:pt idx="21">
                  <c:v>17.008928571428569</c:v>
                </c:pt>
                <c:pt idx="22">
                  <c:v>17.654694937256593</c:v>
                </c:pt>
                <c:pt idx="23">
                  <c:v>16.869492236676436</c:v>
                </c:pt>
              </c:numCache>
            </c:numRef>
          </c:val>
          <c:smooth val="0"/>
          <c:extLst>
            <c:ext xmlns:c16="http://schemas.microsoft.com/office/drawing/2014/chart" uri="{C3380CC4-5D6E-409C-BE32-E72D297353CC}">
              <c16:uniqueId val="{00000002-97A7-4B74-8836-145BFD80056B}"/>
            </c:ext>
          </c:extLst>
        </c:ser>
        <c:ser>
          <c:idx val="3"/>
          <c:order val="3"/>
          <c:tx>
            <c:strRef>
              <c:f>'Ceny 1'!$F$5</c:f>
              <c:strCache>
                <c:ptCount val="1"/>
                <c:pt idx="0">
                  <c:v>Nabídkové ceny bytů, Praha</c:v>
                </c:pt>
              </c:strCache>
            </c:strRef>
          </c:tx>
          <c:spPr>
            <a:ln w="19050">
              <a:solidFill>
                <a:srgbClr val="009CB5"/>
              </a:solidFill>
            </a:ln>
          </c:spPr>
          <c:marker>
            <c:symbol val="none"/>
          </c:marker>
          <c:cat>
            <c:multiLvlStrRef>
              <c:f>'Ceny 1'!$A$14:$B$37</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f>'Ceny 1'!$F$14:$F$37</c:f>
              <c:numCache>
                <c:formatCode>0.0</c:formatCode>
                <c:ptCount val="24"/>
                <c:pt idx="0">
                  <c:v>3.5530085959885298</c:v>
                </c:pt>
                <c:pt idx="1">
                  <c:v>5.2812858783008068</c:v>
                </c:pt>
                <c:pt idx="2">
                  <c:v>6.2356979405034281</c:v>
                </c:pt>
                <c:pt idx="3">
                  <c:v>5.1743532058492718</c:v>
                </c:pt>
                <c:pt idx="4">
                  <c:v>4.759269507470961</c:v>
                </c:pt>
                <c:pt idx="5">
                  <c:v>4.5256270447110012</c:v>
                </c:pt>
                <c:pt idx="6">
                  <c:v>6.2466343564889826</c:v>
                </c:pt>
                <c:pt idx="7">
                  <c:v>9.1443850267379503</c:v>
                </c:pt>
                <c:pt idx="8">
                  <c:v>12.255678816693077</c:v>
                </c:pt>
                <c:pt idx="9">
                  <c:v>19.718309859154942</c:v>
                </c:pt>
                <c:pt idx="10">
                  <c:v>18.499746578813998</c:v>
                </c:pt>
                <c:pt idx="11">
                  <c:v>16.903478686918177</c:v>
                </c:pt>
                <c:pt idx="12">
                  <c:v>10.305882352941182</c:v>
                </c:pt>
                <c:pt idx="13">
                  <c:v>0.30501089324617681</c:v>
                </c:pt>
                <c:pt idx="14">
                  <c:v>-1.5825491873396089</c:v>
                </c:pt>
                <c:pt idx="15">
                  <c:v>-3.5624476110645418</c:v>
                </c:pt>
                <c:pt idx="16">
                  <c:v>0.3412969283276226</c:v>
                </c:pt>
                <c:pt idx="17">
                  <c:v>3.9965247610773247</c:v>
                </c:pt>
                <c:pt idx="18">
                  <c:v>6.7796610169491629</c:v>
                </c:pt>
                <c:pt idx="19">
                  <c:v>10.386788352890036</c:v>
                </c:pt>
                <c:pt idx="20">
                  <c:v>16.496598639455783</c:v>
                </c:pt>
                <c:pt idx="21">
                  <c:v>16.207184628237243</c:v>
                </c:pt>
                <c:pt idx="22">
                  <c:v>16.076516076516072</c:v>
                </c:pt>
                <c:pt idx="23">
                  <c:v>14.763779527559052</c:v>
                </c:pt>
              </c:numCache>
            </c:numRef>
          </c:val>
          <c:smooth val="0"/>
          <c:extLst>
            <c:ext xmlns:c16="http://schemas.microsoft.com/office/drawing/2014/chart" uri="{C3380CC4-5D6E-409C-BE32-E72D297353CC}">
              <c16:uniqueId val="{00000003-97A7-4B74-8836-145BFD80056B}"/>
            </c:ext>
          </c:extLst>
        </c:ser>
        <c:dLbls>
          <c:showLegendKey val="0"/>
          <c:showVal val="0"/>
          <c:showCatName val="0"/>
          <c:showSerName val="0"/>
          <c:showPercent val="0"/>
          <c:showBubbleSize val="0"/>
        </c:dLbls>
        <c:marker val="1"/>
        <c:smooth val="0"/>
        <c:axId val="270057856"/>
        <c:axId val="270059392"/>
      </c:lineChart>
      <c:catAx>
        <c:axId val="270057856"/>
        <c:scaling>
          <c:orientation val="minMax"/>
        </c:scaling>
        <c:delete val="0"/>
        <c:axPos val="b"/>
        <c:numFmt formatCode="General" sourceLinked="0"/>
        <c:majorTickMark val="out"/>
        <c:minorTickMark val="none"/>
        <c:tickLblPos val="low"/>
        <c:spPr>
          <a:ln>
            <a:solidFill>
              <a:schemeClr val="tx1"/>
            </a:solidFill>
          </a:ln>
        </c:spPr>
        <c:txPr>
          <a:bodyPr rot="0" vert="horz"/>
          <a:lstStyle/>
          <a:p>
            <a:pPr>
              <a:defRPr/>
            </a:pPr>
            <a:endParaRPr lang="cs-CZ"/>
          </a:p>
        </c:txPr>
        <c:crossAx val="270059392"/>
        <c:crosses val="autoZero"/>
        <c:auto val="1"/>
        <c:lblAlgn val="ctr"/>
        <c:lblOffset val="100"/>
        <c:noMultiLvlLbl val="0"/>
      </c:catAx>
      <c:valAx>
        <c:axId val="270059392"/>
        <c:scaling>
          <c:orientation val="minMax"/>
          <c:max val="28"/>
          <c:min val="-8"/>
        </c:scaling>
        <c:delete val="0"/>
        <c:axPos val="l"/>
        <c:majorGridlines>
          <c:spPr>
            <a:ln w="6350">
              <a:solidFill>
                <a:schemeClr val="bg1">
                  <a:lumMod val="75000"/>
                </a:schemeClr>
              </a:solidFill>
            </a:ln>
          </c:spPr>
        </c:majorGridlines>
        <c:numFmt formatCode="0" sourceLinked="0"/>
        <c:majorTickMark val="out"/>
        <c:minorTickMark val="none"/>
        <c:tickLblPos val="nextTo"/>
        <c:spPr>
          <a:ln>
            <a:solidFill>
              <a:schemeClr val="tx1"/>
            </a:solidFill>
          </a:ln>
        </c:spPr>
        <c:crossAx val="270057856"/>
        <c:crosses val="autoZero"/>
        <c:crossBetween val="between"/>
        <c:majorUnit val="4"/>
      </c:valAx>
      <c:spPr>
        <a:ln>
          <a:solidFill>
            <a:schemeClr val="tx1"/>
          </a:solidFill>
        </a:ln>
      </c:spPr>
    </c:plotArea>
    <c:legend>
      <c:legendPos val="b"/>
      <c:layout>
        <c:manualLayout>
          <c:xMode val="edge"/>
          <c:yMode val="edge"/>
          <c:x val="7.3334810874704504E-2"/>
          <c:y val="0.88817854328492629"/>
          <c:w val="0.89999282337048292"/>
          <c:h val="9.8380614657210319E-2"/>
        </c:manualLayout>
      </c:layout>
      <c:overlay val="0"/>
      <c:spPr>
        <a:ln w="6350">
          <a:solidFill>
            <a:schemeClr val="tx1"/>
          </a:solidFill>
        </a:ln>
      </c:spPr>
    </c:legend>
    <c:plotVisOnly val="1"/>
    <c:dispBlanksAs val="gap"/>
    <c:showDLblsOverMax val="0"/>
  </c:chart>
  <c:spPr>
    <a:ln>
      <a:noFill/>
    </a:ln>
  </c:spPr>
  <c:txPr>
    <a:bodyPr/>
    <a:lstStyle/>
    <a:p>
      <a:pPr>
        <a:defRPr sz="800" baseline="0">
          <a:latin typeface="Arial" pitchFamily="34" charset="0"/>
        </a:defRPr>
      </a:pPr>
      <a:endParaRPr lang="cs-CZ"/>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0948270126413842E-2"/>
          <c:y val="2.181131592422042E-2"/>
          <c:w val="0.91916383898868925"/>
          <c:h val="0.71663233141956562"/>
        </c:manualLayout>
      </c:layout>
      <c:barChart>
        <c:barDir val="col"/>
        <c:grouping val="clustered"/>
        <c:varyColors val="0"/>
        <c:ser>
          <c:idx val="0"/>
          <c:order val="0"/>
          <c:tx>
            <c:strRef>
              <c:f>'Ceny 4'!$C$5</c:f>
              <c:strCache>
                <c:ptCount val="1"/>
                <c:pt idx="0">
                  <c:v>Celkem</c:v>
                </c:pt>
              </c:strCache>
            </c:strRef>
          </c:tx>
          <c:spPr>
            <a:solidFill>
              <a:srgbClr val="85898E"/>
            </a:solidFill>
            <a:ln w="19050">
              <a:noFill/>
            </a:ln>
          </c:spPr>
          <c:invertIfNegative val="0"/>
          <c:cat>
            <c:multiLvlStrRef>
              <c:f>'Ceny 4'!$A$14:$B$37</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f>'Ceny 4'!$C$14:$C$37</c:f>
              <c:numCache>
                <c:formatCode>General</c:formatCode>
                <c:ptCount val="24"/>
                <c:pt idx="0">
                  <c:v>1.4000000000000057</c:v>
                </c:pt>
                <c:pt idx="1">
                  <c:v>-0.59999999999999432</c:v>
                </c:pt>
                <c:pt idx="2">
                  <c:v>-0.29999999999999716</c:v>
                </c:pt>
                <c:pt idx="3">
                  <c:v>9.9999999999994316E-2</c:v>
                </c:pt>
                <c:pt idx="4">
                  <c:v>1.5</c:v>
                </c:pt>
                <c:pt idx="5">
                  <c:v>5.2999999999999972</c:v>
                </c:pt>
                <c:pt idx="6">
                  <c:v>9</c:v>
                </c:pt>
                <c:pt idx="7">
                  <c:v>12.799999999999997</c:v>
                </c:pt>
                <c:pt idx="8">
                  <c:v>21.799999999999997</c:v>
                </c:pt>
                <c:pt idx="9">
                  <c:v>27.700000000000003</c:v>
                </c:pt>
                <c:pt idx="10">
                  <c:v>25.900000000000006</c:v>
                </c:pt>
                <c:pt idx="11">
                  <c:v>21.799999999999997</c:v>
                </c:pt>
                <c:pt idx="12">
                  <c:v>15</c:v>
                </c:pt>
                <c:pt idx="13">
                  <c:v>3.9000000000000057</c:v>
                </c:pt>
                <c:pt idx="14">
                  <c:v>1.3</c:v>
                </c:pt>
                <c:pt idx="15">
                  <c:v>0.8</c:v>
                </c:pt>
                <c:pt idx="16">
                  <c:v>-0.9</c:v>
                </c:pt>
                <c:pt idx="17">
                  <c:v>1.1000000000000001</c:v>
                </c:pt>
                <c:pt idx="18">
                  <c:v>1.2</c:v>
                </c:pt>
                <c:pt idx="19">
                  <c:v>1.8</c:v>
                </c:pt>
                <c:pt idx="20">
                  <c:v>0</c:v>
                </c:pt>
                <c:pt idx="21">
                  <c:v>-0.9</c:v>
                </c:pt>
                <c:pt idx="22">
                  <c:v>-1</c:v>
                </c:pt>
                <c:pt idx="23">
                  <c:v>-1.5</c:v>
                </c:pt>
              </c:numCache>
            </c:numRef>
          </c:val>
          <c:extLst>
            <c:ext xmlns:c16="http://schemas.microsoft.com/office/drawing/2014/chart" uri="{C3380CC4-5D6E-409C-BE32-E72D297353CC}">
              <c16:uniqueId val="{00000000-C79F-4080-ABA1-035A6FAC9097}"/>
            </c:ext>
          </c:extLst>
        </c:ser>
        <c:dLbls>
          <c:showLegendKey val="0"/>
          <c:showVal val="0"/>
          <c:showCatName val="0"/>
          <c:showSerName val="0"/>
          <c:showPercent val="0"/>
          <c:showBubbleSize val="0"/>
        </c:dLbls>
        <c:gapWidth val="96"/>
        <c:axId val="271374208"/>
        <c:axId val="271375744"/>
      </c:barChart>
      <c:lineChart>
        <c:grouping val="standard"/>
        <c:varyColors val="0"/>
        <c:ser>
          <c:idx val="1"/>
          <c:order val="1"/>
          <c:tx>
            <c:strRef>
              <c:f>'Ceny 4'!$D$5</c:f>
              <c:strCache>
                <c:ptCount val="1"/>
                <c:pt idx="0">
                  <c:v>Těžba a dobývání</c:v>
                </c:pt>
              </c:strCache>
            </c:strRef>
          </c:tx>
          <c:spPr>
            <a:ln w="19050">
              <a:solidFill>
                <a:srgbClr val="86BF5E"/>
              </a:solidFill>
            </a:ln>
          </c:spPr>
          <c:marker>
            <c:symbol val="none"/>
          </c:marker>
          <c:cat>
            <c:multiLvlStrRef>
              <c:f>'Ceny 4'!$A$14:$B$37</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f>'Ceny 4'!$D$14:$D$37</c:f>
              <c:numCache>
                <c:formatCode>General</c:formatCode>
                <c:ptCount val="24"/>
                <c:pt idx="0">
                  <c:v>-2.0999999999999943</c:v>
                </c:pt>
                <c:pt idx="1">
                  <c:v>-3.5</c:v>
                </c:pt>
                <c:pt idx="2">
                  <c:v>-3.5999999999999943</c:v>
                </c:pt>
                <c:pt idx="3">
                  <c:v>-2</c:v>
                </c:pt>
                <c:pt idx="4">
                  <c:v>-0.5</c:v>
                </c:pt>
                <c:pt idx="5">
                  <c:v>0.79999999999999716</c:v>
                </c:pt>
                <c:pt idx="6">
                  <c:v>3.2999999999999972</c:v>
                </c:pt>
                <c:pt idx="7">
                  <c:v>13.799999999999997</c:v>
                </c:pt>
                <c:pt idx="8">
                  <c:v>25.200000000000003</c:v>
                </c:pt>
                <c:pt idx="9">
                  <c:v>31.900000000000006</c:v>
                </c:pt>
                <c:pt idx="10">
                  <c:v>30.199999999999989</c:v>
                </c:pt>
                <c:pt idx="11">
                  <c:v>23.299999999999997</c:v>
                </c:pt>
                <c:pt idx="12">
                  <c:v>54</c:v>
                </c:pt>
                <c:pt idx="13">
                  <c:v>47.599999999999994</c:v>
                </c:pt>
                <c:pt idx="14">
                  <c:v>44.5</c:v>
                </c:pt>
                <c:pt idx="15">
                  <c:v>40.200000000000003</c:v>
                </c:pt>
                <c:pt idx="16">
                  <c:v>-1.2</c:v>
                </c:pt>
                <c:pt idx="17">
                  <c:v>-1.7</c:v>
                </c:pt>
                <c:pt idx="18">
                  <c:v>-0.5</c:v>
                </c:pt>
                <c:pt idx="19">
                  <c:v>-1.8</c:v>
                </c:pt>
                <c:pt idx="20">
                  <c:v>-2.6</c:v>
                </c:pt>
                <c:pt idx="21">
                  <c:v>-4.2</c:v>
                </c:pt>
                <c:pt idx="22">
                  <c:v>-4.3</c:v>
                </c:pt>
                <c:pt idx="23">
                  <c:v>-4.2</c:v>
                </c:pt>
              </c:numCache>
            </c:numRef>
          </c:val>
          <c:smooth val="0"/>
          <c:extLst>
            <c:ext xmlns:c16="http://schemas.microsoft.com/office/drawing/2014/chart" uri="{C3380CC4-5D6E-409C-BE32-E72D297353CC}">
              <c16:uniqueId val="{00000001-C79F-4080-ABA1-035A6FAC9097}"/>
            </c:ext>
          </c:extLst>
        </c:ser>
        <c:ser>
          <c:idx val="2"/>
          <c:order val="2"/>
          <c:tx>
            <c:strRef>
              <c:f>'Ceny 4'!$E$5</c:f>
              <c:strCache>
                <c:ptCount val="1"/>
                <c:pt idx="0">
                  <c:v>Zpracovatelský průmysl</c:v>
                </c:pt>
              </c:strCache>
            </c:strRef>
          </c:tx>
          <c:spPr>
            <a:ln w="19050">
              <a:solidFill>
                <a:srgbClr val="BC5B80"/>
              </a:solidFill>
            </a:ln>
          </c:spPr>
          <c:marker>
            <c:symbol val="none"/>
          </c:marker>
          <c:cat>
            <c:multiLvlStrRef>
              <c:f>'Ceny 4'!$A$14:$B$37</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f>'Ceny 4'!$E$14:$E$37</c:f>
              <c:numCache>
                <c:formatCode>General</c:formatCode>
                <c:ptCount val="24"/>
                <c:pt idx="0">
                  <c:v>0</c:v>
                </c:pt>
                <c:pt idx="1">
                  <c:v>-2.2999999999999972</c:v>
                </c:pt>
                <c:pt idx="2">
                  <c:v>-1.7999999999999972</c:v>
                </c:pt>
                <c:pt idx="3">
                  <c:v>-1.2000000000000028</c:v>
                </c:pt>
                <c:pt idx="4">
                  <c:v>1.7999999999999972</c:v>
                </c:pt>
                <c:pt idx="5">
                  <c:v>6.5</c:v>
                </c:pt>
                <c:pt idx="6">
                  <c:v>11</c:v>
                </c:pt>
                <c:pt idx="7">
                  <c:v>14.5</c:v>
                </c:pt>
                <c:pt idx="8">
                  <c:v>17.5</c:v>
                </c:pt>
                <c:pt idx="9">
                  <c:v>24.200000000000003</c:v>
                </c:pt>
                <c:pt idx="10">
                  <c:v>20.5</c:v>
                </c:pt>
                <c:pt idx="11">
                  <c:v>16</c:v>
                </c:pt>
                <c:pt idx="12">
                  <c:v>10.299999999999997</c:v>
                </c:pt>
                <c:pt idx="13">
                  <c:v>-0.90000000000000568</c:v>
                </c:pt>
                <c:pt idx="14">
                  <c:v>-2.4</c:v>
                </c:pt>
                <c:pt idx="15">
                  <c:v>-2.2999999999999998</c:v>
                </c:pt>
                <c:pt idx="16">
                  <c:v>-1.7</c:v>
                </c:pt>
                <c:pt idx="17">
                  <c:v>0.1</c:v>
                </c:pt>
                <c:pt idx="18">
                  <c:v>0.2</c:v>
                </c:pt>
                <c:pt idx="19">
                  <c:v>0.4</c:v>
                </c:pt>
                <c:pt idx="20">
                  <c:v>0.4</c:v>
                </c:pt>
                <c:pt idx="21">
                  <c:v>-0.2</c:v>
                </c:pt>
                <c:pt idx="22">
                  <c:v>-0.3</c:v>
                </c:pt>
                <c:pt idx="23">
                  <c:v>-0.9</c:v>
                </c:pt>
              </c:numCache>
            </c:numRef>
          </c:val>
          <c:smooth val="0"/>
          <c:extLst>
            <c:ext xmlns:c16="http://schemas.microsoft.com/office/drawing/2014/chart" uri="{C3380CC4-5D6E-409C-BE32-E72D297353CC}">
              <c16:uniqueId val="{00000002-C79F-4080-ABA1-035A6FAC9097}"/>
            </c:ext>
          </c:extLst>
        </c:ser>
        <c:ser>
          <c:idx val="3"/>
          <c:order val="3"/>
          <c:tx>
            <c:strRef>
              <c:f>'Ceny 4'!$F$5</c:f>
              <c:strCache>
                <c:ptCount val="1"/>
                <c:pt idx="0">
                  <c:v>Elektřina, plyn, pára a klim. vzduch</c:v>
                </c:pt>
              </c:strCache>
            </c:strRef>
          </c:tx>
          <c:spPr>
            <a:ln w="19050">
              <a:solidFill>
                <a:srgbClr val="CC9610"/>
              </a:solidFill>
            </a:ln>
          </c:spPr>
          <c:marker>
            <c:symbol val="none"/>
          </c:marker>
          <c:cat>
            <c:multiLvlStrRef>
              <c:f>'Ceny 4'!$A$14:$B$37</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f>'Ceny 4'!$F$14:$F$37</c:f>
              <c:numCache>
                <c:formatCode>General</c:formatCode>
                <c:ptCount val="24"/>
                <c:pt idx="0">
                  <c:v>8.9000000000000057</c:v>
                </c:pt>
                <c:pt idx="1">
                  <c:v>8.2000000000000028</c:v>
                </c:pt>
                <c:pt idx="2">
                  <c:v>7.7999999999999972</c:v>
                </c:pt>
                <c:pt idx="3">
                  <c:v>6.0999999999999943</c:v>
                </c:pt>
                <c:pt idx="4">
                  <c:v>0.29999999999999716</c:v>
                </c:pt>
                <c:pt idx="5">
                  <c:v>9.9999999999994316E-2</c:v>
                </c:pt>
                <c:pt idx="6">
                  <c:v>0.79999999999999716</c:v>
                </c:pt>
                <c:pt idx="7">
                  <c:v>5.5</c:v>
                </c:pt>
                <c:pt idx="8">
                  <c:v>45</c:v>
                </c:pt>
                <c:pt idx="9">
                  <c:v>47.199999999999989</c:v>
                </c:pt>
                <c:pt idx="10">
                  <c:v>56</c:v>
                </c:pt>
                <c:pt idx="11">
                  <c:v>54.300000000000011</c:v>
                </c:pt>
                <c:pt idx="12">
                  <c:v>28.400000000000006</c:v>
                </c:pt>
                <c:pt idx="13">
                  <c:v>18.400000000000006</c:v>
                </c:pt>
                <c:pt idx="14">
                  <c:v>10.5</c:v>
                </c:pt>
                <c:pt idx="15">
                  <c:v>7.1</c:v>
                </c:pt>
                <c:pt idx="16">
                  <c:v>0.8</c:v>
                </c:pt>
                <c:pt idx="17">
                  <c:v>4.5</c:v>
                </c:pt>
                <c:pt idx="18">
                  <c:v>4.2</c:v>
                </c:pt>
                <c:pt idx="19">
                  <c:v>6.7</c:v>
                </c:pt>
                <c:pt idx="20">
                  <c:v>-1.2</c:v>
                </c:pt>
                <c:pt idx="21">
                  <c:v>-3.4</c:v>
                </c:pt>
                <c:pt idx="22">
                  <c:v>-3.2</c:v>
                </c:pt>
                <c:pt idx="23">
                  <c:v>-3.8</c:v>
                </c:pt>
              </c:numCache>
            </c:numRef>
          </c:val>
          <c:smooth val="0"/>
          <c:extLst>
            <c:ext xmlns:c16="http://schemas.microsoft.com/office/drawing/2014/chart" uri="{C3380CC4-5D6E-409C-BE32-E72D297353CC}">
              <c16:uniqueId val="{00000003-C79F-4080-ABA1-035A6FAC9097}"/>
            </c:ext>
          </c:extLst>
        </c:ser>
        <c:ser>
          <c:idx val="4"/>
          <c:order val="4"/>
          <c:tx>
            <c:strRef>
              <c:f>'Ceny 4'!$G$5</c:f>
              <c:strCache>
                <c:ptCount val="1"/>
                <c:pt idx="0">
                  <c:v>Zás. vodou; odpadní vody</c:v>
                </c:pt>
              </c:strCache>
            </c:strRef>
          </c:tx>
          <c:spPr>
            <a:ln w="19050">
              <a:solidFill>
                <a:schemeClr val="accent1"/>
              </a:solidFill>
            </a:ln>
          </c:spPr>
          <c:marker>
            <c:symbol val="none"/>
          </c:marker>
          <c:cat>
            <c:multiLvlStrRef>
              <c:f>'Ceny 4'!$A$14:$B$37</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f>'Ceny 4'!$G$14:$G$37</c:f>
              <c:numCache>
                <c:formatCode>General</c:formatCode>
                <c:ptCount val="24"/>
                <c:pt idx="0">
                  <c:v>5.4000000000000057</c:v>
                </c:pt>
                <c:pt idx="1">
                  <c:v>6.0999999999999943</c:v>
                </c:pt>
                <c:pt idx="2">
                  <c:v>6.4000000000000057</c:v>
                </c:pt>
                <c:pt idx="3">
                  <c:v>6.4000000000000057</c:v>
                </c:pt>
                <c:pt idx="4">
                  <c:v>6.9000000000000057</c:v>
                </c:pt>
                <c:pt idx="5">
                  <c:v>6.2000000000000028</c:v>
                </c:pt>
                <c:pt idx="6">
                  <c:v>5.9000000000000057</c:v>
                </c:pt>
                <c:pt idx="7">
                  <c:v>5.9000000000000057</c:v>
                </c:pt>
                <c:pt idx="8">
                  <c:v>5.2999999999999972</c:v>
                </c:pt>
                <c:pt idx="9">
                  <c:v>5.2999999999999972</c:v>
                </c:pt>
                <c:pt idx="10">
                  <c:v>5.2999999999999972</c:v>
                </c:pt>
                <c:pt idx="11">
                  <c:v>5.2999999999999972</c:v>
                </c:pt>
                <c:pt idx="12">
                  <c:v>16.299999999999997</c:v>
                </c:pt>
                <c:pt idx="13">
                  <c:v>16.299999999999997</c:v>
                </c:pt>
                <c:pt idx="14">
                  <c:v>16.3</c:v>
                </c:pt>
                <c:pt idx="15">
                  <c:v>16.3</c:v>
                </c:pt>
                <c:pt idx="16">
                  <c:v>9.1999999999999993</c:v>
                </c:pt>
                <c:pt idx="17">
                  <c:v>9.1999999999999993</c:v>
                </c:pt>
                <c:pt idx="18">
                  <c:v>9.1999999999999993</c:v>
                </c:pt>
                <c:pt idx="19">
                  <c:v>9.1999999999999993</c:v>
                </c:pt>
                <c:pt idx="20">
                  <c:v>4.0999999999999996</c:v>
                </c:pt>
                <c:pt idx="21">
                  <c:v>4.0999999999999996</c:v>
                </c:pt>
                <c:pt idx="22">
                  <c:v>4.0999999999999996</c:v>
                </c:pt>
                <c:pt idx="23">
                  <c:v>4.0999999999999996</c:v>
                </c:pt>
              </c:numCache>
            </c:numRef>
          </c:val>
          <c:smooth val="0"/>
          <c:extLst>
            <c:ext xmlns:c16="http://schemas.microsoft.com/office/drawing/2014/chart" uri="{C3380CC4-5D6E-409C-BE32-E72D297353CC}">
              <c16:uniqueId val="{00000004-C79F-4080-ABA1-035A6FAC9097}"/>
            </c:ext>
          </c:extLst>
        </c:ser>
        <c:dLbls>
          <c:showLegendKey val="0"/>
          <c:showVal val="0"/>
          <c:showCatName val="0"/>
          <c:showSerName val="0"/>
          <c:showPercent val="0"/>
          <c:showBubbleSize val="0"/>
        </c:dLbls>
        <c:marker val="1"/>
        <c:smooth val="0"/>
        <c:axId val="271374208"/>
        <c:axId val="271375744"/>
      </c:lineChart>
      <c:catAx>
        <c:axId val="271374208"/>
        <c:scaling>
          <c:orientation val="minMax"/>
        </c:scaling>
        <c:delete val="0"/>
        <c:axPos val="b"/>
        <c:numFmt formatCode="General" sourceLinked="0"/>
        <c:majorTickMark val="out"/>
        <c:minorTickMark val="none"/>
        <c:tickLblPos val="low"/>
        <c:spPr>
          <a:ln>
            <a:solidFill>
              <a:schemeClr val="tx1"/>
            </a:solidFill>
          </a:ln>
        </c:spPr>
        <c:crossAx val="271375744"/>
        <c:crosses val="autoZero"/>
        <c:auto val="1"/>
        <c:lblAlgn val="ctr"/>
        <c:lblOffset val="100"/>
        <c:noMultiLvlLbl val="0"/>
      </c:catAx>
      <c:valAx>
        <c:axId val="271375744"/>
        <c:scaling>
          <c:orientation val="minMax"/>
          <c:min val="-5"/>
        </c:scaling>
        <c:delete val="0"/>
        <c:axPos val="l"/>
        <c:majorGridlines>
          <c:spPr>
            <a:ln w="6350">
              <a:solidFill>
                <a:schemeClr val="bg1">
                  <a:lumMod val="75000"/>
                </a:schemeClr>
              </a:solidFill>
            </a:ln>
          </c:spPr>
        </c:majorGridlines>
        <c:numFmt formatCode="0" sourceLinked="0"/>
        <c:majorTickMark val="out"/>
        <c:minorTickMark val="none"/>
        <c:tickLblPos val="nextTo"/>
        <c:spPr>
          <a:ln>
            <a:solidFill>
              <a:schemeClr val="tx1"/>
            </a:solidFill>
          </a:ln>
        </c:spPr>
        <c:crossAx val="271374208"/>
        <c:crosses val="autoZero"/>
        <c:crossBetween val="between"/>
        <c:majorUnit val="5"/>
      </c:valAx>
      <c:spPr>
        <a:ln>
          <a:solidFill>
            <a:schemeClr val="tx1"/>
          </a:solidFill>
        </a:ln>
      </c:spPr>
    </c:plotArea>
    <c:legend>
      <c:legendPos val="b"/>
      <c:layout>
        <c:manualLayout>
          <c:xMode val="edge"/>
          <c:yMode val="edge"/>
          <c:x val="5.0756819693945444E-2"/>
          <c:y val="0.86223931272106069"/>
          <c:w val="0.91957268795741853"/>
          <c:h val="0.12109402425765226"/>
        </c:manualLayout>
      </c:layout>
      <c:overlay val="0"/>
      <c:spPr>
        <a:ln w="6350">
          <a:noFill/>
        </a:ln>
      </c:spPr>
    </c:legend>
    <c:plotVisOnly val="1"/>
    <c:dispBlanksAs val="gap"/>
    <c:showDLblsOverMax val="0"/>
  </c:chart>
  <c:spPr>
    <a:ln>
      <a:noFill/>
    </a:ln>
  </c:spPr>
  <c:txPr>
    <a:bodyPr/>
    <a:lstStyle/>
    <a:p>
      <a:pPr>
        <a:defRPr sz="800" baseline="0">
          <a:latin typeface="Arial" pitchFamily="34" charset="0"/>
        </a:defRPr>
      </a:pPr>
      <a:endParaRPr lang="cs-CZ"/>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3488731014312048E-2"/>
          <c:y val="1.4522051060224651E-2"/>
          <c:w val="0.84495121574960907"/>
          <c:h val="0.67903185372898445"/>
        </c:manualLayout>
      </c:layout>
      <c:barChart>
        <c:barDir val="col"/>
        <c:grouping val="stacked"/>
        <c:varyColors val="0"/>
        <c:ser>
          <c:idx val="0"/>
          <c:order val="0"/>
          <c:tx>
            <c:strRef>
              <c:f>'Trh práce 1-SNÚ'!$AC$7</c:f>
              <c:strCache>
                <c:ptCount val="1"/>
                <c:pt idx="0">
                  <c:v>Zemědělství, lesnictví a rybářství</c:v>
                </c:pt>
              </c:strCache>
            </c:strRef>
          </c:tx>
          <c:spPr>
            <a:solidFill>
              <a:srgbClr val="85BF5E"/>
            </a:solidFill>
            <a:ln>
              <a:noFill/>
            </a:ln>
          </c:spPr>
          <c:invertIfNegative val="0"/>
          <c:cat>
            <c:multiLvlStrRef>
              <c:f>'Trh práce 1-SNÚ'!$AA$36:$AB$72</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'Trh práce 1-SNÚ'!$AC$36:$AC$72</c:f>
              <c:numCache>
                <c:formatCode>#\ ##0.0</c:formatCode>
                <c:ptCount val="37"/>
                <c:pt idx="0">
                  <c:v>0.11233090567681299</c:v>
                </c:pt>
                <c:pt idx="1">
                  <c:v>5.0729616313726009E-2</c:v>
                </c:pt>
                <c:pt idx="2">
                  <c:v>4.2943740830219922E-2</c:v>
                </c:pt>
                <c:pt idx="3">
                  <c:v>-6.9425529421968724E-2</c:v>
                </c:pt>
                <c:pt idx="4">
                  <c:v>6.9696535208619856E-3</c:v>
                </c:pt>
                <c:pt idx="5">
                  <c:v>9.479406509684412E-3</c:v>
                </c:pt>
                <c:pt idx="6">
                  <c:v>-3.0827114025735328E-3</c:v>
                </c:pt>
                <c:pt idx="7">
                  <c:v>6.4491191371409462E-2</c:v>
                </c:pt>
                <c:pt idx="8">
                  <c:v>-7.7187206717196741E-2</c:v>
                </c:pt>
                <c:pt idx="9">
                  <c:v>-0.12718590883712605</c:v>
                </c:pt>
                <c:pt idx="10">
                  <c:v>-0.15865097587800736</c:v>
                </c:pt>
                <c:pt idx="11">
                  <c:v>-0.17609829358037335</c:v>
                </c:pt>
                <c:pt idx="12">
                  <c:v>-0.2250948926699913</c:v>
                </c:pt>
                <c:pt idx="13">
                  <c:v>-0.16640126097373187</c:v>
                </c:pt>
                <c:pt idx="14">
                  <c:v>-7.0549043823175311E-2</c:v>
                </c:pt>
                <c:pt idx="15">
                  <c:v>-7.5093576708931548E-2</c:v>
                </c:pt>
                <c:pt idx="16">
                  <c:v>2.5997211931659263E-2</c:v>
                </c:pt>
                <c:pt idx="17">
                  <c:v>-4.2507410945245912E-2</c:v>
                </c:pt>
                <c:pt idx="18">
                  <c:v>-5.8046329677072947E-2</c:v>
                </c:pt>
                <c:pt idx="19">
                  <c:v>-8.5212682410797293E-3</c:v>
                </c:pt>
                <c:pt idx="20">
                  <c:v>0.10306235339118135</c:v>
                </c:pt>
                <c:pt idx="21">
                  <c:v>0.19517688868299057</c:v>
                </c:pt>
                <c:pt idx="22">
                  <c:v>0.16543408341936516</c:v>
                </c:pt>
                <c:pt idx="23">
                  <c:v>7.650834296747365E-2</c:v>
                </c:pt>
                <c:pt idx="24">
                  <c:v>1.021676732039499E-2</c:v>
                </c:pt>
                <c:pt idx="25">
                  <c:v>-1.5016960166060134E-2</c:v>
                </c:pt>
                <c:pt idx="26">
                  <c:v>-1.6656098487454283E-2</c:v>
                </c:pt>
                <c:pt idx="27">
                  <c:v>1.7912694758528712E-2</c:v>
                </c:pt>
                <c:pt idx="28">
                  <c:v>3.8532804198889358E-3</c:v>
                </c:pt>
                <c:pt idx="29">
                  <c:v>-1.8453058003866385E-4</c:v>
                </c:pt>
                <c:pt idx="30">
                  <c:v>-6.1260581645534037E-2</c:v>
                </c:pt>
                <c:pt idx="31">
                  <c:v>-2.1629374863206263E-2</c:v>
                </c:pt>
                <c:pt idx="32">
                  <c:v>4.8474884296165572E-3</c:v>
                </c:pt>
                <c:pt idx="33">
                  <c:v>-1.6224647384330118E-2</c:v>
                </c:pt>
                <c:pt idx="34">
                  <c:v>1.1246514999902025E-2</c:v>
                </c:pt>
                <c:pt idx="35">
                  <c:v>-3.3859448149563256E-3</c:v>
                </c:pt>
              </c:numCache>
            </c:numRef>
          </c:val>
          <c:extLst>
            <c:ext xmlns:c16="http://schemas.microsoft.com/office/drawing/2014/chart" uri="{C3380CC4-5D6E-409C-BE32-E72D297353CC}">
              <c16:uniqueId val="{00000000-88B3-4A69-B62C-A05E7BDF4BBB}"/>
            </c:ext>
          </c:extLst>
        </c:ser>
        <c:ser>
          <c:idx val="1"/>
          <c:order val="1"/>
          <c:tx>
            <c:strRef>
              <c:f>'Trh práce 1-SNÚ'!$AD$7</c:f>
              <c:strCache>
                <c:ptCount val="1"/>
                <c:pt idx="0">
                  <c:v>Zpracovatelský průmysl</c:v>
                </c:pt>
              </c:strCache>
            </c:strRef>
          </c:tx>
          <c:spPr>
            <a:solidFill>
              <a:srgbClr val="9FC9D7"/>
            </a:solidFill>
            <a:ln>
              <a:noFill/>
            </a:ln>
          </c:spPr>
          <c:invertIfNegative val="0"/>
          <c:cat>
            <c:multiLvlStrRef>
              <c:f>'Trh práce 1-SNÚ'!$AA$36:$AB$72</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'Trh práce 1-SNÚ'!$AD$36:$AD$72</c:f>
              <c:numCache>
                <c:formatCode>#\ ##0.0</c:formatCode>
                <c:ptCount val="37"/>
                <c:pt idx="0">
                  <c:v>0.3412385063505306</c:v>
                </c:pt>
                <c:pt idx="1">
                  <c:v>0.52262990754001282</c:v>
                </c:pt>
                <c:pt idx="2">
                  <c:v>0.60052374148058973</c:v>
                </c:pt>
                <c:pt idx="3">
                  <c:v>0.58608461317236227</c:v>
                </c:pt>
                <c:pt idx="4">
                  <c:v>0.1196805353909325</c:v>
                </c:pt>
                <c:pt idx="5">
                  <c:v>7.6175829556865152E-2</c:v>
                </c:pt>
                <c:pt idx="6">
                  <c:v>-0.12295131270874073</c:v>
                </c:pt>
                <c:pt idx="7">
                  <c:v>-0.10359555303921339</c:v>
                </c:pt>
                <c:pt idx="8">
                  <c:v>-4.3860627420650888E-2</c:v>
                </c:pt>
                <c:pt idx="9">
                  <c:v>-0.13093050641677487</c:v>
                </c:pt>
                <c:pt idx="10">
                  <c:v>-0.22271976780709798</c:v>
                </c:pt>
                <c:pt idx="11">
                  <c:v>-0.58749039840145689</c:v>
                </c:pt>
                <c:pt idx="12">
                  <c:v>-1.0289411191473512</c:v>
                </c:pt>
                <c:pt idx="13">
                  <c:v>-1.36021427307888</c:v>
                </c:pt>
                <c:pt idx="14">
                  <c:v>-1.3451400845056487</c:v>
                </c:pt>
                <c:pt idx="15">
                  <c:v>-1.0778269079948288</c:v>
                </c:pt>
                <c:pt idx="16">
                  <c:v>-0.3488211912900257</c:v>
                </c:pt>
                <c:pt idx="17">
                  <c:v>2.4010060407391501E-3</c:v>
                </c:pt>
                <c:pt idx="18">
                  <c:v>0.30789292015034142</c:v>
                </c:pt>
                <c:pt idx="19">
                  <c:v>0.30237067823921421</c:v>
                </c:pt>
                <c:pt idx="20">
                  <c:v>-2.6580743871842144E-2</c:v>
                </c:pt>
                <c:pt idx="21">
                  <c:v>0.16853333211620991</c:v>
                </c:pt>
                <c:pt idx="22">
                  <c:v>-2.6403068489182765E-2</c:v>
                </c:pt>
                <c:pt idx="23">
                  <c:v>-9.2811547940365419E-2</c:v>
                </c:pt>
                <c:pt idx="24">
                  <c:v>-5.2764598693500184E-2</c:v>
                </c:pt>
                <c:pt idx="25">
                  <c:v>-0.31110042071860405</c:v>
                </c:pt>
                <c:pt idx="26">
                  <c:v>-0.50542192458507462</c:v>
                </c:pt>
                <c:pt idx="27">
                  <c:v>-0.46124722040365801</c:v>
                </c:pt>
                <c:pt idx="28">
                  <c:v>-0.54429438469594627</c:v>
                </c:pt>
                <c:pt idx="29">
                  <c:v>-0.56112058778156904</c:v>
                </c:pt>
                <c:pt idx="30">
                  <c:v>-0.35445597451058775</c:v>
                </c:pt>
                <c:pt idx="31">
                  <c:v>-0.3121256852600216</c:v>
                </c:pt>
                <c:pt idx="32">
                  <c:v>-0.1298500227629226</c:v>
                </c:pt>
                <c:pt idx="33">
                  <c:v>-0.10165612400690451</c:v>
                </c:pt>
                <c:pt idx="34">
                  <c:v>-7.4128088281113183E-2</c:v>
                </c:pt>
                <c:pt idx="35">
                  <c:v>6.5101652469187282E-2</c:v>
                </c:pt>
              </c:numCache>
            </c:numRef>
          </c:val>
          <c:extLst>
            <c:ext xmlns:c16="http://schemas.microsoft.com/office/drawing/2014/chart" uri="{C3380CC4-5D6E-409C-BE32-E72D297353CC}">
              <c16:uniqueId val="{00000001-88B3-4A69-B62C-A05E7BDF4BBB}"/>
            </c:ext>
          </c:extLst>
        </c:ser>
        <c:ser>
          <c:idx val="2"/>
          <c:order val="2"/>
          <c:tx>
            <c:strRef>
              <c:f>'Trh práce 1-SNÚ'!$AE$7</c:f>
              <c:strCache>
                <c:ptCount val="1"/>
                <c:pt idx="0">
                  <c:v>Stavebnictví</c:v>
                </c:pt>
              </c:strCache>
            </c:strRef>
          </c:tx>
          <c:spPr>
            <a:solidFill>
              <a:srgbClr val="009CB5"/>
            </a:solidFill>
            <a:ln w="19050">
              <a:noFill/>
            </a:ln>
          </c:spPr>
          <c:invertIfNegative val="0"/>
          <c:cat>
            <c:multiLvlStrRef>
              <c:f>'Trh práce 1-SNÚ'!$AA$36:$AB$72</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'Trh práce 1-SNÚ'!$AE$36:$AE$72</c:f>
              <c:numCache>
                <c:formatCode>#\ ##0.0</c:formatCode>
                <c:ptCount val="37"/>
                <c:pt idx="0">
                  <c:v>-2.4917596145515041E-2</c:v>
                </c:pt>
                <c:pt idx="1">
                  <c:v>-5.0729616313726017E-3</c:v>
                </c:pt>
                <c:pt idx="2">
                  <c:v>4.3708885432985532E-2</c:v>
                </c:pt>
                <c:pt idx="3">
                  <c:v>-9.7823424059502784E-2</c:v>
                </c:pt>
                <c:pt idx="4">
                  <c:v>5.1256389244704353E-2</c:v>
                </c:pt>
                <c:pt idx="5">
                  <c:v>8.9117773773679798E-3</c:v>
                </c:pt>
                <c:pt idx="6">
                  <c:v>-5.6391062242198758E-3</c:v>
                </c:pt>
                <c:pt idx="7">
                  <c:v>5.0923988524626936E-2</c:v>
                </c:pt>
                <c:pt idx="8">
                  <c:v>-4.7272009553368181E-2</c:v>
                </c:pt>
                <c:pt idx="9">
                  <c:v>2.6435741121998226E-2</c:v>
                </c:pt>
                <c:pt idx="10">
                  <c:v>4.1039112569784514E-2</c:v>
                </c:pt>
                <c:pt idx="11">
                  <c:v>5.3949403273091355E-2</c:v>
                </c:pt>
                <c:pt idx="12">
                  <c:v>-5.1099289115963641E-2</c:v>
                </c:pt>
                <c:pt idx="13">
                  <c:v>-0.28554955941039528</c:v>
                </c:pt>
                <c:pt idx="14">
                  <c:v>-0.16527458730397476</c:v>
                </c:pt>
                <c:pt idx="15">
                  <c:v>-8.3857615087929036E-2</c:v>
                </c:pt>
                <c:pt idx="16">
                  <c:v>0.10143081302490671</c:v>
                </c:pt>
                <c:pt idx="17">
                  <c:v>0.31378267745211802</c:v>
                </c:pt>
                <c:pt idx="18">
                  <c:v>0.1716844366035131</c:v>
                </c:pt>
                <c:pt idx="19">
                  <c:v>0.23602377664143806</c:v>
                </c:pt>
                <c:pt idx="20">
                  <c:v>0.12253074614093086</c:v>
                </c:pt>
                <c:pt idx="21">
                  <c:v>0.14594050898891842</c:v>
                </c:pt>
                <c:pt idx="22">
                  <c:v>0.14253885117231668</c:v>
                </c:pt>
                <c:pt idx="23">
                  <c:v>0.12602038578353064</c:v>
                </c:pt>
                <c:pt idx="24">
                  <c:v>0.42623371242387226</c:v>
                </c:pt>
                <c:pt idx="25">
                  <c:v>0.38361677767530888</c:v>
                </c:pt>
                <c:pt idx="26">
                  <c:v>0.35275036864002512</c:v>
                </c:pt>
                <c:pt idx="27">
                  <c:v>0.24898458929216655</c:v>
                </c:pt>
                <c:pt idx="28">
                  <c:v>-0.12919604638608381</c:v>
                </c:pt>
                <c:pt idx="29">
                  <c:v>-7.741057832621949E-2</c:v>
                </c:pt>
                <c:pt idx="30">
                  <c:v>-3.0049578116828311E-3</c:v>
                </c:pt>
                <c:pt idx="31">
                  <c:v>5.8095580483641676E-2</c:v>
                </c:pt>
                <c:pt idx="32">
                  <c:v>0.17192917137438493</c:v>
                </c:pt>
                <c:pt idx="33">
                  <c:v>8.7246437177431663E-2</c:v>
                </c:pt>
                <c:pt idx="34">
                  <c:v>0.22841049193612095</c:v>
                </c:pt>
                <c:pt idx="35">
                  <c:v>0.27508513820969493</c:v>
                </c:pt>
              </c:numCache>
            </c:numRef>
          </c:val>
          <c:extLst>
            <c:ext xmlns:c16="http://schemas.microsoft.com/office/drawing/2014/chart" uri="{C3380CC4-5D6E-409C-BE32-E72D297353CC}">
              <c16:uniqueId val="{00000002-88B3-4A69-B62C-A05E7BDF4BBB}"/>
            </c:ext>
          </c:extLst>
        </c:ser>
        <c:ser>
          <c:idx val="3"/>
          <c:order val="3"/>
          <c:tx>
            <c:strRef>
              <c:f>'Trh práce 1-SNÚ'!$AF$7</c:f>
              <c:strCache>
                <c:ptCount val="1"/>
                <c:pt idx="0">
                  <c:v>Obchod, doprava, ubytování a pohost.</c:v>
                </c:pt>
              </c:strCache>
            </c:strRef>
          </c:tx>
          <c:spPr>
            <a:solidFill>
              <a:srgbClr val="E6C483"/>
            </a:solidFill>
            <a:ln w="19050">
              <a:noFill/>
            </a:ln>
          </c:spPr>
          <c:invertIfNegative val="0"/>
          <c:cat>
            <c:multiLvlStrRef>
              <c:f>'Trh práce 1-SNÚ'!$AA$36:$AB$72</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'Trh práce 1-SNÚ'!$AF$36:$AF$72</c:f>
              <c:numCache>
                <c:formatCode>#\ ##0.0</c:formatCode>
                <c:ptCount val="37"/>
                <c:pt idx="0">
                  <c:v>0.16879414011911728</c:v>
                </c:pt>
                <c:pt idx="1">
                  <c:v>-1.9200681193459315E-2</c:v>
                </c:pt>
                <c:pt idx="2">
                  <c:v>0.34341602633627533</c:v>
                </c:pt>
                <c:pt idx="3">
                  <c:v>0.17810976918008636</c:v>
                </c:pt>
                <c:pt idx="4">
                  <c:v>0.13394268741863646</c:v>
                </c:pt>
                <c:pt idx="5">
                  <c:v>0.36277177846343162</c:v>
                </c:pt>
                <c:pt idx="6">
                  <c:v>0.13140997204507052</c:v>
                </c:pt>
                <c:pt idx="7">
                  <c:v>0.13129369292308796</c:v>
                </c:pt>
                <c:pt idx="8">
                  <c:v>5.4732064986453249E-2</c:v>
                </c:pt>
                <c:pt idx="9">
                  <c:v>-0.15364027979782902</c:v>
                </c:pt>
                <c:pt idx="10">
                  <c:v>-0.32178098177727366</c:v>
                </c:pt>
                <c:pt idx="11">
                  <c:v>-0.33729538991186869</c:v>
                </c:pt>
                <c:pt idx="12">
                  <c:v>-0.17031226657786785</c:v>
                </c:pt>
                <c:pt idx="13">
                  <c:v>-0.74764066051253641</c:v>
                </c:pt>
                <c:pt idx="14">
                  <c:v>-0.58389796545600492</c:v>
                </c:pt>
                <c:pt idx="15">
                  <c:v>-0.96116032871885804</c:v>
                </c:pt>
                <c:pt idx="16">
                  <c:v>-0.80036168715842226</c:v>
                </c:pt>
                <c:pt idx="17">
                  <c:v>-0.32784296882668651</c:v>
                </c:pt>
                <c:pt idx="18">
                  <c:v>0.14896065045639337</c:v>
                </c:pt>
                <c:pt idx="19">
                  <c:v>0.62556472594142731</c:v>
                </c:pt>
                <c:pt idx="20">
                  <c:v>0.11242472443929792</c:v>
                </c:pt>
                <c:pt idx="21">
                  <c:v>0.33360547415736347</c:v>
                </c:pt>
                <c:pt idx="22">
                  <c:v>-3.4097677020316033E-2</c:v>
                </c:pt>
                <c:pt idx="23">
                  <c:v>-0.17029883624108427</c:v>
                </c:pt>
                <c:pt idx="24">
                  <c:v>0.23343708104880306</c:v>
                </c:pt>
                <c:pt idx="25">
                  <c:v>0.20303830037257334</c:v>
                </c:pt>
                <c:pt idx="26">
                  <c:v>0.31586767243828845</c:v>
                </c:pt>
                <c:pt idx="27">
                  <c:v>0.401289191024224</c:v>
                </c:pt>
                <c:pt idx="28">
                  <c:v>0.42760297428786742</c:v>
                </c:pt>
                <c:pt idx="29">
                  <c:v>0.52906762602885304</c:v>
                </c:pt>
                <c:pt idx="30">
                  <c:v>0.28331405920209662</c:v>
                </c:pt>
                <c:pt idx="31">
                  <c:v>8.1713017036402213E-2</c:v>
                </c:pt>
                <c:pt idx="32">
                  <c:v>0.21828443145227713</c:v>
                </c:pt>
                <c:pt idx="33">
                  <c:v>0.31789309112348496</c:v>
                </c:pt>
                <c:pt idx="34">
                  <c:v>0.29264750839321607</c:v>
                </c:pt>
                <c:pt idx="35">
                  <c:v>4.5188636476363064E-2</c:v>
                </c:pt>
              </c:numCache>
            </c:numRef>
          </c:val>
          <c:extLst>
            <c:ext xmlns:c16="http://schemas.microsoft.com/office/drawing/2014/chart" uri="{C3380CC4-5D6E-409C-BE32-E72D297353CC}">
              <c16:uniqueId val="{00000003-88B3-4A69-B62C-A05E7BDF4BBB}"/>
            </c:ext>
          </c:extLst>
        </c:ser>
        <c:ser>
          <c:idx val="4"/>
          <c:order val="4"/>
          <c:tx>
            <c:strRef>
              <c:f>'Trh práce 1-SNÚ'!$AG$7</c:f>
              <c:strCache>
                <c:ptCount val="1"/>
                <c:pt idx="0">
                  <c:v>Informační a komunikač. čin.</c:v>
                </c:pt>
              </c:strCache>
            </c:strRef>
          </c:tx>
          <c:spPr>
            <a:solidFill>
              <a:srgbClr val="CC9610"/>
            </a:solidFill>
            <a:ln w="19050">
              <a:noFill/>
            </a:ln>
          </c:spPr>
          <c:invertIfNegative val="0"/>
          <c:cat>
            <c:multiLvlStrRef>
              <c:f>'Trh práce 1-SNÚ'!$AA$36:$AB$72</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'Trh práce 1-SNÚ'!$AG$36:$AG$72</c:f>
              <c:numCache>
                <c:formatCode>#\ ##0.0</c:formatCode>
                <c:ptCount val="37"/>
                <c:pt idx="0">
                  <c:v>0.10297479979950704</c:v>
                </c:pt>
                <c:pt idx="1">
                  <c:v>0.11307918625101115</c:v>
                </c:pt>
                <c:pt idx="2">
                  <c:v>0.14195345242808999</c:v>
                </c:pt>
                <c:pt idx="3">
                  <c:v>0.14010642458143058</c:v>
                </c:pt>
                <c:pt idx="4">
                  <c:v>0.13192965397664363</c:v>
                </c:pt>
                <c:pt idx="5">
                  <c:v>0.14949459248107094</c:v>
                </c:pt>
                <c:pt idx="6">
                  <c:v>0.10537609830992209</c:v>
                </c:pt>
                <c:pt idx="7">
                  <c:v>0.12451009149969672</c:v>
                </c:pt>
                <c:pt idx="8">
                  <c:v>0.12599621261607491</c:v>
                </c:pt>
                <c:pt idx="9">
                  <c:v>7.6289189495829968E-2</c:v>
                </c:pt>
                <c:pt idx="10">
                  <c:v>0.11559629979865636</c:v>
                </c:pt>
                <c:pt idx="11">
                  <c:v>0.11960024608369116</c:v>
                </c:pt>
                <c:pt idx="12">
                  <c:v>9.8159995557559124E-2</c:v>
                </c:pt>
                <c:pt idx="13">
                  <c:v>5.3460156432470374E-2</c:v>
                </c:pt>
                <c:pt idx="14">
                  <c:v>7.6826712976932429E-2</c:v>
                </c:pt>
                <c:pt idx="15">
                  <c:v>6.039321318860455E-2</c:v>
                </c:pt>
                <c:pt idx="16">
                  <c:v>2.7532032752697451E-2</c:v>
                </c:pt>
                <c:pt idx="17">
                  <c:v>8.0385682243946738E-2</c:v>
                </c:pt>
                <c:pt idx="18">
                  <c:v>6.3128020250057523E-2</c:v>
                </c:pt>
                <c:pt idx="19">
                  <c:v>-1.7675873986564034E-2</c:v>
                </c:pt>
                <c:pt idx="20">
                  <c:v>0.18492112917440828</c:v>
                </c:pt>
                <c:pt idx="21">
                  <c:v>0.17372511722879458</c:v>
                </c:pt>
                <c:pt idx="22">
                  <c:v>0.17938999104936179</c:v>
                </c:pt>
                <c:pt idx="23">
                  <c:v>0.26610369779656495</c:v>
                </c:pt>
                <c:pt idx="24">
                  <c:v>0.27430415033038302</c:v>
                </c:pt>
                <c:pt idx="25">
                  <c:v>0.19353318326371879</c:v>
                </c:pt>
                <c:pt idx="26">
                  <c:v>0.15713935340689195</c:v>
                </c:pt>
                <c:pt idx="27">
                  <c:v>0.13924832056812467</c:v>
                </c:pt>
                <c:pt idx="28">
                  <c:v>0.11028162663268672</c:v>
                </c:pt>
                <c:pt idx="29">
                  <c:v>7.960649222867959E-2</c:v>
                </c:pt>
                <c:pt idx="30">
                  <c:v>4.973850414675017E-2</c:v>
                </c:pt>
                <c:pt idx="31">
                  <c:v>-9.1414021762282818E-2</c:v>
                </c:pt>
                <c:pt idx="32">
                  <c:v>-4.5525841905524316E-3</c:v>
                </c:pt>
                <c:pt idx="33">
                  <c:v>-4.0717448407454448E-2</c:v>
                </c:pt>
                <c:pt idx="34">
                  <c:v>6.0976626115103988E-2</c:v>
                </c:pt>
                <c:pt idx="35">
                  <c:v>5.3937185782034006E-2</c:v>
                </c:pt>
              </c:numCache>
            </c:numRef>
          </c:val>
          <c:extLst>
            <c:ext xmlns:c16="http://schemas.microsoft.com/office/drawing/2014/chart" uri="{C3380CC4-5D6E-409C-BE32-E72D297353CC}">
              <c16:uniqueId val="{00000004-88B3-4A69-B62C-A05E7BDF4BBB}"/>
            </c:ext>
          </c:extLst>
        </c:ser>
        <c:ser>
          <c:idx val="5"/>
          <c:order val="5"/>
          <c:tx>
            <c:strRef>
              <c:f>'Trh práce 1-SNÚ'!$AH$7</c:f>
              <c:strCache>
                <c:ptCount val="1"/>
                <c:pt idx="0">
                  <c:v>Profesní, vědec., techn. a admin. čin.</c:v>
                </c:pt>
              </c:strCache>
            </c:strRef>
          </c:tx>
          <c:spPr>
            <a:solidFill>
              <a:srgbClr val="D8A7B7"/>
            </a:solidFill>
            <a:ln w="19050">
              <a:noFill/>
            </a:ln>
          </c:spPr>
          <c:invertIfNegative val="0"/>
          <c:cat>
            <c:multiLvlStrRef>
              <c:f>'Trh práce 1-SNÚ'!$AA$36:$AB$72</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'Trh práce 1-SNÚ'!$AH$36:$AH$72</c:f>
              <c:numCache>
                <c:formatCode>#\ ##0.0</c:formatCode>
                <c:ptCount val="37"/>
                <c:pt idx="0">
                  <c:v>0.30218108694896378</c:v>
                </c:pt>
                <c:pt idx="1">
                  <c:v>0.24690965706205212</c:v>
                </c:pt>
                <c:pt idx="2">
                  <c:v>0.20140518806297794</c:v>
                </c:pt>
                <c:pt idx="3">
                  <c:v>4.4888835461875665E-2</c:v>
                </c:pt>
                <c:pt idx="4">
                  <c:v>0.11405923445857516</c:v>
                </c:pt>
                <c:pt idx="5">
                  <c:v>0.12026169216677469</c:v>
                </c:pt>
                <c:pt idx="6">
                  <c:v>8.2368544915104994E-2</c:v>
                </c:pt>
                <c:pt idx="7">
                  <c:v>0.21654909363756486</c:v>
                </c:pt>
                <c:pt idx="8">
                  <c:v>4.1892522344083222E-2</c:v>
                </c:pt>
                <c:pt idx="9">
                  <c:v>2.5895475799561337E-3</c:v>
                </c:pt>
                <c:pt idx="10">
                  <c:v>1.655374845356929E-2</c:v>
                </c:pt>
                <c:pt idx="11">
                  <c:v>-0.16305742058229164</c:v>
                </c:pt>
                <c:pt idx="12">
                  <c:v>-0.17106015225830634</c:v>
                </c:pt>
                <c:pt idx="13">
                  <c:v>-0.35509622734956792</c:v>
                </c:pt>
                <c:pt idx="14">
                  <c:v>-0.52248517227624403</c:v>
                </c:pt>
                <c:pt idx="15">
                  <c:v>-0.259700179999866</c:v>
                </c:pt>
                <c:pt idx="16">
                  <c:v>-0.13767911216868525</c:v>
                </c:pt>
                <c:pt idx="17">
                  <c:v>0.17127816692216799</c:v>
                </c:pt>
                <c:pt idx="18">
                  <c:v>0.30499731533328217</c:v>
                </c:pt>
                <c:pt idx="19">
                  <c:v>0.11023910985757197</c:v>
                </c:pt>
                <c:pt idx="20">
                  <c:v>0.14110294451336577</c:v>
                </c:pt>
                <c:pt idx="21">
                  <c:v>0.11855526883462565</c:v>
                </c:pt>
                <c:pt idx="22">
                  <c:v>0.16494374071885179</c:v>
                </c:pt>
                <c:pt idx="23">
                  <c:v>0.23562461136341045</c:v>
                </c:pt>
                <c:pt idx="24">
                  <c:v>0.45505217255496794</c:v>
                </c:pt>
                <c:pt idx="25">
                  <c:v>0.46143875226871167</c:v>
                </c:pt>
                <c:pt idx="26">
                  <c:v>0.51807756844142316</c:v>
                </c:pt>
                <c:pt idx="27">
                  <c:v>0.51726408336593921</c:v>
                </c:pt>
                <c:pt idx="28">
                  <c:v>0.23145618060621329</c:v>
                </c:pt>
                <c:pt idx="29">
                  <c:v>0.17142890885591872</c:v>
                </c:pt>
                <c:pt idx="30">
                  <c:v>0.14532565907666109</c:v>
                </c:pt>
                <c:pt idx="31">
                  <c:v>0.10479662220956021</c:v>
                </c:pt>
                <c:pt idx="32">
                  <c:v>0.16424322964377619</c:v>
                </c:pt>
                <c:pt idx="33">
                  <c:v>8.8548075555157577E-2</c:v>
                </c:pt>
                <c:pt idx="34">
                  <c:v>7.3871653085675684E-2</c:v>
                </c:pt>
                <c:pt idx="35">
                  <c:v>0.15921261592056798</c:v>
                </c:pt>
              </c:numCache>
            </c:numRef>
          </c:val>
          <c:extLst>
            <c:ext xmlns:c16="http://schemas.microsoft.com/office/drawing/2014/chart" uri="{C3380CC4-5D6E-409C-BE32-E72D297353CC}">
              <c16:uniqueId val="{00000005-88B3-4A69-B62C-A05E7BDF4BBB}"/>
            </c:ext>
          </c:extLst>
        </c:ser>
        <c:ser>
          <c:idx val="6"/>
          <c:order val="6"/>
          <c:tx>
            <c:strRef>
              <c:f>'Trh práce 1-SNÚ'!$AI$7</c:f>
              <c:strCache>
                <c:ptCount val="1"/>
                <c:pt idx="0">
                  <c:v>Veř.spr.,obrana, vzděl.,zdrav.a soc.péče</c:v>
                </c:pt>
              </c:strCache>
            </c:strRef>
          </c:tx>
          <c:spPr>
            <a:solidFill>
              <a:srgbClr val="BC5B80"/>
            </a:solidFill>
            <a:ln>
              <a:noFill/>
            </a:ln>
          </c:spPr>
          <c:invertIfNegative val="0"/>
          <c:cat>
            <c:multiLvlStrRef>
              <c:f>'Trh práce 1-SNÚ'!$AA$36:$AB$72</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'Trh práce 1-SNÚ'!$AI$36:$AI$72</c:f>
              <c:numCache>
                <c:formatCode>#\ ##0.0</c:formatCode>
                <c:ptCount val="37"/>
                <c:pt idx="0">
                  <c:v>0.25372913823733012</c:v>
                </c:pt>
                <c:pt idx="1">
                  <c:v>0.32300408153264115</c:v>
                </c:pt>
                <c:pt idx="2">
                  <c:v>0.40403460749038084</c:v>
                </c:pt>
                <c:pt idx="3">
                  <c:v>0.45280661737517469</c:v>
                </c:pt>
                <c:pt idx="4">
                  <c:v>0.60960729705632077</c:v>
                </c:pt>
                <c:pt idx="5">
                  <c:v>0.68223345413111947</c:v>
                </c:pt>
                <c:pt idx="6">
                  <c:v>0.5434782608695643</c:v>
                </c:pt>
                <c:pt idx="7">
                  <c:v>0.5340066073405344</c:v>
                </c:pt>
                <c:pt idx="8">
                  <c:v>0.30745550067561389</c:v>
                </c:pt>
                <c:pt idx="9">
                  <c:v>0.28160864186055334</c:v>
                </c:pt>
                <c:pt idx="10">
                  <c:v>0.3282382500579219</c:v>
                </c:pt>
                <c:pt idx="11">
                  <c:v>0.35876353176605752</c:v>
                </c:pt>
                <c:pt idx="12">
                  <c:v>0.41133712424120017</c:v>
                </c:pt>
                <c:pt idx="13">
                  <c:v>0.31561623734818278</c:v>
                </c:pt>
                <c:pt idx="14">
                  <c:v>0.43203815926035638</c:v>
                </c:pt>
                <c:pt idx="15">
                  <c:v>0.41513077518294128</c:v>
                </c:pt>
                <c:pt idx="16">
                  <c:v>0.48992996479954942</c:v>
                </c:pt>
                <c:pt idx="17">
                  <c:v>0.61125772187553584</c:v>
                </c:pt>
                <c:pt idx="18">
                  <c:v>0.59327299225281893</c:v>
                </c:pt>
                <c:pt idx="19">
                  <c:v>0.46696166120205151</c:v>
                </c:pt>
                <c:pt idx="20">
                  <c:v>0.25751287373689258</c:v>
                </c:pt>
                <c:pt idx="21">
                  <c:v>0.20481877532064779</c:v>
                </c:pt>
                <c:pt idx="22">
                  <c:v>0.21446835347070459</c:v>
                </c:pt>
                <c:pt idx="23">
                  <c:v>0.25725553805377149</c:v>
                </c:pt>
                <c:pt idx="24">
                  <c:v>0.3121685098080022</c:v>
                </c:pt>
                <c:pt idx="25">
                  <c:v>0.29209018650089497</c:v>
                </c:pt>
                <c:pt idx="26">
                  <c:v>0.13623978201634884</c:v>
                </c:pt>
                <c:pt idx="27">
                  <c:v>0.10560831716863539</c:v>
                </c:pt>
                <c:pt idx="28">
                  <c:v>8.9514668215881429E-2</c:v>
                </c:pt>
                <c:pt idx="29">
                  <c:v>0.10296806366157443</c:v>
                </c:pt>
                <c:pt idx="30">
                  <c:v>0.18542248877242892</c:v>
                </c:pt>
                <c:pt idx="31">
                  <c:v>0.29456447366895883</c:v>
                </c:pt>
                <c:pt idx="32">
                  <c:v>0.3390661488639779</c:v>
                </c:pt>
                <c:pt idx="33">
                  <c:v>0.45427179382634569</c:v>
                </c:pt>
                <c:pt idx="34">
                  <c:v>0.41273244705666512</c:v>
                </c:pt>
                <c:pt idx="35">
                  <c:v>0.28361405866250389</c:v>
                </c:pt>
              </c:numCache>
            </c:numRef>
          </c:val>
          <c:extLst>
            <c:ext xmlns:c16="http://schemas.microsoft.com/office/drawing/2014/chart" uri="{C3380CC4-5D6E-409C-BE32-E72D297353CC}">
              <c16:uniqueId val="{00000006-88B3-4A69-B62C-A05E7BDF4BBB}"/>
            </c:ext>
          </c:extLst>
        </c:ser>
        <c:ser>
          <c:idx val="7"/>
          <c:order val="7"/>
          <c:tx>
            <c:strRef>
              <c:f>'Trh práce 1-SNÚ'!$AJ$7</c:f>
              <c:strCache>
                <c:ptCount val="1"/>
                <c:pt idx="0">
                  <c:v>Ostatní odvětví*</c:v>
                </c:pt>
              </c:strCache>
            </c:strRef>
          </c:tx>
          <c:spPr>
            <a:solidFill>
              <a:srgbClr val="BBBBC0"/>
            </a:solidFill>
            <a:ln>
              <a:noFill/>
            </a:ln>
          </c:spPr>
          <c:invertIfNegative val="0"/>
          <c:cat>
            <c:multiLvlStrRef>
              <c:f>'Trh práce 1-SNÚ'!$AA$36:$AB$72</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'Trh práce 1-SNÚ'!$AJ$36:$AJ$72</c:f>
              <c:numCache>
                <c:formatCode>#\ ##0.0</c:formatCode>
                <c:ptCount val="37"/>
                <c:pt idx="0">
                  <c:v>-9.3484211907537543E-2</c:v>
                </c:pt>
                <c:pt idx="1">
                  <c:v>-5.7295751557351692E-2</c:v>
                </c:pt>
                <c:pt idx="2">
                  <c:v>-1.3906503155264979E-2</c:v>
                </c:pt>
                <c:pt idx="3">
                  <c:v>-1.3143298857693261E-2</c:v>
                </c:pt>
                <c:pt idx="4">
                  <c:v>0.15044576346667207</c:v>
                </c:pt>
                <c:pt idx="5">
                  <c:v>0.15339231252297711</c:v>
                </c:pt>
                <c:pt idx="6">
                  <c:v>-1.0827083950502157E-2</c:v>
                </c:pt>
                <c:pt idx="7">
                  <c:v>-8.1553546198111036E-3</c:v>
                </c:pt>
                <c:pt idx="8">
                  <c:v>-0.11190083149627598</c:v>
                </c:pt>
                <c:pt idx="9">
                  <c:v>-3.0869642733721676E-2</c:v>
                </c:pt>
                <c:pt idx="10">
                  <c:v>8.9785889301152055E-2</c:v>
                </c:pt>
                <c:pt idx="11">
                  <c:v>7.3017726843752948E-2</c:v>
                </c:pt>
                <c:pt idx="12">
                  <c:v>-0.18902810573084244</c:v>
                </c:pt>
                <c:pt idx="13">
                  <c:v>-0.41036448530712522</c:v>
                </c:pt>
                <c:pt idx="14">
                  <c:v>-0.39059806942990016</c:v>
                </c:pt>
                <c:pt idx="15">
                  <c:v>-0.44320191520455926</c:v>
                </c:pt>
                <c:pt idx="16">
                  <c:v>1.4950291701223861E-2</c:v>
                </c:pt>
                <c:pt idx="17">
                  <c:v>0.1930600937237536</c:v>
                </c:pt>
                <c:pt idx="18">
                  <c:v>0.14821277901357677</c:v>
                </c:pt>
                <c:pt idx="19">
                  <c:v>0.23009343455474068</c:v>
                </c:pt>
                <c:pt idx="20">
                  <c:v>7.4040909938567476E-2</c:v>
                </c:pt>
                <c:pt idx="21">
                  <c:v>9.8548829499684021E-2</c:v>
                </c:pt>
                <c:pt idx="22">
                  <c:v>7.9699548168061685E-2</c:v>
                </c:pt>
                <c:pt idx="23">
                  <c:v>9.0514791581597767E-2</c:v>
                </c:pt>
                <c:pt idx="24">
                  <c:v>0.28236803137624006</c:v>
                </c:pt>
                <c:pt idx="25">
                  <c:v>0.38946608051152709</c:v>
                </c:pt>
                <c:pt idx="26">
                  <c:v>0.44360181493523027</c:v>
                </c:pt>
                <c:pt idx="27">
                  <c:v>0.50060284903371011</c:v>
                </c:pt>
                <c:pt idx="28">
                  <c:v>0.32008163026365882</c:v>
                </c:pt>
                <c:pt idx="29">
                  <c:v>0.41087578951408893</c:v>
                </c:pt>
                <c:pt idx="30">
                  <c:v>0.40200067510156945</c:v>
                </c:pt>
                <c:pt idx="31">
                  <c:v>0.46283180611540009</c:v>
                </c:pt>
                <c:pt idx="32">
                  <c:v>0.31385183642399517</c:v>
                </c:pt>
                <c:pt idx="33">
                  <c:v>0.21660362581453141</c:v>
                </c:pt>
                <c:pt idx="34">
                  <c:v>0.11303297078891761</c:v>
                </c:pt>
                <c:pt idx="35">
                  <c:v>0.16236062947825708</c:v>
                </c:pt>
              </c:numCache>
            </c:numRef>
          </c:val>
          <c:extLst>
            <c:ext xmlns:c16="http://schemas.microsoft.com/office/drawing/2014/chart" uri="{C3380CC4-5D6E-409C-BE32-E72D297353CC}">
              <c16:uniqueId val="{00000007-88B3-4A69-B62C-A05E7BDF4BBB}"/>
            </c:ext>
          </c:extLst>
        </c:ser>
        <c:dLbls>
          <c:showLegendKey val="0"/>
          <c:showVal val="0"/>
          <c:showCatName val="0"/>
          <c:showSerName val="0"/>
          <c:showPercent val="0"/>
          <c:showBubbleSize val="0"/>
        </c:dLbls>
        <c:gapWidth val="47"/>
        <c:overlap val="100"/>
        <c:axId val="101898496"/>
        <c:axId val="101781504"/>
      </c:barChart>
      <c:lineChart>
        <c:grouping val="standard"/>
        <c:varyColors val="0"/>
        <c:ser>
          <c:idx val="8"/>
          <c:order val="8"/>
          <c:tx>
            <c:strRef>
              <c:f>'Trh práce 1-SNÚ'!$AK$7</c:f>
              <c:strCache>
                <c:ptCount val="1"/>
                <c:pt idx="0">
                  <c:v>Zaměstnanost celkem</c:v>
                </c:pt>
              </c:strCache>
            </c:strRef>
          </c:tx>
          <c:spPr>
            <a:ln w="19050">
              <a:solidFill>
                <a:schemeClr val="tx1">
                  <a:lumMod val="95000"/>
                  <a:lumOff val="5000"/>
                </a:schemeClr>
              </a:solidFill>
            </a:ln>
          </c:spPr>
          <c:marker>
            <c:symbol val="none"/>
          </c:marker>
          <c:cat>
            <c:multiLvlStrRef>
              <c:f>'Trh práce 1-SNÚ'!$AA$36:$AB$72</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'Trh práce 1-SNÚ'!$AK$36:$AK$72</c:f>
              <c:numCache>
                <c:formatCode>#\ ##0.0</c:formatCode>
                <c:ptCount val="37"/>
                <c:pt idx="0">
                  <c:v>1.1628467690792093</c:v>
                </c:pt>
                <c:pt idx="1">
                  <c:v>1.1747830543172597</c:v>
                </c:pt>
                <c:pt idx="2">
                  <c:v>1.7640791389062542</c:v>
                </c:pt>
                <c:pt idx="3">
                  <c:v>1.2216040074317647</c:v>
                </c:pt>
                <c:pt idx="4">
                  <c:v>1.317891214533347</c:v>
                </c:pt>
                <c:pt idx="5">
                  <c:v>1.5627208432092914</c:v>
                </c:pt>
                <c:pt idx="6">
                  <c:v>0.72013266185362568</c:v>
                </c:pt>
                <c:pt idx="7">
                  <c:v>1.0100237576378959</c:v>
                </c:pt>
                <c:pt idx="8">
                  <c:v>0.2498556254347335</c:v>
                </c:pt>
                <c:pt idx="9">
                  <c:v>-5.5703217727113952E-2</c:v>
                </c:pt>
                <c:pt idx="10">
                  <c:v>-0.11193842528129494</c:v>
                </c:pt>
                <c:pt idx="11">
                  <c:v>-0.65861059450939763</c:v>
                </c:pt>
                <c:pt idx="12">
                  <c:v>-1.3260387057015635</c:v>
                </c:pt>
                <c:pt idx="13">
                  <c:v>-2.9561900728515837</c:v>
                </c:pt>
                <c:pt idx="14">
                  <c:v>-2.569080050557659</c:v>
                </c:pt>
                <c:pt idx="15">
                  <c:v>-2.4253165353434269</c:v>
                </c:pt>
                <c:pt idx="16">
                  <c:v>-0.62702167640709661</c:v>
                </c:pt>
                <c:pt idx="17">
                  <c:v>1.0018149684863289</c:v>
                </c:pt>
                <c:pt idx="18">
                  <c:v>1.6801027843829104</c:v>
                </c:pt>
                <c:pt idx="19">
                  <c:v>1.9450562442088</c:v>
                </c:pt>
                <c:pt idx="20">
                  <c:v>0.9690149374628021</c:v>
                </c:pt>
                <c:pt idx="21">
                  <c:v>1.4389041948292345</c:v>
                </c:pt>
                <c:pt idx="22">
                  <c:v>0.8859738224891629</c:v>
                </c:pt>
                <c:pt idx="23">
                  <c:v>0.78891698336489924</c:v>
                </c:pt>
                <c:pt idx="24">
                  <c:v>1.9410158261691635</c:v>
                </c:pt>
                <c:pt idx="25">
                  <c:v>1.5970658997080704</c:v>
                </c:pt>
                <c:pt idx="26">
                  <c:v>1.4015985368056789</c:v>
                </c:pt>
                <c:pt idx="27">
                  <c:v>1.4696628248076706</c:v>
                </c:pt>
                <c:pt idx="28">
                  <c:v>0.50929992934416646</c:v>
                </c:pt>
                <c:pt idx="29">
                  <c:v>0.65523118360128763</c:v>
                </c:pt>
                <c:pt idx="30">
                  <c:v>0.64707987233170172</c:v>
                </c:pt>
                <c:pt idx="31">
                  <c:v>0.57683241762845228</c:v>
                </c:pt>
                <c:pt idx="32">
                  <c:v>1.0778196992345528</c:v>
                </c:pt>
                <c:pt idx="33">
                  <c:v>1.0059648036982622</c:v>
                </c:pt>
                <c:pt idx="34">
                  <c:v>1.1187901240944882</c:v>
                </c:pt>
                <c:pt idx="35">
                  <c:v>1.041113972183652</c:v>
                </c:pt>
              </c:numCache>
            </c:numRef>
          </c:val>
          <c:smooth val="0"/>
          <c:extLst>
            <c:ext xmlns:c16="http://schemas.microsoft.com/office/drawing/2014/chart" uri="{C3380CC4-5D6E-409C-BE32-E72D297353CC}">
              <c16:uniqueId val="{00000008-88B3-4A69-B62C-A05E7BDF4BBB}"/>
            </c:ext>
          </c:extLst>
        </c:ser>
        <c:dLbls>
          <c:showLegendKey val="0"/>
          <c:showVal val="0"/>
          <c:showCatName val="0"/>
          <c:showSerName val="0"/>
          <c:showPercent val="0"/>
          <c:showBubbleSize val="0"/>
        </c:dLbls>
        <c:marker val="1"/>
        <c:smooth val="0"/>
        <c:axId val="101898496"/>
        <c:axId val="101781504"/>
      </c:lineChart>
      <c:lineChart>
        <c:grouping val="standard"/>
        <c:varyColors val="0"/>
        <c:ser>
          <c:idx val="9"/>
          <c:order val="9"/>
          <c:tx>
            <c:strRef>
              <c:f>'Trh práce 1-SNÚ'!$AL$7</c:f>
              <c:strCache>
                <c:ptCount val="1"/>
              </c:strCache>
            </c:strRef>
          </c:tx>
          <c:spPr>
            <a:ln>
              <a:noFill/>
            </a:ln>
          </c:spPr>
          <c:marker>
            <c:symbol val="none"/>
          </c:marker>
          <c:cat>
            <c:multiLvlStrRef>
              <c:f>'Trh práce 1-SNÚ'!$AA$36:$AB$72</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'Trh práce 1-SNÚ'!$AL$36:$AL$72</c:f>
              <c:numCache>
                <c:formatCode>General</c:formatCode>
                <c:ptCount val="37"/>
              </c:numCache>
            </c:numRef>
          </c:val>
          <c:smooth val="0"/>
          <c:extLst>
            <c:ext xmlns:c16="http://schemas.microsoft.com/office/drawing/2014/chart" uri="{C3380CC4-5D6E-409C-BE32-E72D297353CC}">
              <c16:uniqueId val="{00000009-88B3-4A69-B62C-A05E7BDF4BBB}"/>
            </c:ext>
          </c:extLst>
        </c:ser>
        <c:ser>
          <c:idx val="10"/>
          <c:order val="10"/>
          <c:tx>
            <c:strRef>
              <c:f>'Trh práce 1-SNÚ'!$AM$7</c:f>
              <c:strCache>
                <c:ptCount val="1"/>
                <c:pt idx="0">
                  <c:v>Očekávání zaměstnanosti (průmysl)</c:v>
                </c:pt>
              </c:strCache>
            </c:strRef>
          </c:tx>
          <c:spPr>
            <a:ln w="15875">
              <a:solidFill>
                <a:schemeClr val="tx1">
                  <a:lumMod val="95000"/>
                  <a:lumOff val="5000"/>
                </a:schemeClr>
              </a:solidFill>
              <a:prstDash val="sysDot"/>
            </a:ln>
          </c:spPr>
          <c:marker>
            <c:symbol val="none"/>
          </c:marker>
          <c:cat>
            <c:multiLvlStrRef>
              <c:f>'Trh práce 1-SNÚ'!$AA$36:$AB$72</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'Trh práce 1-SNÚ'!$AM$36:$AM$72</c:f>
              <c:numCache>
                <c:formatCode>#\ ##0.0</c:formatCode>
                <c:ptCount val="37"/>
                <c:pt idx="0">
                  <c:v>11.1</c:v>
                </c:pt>
                <c:pt idx="1">
                  <c:v>5.7</c:v>
                </c:pt>
                <c:pt idx="2">
                  <c:v>8.1999999999999993</c:v>
                </c:pt>
                <c:pt idx="3">
                  <c:v>7.3</c:v>
                </c:pt>
                <c:pt idx="4">
                  <c:v>9.8000000000000007</c:v>
                </c:pt>
                <c:pt idx="5">
                  <c:v>9.4</c:v>
                </c:pt>
                <c:pt idx="6">
                  <c:v>6.2</c:v>
                </c:pt>
                <c:pt idx="7">
                  <c:v>6.3</c:v>
                </c:pt>
                <c:pt idx="8">
                  <c:v>2.5</c:v>
                </c:pt>
                <c:pt idx="9">
                  <c:v>2.6</c:v>
                </c:pt>
                <c:pt idx="10">
                  <c:v>0.5</c:v>
                </c:pt>
                <c:pt idx="11">
                  <c:v>-2.8</c:v>
                </c:pt>
                <c:pt idx="12">
                  <c:v>2.9</c:v>
                </c:pt>
                <c:pt idx="13">
                  <c:v>-19</c:v>
                </c:pt>
                <c:pt idx="14">
                  <c:v>-10.9</c:v>
                </c:pt>
                <c:pt idx="15">
                  <c:v>-3.5</c:v>
                </c:pt>
                <c:pt idx="16">
                  <c:v>4.4000000000000004</c:v>
                </c:pt>
                <c:pt idx="17">
                  <c:v>8.6</c:v>
                </c:pt>
                <c:pt idx="18">
                  <c:v>4.7</c:v>
                </c:pt>
                <c:pt idx="19">
                  <c:v>1.8</c:v>
                </c:pt>
                <c:pt idx="20">
                  <c:v>11.2</c:v>
                </c:pt>
                <c:pt idx="21">
                  <c:v>2.2999999999999998</c:v>
                </c:pt>
                <c:pt idx="22">
                  <c:v>2.1</c:v>
                </c:pt>
                <c:pt idx="23">
                  <c:v>-9.9</c:v>
                </c:pt>
                <c:pt idx="24">
                  <c:v>-13.6</c:v>
                </c:pt>
                <c:pt idx="25">
                  <c:v>-5.8</c:v>
                </c:pt>
                <c:pt idx="26">
                  <c:v>-4.3</c:v>
                </c:pt>
                <c:pt idx="27">
                  <c:v>-8.3000000000000007</c:v>
                </c:pt>
                <c:pt idx="28">
                  <c:v>-6</c:v>
                </c:pt>
                <c:pt idx="29">
                  <c:v>-9.6</c:v>
                </c:pt>
                <c:pt idx="30">
                  <c:v>-10.7</c:v>
                </c:pt>
                <c:pt idx="31">
                  <c:v>-13.2</c:v>
                </c:pt>
                <c:pt idx="32">
                  <c:v>-13</c:v>
                </c:pt>
                <c:pt idx="33">
                  <c:v>-11.9</c:v>
                </c:pt>
                <c:pt idx="34">
                  <c:v>-9.5</c:v>
                </c:pt>
                <c:pt idx="35">
                  <c:v>-9.8000000000000007</c:v>
                </c:pt>
                <c:pt idx="36">
                  <c:v>-1.6</c:v>
                </c:pt>
              </c:numCache>
            </c:numRef>
          </c:val>
          <c:smooth val="0"/>
          <c:extLst>
            <c:ext xmlns:c16="http://schemas.microsoft.com/office/drawing/2014/chart" uri="{C3380CC4-5D6E-409C-BE32-E72D297353CC}">
              <c16:uniqueId val="{0000000A-88B3-4A69-B62C-A05E7BDF4BBB}"/>
            </c:ext>
          </c:extLst>
        </c:ser>
        <c:ser>
          <c:idx val="11"/>
          <c:order val="11"/>
          <c:tx>
            <c:strRef>
              <c:f>'Trh práce 1-SNÚ'!$AN$7</c:f>
              <c:strCache>
                <c:ptCount val="1"/>
                <c:pt idx="0">
                  <c:v>Očekávání zaměstnanosti (stavebnictví)</c:v>
                </c:pt>
              </c:strCache>
            </c:strRef>
          </c:tx>
          <c:spPr>
            <a:ln w="15875">
              <a:solidFill>
                <a:srgbClr val="009CB5"/>
              </a:solidFill>
              <a:prstDash val="sysDot"/>
            </a:ln>
          </c:spPr>
          <c:marker>
            <c:symbol val="none"/>
          </c:marker>
          <c:cat>
            <c:multiLvlStrRef>
              <c:f>'Trh práce 1-SNÚ'!$AA$36:$AB$72</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'Trh práce 1-SNÚ'!$AN$36:$AN$72</c:f>
              <c:numCache>
                <c:formatCode>#\ ##0.0</c:formatCode>
                <c:ptCount val="37"/>
                <c:pt idx="0">
                  <c:v>-7.4</c:v>
                </c:pt>
                <c:pt idx="1">
                  <c:v>-11.8</c:v>
                </c:pt>
                <c:pt idx="2">
                  <c:v>-6</c:v>
                </c:pt>
                <c:pt idx="3">
                  <c:v>-3.6</c:v>
                </c:pt>
                <c:pt idx="4">
                  <c:v>4.4000000000000004</c:v>
                </c:pt>
                <c:pt idx="5">
                  <c:v>6</c:v>
                </c:pt>
                <c:pt idx="6">
                  <c:v>9.1999999999999993</c:v>
                </c:pt>
                <c:pt idx="7">
                  <c:v>8.4</c:v>
                </c:pt>
                <c:pt idx="8">
                  <c:v>6.5</c:v>
                </c:pt>
                <c:pt idx="9">
                  <c:v>10.4</c:v>
                </c:pt>
                <c:pt idx="10">
                  <c:v>4.3</c:v>
                </c:pt>
                <c:pt idx="11">
                  <c:v>9.1</c:v>
                </c:pt>
                <c:pt idx="12">
                  <c:v>5.6</c:v>
                </c:pt>
                <c:pt idx="13">
                  <c:v>-3.1</c:v>
                </c:pt>
                <c:pt idx="14">
                  <c:v>1.9</c:v>
                </c:pt>
                <c:pt idx="15">
                  <c:v>-3.6</c:v>
                </c:pt>
                <c:pt idx="16">
                  <c:v>3.4</c:v>
                </c:pt>
                <c:pt idx="17">
                  <c:v>5.6</c:v>
                </c:pt>
                <c:pt idx="18">
                  <c:v>4.8</c:v>
                </c:pt>
                <c:pt idx="19">
                  <c:v>6</c:v>
                </c:pt>
                <c:pt idx="20">
                  <c:v>9.3000000000000007</c:v>
                </c:pt>
                <c:pt idx="21">
                  <c:v>9.1</c:v>
                </c:pt>
                <c:pt idx="22">
                  <c:v>2.2000000000000002</c:v>
                </c:pt>
                <c:pt idx="23">
                  <c:v>-3.4</c:v>
                </c:pt>
                <c:pt idx="24">
                  <c:v>-12.7</c:v>
                </c:pt>
                <c:pt idx="25">
                  <c:v>-11.8</c:v>
                </c:pt>
                <c:pt idx="26">
                  <c:v>-7.3</c:v>
                </c:pt>
                <c:pt idx="27">
                  <c:v>-2.5</c:v>
                </c:pt>
                <c:pt idx="28">
                  <c:v>0.3</c:v>
                </c:pt>
                <c:pt idx="29">
                  <c:v>-7.8</c:v>
                </c:pt>
                <c:pt idx="30">
                  <c:v>-7</c:v>
                </c:pt>
                <c:pt idx="31">
                  <c:v>8.6999999999999993</c:v>
                </c:pt>
                <c:pt idx="32">
                  <c:v>2.9</c:v>
                </c:pt>
                <c:pt idx="33">
                  <c:v>7.2</c:v>
                </c:pt>
                <c:pt idx="34">
                  <c:v>11.4</c:v>
                </c:pt>
                <c:pt idx="35">
                  <c:v>0.7</c:v>
                </c:pt>
                <c:pt idx="36">
                  <c:v>5</c:v>
                </c:pt>
              </c:numCache>
            </c:numRef>
          </c:val>
          <c:smooth val="0"/>
          <c:extLst>
            <c:ext xmlns:c16="http://schemas.microsoft.com/office/drawing/2014/chart" uri="{C3380CC4-5D6E-409C-BE32-E72D297353CC}">
              <c16:uniqueId val="{0000000B-88B3-4A69-B62C-A05E7BDF4BBB}"/>
            </c:ext>
          </c:extLst>
        </c:ser>
        <c:ser>
          <c:idx val="12"/>
          <c:order val="12"/>
          <c:tx>
            <c:strRef>
              <c:f>'Trh práce 1-SNÚ'!$AO$7</c:f>
              <c:strCache>
                <c:ptCount val="1"/>
                <c:pt idx="0">
                  <c:v>Očekávání zaměstnanosti (obchod)</c:v>
                </c:pt>
              </c:strCache>
            </c:strRef>
          </c:tx>
          <c:spPr>
            <a:ln w="15875">
              <a:solidFill>
                <a:srgbClr val="CC9610"/>
              </a:solidFill>
              <a:prstDash val="sysDot"/>
            </a:ln>
          </c:spPr>
          <c:marker>
            <c:symbol val="none"/>
          </c:marker>
          <c:cat>
            <c:multiLvlStrRef>
              <c:f>'Trh práce 1-SNÚ'!$AA$36:$AB$72</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'Trh práce 1-SNÚ'!$AO$36:$AO$72</c:f>
              <c:numCache>
                <c:formatCode>#\ ##0.0</c:formatCode>
                <c:ptCount val="37"/>
                <c:pt idx="0">
                  <c:v>14.7</c:v>
                </c:pt>
                <c:pt idx="1">
                  <c:v>17</c:v>
                </c:pt>
                <c:pt idx="2">
                  <c:v>19</c:v>
                </c:pt>
                <c:pt idx="3">
                  <c:v>14.9</c:v>
                </c:pt>
                <c:pt idx="4">
                  <c:v>30.1</c:v>
                </c:pt>
                <c:pt idx="5">
                  <c:v>32.5</c:v>
                </c:pt>
                <c:pt idx="6">
                  <c:v>27.5</c:v>
                </c:pt>
                <c:pt idx="7">
                  <c:v>14.7</c:v>
                </c:pt>
                <c:pt idx="8">
                  <c:v>12.2</c:v>
                </c:pt>
                <c:pt idx="9">
                  <c:v>15.8</c:v>
                </c:pt>
                <c:pt idx="10">
                  <c:v>14.1</c:v>
                </c:pt>
                <c:pt idx="11">
                  <c:v>12.3</c:v>
                </c:pt>
                <c:pt idx="12">
                  <c:v>11.7</c:v>
                </c:pt>
                <c:pt idx="13">
                  <c:v>-5.9</c:v>
                </c:pt>
                <c:pt idx="14">
                  <c:v>-3.1</c:v>
                </c:pt>
                <c:pt idx="15">
                  <c:v>-0.2</c:v>
                </c:pt>
                <c:pt idx="16">
                  <c:v>6</c:v>
                </c:pt>
                <c:pt idx="17">
                  <c:v>13.2</c:v>
                </c:pt>
                <c:pt idx="18">
                  <c:v>11.4</c:v>
                </c:pt>
                <c:pt idx="19">
                  <c:v>8.5</c:v>
                </c:pt>
                <c:pt idx="20">
                  <c:v>10.5</c:v>
                </c:pt>
                <c:pt idx="21">
                  <c:v>3.2</c:v>
                </c:pt>
                <c:pt idx="22">
                  <c:v>5.9</c:v>
                </c:pt>
                <c:pt idx="23">
                  <c:v>12.5</c:v>
                </c:pt>
                <c:pt idx="24">
                  <c:v>11.3</c:v>
                </c:pt>
                <c:pt idx="25">
                  <c:v>9.1999999999999993</c:v>
                </c:pt>
                <c:pt idx="26">
                  <c:v>11.7</c:v>
                </c:pt>
                <c:pt idx="27">
                  <c:v>10.4</c:v>
                </c:pt>
                <c:pt idx="28">
                  <c:v>6.5</c:v>
                </c:pt>
                <c:pt idx="29">
                  <c:v>9.5</c:v>
                </c:pt>
                <c:pt idx="30">
                  <c:v>2.5</c:v>
                </c:pt>
                <c:pt idx="31">
                  <c:v>7.3</c:v>
                </c:pt>
                <c:pt idx="32">
                  <c:v>4.2</c:v>
                </c:pt>
                <c:pt idx="33">
                  <c:v>7.6</c:v>
                </c:pt>
                <c:pt idx="34">
                  <c:v>13.4</c:v>
                </c:pt>
                <c:pt idx="35">
                  <c:v>6.8</c:v>
                </c:pt>
                <c:pt idx="36">
                  <c:v>15.2</c:v>
                </c:pt>
              </c:numCache>
            </c:numRef>
          </c:val>
          <c:smooth val="0"/>
          <c:extLst>
            <c:ext xmlns:c16="http://schemas.microsoft.com/office/drawing/2014/chart" uri="{C3380CC4-5D6E-409C-BE32-E72D297353CC}">
              <c16:uniqueId val="{0000000C-88B3-4A69-B62C-A05E7BDF4BBB}"/>
            </c:ext>
          </c:extLst>
        </c:ser>
        <c:ser>
          <c:idx val="13"/>
          <c:order val="13"/>
          <c:tx>
            <c:strRef>
              <c:f>'Trh práce 1-SNÚ'!$AP$7</c:f>
              <c:strCache>
                <c:ptCount val="1"/>
                <c:pt idx="0">
                  <c:v>Očekávání zaměstnanosti (vybr. služby)</c:v>
                </c:pt>
              </c:strCache>
            </c:strRef>
          </c:tx>
          <c:spPr>
            <a:ln w="15875">
              <a:solidFill>
                <a:srgbClr val="BC5B80"/>
              </a:solidFill>
              <a:prstDash val="sysDot"/>
            </a:ln>
          </c:spPr>
          <c:marker>
            <c:symbol val="none"/>
          </c:marker>
          <c:cat>
            <c:multiLvlStrRef>
              <c:f>'Trh práce 1-SNÚ'!$AA$36:$AB$72</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'Trh práce 1-SNÚ'!$AP$36:$AP$72</c:f>
              <c:numCache>
                <c:formatCode>#\ ##0.0</c:formatCode>
                <c:ptCount val="37"/>
                <c:pt idx="0">
                  <c:v>11.1</c:v>
                </c:pt>
                <c:pt idx="1">
                  <c:v>11</c:v>
                </c:pt>
                <c:pt idx="2">
                  <c:v>19.7</c:v>
                </c:pt>
                <c:pt idx="3">
                  <c:v>3.1</c:v>
                </c:pt>
                <c:pt idx="4">
                  <c:v>15.7</c:v>
                </c:pt>
                <c:pt idx="5">
                  <c:v>10.5</c:v>
                </c:pt>
                <c:pt idx="6">
                  <c:v>9.5</c:v>
                </c:pt>
                <c:pt idx="7">
                  <c:v>-7.6</c:v>
                </c:pt>
                <c:pt idx="8">
                  <c:v>-6.5</c:v>
                </c:pt>
                <c:pt idx="9">
                  <c:v>-1.1000000000000001</c:v>
                </c:pt>
                <c:pt idx="10">
                  <c:v>-4.5999999999999996</c:v>
                </c:pt>
                <c:pt idx="11">
                  <c:v>-15.4</c:v>
                </c:pt>
                <c:pt idx="12">
                  <c:v>-20.5</c:v>
                </c:pt>
                <c:pt idx="13">
                  <c:v>-32.299999999999997</c:v>
                </c:pt>
                <c:pt idx="14">
                  <c:v>-28.6</c:v>
                </c:pt>
                <c:pt idx="15">
                  <c:v>-30.1</c:v>
                </c:pt>
                <c:pt idx="16">
                  <c:v>-27</c:v>
                </c:pt>
                <c:pt idx="17">
                  <c:v>-27.7</c:v>
                </c:pt>
                <c:pt idx="18">
                  <c:v>-12.1</c:v>
                </c:pt>
                <c:pt idx="19">
                  <c:v>-15.8</c:v>
                </c:pt>
                <c:pt idx="20">
                  <c:v>-6.8</c:v>
                </c:pt>
                <c:pt idx="21">
                  <c:v>-3.5</c:v>
                </c:pt>
                <c:pt idx="22">
                  <c:v>-6.1</c:v>
                </c:pt>
                <c:pt idx="23">
                  <c:v>-6.4</c:v>
                </c:pt>
                <c:pt idx="24">
                  <c:v>-10.7</c:v>
                </c:pt>
                <c:pt idx="25">
                  <c:v>-16.7</c:v>
                </c:pt>
                <c:pt idx="26">
                  <c:v>-14.5</c:v>
                </c:pt>
                <c:pt idx="27">
                  <c:v>-15.2</c:v>
                </c:pt>
                <c:pt idx="28">
                  <c:v>-23.7</c:v>
                </c:pt>
                <c:pt idx="29">
                  <c:v>-16</c:v>
                </c:pt>
                <c:pt idx="30">
                  <c:v>-15.7</c:v>
                </c:pt>
                <c:pt idx="31">
                  <c:v>-6.6</c:v>
                </c:pt>
                <c:pt idx="32">
                  <c:v>-14.3</c:v>
                </c:pt>
                <c:pt idx="33">
                  <c:v>-4.5999999999999996</c:v>
                </c:pt>
                <c:pt idx="34">
                  <c:v>-12.7</c:v>
                </c:pt>
                <c:pt idx="35">
                  <c:v>-8.4</c:v>
                </c:pt>
                <c:pt idx="36">
                  <c:v>-16.2</c:v>
                </c:pt>
              </c:numCache>
            </c:numRef>
          </c:val>
          <c:smooth val="0"/>
          <c:extLst>
            <c:ext xmlns:c16="http://schemas.microsoft.com/office/drawing/2014/chart" uri="{C3380CC4-5D6E-409C-BE32-E72D297353CC}">
              <c16:uniqueId val="{0000000D-88B3-4A69-B62C-A05E7BDF4BBB}"/>
            </c:ext>
          </c:extLst>
        </c:ser>
        <c:dLbls>
          <c:showLegendKey val="0"/>
          <c:showVal val="0"/>
          <c:showCatName val="0"/>
          <c:showSerName val="0"/>
          <c:showPercent val="0"/>
          <c:showBubbleSize val="0"/>
        </c:dLbls>
        <c:marker val="1"/>
        <c:smooth val="0"/>
        <c:axId val="332941824"/>
        <c:axId val="332936832"/>
      </c:lineChart>
      <c:catAx>
        <c:axId val="101898496"/>
        <c:scaling>
          <c:orientation val="minMax"/>
        </c:scaling>
        <c:delete val="0"/>
        <c:axPos val="b"/>
        <c:numFmt formatCode="General" sourceLinked="1"/>
        <c:majorTickMark val="out"/>
        <c:minorTickMark val="none"/>
        <c:tickLblPos val="low"/>
        <c:spPr>
          <a:ln>
            <a:solidFill>
              <a:schemeClr val="tx1"/>
            </a:solidFill>
          </a:ln>
        </c:spPr>
        <c:crossAx val="101781504"/>
        <c:crosses val="autoZero"/>
        <c:auto val="1"/>
        <c:lblAlgn val="ctr"/>
        <c:lblOffset val="10"/>
        <c:noMultiLvlLbl val="0"/>
      </c:catAx>
      <c:valAx>
        <c:axId val="101781504"/>
        <c:scaling>
          <c:orientation val="minMax"/>
          <c:max val="2.5"/>
          <c:min val="-4.5"/>
        </c:scaling>
        <c:delete val="0"/>
        <c:axPos val="l"/>
        <c:majorGridlines>
          <c:spPr>
            <a:ln w="6350">
              <a:solidFill>
                <a:schemeClr val="bg1">
                  <a:lumMod val="75000"/>
                </a:schemeClr>
              </a:solidFill>
            </a:ln>
          </c:spPr>
        </c:majorGridlines>
        <c:title>
          <c:tx>
            <c:rich>
              <a:bodyPr/>
              <a:lstStyle/>
              <a:p>
                <a:pPr>
                  <a:defRPr sz="700" b="0" i="1"/>
                </a:pPr>
                <a:r>
                  <a:rPr lang="cs-CZ" sz="700" b="0" i="1"/>
                  <a:t>Příspěvek k růstu zaměstnanosti</a:t>
                </a:r>
              </a:p>
            </c:rich>
          </c:tx>
          <c:overlay val="0"/>
        </c:title>
        <c:numFmt formatCode="0.0" sourceLinked="0"/>
        <c:majorTickMark val="out"/>
        <c:minorTickMark val="none"/>
        <c:tickLblPos val="nextTo"/>
        <c:spPr>
          <a:ln>
            <a:solidFill>
              <a:schemeClr val="tx1"/>
            </a:solidFill>
          </a:ln>
        </c:spPr>
        <c:crossAx val="101898496"/>
        <c:crosses val="autoZero"/>
        <c:crossBetween val="between"/>
        <c:majorUnit val="0.5"/>
      </c:valAx>
      <c:valAx>
        <c:axId val="332936832"/>
        <c:scaling>
          <c:orientation val="minMax"/>
          <c:max val="100"/>
          <c:min val="-40"/>
        </c:scaling>
        <c:delete val="0"/>
        <c:axPos val="r"/>
        <c:title>
          <c:tx>
            <c:rich>
              <a:bodyPr/>
              <a:lstStyle/>
              <a:p>
                <a:pPr>
                  <a:defRPr sz="700" b="0" i="1"/>
                </a:pPr>
                <a:r>
                  <a:rPr lang="cs-CZ" sz="700" b="0" i="1"/>
                  <a:t>Očekávání vývoje zaměstnanosti</a:t>
                </a:r>
              </a:p>
            </c:rich>
          </c:tx>
          <c:overlay val="0"/>
        </c:title>
        <c:numFmt formatCode="#,##0" sourceLinked="0"/>
        <c:majorTickMark val="out"/>
        <c:minorTickMark val="none"/>
        <c:tickLblPos val="nextTo"/>
        <c:crossAx val="332941824"/>
        <c:crosses val="max"/>
        <c:crossBetween val="between"/>
        <c:majorUnit val="10"/>
      </c:valAx>
      <c:catAx>
        <c:axId val="332941824"/>
        <c:scaling>
          <c:orientation val="minMax"/>
        </c:scaling>
        <c:delete val="1"/>
        <c:axPos val="b"/>
        <c:numFmt formatCode="General" sourceLinked="1"/>
        <c:majorTickMark val="out"/>
        <c:minorTickMark val="none"/>
        <c:tickLblPos val="nextTo"/>
        <c:crossAx val="332936832"/>
        <c:crosses val="autoZero"/>
        <c:auto val="1"/>
        <c:lblAlgn val="ctr"/>
        <c:lblOffset val="100"/>
        <c:noMultiLvlLbl val="0"/>
      </c:catAx>
      <c:spPr>
        <a:ln>
          <a:solidFill>
            <a:schemeClr val="tx1"/>
          </a:solidFill>
        </a:ln>
      </c:spPr>
    </c:plotArea>
    <c:legend>
      <c:legendPos val="b"/>
      <c:layout>
        <c:manualLayout>
          <c:xMode val="edge"/>
          <c:yMode val="edge"/>
          <c:x val="1.2822898706986479E-2"/>
          <c:y val="0.77650317447341888"/>
          <c:w val="0.96005692595618608"/>
          <c:h val="0.21537108953613804"/>
        </c:manualLayout>
      </c:layout>
      <c:overlay val="0"/>
      <c:spPr>
        <a:ln w="6350">
          <a:solidFill>
            <a:schemeClr val="tx1"/>
          </a:solidFill>
        </a:ln>
      </c:spPr>
    </c:legend>
    <c:plotVisOnly val="1"/>
    <c:dispBlanksAs val="gap"/>
    <c:showDLblsOverMax val="0"/>
  </c:chart>
  <c:spPr>
    <a:ln>
      <a:noFill/>
    </a:ln>
  </c:spPr>
  <c:txPr>
    <a:bodyPr/>
    <a:lstStyle/>
    <a:p>
      <a:pPr>
        <a:defRPr sz="800">
          <a:latin typeface="Arial" panose="020B0604020202020204" pitchFamily="34" charset="0"/>
          <a:cs typeface="Arial" panose="020B0604020202020204" pitchFamily="34" charset="0"/>
        </a:defRPr>
      </a:pPr>
      <a:endParaRPr lang="cs-CZ"/>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6036417007492182E-2"/>
          <c:y val="1.6081916099773243E-2"/>
          <c:w val="0.84389226838289211"/>
          <c:h val="0.76494082349138992"/>
        </c:manualLayout>
      </c:layout>
      <c:barChart>
        <c:barDir val="col"/>
        <c:grouping val="clustered"/>
        <c:varyColors val="0"/>
        <c:ser>
          <c:idx val="0"/>
          <c:order val="0"/>
          <c:tx>
            <c:strRef>
              <c:f>'Trh práce-2b'!$A$32</c:f>
              <c:strCache>
                <c:ptCount val="1"/>
                <c:pt idx="0">
                  <c:v>Míra nezaměstnanosti mužů</c:v>
                </c:pt>
              </c:strCache>
            </c:strRef>
          </c:tx>
          <c:spPr>
            <a:solidFill>
              <a:srgbClr val="BBBBC0"/>
            </a:solidFill>
          </c:spPr>
          <c:invertIfNegative val="0"/>
          <c:cat>
            <c:multiLvlStrRef>
              <c:f>'Trh práce-2b'!$J$30:$AT$31</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'Trh práce-2b'!$J$32:$AT$32</c:f>
              <c:numCache>
                <c:formatCode>0.0</c:formatCode>
                <c:ptCount val="37"/>
                <c:pt idx="0">
                  <c:v>2.7679910387144155</c:v>
                </c:pt>
                <c:pt idx="1">
                  <c:v>2.4578029922804361</c:v>
                </c:pt>
                <c:pt idx="2">
                  <c:v>2.2510936987420913</c:v>
                </c:pt>
                <c:pt idx="3">
                  <c:v>2.0530822638424651</c:v>
                </c:pt>
                <c:pt idx="4">
                  <c:v>1.9130313115947393</c:v>
                </c:pt>
                <c:pt idx="5">
                  <c:v>1.8538879773017622</c:v>
                </c:pt>
                <c:pt idx="6">
                  <c:v>1.8413808902266993</c:v>
                </c:pt>
                <c:pt idx="7">
                  <c:v>1.7033424760941875</c:v>
                </c:pt>
                <c:pt idx="8">
                  <c:v>1.7895029518842369</c:v>
                </c:pt>
                <c:pt idx="9">
                  <c:v>1.7124490046175884</c:v>
                </c:pt>
                <c:pt idx="10">
                  <c:v>1.7262983600121713</c:v>
                </c:pt>
                <c:pt idx="11">
                  <c:v>1.8491042750135207</c:v>
                </c:pt>
                <c:pt idx="12">
                  <c:v>1.866101396128105</c:v>
                </c:pt>
                <c:pt idx="13">
                  <c:v>2.2480886538789031</c:v>
                </c:pt>
                <c:pt idx="14">
                  <c:v>2.4914652985436323</c:v>
                </c:pt>
                <c:pt idx="15">
                  <c:v>2.5345680969356681</c:v>
                </c:pt>
                <c:pt idx="16">
                  <c:v>2.6779749402525774</c:v>
                </c:pt>
                <c:pt idx="17">
                  <c:v>2.5500895280486926</c:v>
                </c:pt>
                <c:pt idx="18">
                  <c:v>2.2581910660831994</c:v>
                </c:pt>
                <c:pt idx="19">
                  <c:v>1.9980873113936755</c:v>
                </c:pt>
                <c:pt idx="20">
                  <c:v>1.9738333667341592</c:v>
                </c:pt>
                <c:pt idx="21">
                  <c:v>1.9049508327926505</c:v>
                </c:pt>
                <c:pt idx="22">
                  <c:v>1.9333623889389173</c:v>
                </c:pt>
                <c:pt idx="23">
                  <c:v>2.0813141893885816</c:v>
                </c:pt>
                <c:pt idx="24">
                  <c:v>2.193717223660169</c:v>
                </c:pt>
                <c:pt idx="25">
                  <c:v>2.2368579422679411</c:v>
                </c:pt>
                <c:pt idx="26">
                  <c:v>2.3185683625699167</c:v>
                </c:pt>
                <c:pt idx="27">
                  <c:v>2.4189787946132504</c:v>
                </c:pt>
                <c:pt idx="28">
                  <c:v>2.4004908007060854</c:v>
                </c:pt>
                <c:pt idx="29">
                  <c:v>2.3872886332786272</c:v>
                </c:pt>
                <c:pt idx="30">
                  <c:v>2.3333751722921026</c:v>
                </c:pt>
                <c:pt idx="31">
                  <c:v>2.3073720242948834</c:v>
                </c:pt>
                <c:pt idx="32">
                  <c:v>2.3086910002563257</c:v>
                </c:pt>
                <c:pt idx="33">
                  <c:v>2.5533375334164208</c:v>
                </c:pt>
                <c:pt idx="34">
                  <c:v>2.773217466399986</c:v>
                </c:pt>
                <c:pt idx="35">
                  <c:v>2.8501162245490228</c:v>
                </c:pt>
              </c:numCache>
            </c:numRef>
          </c:val>
          <c:extLst>
            <c:ext xmlns:c16="http://schemas.microsoft.com/office/drawing/2014/chart" uri="{C3380CC4-5D6E-409C-BE32-E72D297353CC}">
              <c16:uniqueId val="{00000000-19ED-45B9-89A6-6C3E0A69DBCC}"/>
            </c:ext>
          </c:extLst>
        </c:ser>
        <c:ser>
          <c:idx val="1"/>
          <c:order val="1"/>
          <c:tx>
            <c:strRef>
              <c:f>'Trh práce-2b'!$A$33</c:f>
              <c:strCache>
                <c:ptCount val="1"/>
                <c:pt idx="0">
                  <c:v>Míra nezaměstnanosti žen</c:v>
                </c:pt>
              </c:strCache>
            </c:strRef>
          </c:tx>
          <c:spPr>
            <a:solidFill>
              <a:schemeClr val="bg1">
                <a:lumMod val="95000"/>
              </a:schemeClr>
            </a:solidFill>
            <a:ln>
              <a:solidFill>
                <a:srgbClr val="BBBBC0"/>
              </a:solidFill>
            </a:ln>
          </c:spPr>
          <c:invertIfNegative val="0"/>
          <c:cat>
            <c:multiLvlStrRef>
              <c:f>'Trh práce-2b'!$J$30:$AT$31</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'Trh práce-2b'!$J$33:$AT$33</c:f>
              <c:numCache>
                <c:formatCode>0.0</c:formatCode>
                <c:ptCount val="37"/>
                <c:pt idx="0">
                  <c:v>4.2621952922357274</c:v>
                </c:pt>
                <c:pt idx="1">
                  <c:v>3.8661909944232513</c:v>
                </c:pt>
                <c:pt idx="2">
                  <c:v>3.402390121691198</c:v>
                </c:pt>
                <c:pt idx="3">
                  <c:v>3.1265993349206975</c:v>
                </c:pt>
                <c:pt idx="4">
                  <c:v>2.9285268103916202</c:v>
                </c:pt>
                <c:pt idx="5">
                  <c:v>2.8174645567915362</c:v>
                </c:pt>
                <c:pt idx="6">
                  <c:v>2.8263160238865779</c:v>
                </c:pt>
                <c:pt idx="7">
                  <c:v>2.6564968560904751</c:v>
                </c:pt>
                <c:pt idx="8">
                  <c:v>2.365720763413679</c:v>
                </c:pt>
                <c:pt idx="9">
                  <c:v>2.4267620177819631</c:v>
                </c:pt>
                <c:pt idx="10">
                  <c:v>2.5399458189503594</c:v>
                </c:pt>
                <c:pt idx="11">
                  <c:v>2.3986349647556207</c:v>
                </c:pt>
                <c:pt idx="12">
                  <c:v>2.1571963246105295</c:v>
                </c:pt>
                <c:pt idx="13">
                  <c:v>2.8483238732298886</c:v>
                </c:pt>
                <c:pt idx="14">
                  <c:v>3.3835240635579225</c:v>
                </c:pt>
                <c:pt idx="15">
                  <c:v>3.8564454566041242</c:v>
                </c:pt>
                <c:pt idx="16">
                  <c:v>4.0897500819108661</c:v>
                </c:pt>
                <c:pt idx="17">
                  <c:v>3.7966742834608129</c:v>
                </c:pt>
                <c:pt idx="18">
                  <c:v>3.2557790724519271</c:v>
                </c:pt>
                <c:pt idx="19">
                  <c:v>2.8667571573126556</c:v>
                </c:pt>
                <c:pt idx="20">
                  <c:v>2.9756087695013633</c:v>
                </c:pt>
                <c:pt idx="21">
                  <c:v>3.1089655074389539</c:v>
                </c:pt>
                <c:pt idx="22">
                  <c:v>2.9277067493598246</c:v>
                </c:pt>
                <c:pt idx="23">
                  <c:v>2.8396666888898827</c:v>
                </c:pt>
                <c:pt idx="24">
                  <c:v>3.0276937836836537</c:v>
                </c:pt>
                <c:pt idx="25">
                  <c:v>3.1680319237565957</c:v>
                </c:pt>
                <c:pt idx="26">
                  <c:v>3.2205417075280898</c:v>
                </c:pt>
                <c:pt idx="27">
                  <c:v>3.3072846519145496</c:v>
                </c:pt>
                <c:pt idx="28">
                  <c:v>3.4355177630898495</c:v>
                </c:pt>
                <c:pt idx="29">
                  <c:v>3.2713993704847248</c:v>
                </c:pt>
                <c:pt idx="30">
                  <c:v>3.2570181459339209</c:v>
                </c:pt>
                <c:pt idx="31">
                  <c:v>3.2803774765112674</c:v>
                </c:pt>
                <c:pt idx="32">
                  <c:v>3.2097723326331931</c:v>
                </c:pt>
                <c:pt idx="33">
                  <c:v>3.2796965407045828</c:v>
                </c:pt>
                <c:pt idx="34">
                  <c:v>3.4429696959275655</c:v>
                </c:pt>
                <c:pt idx="35">
                  <c:v>3.6757318602739431</c:v>
                </c:pt>
              </c:numCache>
            </c:numRef>
          </c:val>
          <c:extLst>
            <c:ext xmlns:c16="http://schemas.microsoft.com/office/drawing/2014/chart" uri="{C3380CC4-5D6E-409C-BE32-E72D297353CC}">
              <c16:uniqueId val="{00000001-19ED-45B9-89A6-6C3E0A69DBCC}"/>
            </c:ext>
          </c:extLst>
        </c:ser>
        <c:dLbls>
          <c:showLegendKey val="0"/>
          <c:showVal val="0"/>
          <c:showCatName val="0"/>
          <c:showSerName val="0"/>
          <c:showPercent val="0"/>
          <c:showBubbleSize val="0"/>
        </c:dLbls>
        <c:gapWidth val="68"/>
        <c:axId val="100654464"/>
        <c:axId val="101647488"/>
      </c:barChart>
      <c:lineChart>
        <c:grouping val="standard"/>
        <c:varyColors val="0"/>
        <c:ser>
          <c:idx val="4"/>
          <c:order val="2"/>
          <c:tx>
            <c:strRef>
              <c:f>'Trh práce-2b'!$A$34</c:f>
              <c:strCache>
                <c:ptCount val="1"/>
                <c:pt idx="0">
                  <c:v>VPM pro vyučené a SŠ bez mat.</c:v>
                </c:pt>
              </c:strCache>
            </c:strRef>
          </c:tx>
          <c:spPr>
            <a:ln w="15875">
              <a:solidFill>
                <a:srgbClr val="BC5B80"/>
              </a:solidFill>
              <a:prstDash val="solid"/>
            </a:ln>
          </c:spPr>
          <c:marker>
            <c:symbol val="none"/>
          </c:marker>
          <c:cat>
            <c:multiLvlStrRef>
              <c:f>'Trh práce-2b'!$J$30:$AT$31</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'Trh práce-2b'!$J$34:$AT$34</c:f>
              <c:numCache>
                <c:formatCode>0.0</c:formatCode>
                <c:ptCount val="37"/>
                <c:pt idx="0">
                  <c:v>31.84</c:v>
                </c:pt>
                <c:pt idx="1">
                  <c:v>38.021999999999998</c:v>
                </c:pt>
                <c:pt idx="2">
                  <c:v>36.262</c:v>
                </c:pt>
                <c:pt idx="3">
                  <c:v>29.895</c:v>
                </c:pt>
                <c:pt idx="4">
                  <c:v>32.848999999999997</c:v>
                </c:pt>
                <c:pt idx="5">
                  <c:v>39.597999999999999</c:v>
                </c:pt>
                <c:pt idx="6">
                  <c:v>36.892000000000003</c:v>
                </c:pt>
                <c:pt idx="7">
                  <c:v>30.317</c:v>
                </c:pt>
                <c:pt idx="8">
                  <c:v>31.245000000000001</c:v>
                </c:pt>
                <c:pt idx="9">
                  <c:v>30.555</c:v>
                </c:pt>
                <c:pt idx="10">
                  <c:v>27.914999999999999</c:v>
                </c:pt>
                <c:pt idx="11">
                  <c:v>22.228000000000002</c:v>
                </c:pt>
                <c:pt idx="12">
                  <c:v>22.292000000000002</c:v>
                </c:pt>
                <c:pt idx="13">
                  <c:v>21.922000000000001</c:v>
                </c:pt>
                <c:pt idx="14">
                  <c:v>23.152999999999999</c:v>
                </c:pt>
                <c:pt idx="15">
                  <c:v>20.832999999999998</c:v>
                </c:pt>
                <c:pt idx="16">
                  <c:v>21.22</c:v>
                </c:pt>
                <c:pt idx="17">
                  <c:v>28</c:v>
                </c:pt>
                <c:pt idx="18">
                  <c:v>28.465</c:v>
                </c:pt>
                <c:pt idx="19">
                  <c:v>22.591000000000001</c:v>
                </c:pt>
                <c:pt idx="20">
                  <c:v>26.402999999999999</c:v>
                </c:pt>
                <c:pt idx="21">
                  <c:v>24.98</c:v>
                </c:pt>
                <c:pt idx="22">
                  <c:v>20.081</c:v>
                </c:pt>
                <c:pt idx="23">
                  <c:v>16.219000000000001</c:v>
                </c:pt>
                <c:pt idx="24">
                  <c:v>18.276</c:v>
                </c:pt>
                <c:pt idx="25">
                  <c:v>19.419</c:v>
                </c:pt>
                <c:pt idx="26">
                  <c:v>17.792000000000002</c:v>
                </c:pt>
                <c:pt idx="27">
                  <c:v>14.455</c:v>
                </c:pt>
                <c:pt idx="28">
                  <c:v>14.478</c:v>
                </c:pt>
                <c:pt idx="29">
                  <c:v>15.478</c:v>
                </c:pt>
                <c:pt idx="30">
                  <c:v>15.435</c:v>
                </c:pt>
                <c:pt idx="31">
                  <c:v>14.093</c:v>
                </c:pt>
                <c:pt idx="32">
                  <c:v>12.814</c:v>
                </c:pt>
                <c:pt idx="33">
                  <c:v>14.827999999999999</c:v>
                </c:pt>
                <c:pt idx="34">
                  <c:v>13.662000000000001</c:v>
                </c:pt>
                <c:pt idx="35">
                  <c:v>11.477</c:v>
                </c:pt>
              </c:numCache>
            </c:numRef>
          </c:val>
          <c:smooth val="0"/>
          <c:extLst>
            <c:ext xmlns:c16="http://schemas.microsoft.com/office/drawing/2014/chart" uri="{C3380CC4-5D6E-409C-BE32-E72D297353CC}">
              <c16:uniqueId val="{00000002-19ED-45B9-89A6-6C3E0A69DBCC}"/>
            </c:ext>
          </c:extLst>
        </c:ser>
        <c:ser>
          <c:idx val="5"/>
          <c:order val="3"/>
          <c:tx>
            <c:strRef>
              <c:f>'Trh práce-2b'!$A$35</c:f>
              <c:strCache>
                <c:ptCount val="1"/>
                <c:pt idx="0">
                  <c:v>VPM pro SŠ s mat., VOŠ a VŠ</c:v>
                </c:pt>
              </c:strCache>
            </c:strRef>
          </c:tx>
          <c:spPr>
            <a:ln w="15875">
              <a:solidFill>
                <a:srgbClr val="009CB5"/>
              </a:solidFill>
              <a:prstDash val="solid"/>
            </a:ln>
          </c:spPr>
          <c:marker>
            <c:symbol val="none"/>
          </c:marker>
          <c:cat>
            <c:multiLvlStrRef>
              <c:f>'Trh práce-2b'!$J$30:$AT$31</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'Trh práce-2b'!$J$35:$AT$35</c:f>
              <c:numCache>
                <c:formatCode>0.0</c:formatCode>
                <c:ptCount val="37"/>
                <c:pt idx="0">
                  <c:v>15.456</c:v>
                </c:pt>
                <c:pt idx="1">
                  <c:v>18.981000000000002</c:v>
                </c:pt>
                <c:pt idx="2">
                  <c:v>17.684999999999999</c:v>
                </c:pt>
                <c:pt idx="3">
                  <c:v>16.105</c:v>
                </c:pt>
                <c:pt idx="4">
                  <c:v>18.106999999999999</c:v>
                </c:pt>
                <c:pt idx="5">
                  <c:v>20.411000000000001</c:v>
                </c:pt>
                <c:pt idx="6">
                  <c:v>18.263000000000002</c:v>
                </c:pt>
                <c:pt idx="7">
                  <c:v>16.600000000000001</c:v>
                </c:pt>
                <c:pt idx="8">
                  <c:v>17.779</c:v>
                </c:pt>
                <c:pt idx="9">
                  <c:v>19.105</c:v>
                </c:pt>
                <c:pt idx="10">
                  <c:v>18.321000000000002</c:v>
                </c:pt>
                <c:pt idx="11">
                  <c:v>16.137</c:v>
                </c:pt>
                <c:pt idx="12">
                  <c:v>17.05</c:v>
                </c:pt>
                <c:pt idx="13">
                  <c:v>17.387</c:v>
                </c:pt>
                <c:pt idx="14">
                  <c:v>15.683</c:v>
                </c:pt>
                <c:pt idx="15">
                  <c:v>14.997</c:v>
                </c:pt>
                <c:pt idx="16">
                  <c:v>16.512</c:v>
                </c:pt>
                <c:pt idx="17">
                  <c:v>19.815999999999999</c:v>
                </c:pt>
                <c:pt idx="18">
                  <c:v>19.486999999999998</c:v>
                </c:pt>
                <c:pt idx="19">
                  <c:v>18.061</c:v>
                </c:pt>
                <c:pt idx="20">
                  <c:v>21.087</c:v>
                </c:pt>
                <c:pt idx="21">
                  <c:v>21.347999999999999</c:v>
                </c:pt>
                <c:pt idx="22">
                  <c:v>18.567</c:v>
                </c:pt>
                <c:pt idx="23">
                  <c:v>16.672999999999998</c:v>
                </c:pt>
                <c:pt idx="24">
                  <c:v>18.158000000000001</c:v>
                </c:pt>
                <c:pt idx="25">
                  <c:v>18.765000000000001</c:v>
                </c:pt>
                <c:pt idx="26">
                  <c:v>17.125</c:v>
                </c:pt>
                <c:pt idx="27">
                  <c:v>15.332000000000001</c:v>
                </c:pt>
                <c:pt idx="28">
                  <c:v>16.600000000000001</c:v>
                </c:pt>
                <c:pt idx="29">
                  <c:v>15.853999999999999</c:v>
                </c:pt>
                <c:pt idx="30">
                  <c:v>14.837999999999999</c:v>
                </c:pt>
                <c:pt idx="31">
                  <c:v>13.59</c:v>
                </c:pt>
                <c:pt idx="32">
                  <c:v>10.319000000000001</c:v>
                </c:pt>
                <c:pt idx="33">
                  <c:v>11.635</c:v>
                </c:pt>
                <c:pt idx="34">
                  <c:v>11.321999999999999</c:v>
                </c:pt>
                <c:pt idx="35">
                  <c:v>9.5069999999999997</c:v>
                </c:pt>
              </c:numCache>
            </c:numRef>
          </c:val>
          <c:smooth val="0"/>
          <c:extLst>
            <c:ext xmlns:c16="http://schemas.microsoft.com/office/drawing/2014/chart" uri="{C3380CC4-5D6E-409C-BE32-E72D297353CC}">
              <c16:uniqueId val="{00000003-19ED-45B9-89A6-6C3E0A69DBCC}"/>
            </c:ext>
          </c:extLst>
        </c:ser>
        <c:ser>
          <c:idx val="6"/>
          <c:order val="4"/>
          <c:tx>
            <c:strRef>
              <c:f>'Trh práce-2b'!$A$36</c:f>
              <c:strCache>
                <c:ptCount val="1"/>
                <c:pt idx="0">
                  <c:v>Pracující cizinci (Ukrajinci)</c:v>
                </c:pt>
              </c:strCache>
            </c:strRef>
          </c:tx>
          <c:spPr>
            <a:ln w="15875">
              <a:solidFill>
                <a:srgbClr val="174F70"/>
              </a:solidFill>
              <a:prstDash val="sysDash"/>
            </a:ln>
          </c:spPr>
          <c:marker>
            <c:symbol val="none"/>
          </c:marker>
          <c:cat>
            <c:multiLvlStrRef>
              <c:f>'Trh práce-2b'!$J$30:$AT$31</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'Trh práce-2b'!$J$36:$AT$36</c:f>
              <c:numCache>
                <c:formatCode>#,##0</c:formatCode>
                <c:ptCount val="37"/>
                <c:pt idx="0">
                  <c:v>59.363</c:v>
                </c:pt>
                <c:pt idx="1">
                  <c:v>69.864000000000004</c:v>
                </c:pt>
                <c:pt idx="2">
                  <c:v>76.724000000000004</c:v>
                </c:pt>
                <c:pt idx="3">
                  <c:v>81.688999999999993</c:v>
                </c:pt>
                <c:pt idx="4">
                  <c:v>97.317999999999998</c:v>
                </c:pt>
                <c:pt idx="5">
                  <c:v>115.39100000000001</c:v>
                </c:pt>
                <c:pt idx="6">
                  <c:v>134.202</c:v>
                </c:pt>
                <c:pt idx="7">
                  <c:v>121.08499999999999</c:v>
                </c:pt>
                <c:pt idx="8">
                  <c:v>146.08500000000001</c:v>
                </c:pt>
                <c:pt idx="9">
                  <c:v>152.69800000000001</c:v>
                </c:pt>
                <c:pt idx="10">
                  <c:v>164.92400000000001</c:v>
                </c:pt>
                <c:pt idx="11">
                  <c:v>144.114</c:v>
                </c:pt>
                <c:pt idx="12">
                  <c:v>169.14699999999999</c:v>
                </c:pt>
                <c:pt idx="13">
                  <c:v>133.08600000000001</c:v>
                </c:pt>
                <c:pt idx="14">
                  <c:v>173.584</c:v>
                </c:pt>
                <c:pt idx="15">
                  <c:v>159.46799999999999</c:v>
                </c:pt>
                <c:pt idx="16">
                  <c:v>186.35599999999999</c:v>
                </c:pt>
                <c:pt idx="17">
                  <c:v>191.58500000000001</c:v>
                </c:pt>
                <c:pt idx="18">
                  <c:v>214.10599999999999</c:v>
                </c:pt>
                <c:pt idx="19">
                  <c:v>195.11600000000001</c:v>
                </c:pt>
                <c:pt idx="20">
                  <c:v>238.024</c:v>
                </c:pt>
                <c:pt idx="21">
                  <c:v>248.58799999999999</c:v>
                </c:pt>
                <c:pt idx="22">
                  <c:v>262.17899999999997</c:v>
                </c:pt>
                <c:pt idx="23">
                  <c:v>269.911</c:v>
                </c:pt>
                <c:pt idx="24">
                  <c:v>261.31299999999999</c:v>
                </c:pt>
                <c:pt idx="25">
                  <c:v>269.04500000000002</c:v>
                </c:pt>
                <c:pt idx="26">
                  <c:v>282.22300000000001</c:v>
                </c:pt>
                <c:pt idx="27">
                  <c:v>285.54500000000002</c:v>
                </c:pt>
                <c:pt idx="28">
                  <c:v>283.649</c:v>
                </c:pt>
                <c:pt idx="29" formatCode="#\ ##0.000">
                  <c:v>286.25599999999997</c:v>
                </c:pt>
                <c:pt idx="30" formatCode="#\ ##0.000">
                  <c:v>291.79199999999997</c:v>
                </c:pt>
                <c:pt idx="31" formatCode="#\ ##0.000">
                  <c:v>304.68200000000002</c:v>
                </c:pt>
                <c:pt idx="32" formatCode="#\ ##0.000">
                  <c:v>312.71899999999999</c:v>
                </c:pt>
                <c:pt idx="33" formatCode="#\ ##0.000">
                  <c:v>320.50299999999999</c:v>
                </c:pt>
                <c:pt idx="34" formatCode="#\ ##0.000">
                  <c:v>337.762</c:v>
                </c:pt>
                <c:pt idx="35" formatCode="#\ ##0.000">
                  <c:v>357.81099999999998</c:v>
                </c:pt>
              </c:numCache>
            </c:numRef>
          </c:val>
          <c:smooth val="0"/>
          <c:extLst>
            <c:ext xmlns:c16="http://schemas.microsoft.com/office/drawing/2014/chart" uri="{C3380CC4-5D6E-409C-BE32-E72D297353CC}">
              <c16:uniqueId val="{00000004-19ED-45B9-89A6-6C3E0A69DBCC}"/>
            </c:ext>
          </c:extLst>
        </c:ser>
        <c:ser>
          <c:idx val="7"/>
          <c:order val="5"/>
          <c:tx>
            <c:strRef>
              <c:f>'Trh práce-2b'!$A$37</c:f>
              <c:strCache>
                <c:ptCount val="1"/>
                <c:pt idx="0">
                  <c:v>Pracující cizinci (Slováci)</c:v>
                </c:pt>
              </c:strCache>
            </c:strRef>
          </c:tx>
          <c:spPr>
            <a:ln w="15875">
              <a:solidFill>
                <a:srgbClr val="009CB5"/>
              </a:solidFill>
              <a:prstDash val="sysDash"/>
            </a:ln>
          </c:spPr>
          <c:marker>
            <c:symbol val="none"/>
          </c:marker>
          <c:cat>
            <c:multiLvlStrRef>
              <c:f>'Trh práce-2b'!$J$30:$AT$31</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'Trh práce-2b'!$J$37:$AT$37</c:f>
              <c:numCache>
                <c:formatCode>#,##0</c:formatCode>
                <c:ptCount val="37"/>
                <c:pt idx="0">
                  <c:v>159.88200000000001</c:v>
                </c:pt>
                <c:pt idx="1">
                  <c:v>165.69800000000001</c:v>
                </c:pt>
                <c:pt idx="2">
                  <c:v>170.643</c:v>
                </c:pt>
                <c:pt idx="3">
                  <c:v>177.059</c:v>
                </c:pt>
                <c:pt idx="4">
                  <c:v>180.01900000000001</c:v>
                </c:pt>
                <c:pt idx="5">
                  <c:v>187.33799999999999</c:v>
                </c:pt>
                <c:pt idx="6">
                  <c:v>192.66499999999999</c:v>
                </c:pt>
                <c:pt idx="7">
                  <c:v>191.81800000000001</c:v>
                </c:pt>
                <c:pt idx="8">
                  <c:v>187.18299999999999</c:v>
                </c:pt>
                <c:pt idx="9">
                  <c:v>191.41800000000001</c:v>
                </c:pt>
                <c:pt idx="10">
                  <c:v>199.02799999999999</c:v>
                </c:pt>
                <c:pt idx="11">
                  <c:v>201.952</c:v>
                </c:pt>
                <c:pt idx="12">
                  <c:v>198.05799999999999</c:v>
                </c:pt>
                <c:pt idx="13">
                  <c:v>199.249</c:v>
                </c:pt>
                <c:pt idx="14">
                  <c:v>202.91</c:v>
                </c:pt>
                <c:pt idx="15">
                  <c:v>204.29400000000001</c:v>
                </c:pt>
                <c:pt idx="16">
                  <c:v>201.91800000000001</c:v>
                </c:pt>
                <c:pt idx="17">
                  <c:v>204.476</c:v>
                </c:pt>
                <c:pt idx="18">
                  <c:v>208.249</c:v>
                </c:pt>
                <c:pt idx="19">
                  <c:v>209.273</c:v>
                </c:pt>
                <c:pt idx="20">
                  <c:v>207.86</c:v>
                </c:pt>
                <c:pt idx="21">
                  <c:v>211.31700000000001</c:v>
                </c:pt>
                <c:pt idx="22">
                  <c:v>212.55099999999999</c:v>
                </c:pt>
                <c:pt idx="23">
                  <c:v>213.447</c:v>
                </c:pt>
                <c:pt idx="24">
                  <c:v>209.79599999999999</c:v>
                </c:pt>
                <c:pt idx="25">
                  <c:v>212.12299999999999</c:v>
                </c:pt>
                <c:pt idx="26">
                  <c:v>215.20599999999999</c:v>
                </c:pt>
                <c:pt idx="27">
                  <c:v>216.239</c:v>
                </c:pt>
                <c:pt idx="28">
                  <c:v>213.9</c:v>
                </c:pt>
                <c:pt idx="29" formatCode="#\ ##0.000">
                  <c:v>216.68</c:v>
                </c:pt>
                <c:pt idx="30" formatCode="#\ ##0.000">
                  <c:v>212.44300000000001</c:v>
                </c:pt>
                <c:pt idx="31" formatCode="#\ ##0.000">
                  <c:v>215.61099999999999</c:v>
                </c:pt>
                <c:pt idx="32" formatCode="#\ ##0.000">
                  <c:v>216.32300000000001</c:v>
                </c:pt>
                <c:pt idx="33" formatCode="#\ ##0.000">
                  <c:v>220.511</c:v>
                </c:pt>
                <c:pt idx="34" formatCode="#\ ##0.000">
                  <c:v>225.22300000000001</c:v>
                </c:pt>
                <c:pt idx="35" formatCode="#\ ##0.000">
                  <c:v>229.01400000000001</c:v>
                </c:pt>
              </c:numCache>
            </c:numRef>
          </c:val>
          <c:smooth val="0"/>
          <c:extLst>
            <c:ext xmlns:c16="http://schemas.microsoft.com/office/drawing/2014/chart" uri="{C3380CC4-5D6E-409C-BE32-E72D297353CC}">
              <c16:uniqueId val="{00000005-19ED-45B9-89A6-6C3E0A69DBCC}"/>
            </c:ext>
          </c:extLst>
        </c:ser>
        <c:ser>
          <c:idx val="2"/>
          <c:order val="6"/>
          <c:tx>
            <c:strRef>
              <c:f>'Trh práce-2b'!$A$38</c:f>
              <c:strCache>
                <c:ptCount val="1"/>
                <c:pt idx="0">
                  <c:v>Pracující cizinci (občané ostat. zemí)</c:v>
                </c:pt>
              </c:strCache>
            </c:strRef>
          </c:tx>
          <c:spPr>
            <a:ln w="15875">
              <a:solidFill>
                <a:srgbClr val="85BF5E"/>
              </a:solidFill>
              <a:prstDash val="sysDash"/>
            </a:ln>
          </c:spPr>
          <c:marker>
            <c:symbol val="none"/>
          </c:marker>
          <c:cat>
            <c:multiLvlStrRef>
              <c:f>'Trh práce-2b'!$J$30:$AT$31</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'Trh práce-2b'!$J$38:$AT$38</c:f>
              <c:numCache>
                <c:formatCode>#,##0</c:formatCode>
                <c:ptCount val="37"/>
                <c:pt idx="0">
                  <c:v>173.614</c:v>
                </c:pt>
                <c:pt idx="1">
                  <c:v>187.52799999999999</c:v>
                </c:pt>
                <c:pt idx="2">
                  <c:v>199.11799999999999</c:v>
                </c:pt>
                <c:pt idx="3">
                  <c:v>213.59899999999999</c:v>
                </c:pt>
                <c:pt idx="4">
                  <c:v>228.61600000000001</c:v>
                </c:pt>
                <c:pt idx="5">
                  <c:v>244.029</c:v>
                </c:pt>
                <c:pt idx="6">
                  <c:v>258.82100000000003</c:v>
                </c:pt>
                <c:pt idx="7">
                  <c:v>255.77199999999999</c:v>
                </c:pt>
                <c:pt idx="8">
                  <c:v>255.12200000000001</c:v>
                </c:pt>
                <c:pt idx="9">
                  <c:v>262.36599999999999</c:v>
                </c:pt>
                <c:pt idx="10">
                  <c:v>277.37400000000002</c:v>
                </c:pt>
                <c:pt idx="11">
                  <c:v>275.80399999999997</c:v>
                </c:pt>
                <c:pt idx="12">
                  <c:v>277.709</c:v>
                </c:pt>
                <c:pt idx="13">
                  <c:v>270.178</c:v>
                </c:pt>
                <c:pt idx="14">
                  <c:v>278.71699999999998</c:v>
                </c:pt>
                <c:pt idx="15">
                  <c:v>280.40199999999999</c:v>
                </c:pt>
                <c:pt idx="16">
                  <c:v>281.459</c:v>
                </c:pt>
                <c:pt idx="17">
                  <c:v>285.55</c:v>
                </c:pt>
                <c:pt idx="18">
                  <c:v>297.53500000000003</c:v>
                </c:pt>
                <c:pt idx="19">
                  <c:v>297.44099999999997</c:v>
                </c:pt>
                <c:pt idx="20">
                  <c:v>300.39299999999997</c:v>
                </c:pt>
                <c:pt idx="21">
                  <c:v>307.61</c:v>
                </c:pt>
                <c:pt idx="22">
                  <c:v>310.33499999999998</c:v>
                </c:pt>
                <c:pt idx="23">
                  <c:v>309.93200000000002</c:v>
                </c:pt>
                <c:pt idx="24">
                  <c:v>308.2</c:v>
                </c:pt>
                <c:pt idx="25">
                  <c:v>314.923</c:v>
                </c:pt>
                <c:pt idx="26">
                  <c:v>320.48399999999998</c:v>
                </c:pt>
                <c:pt idx="27">
                  <c:v>322.161</c:v>
                </c:pt>
                <c:pt idx="28">
                  <c:v>320.39100000000002</c:v>
                </c:pt>
                <c:pt idx="29" formatCode="#\ ##0.000">
                  <c:v>324.68299999999999</c:v>
                </c:pt>
                <c:pt idx="30" formatCode="#\ ##0.000">
                  <c:v>319.55900000000003</c:v>
                </c:pt>
                <c:pt idx="31" formatCode="#\ ##0.000">
                  <c:v>325.17500000000001</c:v>
                </c:pt>
                <c:pt idx="32" formatCode="#\ ##0.000">
                  <c:v>329.69</c:v>
                </c:pt>
                <c:pt idx="33" formatCode="#\ ##0.000">
                  <c:v>336.50700000000001</c:v>
                </c:pt>
                <c:pt idx="34" formatCode="#\ ##0.000">
                  <c:v>342.87900000000002</c:v>
                </c:pt>
                <c:pt idx="35" formatCode="#\ ##0.000">
                  <c:v>348.49700000000001</c:v>
                </c:pt>
              </c:numCache>
            </c:numRef>
          </c:val>
          <c:smooth val="0"/>
          <c:extLst>
            <c:ext xmlns:c16="http://schemas.microsoft.com/office/drawing/2014/chart" uri="{C3380CC4-5D6E-409C-BE32-E72D297353CC}">
              <c16:uniqueId val="{00000006-19ED-45B9-89A6-6C3E0A69DBCC}"/>
            </c:ext>
          </c:extLst>
        </c:ser>
        <c:ser>
          <c:idx val="3"/>
          <c:order val="7"/>
          <c:tx>
            <c:strRef>
              <c:f>'Trh práce-2b'!$A$39</c:f>
              <c:strCache>
                <c:ptCount val="1"/>
                <c:pt idx="0">
                  <c:v>Očekávání vývoje nezaměstnanosti</c:v>
                </c:pt>
              </c:strCache>
            </c:strRef>
          </c:tx>
          <c:spPr>
            <a:ln w="15875">
              <a:noFill/>
              <a:prstDash val="solid"/>
            </a:ln>
          </c:spPr>
          <c:marker>
            <c:symbol val="diamond"/>
            <c:size val="5"/>
            <c:spPr>
              <a:solidFill>
                <a:srgbClr val="CC9610"/>
              </a:solidFill>
              <a:ln>
                <a:noFill/>
              </a:ln>
            </c:spPr>
          </c:marker>
          <c:cat>
            <c:multiLvlStrRef>
              <c:f>'Trh práce-2b'!$J$30:$AT$31</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'Trh práce-2b'!$J$39:$AT$39</c:f>
              <c:numCache>
                <c:formatCode>0.0</c:formatCode>
                <c:ptCount val="37"/>
                <c:pt idx="0">
                  <c:v>1</c:v>
                </c:pt>
                <c:pt idx="1">
                  <c:v>-3</c:v>
                </c:pt>
                <c:pt idx="2">
                  <c:v>0</c:v>
                </c:pt>
                <c:pt idx="3">
                  <c:v>-1</c:v>
                </c:pt>
                <c:pt idx="4">
                  <c:v>-1</c:v>
                </c:pt>
                <c:pt idx="5">
                  <c:v>-2</c:v>
                </c:pt>
                <c:pt idx="6">
                  <c:v>-2</c:v>
                </c:pt>
                <c:pt idx="7">
                  <c:v>4</c:v>
                </c:pt>
                <c:pt idx="8">
                  <c:v>8</c:v>
                </c:pt>
                <c:pt idx="9">
                  <c:v>8</c:v>
                </c:pt>
                <c:pt idx="10">
                  <c:v>11</c:v>
                </c:pt>
                <c:pt idx="11">
                  <c:v>12</c:v>
                </c:pt>
                <c:pt idx="12">
                  <c:v>18</c:v>
                </c:pt>
                <c:pt idx="13">
                  <c:v>49</c:v>
                </c:pt>
                <c:pt idx="14">
                  <c:v>46</c:v>
                </c:pt>
                <c:pt idx="15">
                  <c:v>60</c:v>
                </c:pt>
                <c:pt idx="16">
                  <c:v>57</c:v>
                </c:pt>
                <c:pt idx="17">
                  <c:v>24</c:v>
                </c:pt>
                <c:pt idx="18">
                  <c:v>16</c:v>
                </c:pt>
                <c:pt idx="19">
                  <c:v>20</c:v>
                </c:pt>
                <c:pt idx="20">
                  <c:v>14</c:v>
                </c:pt>
                <c:pt idx="21">
                  <c:v>20</c:v>
                </c:pt>
                <c:pt idx="22">
                  <c:v>26</c:v>
                </c:pt>
                <c:pt idx="23">
                  <c:v>40</c:v>
                </c:pt>
                <c:pt idx="24">
                  <c:v>35</c:v>
                </c:pt>
                <c:pt idx="25">
                  <c:v>29</c:v>
                </c:pt>
                <c:pt idx="26">
                  <c:v>25</c:v>
                </c:pt>
                <c:pt idx="27">
                  <c:v>17</c:v>
                </c:pt>
                <c:pt idx="28">
                  <c:v>25</c:v>
                </c:pt>
                <c:pt idx="29">
                  <c:v>22</c:v>
                </c:pt>
                <c:pt idx="30">
                  <c:v>24</c:v>
                </c:pt>
                <c:pt idx="31">
                  <c:v>19</c:v>
                </c:pt>
                <c:pt idx="32">
                  <c:v>30</c:v>
                </c:pt>
                <c:pt idx="33">
                  <c:v>30</c:v>
                </c:pt>
                <c:pt idx="34">
                  <c:v>27</c:v>
                </c:pt>
                <c:pt idx="35">
                  <c:v>15</c:v>
                </c:pt>
                <c:pt idx="36">
                  <c:v>16</c:v>
                </c:pt>
              </c:numCache>
            </c:numRef>
          </c:val>
          <c:smooth val="0"/>
          <c:extLst>
            <c:ext xmlns:c16="http://schemas.microsoft.com/office/drawing/2014/chart" uri="{C3380CC4-5D6E-409C-BE32-E72D297353CC}">
              <c16:uniqueId val="{00000007-19ED-45B9-89A6-6C3E0A69DBCC}"/>
            </c:ext>
          </c:extLst>
        </c:ser>
        <c:dLbls>
          <c:showLegendKey val="0"/>
          <c:showVal val="0"/>
          <c:showCatName val="0"/>
          <c:showSerName val="0"/>
          <c:showPercent val="0"/>
          <c:showBubbleSize val="0"/>
        </c:dLbls>
        <c:marker val="1"/>
        <c:smooth val="0"/>
        <c:axId val="331670576"/>
        <c:axId val="323971328"/>
      </c:lineChart>
      <c:catAx>
        <c:axId val="100654464"/>
        <c:scaling>
          <c:orientation val="minMax"/>
        </c:scaling>
        <c:delete val="0"/>
        <c:axPos val="b"/>
        <c:numFmt formatCode="General" sourceLinked="0"/>
        <c:majorTickMark val="out"/>
        <c:minorTickMark val="none"/>
        <c:tickLblPos val="low"/>
        <c:spPr>
          <a:ln>
            <a:solidFill>
              <a:schemeClr val="tx1"/>
            </a:solidFill>
          </a:ln>
        </c:spPr>
        <c:crossAx val="101647488"/>
        <c:crossesAt val="-50"/>
        <c:auto val="1"/>
        <c:lblAlgn val="ctr"/>
        <c:lblOffset val="0"/>
        <c:noMultiLvlLbl val="0"/>
      </c:catAx>
      <c:valAx>
        <c:axId val="101647488"/>
        <c:scaling>
          <c:orientation val="minMax"/>
          <c:max val="6.5"/>
          <c:min val="0"/>
        </c:scaling>
        <c:delete val="0"/>
        <c:axPos val="l"/>
        <c:majorGridlines>
          <c:spPr>
            <a:ln w="6350">
              <a:solidFill>
                <a:schemeClr val="bg1">
                  <a:lumMod val="75000"/>
                </a:schemeClr>
              </a:solidFill>
            </a:ln>
          </c:spPr>
        </c:majorGridlines>
        <c:title>
          <c:tx>
            <c:rich>
              <a:bodyPr/>
              <a:lstStyle/>
              <a:p>
                <a:pPr>
                  <a:defRPr sz="700" b="0" i="1"/>
                </a:pPr>
                <a:r>
                  <a:rPr lang="cs-CZ" sz="700" b="0" i="1"/>
                  <a:t>Míra nezaměstnanosti</a:t>
                </a:r>
              </a:p>
            </c:rich>
          </c:tx>
          <c:overlay val="0"/>
        </c:title>
        <c:numFmt formatCode="0.0" sourceLinked="0"/>
        <c:majorTickMark val="out"/>
        <c:minorTickMark val="none"/>
        <c:tickLblPos val="nextTo"/>
        <c:spPr>
          <a:ln>
            <a:solidFill>
              <a:schemeClr val="tx1"/>
            </a:solidFill>
          </a:ln>
        </c:spPr>
        <c:crossAx val="100654464"/>
        <c:crosses val="autoZero"/>
        <c:crossBetween val="between"/>
        <c:majorUnit val="0.5"/>
      </c:valAx>
      <c:valAx>
        <c:axId val="323971328"/>
        <c:scaling>
          <c:orientation val="minMax"/>
          <c:max val="360"/>
          <c:min val="-30"/>
        </c:scaling>
        <c:delete val="0"/>
        <c:axPos val="r"/>
        <c:title>
          <c:tx>
            <c:rich>
              <a:bodyPr/>
              <a:lstStyle/>
              <a:p>
                <a:pPr>
                  <a:defRPr sz="700" b="0" i="1"/>
                </a:pPr>
                <a:r>
                  <a:rPr lang="cs-CZ" sz="700" b="0" i="1"/>
                  <a:t>Volná</a:t>
                </a:r>
                <a:r>
                  <a:rPr lang="cs-CZ" sz="700" b="0" i="1" baseline="0"/>
                  <a:t> prac. místa, zaměstnaní cizinci, saldo oček. nezam.</a:t>
                </a:r>
                <a:endParaRPr lang="cs-CZ" sz="700" b="0" i="1"/>
              </a:p>
            </c:rich>
          </c:tx>
          <c:overlay val="0"/>
        </c:title>
        <c:numFmt formatCode="#,##0" sourceLinked="0"/>
        <c:majorTickMark val="out"/>
        <c:minorTickMark val="none"/>
        <c:tickLblPos val="nextTo"/>
        <c:crossAx val="331670576"/>
        <c:crosses val="max"/>
        <c:crossBetween val="between"/>
        <c:majorUnit val="30"/>
      </c:valAx>
      <c:catAx>
        <c:axId val="331670576"/>
        <c:scaling>
          <c:orientation val="minMax"/>
        </c:scaling>
        <c:delete val="1"/>
        <c:axPos val="b"/>
        <c:numFmt formatCode="General" sourceLinked="1"/>
        <c:majorTickMark val="out"/>
        <c:minorTickMark val="none"/>
        <c:tickLblPos val="nextTo"/>
        <c:crossAx val="323971328"/>
        <c:crosses val="autoZero"/>
        <c:auto val="1"/>
        <c:lblAlgn val="ctr"/>
        <c:lblOffset val="100"/>
        <c:noMultiLvlLbl val="0"/>
      </c:catAx>
      <c:spPr>
        <a:ln>
          <a:solidFill>
            <a:schemeClr val="tx1"/>
          </a:solidFill>
        </a:ln>
      </c:spPr>
    </c:plotArea>
    <c:legend>
      <c:legendPos val="b"/>
      <c:layout>
        <c:manualLayout>
          <c:xMode val="edge"/>
          <c:yMode val="edge"/>
          <c:x val="7.2346890231882358E-2"/>
          <c:y val="0.87065667466923102"/>
          <c:w val="0.85260043993190393"/>
          <c:h val="0.12573975955987693"/>
        </c:manualLayout>
      </c:layout>
      <c:overlay val="0"/>
      <c:spPr>
        <a:ln w="6350">
          <a:solidFill>
            <a:schemeClr val="tx1"/>
          </a:solidFill>
        </a:ln>
      </c:spPr>
      <c:txPr>
        <a:bodyPr/>
        <a:lstStyle/>
        <a:p>
          <a:pPr>
            <a:defRPr sz="770"/>
          </a:pPr>
          <a:endParaRPr lang="cs-CZ"/>
        </a:p>
      </c:txPr>
    </c:legend>
    <c:plotVisOnly val="1"/>
    <c:dispBlanksAs val="gap"/>
    <c:showDLblsOverMax val="0"/>
  </c:chart>
  <c:spPr>
    <a:ln>
      <a:noFill/>
    </a:ln>
  </c:spPr>
  <c:txPr>
    <a:bodyPr/>
    <a:lstStyle/>
    <a:p>
      <a:pPr>
        <a:defRPr sz="800">
          <a:latin typeface="Arial" panose="020B0604020202020204" pitchFamily="34" charset="0"/>
          <a:cs typeface="Arial" panose="020B0604020202020204" pitchFamily="34" charset="0"/>
        </a:defRPr>
      </a:pPr>
      <a:endParaRPr lang="cs-CZ"/>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411162452186132E-2"/>
          <c:y val="2.0203894786331125E-2"/>
          <c:w val="0.94100987714831696"/>
          <c:h val="0.75146425386922477"/>
        </c:manualLayout>
      </c:layout>
      <c:barChart>
        <c:barDir val="col"/>
        <c:grouping val="clustered"/>
        <c:varyColors val="0"/>
        <c:ser>
          <c:idx val="4"/>
          <c:order val="1"/>
          <c:tx>
            <c:strRef>
              <c:f>'Trh práce 3'!$D$75</c:f>
              <c:strCache>
                <c:ptCount val="1"/>
                <c:pt idx="0">
                  <c:v>Průměrná mzda celkem (reálně)</c:v>
                </c:pt>
              </c:strCache>
            </c:strRef>
          </c:tx>
          <c:spPr>
            <a:solidFill>
              <a:srgbClr val="B8BBC0"/>
            </a:solidFill>
            <a:ln w="19050">
              <a:noFill/>
            </a:ln>
          </c:spPr>
          <c:invertIfNegative val="0"/>
          <c:cat>
            <c:numRef>
              <c:f>'Trh práce 3'!$B$76:$B$96</c:f>
              <c:numCache>
                <c:formatCode>General</c:formatCode>
                <c:ptCount val="21"/>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pt idx="20">
                  <c:v>2025</c:v>
                </c:pt>
              </c:numCache>
            </c:numRef>
          </c:cat>
          <c:val>
            <c:numRef>
              <c:f>'Trh práce 3'!$D$76:$D$96</c:f>
              <c:numCache>
                <c:formatCode>#\ ##0.0</c:formatCode>
                <c:ptCount val="21"/>
                <c:pt idx="0">
                  <c:v>3</c:v>
                </c:pt>
                <c:pt idx="1">
                  <c:v>4</c:v>
                </c:pt>
                <c:pt idx="2">
                  <c:v>4.2999999999999972</c:v>
                </c:pt>
                <c:pt idx="3">
                  <c:v>1.4000000000000057</c:v>
                </c:pt>
                <c:pt idx="4">
                  <c:v>2.2999999999999972</c:v>
                </c:pt>
                <c:pt idx="5">
                  <c:v>0.70000000000000284</c:v>
                </c:pt>
                <c:pt idx="6">
                  <c:v>0.59999999999999432</c:v>
                </c:pt>
                <c:pt idx="7">
                  <c:v>-0.79999999999999716</c:v>
                </c:pt>
                <c:pt idx="8">
                  <c:v>-1.5</c:v>
                </c:pt>
                <c:pt idx="9">
                  <c:v>2.5</c:v>
                </c:pt>
                <c:pt idx="10">
                  <c:v>2.9000000000000057</c:v>
                </c:pt>
                <c:pt idx="11">
                  <c:v>3.7000000000000028</c:v>
                </c:pt>
                <c:pt idx="12">
                  <c:v>4.2000000000000028</c:v>
                </c:pt>
                <c:pt idx="13">
                  <c:v>5.9000000000000057</c:v>
                </c:pt>
                <c:pt idx="14">
                  <c:v>5</c:v>
                </c:pt>
                <c:pt idx="15">
                  <c:v>1.4000000000000057</c:v>
                </c:pt>
                <c:pt idx="16">
                  <c:v>1.9000000000000057</c:v>
                </c:pt>
                <c:pt idx="17">
                  <c:v>-9.4000000000000057</c:v>
                </c:pt>
                <c:pt idx="18">
                  <c:v>-3.2000000000000028</c:v>
                </c:pt>
                <c:pt idx="19">
                  <c:v>4.7000000000000028</c:v>
                </c:pt>
                <c:pt idx="20">
                  <c:v>4.5999999999999943</c:v>
                </c:pt>
              </c:numCache>
            </c:numRef>
          </c:val>
          <c:extLst>
            <c:ext xmlns:c16="http://schemas.microsoft.com/office/drawing/2014/chart" uri="{C3380CC4-5D6E-409C-BE32-E72D297353CC}">
              <c16:uniqueId val="{00000000-3F75-4016-B545-6991500B769A}"/>
            </c:ext>
          </c:extLst>
        </c:ser>
        <c:dLbls>
          <c:showLegendKey val="0"/>
          <c:showVal val="0"/>
          <c:showCatName val="0"/>
          <c:showSerName val="0"/>
          <c:showPercent val="0"/>
          <c:showBubbleSize val="0"/>
        </c:dLbls>
        <c:gapWidth val="50"/>
        <c:axId val="100688640"/>
        <c:axId val="100690560"/>
      </c:barChart>
      <c:lineChart>
        <c:grouping val="standard"/>
        <c:varyColors val="0"/>
        <c:ser>
          <c:idx val="0"/>
          <c:order val="0"/>
          <c:tx>
            <c:strRef>
              <c:f>'Trh práce 3'!$C$75</c:f>
              <c:strCache>
                <c:ptCount val="1"/>
                <c:pt idx="0">
                  <c:v>Průměrná mzda celkem (nominálně)</c:v>
                </c:pt>
              </c:strCache>
            </c:strRef>
          </c:tx>
          <c:spPr>
            <a:ln w="15875">
              <a:solidFill>
                <a:srgbClr val="85898E"/>
              </a:solidFill>
              <a:prstDash val="solid"/>
            </a:ln>
          </c:spPr>
          <c:marker>
            <c:symbol val="none"/>
          </c:marker>
          <c:cat>
            <c:numRef>
              <c:f>'Trh práce 3'!$B$76:$B$96</c:f>
              <c:numCache>
                <c:formatCode>General</c:formatCode>
                <c:ptCount val="21"/>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pt idx="20">
                  <c:v>2025</c:v>
                </c:pt>
              </c:numCache>
            </c:numRef>
          </c:cat>
          <c:val>
            <c:numRef>
              <c:f>'Trh práce 3'!$C$76:$C$96</c:f>
              <c:numCache>
                <c:formatCode>0.0</c:formatCode>
                <c:ptCount val="21"/>
                <c:pt idx="0">
                  <c:v>5.0269094240238132</c:v>
                </c:pt>
                <c:pt idx="1">
                  <c:v>6.5525512429132107</c:v>
                </c:pt>
                <c:pt idx="2">
                  <c:v>7.2188683106517999</c:v>
                </c:pt>
                <c:pt idx="3">
                  <c:v>7.8016891730686666</c:v>
                </c:pt>
                <c:pt idx="4">
                  <c:v>3.3286118980169874</c:v>
                </c:pt>
                <c:pt idx="5">
                  <c:v>2.2275531185743631</c:v>
                </c:pt>
                <c:pt idx="6">
                  <c:v>2.4765336909151898</c:v>
                </c:pt>
                <c:pt idx="7">
                  <c:v>2.5025557145778095</c:v>
                </c:pt>
                <c:pt idx="8">
                  <c:v>-0.12765787688992702</c:v>
                </c:pt>
                <c:pt idx="9">
                  <c:v>2.9279009386858519</c:v>
                </c:pt>
                <c:pt idx="10">
                  <c:v>3.1938838869916282</c:v>
                </c:pt>
                <c:pt idx="11">
                  <c:v>4.4112669700274552</c:v>
                </c:pt>
                <c:pt idx="12">
                  <c:v>6.7497478749459816</c:v>
                </c:pt>
                <c:pt idx="13">
                  <c:v>8.1415750050610711</c:v>
                </c:pt>
                <c:pt idx="14">
                  <c:v>7.8843093819225771</c:v>
                </c:pt>
                <c:pt idx="15">
                  <c:v>4.6214355948869184</c:v>
                </c:pt>
                <c:pt idx="16">
                  <c:v>5.8077178239716858</c:v>
                </c:pt>
                <c:pt idx="17">
                  <c:v>4.3237453300937858</c:v>
                </c:pt>
                <c:pt idx="18">
                  <c:v>7.1847140138234948</c:v>
                </c:pt>
                <c:pt idx="19">
                  <c:v>7.2381486413868714</c:v>
                </c:pt>
                <c:pt idx="20">
                  <c:v>7.2245582692433317</c:v>
                </c:pt>
              </c:numCache>
            </c:numRef>
          </c:val>
          <c:smooth val="0"/>
          <c:extLst>
            <c:ext xmlns:c16="http://schemas.microsoft.com/office/drawing/2014/chart" uri="{C3380CC4-5D6E-409C-BE32-E72D297353CC}">
              <c16:uniqueId val="{00000001-3F75-4016-B545-6991500B769A}"/>
            </c:ext>
          </c:extLst>
        </c:ser>
        <c:ser>
          <c:idx val="5"/>
          <c:order val="2"/>
          <c:tx>
            <c:strRef>
              <c:f>'Trh práce 3'!$E$75</c:f>
              <c:strCache>
                <c:ptCount val="1"/>
                <c:pt idx="0">
                  <c:v>Prům. mzda v průmyslu (nominálně)</c:v>
                </c:pt>
              </c:strCache>
            </c:strRef>
          </c:tx>
          <c:spPr>
            <a:ln w="12700">
              <a:solidFill>
                <a:srgbClr val="BC5B80"/>
              </a:solidFill>
              <a:prstDash val="dash"/>
            </a:ln>
          </c:spPr>
          <c:marker>
            <c:symbol val="none"/>
          </c:marker>
          <c:cat>
            <c:numRef>
              <c:f>'Trh práce 3'!$B$76:$B$96</c:f>
              <c:numCache>
                <c:formatCode>General</c:formatCode>
                <c:ptCount val="21"/>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pt idx="20">
                  <c:v>2025</c:v>
                </c:pt>
              </c:numCache>
            </c:numRef>
          </c:cat>
          <c:val>
            <c:numRef>
              <c:f>'Trh práce 3'!$E$76:$E$96</c:f>
              <c:numCache>
                <c:formatCode>0.0</c:formatCode>
                <c:ptCount val="21"/>
                <c:pt idx="0">
                  <c:v>4.7940779037659382</c:v>
                </c:pt>
                <c:pt idx="1">
                  <c:v>6.3912092840724455</c:v>
                </c:pt>
                <c:pt idx="2">
                  <c:v>7.0295621014912797</c:v>
                </c:pt>
                <c:pt idx="3">
                  <c:v>8.8966569839003427</c:v>
                </c:pt>
                <c:pt idx="4">
                  <c:v>2.2922506555746338</c:v>
                </c:pt>
                <c:pt idx="5">
                  <c:v>4.4817679558011037</c:v>
                </c:pt>
                <c:pt idx="6">
                  <c:v>3.1854139345996089</c:v>
                </c:pt>
                <c:pt idx="7">
                  <c:v>3.0337815677271323</c:v>
                </c:pt>
                <c:pt idx="8">
                  <c:v>0.81171414929173125</c:v>
                </c:pt>
                <c:pt idx="9">
                  <c:v>3.3154404799494728</c:v>
                </c:pt>
                <c:pt idx="10">
                  <c:v>2.6016198044009684</c:v>
                </c:pt>
                <c:pt idx="11">
                  <c:v>4.2558737014558545</c:v>
                </c:pt>
                <c:pt idx="12">
                  <c:v>6.8214285714285836</c:v>
                </c:pt>
                <c:pt idx="13">
                  <c:v>7.7465730524908025</c:v>
                </c:pt>
                <c:pt idx="14">
                  <c:v>6.6310857355633459</c:v>
                </c:pt>
                <c:pt idx="15">
                  <c:v>2.0282854149691616</c:v>
                </c:pt>
                <c:pt idx="16">
                  <c:v>5.1110920966315803</c:v>
                </c:pt>
                <c:pt idx="17">
                  <c:v>5.9778037066181753</c:v>
                </c:pt>
                <c:pt idx="18">
                  <c:v>8.5543834494059752</c:v>
                </c:pt>
                <c:pt idx="19">
                  <c:v>7.9581102436493154</c:v>
                </c:pt>
                <c:pt idx="20">
                  <c:v>6.539074960127607</c:v>
                </c:pt>
              </c:numCache>
            </c:numRef>
          </c:val>
          <c:smooth val="0"/>
          <c:extLst>
            <c:ext xmlns:c16="http://schemas.microsoft.com/office/drawing/2014/chart" uri="{C3380CC4-5D6E-409C-BE32-E72D297353CC}">
              <c16:uniqueId val="{00000002-3F75-4016-B545-6991500B769A}"/>
            </c:ext>
          </c:extLst>
        </c:ser>
        <c:ser>
          <c:idx val="1"/>
          <c:order val="3"/>
          <c:tx>
            <c:strRef>
              <c:f>'Trh práce 3'!$F$75</c:f>
              <c:strCache>
                <c:ptCount val="1"/>
                <c:pt idx="0">
                  <c:v>Prům. mzda v obchodu (nominálně)</c:v>
                </c:pt>
              </c:strCache>
            </c:strRef>
          </c:tx>
          <c:spPr>
            <a:ln w="12700">
              <a:solidFill>
                <a:srgbClr val="0070C0"/>
              </a:solidFill>
              <a:prstDash val="dash"/>
            </a:ln>
          </c:spPr>
          <c:marker>
            <c:symbol val="none"/>
          </c:marker>
          <c:cat>
            <c:numRef>
              <c:f>'Trh práce 3'!$B$76:$B$96</c:f>
              <c:numCache>
                <c:formatCode>General</c:formatCode>
                <c:ptCount val="21"/>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pt idx="20">
                  <c:v>2025</c:v>
                </c:pt>
              </c:numCache>
            </c:numRef>
          </c:cat>
          <c:val>
            <c:numRef>
              <c:f>'Trh práce 3'!$F$76:$F$96</c:f>
              <c:numCache>
                <c:formatCode>0.0</c:formatCode>
                <c:ptCount val="21"/>
                <c:pt idx="0">
                  <c:v>4.6374677953625394</c:v>
                </c:pt>
                <c:pt idx="1">
                  <c:v>6.9175753312228778</c:v>
                </c:pt>
                <c:pt idx="2">
                  <c:v>8.6796797894505886</c:v>
                </c:pt>
                <c:pt idx="3">
                  <c:v>7.6686342767771549</c:v>
                </c:pt>
                <c:pt idx="4">
                  <c:v>7.9658872592673902E-2</c:v>
                </c:pt>
                <c:pt idx="5">
                  <c:v>3.193182882292362</c:v>
                </c:pt>
                <c:pt idx="6">
                  <c:v>3.5117967332123357</c:v>
                </c:pt>
                <c:pt idx="7">
                  <c:v>2.25738581572719</c:v>
                </c:pt>
                <c:pt idx="8">
                  <c:v>-0.84015602897680708</c:v>
                </c:pt>
                <c:pt idx="9">
                  <c:v>3.3156097350105966</c:v>
                </c:pt>
                <c:pt idx="10">
                  <c:v>4.2301255230125605</c:v>
                </c:pt>
                <c:pt idx="11">
                  <c:v>4.7609489783629613</c:v>
                </c:pt>
                <c:pt idx="12">
                  <c:v>7.4453002260796382</c:v>
                </c:pt>
                <c:pt idx="13">
                  <c:v>6.9400855920113997</c:v>
                </c:pt>
                <c:pt idx="14">
                  <c:v>7.7869672513839703</c:v>
                </c:pt>
                <c:pt idx="15">
                  <c:v>3.5920918288419301</c:v>
                </c:pt>
                <c:pt idx="16">
                  <c:v>6.8723493220237657</c:v>
                </c:pt>
                <c:pt idx="17">
                  <c:v>5.2538915127294956</c:v>
                </c:pt>
                <c:pt idx="18">
                  <c:v>6.7466744550354463</c:v>
                </c:pt>
                <c:pt idx="19">
                  <c:v>6.2157994229429931</c:v>
                </c:pt>
                <c:pt idx="20">
                  <c:v>6.4047022457438487</c:v>
                </c:pt>
              </c:numCache>
            </c:numRef>
          </c:val>
          <c:smooth val="0"/>
          <c:extLst>
            <c:ext xmlns:c16="http://schemas.microsoft.com/office/drawing/2014/chart" uri="{C3380CC4-5D6E-409C-BE32-E72D297353CC}">
              <c16:uniqueId val="{00000003-3F75-4016-B545-6991500B769A}"/>
            </c:ext>
          </c:extLst>
        </c:ser>
        <c:ser>
          <c:idx val="2"/>
          <c:order val="4"/>
          <c:tx>
            <c:strRef>
              <c:f>'Trh práce 3'!$G$75</c:f>
              <c:strCache>
                <c:ptCount val="1"/>
                <c:pt idx="0">
                  <c:v>Prům. mzda ve veř. službách (nominálně)*</c:v>
                </c:pt>
              </c:strCache>
            </c:strRef>
          </c:tx>
          <c:spPr>
            <a:ln w="12700">
              <a:solidFill>
                <a:srgbClr val="85BF5E"/>
              </a:solidFill>
              <a:prstDash val="dash"/>
            </a:ln>
          </c:spPr>
          <c:marker>
            <c:symbol val="none"/>
          </c:marker>
          <c:cat>
            <c:numRef>
              <c:f>'Trh práce 3'!$B$76:$B$96</c:f>
              <c:numCache>
                <c:formatCode>General</c:formatCode>
                <c:ptCount val="21"/>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pt idx="20">
                  <c:v>2025</c:v>
                </c:pt>
              </c:numCache>
            </c:numRef>
          </c:cat>
          <c:val>
            <c:numRef>
              <c:f>'Trh práce 3'!$G$76:$G$96</c:f>
              <c:numCache>
                <c:formatCode>0.0</c:formatCode>
                <c:ptCount val="21"/>
                <c:pt idx="0">
                  <c:v>5.7448429075864311</c:v>
                </c:pt>
                <c:pt idx="1">
                  <c:v>6.2139886096904462</c:v>
                </c:pt>
                <c:pt idx="2">
                  <c:v>6.5213266053676193</c:v>
                </c:pt>
                <c:pt idx="3">
                  <c:v>4.5033471199856336</c:v>
                </c:pt>
                <c:pt idx="4">
                  <c:v>5.6068124661603491</c:v>
                </c:pt>
                <c:pt idx="5">
                  <c:v>9.2548488337286017E-2</c:v>
                </c:pt>
                <c:pt idx="6">
                  <c:v>1.3745128342853405</c:v>
                </c:pt>
                <c:pt idx="7">
                  <c:v>1.9623700739873584</c:v>
                </c:pt>
                <c:pt idx="8">
                  <c:v>0.61373585270925446</c:v>
                </c:pt>
                <c:pt idx="9">
                  <c:v>2.5772633649077363</c:v>
                </c:pt>
                <c:pt idx="10">
                  <c:v>3.7559457553514335</c:v>
                </c:pt>
                <c:pt idx="11">
                  <c:v>4.9014309200953221</c:v>
                </c:pt>
                <c:pt idx="12">
                  <c:v>7.9550010446935602</c:v>
                </c:pt>
                <c:pt idx="13">
                  <c:v>10.160948468455345</c:v>
                </c:pt>
                <c:pt idx="14">
                  <c:v>9.5948437653510865</c:v>
                </c:pt>
                <c:pt idx="15">
                  <c:v>8.4588710877466298</c:v>
                </c:pt>
                <c:pt idx="16">
                  <c:v>6.4793472347561334</c:v>
                </c:pt>
                <c:pt idx="17">
                  <c:v>-0.33488952451867249</c:v>
                </c:pt>
                <c:pt idx="18">
                  <c:v>6.4804196156700726</c:v>
                </c:pt>
                <c:pt idx="19">
                  <c:v>4.5131657822914804</c:v>
                </c:pt>
                <c:pt idx="20">
                  <c:v>6.3661055260310917</c:v>
                </c:pt>
              </c:numCache>
            </c:numRef>
          </c:val>
          <c:smooth val="0"/>
          <c:extLst>
            <c:ext xmlns:c16="http://schemas.microsoft.com/office/drawing/2014/chart" uri="{C3380CC4-5D6E-409C-BE32-E72D297353CC}">
              <c16:uniqueId val="{00000004-3F75-4016-B545-6991500B769A}"/>
            </c:ext>
          </c:extLst>
        </c:ser>
        <c:ser>
          <c:idx val="3"/>
          <c:order val="5"/>
          <c:tx>
            <c:strRef>
              <c:f>'Trh práce 3'!$H$75</c:f>
              <c:strCache>
                <c:ptCount val="1"/>
              </c:strCache>
            </c:strRef>
          </c:tx>
          <c:spPr>
            <a:ln w="19050">
              <a:noFill/>
            </a:ln>
          </c:spPr>
          <c:marker>
            <c:symbol val="circle"/>
            <c:size val="5"/>
            <c:spPr>
              <a:solidFill>
                <a:schemeClr val="bg1"/>
              </a:solidFill>
              <a:ln w="6350">
                <a:noFill/>
              </a:ln>
            </c:spPr>
          </c:marker>
          <c:cat>
            <c:numRef>
              <c:f>'Trh práce 3'!$B$76:$B$96</c:f>
              <c:numCache>
                <c:formatCode>General</c:formatCode>
                <c:ptCount val="21"/>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pt idx="20">
                  <c:v>2025</c:v>
                </c:pt>
              </c:numCache>
            </c:numRef>
          </c:cat>
          <c:val>
            <c:numRef>
              <c:f>'Trh práce 3'!$H$76:$H$96</c:f>
              <c:numCache>
                <c:formatCode>General</c:formatCode>
                <c:ptCount val="21"/>
              </c:numCache>
            </c:numRef>
          </c:val>
          <c:smooth val="0"/>
          <c:extLst>
            <c:ext xmlns:c16="http://schemas.microsoft.com/office/drawing/2014/chart" uri="{C3380CC4-5D6E-409C-BE32-E72D297353CC}">
              <c16:uniqueId val="{00000005-3F75-4016-B545-6991500B769A}"/>
            </c:ext>
          </c:extLst>
        </c:ser>
        <c:ser>
          <c:idx val="6"/>
          <c:order val="6"/>
          <c:tx>
            <c:strRef>
              <c:f>'Trh práce 3'!$I$75</c:f>
              <c:strCache>
                <c:ptCount val="1"/>
                <c:pt idx="0">
                  <c:v>Produktivita práce na zam. v NH (reálně)**</c:v>
                </c:pt>
              </c:strCache>
            </c:strRef>
          </c:tx>
          <c:spPr>
            <a:ln>
              <a:noFill/>
            </a:ln>
          </c:spPr>
          <c:marker>
            <c:symbol val="circle"/>
            <c:size val="5"/>
            <c:spPr>
              <a:solidFill>
                <a:srgbClr val="CC9610"/>
              </a:solidFill>
              <a:ln>
                <a:noFill/>
              </a:ln>
            </c:spPr>
          </c:marker>
          <c:cat>
            <c:numRef>
              <c:f>'Trh práce 3'!$B$76:$B$96</c:f>
              <c:numCache>
                <c:formatCode>General</c:formatCode>
                <c:ptCount val="21"/>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pt idx="20">
                  <c:v>2025</c:v>
                </c:pt>
              </c:numCache>
            </c:numRef>
          </c:cat>
          <c:val>
            <c:numRef>
              <c:f>'Trh práce 3'!$I$76:$I$96</c:f>
              <c:numCache>
                <c:formatCode>0.0</c:formatCode>
                <c:ptCount val="21"/>
                <c:pt idx="0">
                  <c:v>4.4078067941773895</c:v>
                </c:pt>
                <c:pt idx="1">
                  <c:v>5.3588204979348149</c:v>
                </c:pt>
                <c:pt idx="2">
                  <c:v>3.3210673429916255</c:v>
                </c:pt>
                <c:pt idx="3">
                  <c:v>0.28542145488682991</c:v>
                </c:pt>
                <c:pt idx="4">
                  <c:v>-2.9251700061347634</c:v>
                </c:pt>
                <c:pt idx="5">
                  <c:v>3.6484036284706036</c:v>
                </c:pt>
                <c:pt idx="6">
                  <c:v>2.2803838830276533</c:v>
                </c:pt>
                <c:pt idx="7">
                  <c:v>-1.2234484136217674</c:v>
                </c:pt>
                <c:pt idx="8">
                  <c:v>-0.40033756666883846</c:v>
                </c:pt>
                <c:pt idx="9">
                  <c:v>1.703360798255531</c:v>
                </c:pt>
                <c:pt idx="10">
                  <c:v>3.5835468295633035</c:v>
                </c:pt>
                <c:pt idx="11">
                  <c:v>1.447133275055819</c:v>
                </c:pt>
                <c:pt idx="12">
                  <c:v>3.9637150492475115</c:v>
                </c:pt>
                <c:pt idx="13">
                  <c:v>1.6456273419258878</c:v>
                </c:pt>
                <c:pt idx="14">
                  <c:v>3.6573686744589367</c:v>
                </c:pt>
                <c:pt idx="15">
                  <c:v>-3.0734124527580775</c:v>
                </c:pt>
                <c:pt idx="16">
                  <c:v>2.9461746627515311</c:v>
                </c:pt>
                <c:pt idx="17">
                  <c:v>1.8118515296462476</c:v>
                </c:pt>
                <c:pt idx="18">
                  <c:v>-1.4080919220346857</c:v>
                </c:pt>
                <c:pt idx="19">
                  <c:v>0.52720774457036157</c:v>
                </c:pt>
                <c:pt idx="20">
                  <c:v>1.5160659350122074</c:v>
                </c:pt>
              </c:numCache>
            </c:numRef>
          </c:val>
          <c:smooth val="0"/>
          <c:extLst>
            <c:ext xmlns:c16="http://schemas.microsoft.com/office/drawing/2014/chart" uri="{C3380CC4-5D6E-409C-BE32-E72D297353CC}">
              <c16:uniqueId val="{00000006-3F75-4016-B545-6991500B769A}"/>
            </c:ext>
          </c:extLst>
        </c:ser>
        <c:ser>
          <c:idx val="7"/>
          <c:order val="7"/>
          <c:tx>
            <c:strRef>
              <c:f>'Trh práce 3'!$J$75</c:f>
              <c:strCache>
                <c:ptCount val="1"/>
                <c:pt idx="0">
                  <c:v>Hodinová produkt. práce v NH (reálně)***</c:v>
                </c:pt>
              </c:strCache>
            </c:strRef>
          </c:tx>
          <c:spPr>
            <a:ln>
              <a:noFill/>
            </a:ln>
          </c:spPr>
          <c:marker>
            <c:symbol val="diamond"/>
            <c:size val="5"/>
            <c:spPr>
              <a:solidFill>
                <a:schemeClr val="bg1"/>
              </a:solidFill>
              <a:ln>
                <a:solidFill>
                  <a:srgbClr val="CC9610"/>
                </a:solidFill>
              </a:ln>
            </c:spPr>
          </c:marker>
          <c:cat>
            <c:numRef>
              <c:f>'Trh práce 3'!$B$76:$B$96</c:f>
              <c:numCache>
                <c:formatCode>General</c:formatCode>
                <c:ptCount val="21"/>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pt idx="20">
                  <c:v>2025</c:v>
                </c:pt>
              </c:numCache>
            </c:numRef>
          </c:cat>
          <c:val>
            <c:numRef>
              <c:f>'Trh práce 3'!$J$76:$J$96</c:f>
              <c:numCache>
                <c:formatCode>0.0</c:formatCode>
                <c:ptCount val="21"/>
                <c:pt idx="0">
                  <c:v>4.8583538409178999</c:v>
                </c:pt>
                <c:pt idx="1">
                  <c:v>5.766984370657994</c:v>
                </c:pt>
                <c:pt idx="2">
                  <c:v>4.1595039586152893</c:v>
                </c:pt>
                <c:pt idx="3">
                  <c:v>-0.20758020149193612</c:v>
                </c:pt>
                <c:pt idx="4">
                  <c:v>-2.7262055119233963</c:v>
                </c:pt>
                <c:pt idx="5">
                  <c:v>2.9164764623595971</c:v>
                </c:pt>
                <c:pt idx="6">
                  <c:v>1.9566037733275436</c:v>
                </c:pt>
                <c:pt idx="7">
                  <c:v>0.29595742015509074</c:v>
                </c:pt>
                <c:pt idx="8">
                  <c:v>0.28996779626604052</c:v>
                </c:pt>
                <c:pt idx="9">
                  <c:v>1.0866145718159146</c:v>
                </c:pt>
                <c:pt idx="10">
                  <c:v>4.723084764468922</c:v>
                </c:pt>
                <c:pt idx="11">
                  <c:v>0.31993269813285963</c:v>
                </c:pt>
                <c:pt idx="12">
                  <c:v>3.4302733189548889</c:v>
                </c:pt>
                <c:pt idx="13">
                  <c:v>1.1900439338448336</c:v>
                </c:pt>
                <c:pt idx="14">
                  <c:v>3.7429096099441921</c:v>
                </c:pt>
                <c:pt idx="15">
                  <c:v>3.4387394796415265</c:v>
                </c:pt>
                <c:pt idx="16">
                  <c:v>0.21784363554210984</c:v>
                </c:pt>
                <c:pt idx="17">
                  <c:v>-1.4914057259189235</c:v>
                </c:pt>
                <c:pt idx="18">
                  <c:v>-1.9277532928291521</c:v>
                </c:pt>
                <c:pt idx="19">
                  <c:v>-0.42185736032953969</c:v>
                </c:pt>
                <c:pt idx="20">
                  <c:v>0.30669723596010101</c:v>
                </c:pt>
              </c:numCache>
            </c:numRef>
          </c:val>
          <c:smooth val="0"/>
          <c:extLst>
            <c:ext xmlns:c16="http://schemas.microsoft.com/office/drawing/2014/chart" uri="{C3380CC4-5D6E-409C-BE32-E72D297353CC}">
              <c16:uniqueId val="{00000007-3F75-4016-B545-6991500B769A}"/>
            </c:ext>
          </c:extLst>
        </c:ser>
        <c:dLbls>
          <c:showLegendKey val="0"/>
          <c:showVal val="0"/>
          <c:showCatName val="0"/>
          <c:showSerName val="0"/>
          <c:showPercent val="0"/>
          <c:showBubbleSize val="0"/>
        </c:dLbls>
        <c:marker val="1"/>
        <c:smooth val="0"/>
        <c:axId val="100688640"/>
        <c:axId val="100690560"/>
      </c:lineChart>
      <c:catAx>
        <c:axId val="100688640"/>
        <c:scaling>
          <c:orientation val="minMax"/>
        </c:scaling>
        <c:delete val="0"/>
        <c:axPos val="b"/>
        <c:numFmt formatCode="General" sourceLinked="1"/>
        <c:majorTickMark val="out"/>
        <c:minorTickMark val="none"/>
        <c:tickLblPos val="low"/>
        <c:spPr>
          <a:ln>
            <a:solidFill>
              <a:schemeClr val="tx1"/>
            </a:solidFill>
          </a:ln>
        </c:spPr>
        <c:txPr>
          <a:bodyPr rot="-2400000" vert="horz"/>
          <a:lstStyle/>
          <a:p>
            <a:pPr>
              <a:defRPr/>
            </a:pPr>
            <a:endParaRPr lang="cs-CZ"/>
          </a:p>
        </c:txPr>
        <c:crossAx val="100690560"/>
        <c:crosses val="autoZero"/>
        <c:auto val="1"/>
        <c:lblAlgn val="ctr"/>
        <c:lblOffset val="0"/>
        <c:tickMarkSkip val="4"/>
        <c:noMultiLvlLbl val="0"/>
      </c:catAx>
      <c:valAx>
        <c:axId val="100690560"/>
        <c:scaling>
          <c:orientation val="minMax"/>
          <c:max val="11"/>
          <c:min val="-10"/>
        </c:scaling>
        <c:delete val="0"/>
        <c:axPos val="l"/>
        <c:majorGridlines>
          <c:spPr>
            <a:ln>
              <a:solidFill>
                <a:schemeClr val="bg1">
                  <a:lumMod val="75000"/>
                </a:schemeClr>
              </a:solidFill>
            </a:ln>
          </c:spPr>
        </c:majorGridlines>
        <c:numFmt formatCode="0" sourceLinked="0"/>
        <c:majorTickMark val="out"/>
        <c:minorTickMark val="none"/>
        <c:tickLblPos val="nextTo"/>
        <c:spPr>
          <a:ln>
            <a:solidFill>
              <a:schemeClr val="tx1"/>
            </a:solidFill>
          </a:ln>
        </c:spPr>
        <c:crossAx val="100688640"/>
        <c:crosses val="autoZero"/>
        <c:crossBetween val="between"/>
        <c:majorUnit val="1"/>
      </c:valAx>
      <c:spPr>
        <a:ln>
          <a:solidFill>
            <a:schemeClr val="tx1"/>
          </a:solidFill>
        </a:ln>
      </c:spPr>
    </c:plotArea>
    <c:legend>
      <c:legendPos val="b"/>
      <c:layout>
        <c:manualLayout>
          <c:xMode val="edge"/>
          <c:yMode val="edge"/>
          <c:x val="3.7640045338093301E-3"/>
          <c:y val="0.86131781450641354"/>
          <c:w val="0.98815493910376873"/>
          <c:h val="0.13479604985479049"/>
        </c:manualLayout>
      </c:layout>
      <c:overlay val="0"/>
      <c:spPr>
        <a:ln w="6350">
          <a:solidFill>
            <a:schemeClr val="tx1"/>
          </a:solidFill>
        </a:ln>
      </c:spPr>
    </c:legend>
    <c:plotVisOnly val="1"/>
    <c:dispBlanksAs val="gap"/>
    <c:showDLblsOverMax val="0"/>
  </c:chart>
  <c:spPr>
    <a:ln>
      <a:noFill/>
    </a:ln>
  </c:spPr>
  <c:txPr>
    <a:bodyPr/>
    <a:lstStyle/>
    <a:p>
      <a:pPr>
        <a:defRPr sz="800">
          <a:latin typeface="Arial" panose="020B0604020202020204" pitchFamily="34" charset="0"/>
          <a:cs typeface="Arial" panose="020B0604020202020204" pitchFamily="34" charset="0"/>
        </a:defRPr>
      </a:pPr>
      <a:endParaRPr lang="cs-CZ"/>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9581433637284705E-2"/>
          <c:y val="3.9582348305752559E-2"/>
          <c:w val="0.93508633063154345"/>
          <c:h val="0.73130361364405005"/>
        </c:manualLayout>
      </c:layout>
      <c:barChart>
        <c:barDir val="col"/>
        <c:grouping val="clustered"/>
        <c:varyColors val="0"/>
        <c:ser>
          <c:idx val="0"/>
          <c:order val="0"/>
          <c:tx>
            <c:strRef>
              <c:f>'Měnové podmínky 1'!$C$5</c:f>
              <c:strCache>
                <c:ptCount val="1"/>
                <c:pt idx="0">
                  <c:v>2T repo sazba</c:v>
                </c:pt>
              </c:strCache>
            </c:strRef>
          </c:tx>
          <c:spPr>
            <a:solidFill>
              <a:srgbClr val="B8BBC0"/>
            </a:solidFill>
          </c:spPr>
          <c:invertIfNegative val="0"/>
          <c:cat>
            <c:multiLvlStrRef>
              <c:f>'Měnové podmínky 1'!$A$30:$B$101</c:f>
              <c:multiLvlStrCache>
                <c:ptCount val="72"/>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pt idx="18">
                    <c:v>7</c:v>
                  </c:pt>
                  <c:pt idx="19">
                    <c:v>8</c:v>
                  </c:pt>
                  <c:pt idx="20">
                    <c:v>9</c:v>
                  </c:pt>
                  <c:pt idx="21">
                    <c:v>10</c:v>
                  </c:pt>
                  <c:pt idx="22">
                    <c:v>11</c:v>
                  </c:pt>
                  <c:pt idx="23">
                    <c:v>12</c:v>
                  </c:pt>
                  <c:pt idx="24">
                    <c:v>1</c:v>
                  </c:pt>
                  <c:pt idx="25">
                    <c:v>2</c:v>
                  </c:pt>
                  <c:pt idx="26">
                    <c:v>3</c:v>
                  </c:pt>
                  <c:pt idx="27">
                    <c:v>4</c:v>
                  </c:pt>
                  <c:pt idx="28">
                    <c:v>5</c:v>
                  </c:pt>
                  <c:pt idx="29">
                    <c:v>6</c:v>
                  </c:pt>
                  <c:pt idx="30">
                    <c:v>7</c:v>
                  </c:pt>
                  <c:pt idx="31">
                    <c:v>8</c:v>
                  </c:pt>
                  <c:pt idx="32">
                    <c:v>9</c:v>
                  </c:pt>
                  <c:pt idx="33">
                    <c:v>10</c:v>
                  </c:pt>
                  <c:pt idx="34">
                    <c:v>11</c:v>
                  </c:pt>
                  <c:pt idx="35">
                    <c:v>12</c:v>
                  </c:pt>
                  <c:pt idx="36">
                    <c:v>1</c:v>
                  </c:pt>
                  <c:pt idx="37">
                    <c:v>2</c:v>
                  </c:pt>
                  <c:pt idx="38">
                    <c:v>3</c:v>
                  </c:pt>
                  <c:pt idx="39">
                    <c:v>4</c:v>
                  </c:pt>
                  <c:pt idx="40">
                    <c:v>5</c:v>
                  </c:pt>
                  <c:pt idx="41">
                    <c:v>6</c:v>
                  </c:pt>
                  <c:pt idx="42">
                    <c:v>7</c:v>
                  </c:pt>
                  <c:pt idx="43">
                    <c:v>8</c:v>
                  </c:pt>
                  <c:pt idx="44">
                    <c:v>9</c:v>
                  </c:pt>
                  <c:pt idx="45">
                    <c:v>10</c:v>
                  </c:pt>
                  <c:pt idx="46">
                    <c:v>11</c:v>
                  </c:pt>
                  <c:pt idx="47">
                    <c:v>12</c:v>
                  </c:pt>
                  <c:pt idx="48">
                    <c:v>1</c:v>
                  </c:pt>
                  <c:pt idx="49">
                    <c:v>2</c:v>
                  </c:pt>
                  <c:pt idx="50">
                    <c:v>3</c:v>
                  </c:pt>
                  <c:pt idx="51">
                    <c:v>4</c:v>
                  </c:pt>
                  <c:pt idx="52">
                    <c:v>5</c:v>
                  </c:pt>
                  <c:pt idx="53">
                    <c:v>6</c:v>
                  </c:pt>
                  <c:pt idx="54">
                    <c:v>7</c:v>
                  </c:pt>
                  <c:pt idx="55">
                    <c:v>8</c:v>
                  </c:pt>
                  <c:pt idx="56">
                    <c:v>9</c:v>
                  </c:pt>
                  <c:pt idx="57">
                    <c:v>10</c:v>
                  </c:pt>
                  <c:pt idx="58">
                    <c:v>11</c:v>
                  </c:pt>
                  <c:pt idx="59">
                    <c:v>12</c:v>
                  </c:pt>
                  <c:pt idx="60">
                    <c:v>1</c:v>
                  </c:pt>
                  <c:pt idx="61">
                    <c:v>2</c:v>
                  </c:pt>
                  <c:pt idx="62">
                    <c:v>3</c:v>
                  </c:pt>
                  <c:pt idx="63">
                    <c:v>4</c:v>
                  </c:pt>
                  <c:pt idx="64">
                    <c:v>5</c:v>
                  </c:pt>
                  <c:pt idx="65">
                    <c:v>6</c:v>
                  </c:pt>
                  <c:pt idx="66">
                    <c:v>7</c:v>
                  </c:pt>
                  <c:pt idx="67">
                    <c:v>8</c:v>
                  </c:pt>
                  <c:pt idx="68">
                    <c:v>9</c:v>
                  </c:pt>
                  <c:pt idx="69">
                    <c:v>10</c:v>
                  </c:pt>
                  <c:pt idx="70">
                    <c:v>11</c:v>
                  </c:pt>
                  <c:pt idx="71">
                    <c:v>12</c:v>
                  </c:pt>
                </c:lvl>
                <c:lvl>
                  <c:pt idx="0">
                    <c:v>2020</c:v>
                  </c:pt>
                  <c:pt idx="12">
                    <c:v>2021</c:v>
                  </c:pt>
                  <c:pt idx="24">
                    <c:v>2022</c:v>
                  </c:pt>
                  <c:pt idx="36">
                    <c:v>2023</c:v>
                  </c:pt>
                  <c:pt idx="48">
                    <c:v>2024</c:v>
                  </c:pt>
                  <c:pt idx="60">
                    <c:v>2025</c:v>
                  </c:pt>
                </c:lvl>
              </c:multiLvlStrCache>
            </c:multiLvlStrRef>
          </c:cat>
          <c:val>
            <c:numRef>
              <c:f>'Měnové podmínky 1'!$C$30:$C$101</c:f>
              <c:numCache>
                <c:formatCode>General</c:formatCode>
                <c:ptCount val="72"/>
                <c:pt idx="0">
                  <c:v>2</c:v>
                </c:pt>
                <c:pt idx="1">
                  <c:v>2.25</c:v>
                </c:pt>
                <c:pt idx="2">
                  <c:v>1</c:v>
                </c:pt>
                <c:pt idx="3">
                  <c:v>1</c:v>
                </c:pt>
                <c:pt idx="4">
                  <c:v>0.25</c:v>
                </c:pt>
                <c:pt idx="5">
                  <c:v>0.25</c:v>
                </c:pt>
                <c:pt idx="6">
                  <c:v>0.25</c:v>
                </c:pt>
                <c:pt idx="7">
                  <c:v>0.25</c:v>
                </c:pt>
                <c:pt idx="8">
                  <c:v>0.25</c:v>
                </c:pt>
                <c:pt idx="9">
                  <c:v>0.25</c:v>
                </c:pt>
                <c:pt idx="10">
                  <c:v>0.25</c:v>
                </c:pt>
                <c:pt idx="11">
                  <c:v>0.25</c:v>
                </c:pt>
                <c:pt idx="12">
                  <c:v>0.25</c:v>
                </c:pt>
                <c:pt idx="13">
                  <c:v>0.25</c:v>
                </c:pt>
                <c:pt idx="14">
                  <c:v>0.25</c:v>
                </c:pt>
                <c:pt idx="15">
                  <c:v>0.25</c:v>
                </c:pt>
                <c:pt idx="16">
                  <c:v>0.25</c:v>
                </c:pt>
                <c:pt idx="17">
                  <c:v>0.5</c:v>
                </c:pt>
                <c:pt idx="18">
                  <c:v>0.5</c:v>
                </c:pt>
                <c:pt idx="19">
                  <c:v>0.75</c:v>
                </c:pt>
                <c:pt idx="20">
                  <c:v>0.75</c:v>
                </c:pt>
                <c:pt idx="21">
                  <c:v>1.5</c:v>
                </c:pt>
                <c:pt idx="22">
                  <c:v>2.75</c:v>
                </c:pt>
                <c:pt idx="23">
                  <c:v>3.75</c:v>
                </c:pt>
                <c:pt idx="24">
                  <c:v>3.75</c:v>
                </c:pt>
                <c:pt idx="25">
                  <c:v>4.5</c:v>
                </c:pt>
                <c:pt idx="26">
                  <c:v>4.5</c:v>
                </c:pt>
                <c:pt idx="27">
                  <c:v>5</c:v>
                </c:pt>
                <c:pt idx="28">
                  <c:v>5.75</c:v>
                </c:pt>
                <c:pt idx="29">
                  <c:v>7</c:v>
                </c:pt>
                <c:pt idx="30">
                  <c:v>7</c:v>
                </c:pt>
                <c:pt idx="31">
                  <c:v>7</c:v>
                </c:pt>
                <c:pt idx="32">
                  <c:v>7</c:v>
                </c:pt>
                <c:pt idx="33">
                  <c:v>7</c:v>
                </c:pt>
                <c:pt idx="34">
                  <c:v>7</c:v>
                </c:pt>
                <c:pt idx="35">
                  <c:v>7</c:v>
                </c:pt>
                <c:pt idx="36">
                  <c:v>7</c:v>
                </c:pt>
                <c:pt idx="37">
                  <c:v>7</c:v>
                </c:pt>
                <c:pt idx="38">
                  <c:v>7</c:v>
                </c:pt>
                <c:pt idx="39" formatCode="###\ ###\ ###\ ###\ ##0.00;\-###\ ###\ ###\ ###\ ##0.00">
                  <c:v>7</c:v>
                </c:pt>
                <c:pt idx="40" formatCode="###\ ###\ ###\ ###\ ##0.00;\-###\ ###\ ###\ ###\ ##0.00">
                  <c:v>7</c:v>
                </c:pt>
                <c:pt idx="41" formatCode="###\ ###\ ###\ ###\ ##0.00;\-###\ ###\ ###\ ###\ ##0.00">
                  <c:v>7</c:v>
                </c:pt>
                <c:pt idx="42" formatCode="###\ ###\ ###\ ###\ ##0.00;\-###\ ###\ ###\ ###\ ##0.00">
                  <c:v>7</c:v>
                </c:pt>
                <c:pt idx="43" formatCode="###\ ###\ ###\ ###\ ##0.00;\-###\ ###\ ###\ ###\ ##0.00">
                  <c:v>7</c:v>
                </c:pt>
                <c:pt idx="44" formatCode="###\ ###\ ###\ ###\ ##0.00;\-###\ ###\ ###\ ###\ ##0.00">
                  <c:v>7</c:v>
                </c:pt>
                <c:pt idx="45" formatCode="###\ ###\ ###\ ###\ ##0.00;\-###\ ###\ ###\ ###\ ##0.00">
                  <c:v>7</c:v>
                </c:pt>
                <c:pt idx="46" formatCode="###\ ###\ ###\ ###\ ##0.00;\-###\ ###\ ###\ ###\ ##0.00">
                  <c:v>7</c:v>
                </c:pt>
                <c:pt idx="47" formatCode="###\ ###\ ###\ ###\ ##0.00;\-###\ ###\ ###\ ###\ ##0.00">
                  <c:v>6.75</c:v>
                </c:pt>
                <c:pt idx="48" formatCode="###\ ###\ ###\ ###\ ##0.00;\-###\ ###\ ###\ ###\ ##0.00">
                  <c:v>6.75</c:v>
                </c:pt>
                <c:pt idx="49" formatCode="###\ ###\ ###\ ###\ ##0.00;\-###\ ###\ ###\ ###\ ##0.00">
                  <c:v>6.25</c:v>
                </c:pt>
                <c:pt idx="50" formatCode="###\ ###\ ###\ ###\ ##0.00;\-###\ ###\ ###\ ###\ ##0.00">
                  <c:v>5.75</c:v>
                </c:pt>
                <c:pt idx="51" formatCode="###\ ###\ ###\ ###\ ##0.00;\-###\ ###\ ###\ ###\ ##0.00">
                  <c:v>5.75</c:v>
                </c:pt>
                <c:pt idx="52" formatCode="###\ ###\ ###\ ###\ ##0.00;\-###\ ###\ ###\ ###\ ##0.00">
                  <c:v>5.25</c:v>
                </c:pt>
                <c:pt idx="53" formatCode="###\ ###\ ###\ ###\ ##0.00;\-###\ ###\ ###\ ###\ ##0.00">
                  <c:v>4.75</c:v>
                </c:pt>
                <c:pt idx="54" formatCode="###\ ###\ ###\ ###\ ##0.00;\-###\ ###\ ###\ ###\ ##0.00">
                  <c:v>4.75</c:v>
                </c:pt>
                <c:pt idx="55" formatCode="###\ ###\ ###\ ###\ ##0.00;\-###\ ###\ ###\ ###\ ##0.00">
                  <c:v>4.5</c:v>
                </c:pt>
                <c:pt idx="56" formatCode="###\ ###\ ###\ ###\ ##0.00;\-###\ ###\ ###\ ###\ ##0.00">
                  <c:v>4.25</c:v>
                </c:pt>
                <c:pt idx="57" formatCode="###\ ###\ ###\ ###\ ##0.00;\-###\ ###\ ###\ ###\ ##0.00">
                  <c:v>4.25</c:v>
                </c:pt>
                <c:pt idx="58" formatCode="###\ ###\ ###\ ###\ ##0.00;\-###\ ###\ ###\ ###\ ##0.00">
                  <c:v>4</c:v>
                </c:pt>
                <c:pt idx="59" formatCode="###\ ###\ ###\ ###\ ##0.00;\-###\ ###\ ###\ ###\ ##0.00">
                  <c:v>4</c:v>
                </c:pt>
                <c:pt idx="60" formatCode="###\ ###\ ###\ ###\ ##0.00;\-###\ ###\ ###\ ###\ ##0.00">
                  <c:v>4</c:v>
                </c:pt>
                <c:pt idx="61" formatCode="###\ ###\ ###\ ###\ ##0.00;\-###\ ###\ ###\ ###\ ##0.00">
                  <c:v>3.75</c:v>
                </c:pt>
                <c:pt idx="62" formatCode="###\ ###\ ###\ ###\ ##0.00;\-###\ ###\ ###\ ###\ ##0.00">
                  <c:v>3.75</c:v>
                </c:pt>
                <c:pt idx="63" formatCode="###\ ###\ ###\ ###\ ##0.00;\-###\ ###\ ###\ ###\ ##0.00">
                  <c:v>3.75</c:v>
                </c:pt>
                <c:pt idx="64" formatCode="###\ ###\ ###\ ###\ ##0.00;\-###\ ###\ ###\ ###\ ##0.00">
                  <c:v>3.5</c:v>
                </c:pt>
                <c:pt idx="65" formatCode="###\ ###\ ###\ ###\ ##0.00;\-###\ ###\ ###\ ###\ ##0.00">
                  <c:v>3.5</c:v>
                </c:pt>
                <c:pt idx="66" formatCode="###\ ###\ ###\ ###\ ##0.00;\-###\ ###\ ###\ ###\ ##0.00">
                  <c:v>3.5</c:v>
                </c:pt>
                <c:pt idx="67" formatCode="###\ ###\ ###\ ###\ ##0.00;\-###\ ###\ ###\ ###\ ##0.00">
                  <c:v>3.5</c:v>
                </c:pt>
                <c:pt idx="68" formatCode="###\ ###\ ###\ ###\ ##0.00;\-###\ ###\ ###\ ###\ ##0.00">
                  <c:v>3.5</c:v>
                </c:pt>
                <c:pt idx="69" formatCode="###\ ###\ ###\ ###\ ##0.00;\-###\ ###\ ###\ ###\ ##0.00">
                  <c:v>3.5</c:v>
                </c:pt>
                <c:pt idx="70" formatCode="###\ ###\ ###\ ###\ ##0.00;\-###\ ###\ ###\ ###\ ##0.00">
                  <c:v>3.5</c:v>
                </c:pt>
                <c:pt idx="71" formatCode="###\ ###\ ###\ ###\ ##0.00;\-###\ ###\ ###\ ###\ ##0.00">
                  <c:v>3.5</c:v>
                </c:pt>
              </c:numCache>
            </c:numRef>
          </c:val>
          <c:extLst>
            <c:ext xmlns:c16="http://schemas.microsoft.com/office/drawing/2014/chart" uri="{C3380CC4-5D6E-409C-BE32-E72D297353CC}">
              <c16:uniqueId val="{00000000-1BD4-4E84-A2E1-E808B81EAEDF}"/>
            </c:ext>
          </c:extLst>
        </c:ser>
        <c:dLbls>
          <c:showLegendKey val="0"/>
          <c:showVal val="0"/>
          <c:showCatName val="0"/>
          <c:showSerName val="0"/>
          <c:showPercent val="0"/>
          <c:showBubbleSize val="0"/>
        </c:dLbls>
        <c:gapWidth val="31"/>
        <c:axId val="271742464"/>
        <c:axId val="271744000"/>
      </c:barChart>
      <c:lineChart>
        <c:grouping val="standard"/>
        <c:varyColors val="0"/>
        <c:ser>
          <c:idx val="3"/>
          <c:order val="1"/>
          <c:tx>
            <c:strRef>
              <c:f>'Měnové podmínky 1'!$F$5</c:f>
              <c:strCache>
                <c:ptCount val="1"/>
                <c:pt idx="0">
                  <c:v>Průměrný výnos státních dluhopisů (2Y)</c:v>
                </c:pt>
              </c:strCache>
            </c:strRef>
          </c:tx>
          <c:spPr>
            <a:ln w="19050">
              <a:solidFill>
                <a:srgbClr val="86BF5E"/>
              </a:solidFill>
            </a:ln>
          </c:spPr>
          <c:marker>
            <c:symbol val="none"/>
          </c:marker>
          <c:cat>
            <c:multiLvlStrRef>
              <c:f>'Měnové podmínky 1'!$A$30:$B$101</c:f>
              <c:multiLvlStrCache>
                <c:ptCount val="72"/>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pt idx="18">
                    <c:v>7</c:v>
                  </c:pt>
                  <c:pt idx="19">
                    <c:v>8</c:v>
                  </c:pt>
                  <c:pt idx="20">
                    <c:v>9</c:v>
                  </c:pt>
                  <c:pt idx="21">
                    <c:v>10</c:v>
                  </c:pt>
                  <c:pt idx="22">
                    <c:v>11</c:v>
                  </c:pt>
                  <c:pt idx="23">
                    <c:v>12</c:v>
                  </c:pt>
                  <c:pt idx="24">
                    <c:v>1</c:v>
                  </c:pt>
                  <c:pt idx="25">
                    <c:v>2</c:v>
                  </c:pt>
                  <c:pt idx="26">
                    <c:v>3</c:v>
                  </c:pt>
                  <c:pt idx="27">
                    <c:v>4</c:v>
                  </c:pt>
                  <c:pt idx="28">
                    <c:v>5</c:v>
                  </c:pt>
                  <c:pt idx="29">
                    <c:v>6</c:v>
                  </c:pt>
                  <c:pt idx="30">
                    <c:v>7</c:v>
                  </c:pt>
                  <c:pt idx="31">
                    <c:v>8</c:v>
                  </c:pt>
                  <c:pt idx="32">
                    <c:v>9</c:v>
                  </c:pt>
                  <c:pt idx="33">
                    <c:v>10</c:v>
                  </c:pt>
                  <c:pt idx="34">
                    <c:v>11</c:v>
                  </c:pt>
                  <c:pt idx="35">
                    <c:v>12</c:v>
                  </c:pt>
                  <c:pt idx="36">
                    <c:v>1</c:v>
                  </c:pt>
                  <c:pt idx="37">
                    <c:v>2</c:v>
                  </c:pt>
                  <c:pt idx="38">
                    <c:v>3</c:v>
                  </c:pt>
                  <c:pt idx="39">
                    <c:v>4</c:v>
                  </c:pt>
                  <c:pt idx="40">
                    <c:v>5</c:v>
                  </c:pt>
                  <c:pt idx="41">
                    <c:v>6</c:v>
                  </c:pt>
                  <c:pt idx="42">
                    <c:v>7</c:v>
                  </c:pt>
                  <c:pt idx="43">
                    <c:v>8</c:v>
                  </c:pt>
                  <c:pt idx="44">
                    <c:v>9</c:v>
                  </c:pt>
                  <c:pt idx="45">
                    <c:v>10</c:v>
                  </c:pt>
                  <c:pt idx="46">
                    <c:v>11</c:v>
                  </c:pt>
                  <c:pt idx="47">
                    <c:v>12</c:v>
                  </c:pt>
                  <c:pt idx="48">
                    <c:v>1</c:v>
                  </c:pt>
                  <c:pt idx="49">
                    <c:v>2</c:v>
                  </c:pt>
                  <c:pt idx="50">
                    <c:v>3</c:v>
                  </c:pt>
                  <c:pt idx="51">
                    <c:v>4</c:v>
                  </c:pt>
                  <c:pt idx="52">
                    <c:v>5</c:v>
                  </c:pt>
                  <c:pt idx="53">
                    <c:v>6</c:v>
                  </c:pt>
                  <c:pt idx="54">
                    <c:v>7</c:v>
                  </c:pt>
                  <c:pt idx="55">
                    <c:v>8</c:v>
                  </c:pt>
                  <c:pt idx="56">
                    <c:v>9</c:v>
                  </c:pt>
                  <c:pt idx="57">
                    <c:v>10</c:v>
                  </c:pt>
                  <c:pt idx="58">
                    <c:v>11</c:v>
                  </c:pt>
                  <c:pt idx="59">
                    <c:v>12</c:v>
                  </c:pt>
                  <c:pt idx="60">
                    <c:v>1</c:v>
                  </c:pt>
                  <c:pt idx="61">
                    <c:v>2</c:v>
                  </c:pt>
                  <c:pt idx="62">
                    <c:v>3</c:v>
                  </c:pt>
                  <c:pt idx="63">
                    <c:v>4</c:v>
                  </c:pt>
                  <c:pt idx="64">
                    <c:v>5</c:v>
                  </c:pt>
                  <c:pt idx="65">
                    <c:v>6</c:v>
                  </c:pt>
                  <c:pt idx="66">
                    <c:v>7</c:v>
                  </c:pt>
                  <c:pt idx="67">
                    <c:v>8</c:v>
                  </c:pt>
                  <c:pt idx="68">
                    <c:v>9</c:v>
                  </c:pt>
                  <c:pt idx="69">
                    <c:v>10</c:v>
                  </c:pt>
                  <c:pt idx="70">
                    <c:v>11</c:v>
                  </c:pt>
                  <c:pt idx="71">
                    <c:v>12</c:v>
                  </c:pt>
                </c:lvl>
                <c:lvl>
                  <c:pt idx="0">
                    <c:v>2020</c:v>
                  </c:pt>
                  <c:pt idx="12">
                    <c:v>2021</c:v>
                  </c:pt>
                  <c:pt idx="24">
                    <c:v>2022</c:v>
                  </c:pt>
                  <c:pt idx="36">
                    <c:v>2023</c:v>
                  </c:pt>
                  <c:pt idx="48">
                    <c:v>2024</c:v>
                  </c:pt>
                  <c:pt idx="60">
                    <c:v>2025</c:v>
                  </c:pt>
                </c:lvl>
              </c:multiLvlStrCache>
            </c:multiLvlStrRef>
          </c:cat>
          <c:val>
            <c:numRef>
              <c:f>'Měnové podmínky 1'!$F$30:$F$101</c:f>
              <c:numCache>
                <c:formatCode>General</c:formatCode>
                <c:ptCount val="72"/>
                <c:pt idx="0">
                  <c:v>1.55</c:v>
                </c:pt>
                <c:pt idx="1">
                  <c:v>1.57</c:v>
                </c:pt>
                <c:pt idx="2">
                  <c:v>1.27</c:v>
                </c:pt>
                <c:pt idx="3">
                  <c:v>0.71</c:v>
                </c:pt>
                <c:pt idx="4">
                  <c:v>0.13</c:v>
                </c:pt>
                <c:pt idx="5">
                  <c:v>0.08</c:v>
                </c:pt>
                <c:pt idx="6">
                  <c:v>0.02</c:v>
                </c:pt>
                <c:pt idx="7">
                  <c:v>0.04</c:v>
                </c:pt>
                <c:pt idx="8">
                  <c:v>0.05</c:v>
                </c:pt>
                <c:pt idx="9">
                  <c:v>0</c:v>
                </c:pt>
                <c:pt idx="10">
                  <c:v>0.06</c:v>
                </c:pt>
                <c:pt idx="11">
                  <c:v>0.16</c:v>
                </c:pt>
                <c:pt idx="12">
                  <c:v>0.26</c:v>
                </c:pt>
                <c:pt idx="13">
                  <c:v>0.45</c:v>
                </c:pt>
                <c:pt idx="14">
                  <c:v>0.75</c:v>
                </c:pt>
                <c:pt idx="15">
                  <c:v>0.76</c:v>
                </c:pt>
                <c:pt idx="16">
                  <c:v>0.76</c:v>
                </c:pt>
                <c:pt idx="17">
                  <c:v>0.69</c:v>
                </c:pt>
                <c:pt idx="18">
                  <c:v>0.84</c:v>
                </c:pt>
                <c:pt idx="19">
                  <c:v>1.24</c:v>
                </c:pt>
                <c:pt idx="20">
                  <c:v>1.6</c:v>
                </c:pt>
                <c:pt idx="21">
                  <c:v>2.29</c:v>
                </c:pt>
                <c:pt idx="22">
                  <c:v>3</c:v>
                </c:pt>
                <c:pt idx="23">
                  <c:v>3.07</c:v>
                </c:pt>
                <c:pt idx="24">
                  <c:v>3.81</c:v>
                </c:pt>
                <c:pt idx="25">
                  <c:v>3.77</c:v>
                </c:pt>
                <c:pt idx="26">
                  <c:v>4.54</c:v>
                </c:pt>
                <c:pt idx="27">
                  <c:v>5.13</c:v>
                </c:pt>
                <c:pt idx="28">
                  <c:v>5.65</c:v>
                </c:pt>
                <c:pt idx="29">
                  <c:v>6.26</c:v>
                </c:pt>
                <c:pt idx="30">
                  <c:v>6.38</c:v>
                </c:pt>
                <c:pt idx="31">
                  <c:v>5.86</c:v>
                </c:pt>
                <c:pt idx="32">
                  <c:v>5.9</c:v>
                </c:pt>
                <c:pt idx="33">
                  <c:v>6.18</c:v>
                </c:pt>
                <c:pt idx="34">
                  <c:v>5.68</c:v>
                </c:pt>
                <c:pt idx="35">
                  <c:v>5.19</c:v>
                </c:pt>
                <c:pt idx="36" formatCode="###\ ###\ ###\ ###\ ##0.00;\-###\ ###\ ###\ ###\ ##0.00">
                  <c:v>5.3820143358172814</c:v>
                </c:pt>
                <c:pt idx="37" formatCode="###\ ###\ ###\ ###\ ##0.00;\-###\ ###\ ###\ ###\ ##0.00">
                  <c:v>5.5102623550618501</c:v>
                </c:pt>
                <c:pt idx="38" formatCode="###\ ###\ ###\ ###\ ##0.00;\-###\ ###\ ###\ ###\ ##0.00">
                  <c:v>5.2897725027111999</c:v>
                </c:pt>
                <c:pt idx="39" formatCode="###\ ###\ ###\ ###\ ##0.00;\-###\ ###\ ###\ ###\ ##0.00">
                  <c:v>5.4232360381175866</c:v>
                </c:pt>
                <c:pt idx="40" formatCode="###\ ###\ ###\ ###\ ##0.00;\-###\ ###\ ###\ ###\ ##0.00">
                  <c:v>5.4162815888395777</c:v>
                </c:pt>
                <c:pt idx="41" formatCode="###\ ###\ ###\ ###\ ##0.00;\-###\ ###\ ###\ ###\ ##0.00">
                  <c:v>5.3664752553650841</c:v>
                </c:pt>
                <c:pt idx="42" formatCode="###\ ###\ ###\ ###\ ##0.00;\-###\ ###\ ###\ ###\ ##0.00">
                  <c:v>5.2428078558777935</c:v>
                </c:pt>
                <c:pt idx="43" formatCode="###\ ###\ ###\ ###\ ##0.00;\-###\ ###\ ###\ ###\ ##0.00">
                  <c:v>5.1353490658602521</c:v>
                </c:pt>
                <c:pt idx="44" formatCode="###\ ###\ ###\ ###\ ##0.00;\-###\ ###\ ###\ ###\ ##0.00">
                  <c:v>5.0416686003519704</c:v>
                </c:pt>
                <c:pt idx="45" formatCode="###\ ###\ ###\ ###\ ##0.00;\-###\ ###\ ###\ ###\ ##0.00">
                  <c:v>5.0079198294298592</c:v>
                </c:pt>
                <c:pt idx="46" formatCode="###\ ###\ ###\ ###\ ##0.00;\-###\ ###\ ###\ ###\ ##0.00">
                  <c:v>4.8554647740100689</c:v>
                </c:pt>
                <c:pt idx="47" formatCode="###\ ###\ ###\ ###\ ##0.00;\-###\ ###\ ###\ ###\ ##0.00">
                  <c:v>4.6053753410259048</c:v>
                </c:pt>
                <c:pt idx="48" formatCode="###\ ###\ ###\ ###\ ##0.00;\-###\ ###\ ###\ ###\ ##0.00">
                  <c:v>4.2136537187056122</c:v>
                </c:pt>
                <c:pt idx="49" formatCode="###\ ###\ ###\ ###\ ##0.00;\-###\ ###\ ###\ ###\ ##0.00">
                  <c:v>3.7766020145670578</c:v>
                </c:pt>
                <c:pt idx="50" formatCode="###\ ###\ ###\ ###\ ##0.00;\-###\ ###\ ###\ ###\ ##0.00">
                  <c:v>3.7279261080474861</c:v>
                </c:pt>
                <c:pt idx="51" formatCode="###\ ###\ ###\ ###\ ##0.00;\-###\ ###\ ###\ ###\ ##0.00">
                  <c:v>4.0118973322405145</c:v>
                </c:pt>
                <c:pt idx="52" formatCode="###\ ###\ ###\ ###\ ##0.00;\-###\ ###\ ###\ ###\ ##0.00">
                  <c:v>4.1300681765456435</c:v>
                </c:pt>
                <c:pt idx="53" formatCode="###\ ###\ ###\ ###\ ##0.00;\-###\ ###\ ###\ ###\ ##0.00">
                  <c:v>4.2164856033630391</c:v>
                </c:pt>
                <c:pt idx="54" formatCode="###\ ###\ ###\ ###\ ##0.00;\-###\ ###\ ###\ ###\ ##0.00">
                  <c:v>3.9029960800170911</c:v>
                </c:pt>
                <c:pt idx="55" formatCode="###\ ###\ ###\ ###\ ##0.00;\-###\ ###\ ###\ ###\ ##0.00">
                  <c:v>3.6092171953235983</c:v>
                </c:pt>
                <c:pt idx="56" formatCode="###\ ###\ ###\ ###\ ##0.00;\-###\ ###\ ###\ ###\ ##0.00">
                  <c:v>3.5038942508225221</c:v>
                </c:pt>
                <c:pt idx="57" formatCode="###\ ###\ ###\ ###\ ##0.00;\-###\ ###\ ###\ ###\ ##0.00">
                  <c:v>3.5913124701621322</c:v>
                </c:pt>
                <c:pt idx="58" formatCode="###\ ###\ ###\ ###\ ##0.00;\-###\ ###\ ###\ ###\ ##0.00">
                  <c:v>3.6229260484095986</c:v>
                </c:pt>
                <c:pt idx="59" formatCode="###\ ###\ ###\ ###\ ##0.00;\-###\ ###\ ###\ ###\ ##0.00">
                  <c:v>3.633213073730468</c:v>
                </c:pt>
                <c:pt idx="60" formatCode="###\ ###\ ###\ ###\ ##0.00;\-###\ ###\ ###\ ###\ ##0.00">
                  <c:v>3.6198225590376429</c:v>
                </c:pt>
                <c:pt idx="61" formatCode="###\ ###\ ###\ ###\ ##0.00;\-###\ ###\ ###\ ###\ ##0.00">
                  <c:v>3.4995673098754891</c:v>
                </c:pt>
                <c:pt idx="62" formatCode="###\ ###\ ###\ ###\ ##0.00;\-###\ ###\ ###\ ###\ ##0.00">
                  <c:v>3.4362126025099986</c:v>
                </c:pt>
                <c:pt idx="63" formatCode="###\ ###\ ###\ ###\ ##0.00;\-###\ ###\ ###\ ###\ ##0.00">
                  <c:v>3.3165813662414552</c:v>
                </c:pt>
                <c:pt idx="64" formatCode="###\ ###\ ###\ ###\ ##0.00;\-###\ ###\ ###\ ###\ ##0.00">
                  <c:v>3.381600528900147</c:v>
                </c:pt>
                <c:pt idx="65" formatCode="###\ ###\ ###\ ###\ ##0.00;\-###\ ###\ ###\ ###\ ##0.00">
                  <c:v>3.473857271350679</c:v>
                </c:pt>
                <c:pt idx="66" formatCode="###\ ###\ ###\ ###\ ##0.00;\-###\ ###\ ###\ ###\ ##0.00">
                  <c:v>3.5190819740892496</c:v>
                </c:pt>
                <c:pt idx="67" formatCode="###\ ###\ ###\ ###\ ##0.00;\-###\ ###\ ###\ ###\ ##0.00">
                  <c:v>3.4836667416091198</c:v>
                </c:pt>
                <c:pt idx="68" formatCode="###\ ###\ ###\ ###\ ##0.00;\-###\ ###\ ###\ ###\ ##0.00">
                  <c:v>3.5436249291853472</c:v>
                </c:pt>
                <c:pt idx="69" formatCode="###\ ###\ ###\ ###\ ##0.00;\-###\ ###\ ###\ ###\ ##0.00">
                  <c:v>3.574561141829057</c:v>
                </c:pt>
                <c:pt idx="70" formatCode="###\ ###\ ###\ ###\ ##0.00;\-###\ ###\ ###\ ###\ ##0.00">
                  <c:v>3.6337666942257352</c:v>
                </c:pt>
                <c:pt idx="71" formatCode="###\ ###\ ###\ ###\ ##0.00;\-###\ ###\ ###\ ###\ ##0.00">
                  <c:v>3.5964323584064695</c:v>
                </c:pt>
              </c:numCache>
            </c:numRef>
          </c:val>
          <c:smooth val="0"/>
          <c:extLst>
            <c:ext xmlns:c16="http://schemas.microsoft.com/office/drawing/2014/chart" uri="{C3380CC4-5D6E-409C-BE32-E72D297353CC}">
              <c16:uniqueId val="{00000001-1BD4-4E84-A2E1-E808B81EAEDF}"/>
            </c:ext>
          </c:extLst>
        </c:ser>
        <c:ser>
          <c:idx val="1"/>
          <c:order val="2"/>
          <c:tx>
            <c:strRef>
              <c:f>'Měnové podmínky 1'!$D$5</c:f>
              <c:strCache>
                <c:ptCount val="1"/>
                <c:pt idx="0">
                  <c:v>PRIBOR (3M)</c:v>
                </c:pt>
              </c:strCache>
            </c:strRef>
          </c:tx>
          <c:spPr>
            <a:ln w="19050">
              <a:solidFill>
                <a:srgbClr val="009CB5"/>
              </a:solidFill>
            </a:ln>
          </c:spPr>
          <c:marker>
            <c:symbol val="none"/>
          </c:marker>
          <c:cat>
            <c:multiLvlStrRef>
              <c:f>'Měnové podmínky 1'!$A$30:$B$101</c:f>
              <c:multiLvlStrCache>
                <c:ptCount val="72"/>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pt idx="18">
                    <c:v>7</c:v>
                  </c:pt>
                  <c:pt idx="19">
                    <c:v>8</c:v>
                  </c:pt>
                  <c:pt idx="20">
                    <c:v>9</c:v>
                  </c:pt>
                  <c:pt idx="21">
                    <c:v>10</c:v>
                  </c:pt>
                  <c:pt idx="22">
                    <c:v>11</c:v>
                  </c:pt>
                  <c:pt idx="23">
                    <c:v>12</c:v>
                  </c:pt>
                  <c:pt idx="24">
                    <c:v>1</c:v>
                  </c:pt>
                  <c:pt idx="25">
                    <c:v>2</c:v>
                  </c:pt>
                  <c:pt idx="26">
                    <c:v>3</c:v>
                  </c:pt>
                  <c:pt idx="27">
                    <c:v>4</c:v>
                  </c:pt>
                  <c:pt idx="28">
                    <c:v>5</c:v>
                  </c:pt>
                  <c:pt idx="29">
                    <c:v>6</c:v>
                  </c:pt>
                  <c:pt idx="30">
                    <c:v>7</c:v>
                  </c:pt>
                  <c:pt idx="31">
                    <c:v>8</c:v>
                  </c:pt>
                  <c:pt idx="32">
                    <c:v>9</c:v>
                  </c:pt>
                  <c:pt idx="33">
                    <c:v>10</c:v>
                  </c:pt>
                  <c:pt idx="34">
                    <c:v>11</c:v>
                  </c:pt>
                  <c:pt idx="35">
                    <c:v>12</c:v>
                  </c:pt>
                  <c:pt idx="36">
                    <c:v>1</c:v>
                  </c:pt>
                  <c:pt idx="37">
                    <c:v>2</c:v>
                  </c:pt>
                  <c:pt idx="38">
                    <c:v>3</c:v>
                  </c:pt>
                  <c:pt idx="39">
                    <c:v>4</c:v>
                  </c:pt>
                  <c:pt idx="40">
                    <c:v>5</c:v>
                  </c:pt>
                  <c:pt idx="41">
                    <c:v>6</c:v>
                  </c:pt>
                  <c:pt idx="42">
                    <c:v>7</c:v>
                  </c:pt>
                  <c:pt idx="43">
                    <c:v>8</c:v>
                  </c:pt>
                  <c:pt idx="44">
                    <c:v>9</c:v>
                  </c:pt>
                  <c:pt idx="45">
                    <c:v>10</c:v>
                  </c:pt>
                  <c:pt idx="46">
                    <c:v>11</c:v>
                  </c:pt>
                  <c:pt idx="47">
                    <c:v>12</c:v>
                  </c:pt>
                  <c:pt idx="48">
                    <c:v>1</c:v>
                  </c:pt>
                  <c:pt idx="49">
                    <c:v>2</c:v>
                  </c:pt>
                  <c:pt idx="50">
                    <c:v>3</c:v>
                  </c:pt>
                  <c:pt idx="51">
                    <c:v>4</c:v>
                  </c:pt>
                  <c:pt idx="52">
                    <c:v>5</c:v>
                  </c:pt>
                  <c:pt idx="53">
                    <c:v>6</c:v>
                  </c:pt>
                  <c:pt idx="54">
                    <c:v>7</c:v>
                  </c:pt>
                  <c:pt idx="55">
                    <c:v>8</c:v>
                  </c:pt>
                  <c:pt idx="56">
                    <c:v>9</c:v>
                  </c:pt>
                  <c:pt idx="57">
                    <c:v>10</c:v>
                  </c:pt>
                  <c:pt idx="58">
                    <c:v>11</c:v>
                  </c:pt>
                  <c:pt idx="59">
                    <c:v>12</c:v>
                  </c:pt>
                  <c:pt idx="60">
                    <c:v>1</c:v>
                  </c:pt>
                  <c:pt idx="61">
                    <c:v>2</c:v>
                  </c:pt>
                  <c:pt idx="62">
                    <c:v>3</c:v>
                  </c:pt>
                  <c:pt idx="63">
                    <c:v>4</c:v>
                  </c:pt>
                  <c:pt idx="64">
                    <c:v>5</c:v>
                  </c:pt>
                  <c:pt idx="65">
                    <c:v>6</c:v>
                  </c:pt>
                  <c:pt idx="66">
                    <c:v>7</c:v>
                  </c:pt>
                  <c:pt idx="67">
                    <c:v>8</c:v>
                  </c:pt>
                  <c:pt idx="68">
                    <c:v>9</c:v>
                  </c:pt>
                  <c:pt idx="69">
                    <c:v>10</c:v>
                  </c:pt>
                  <c:pt idx="70">
                    <c:v>11</c:v>
                  </c:pt>
                  <c:pt idx="71">
                    <c:v>12</c:v>
                  </c:pt>
                </c:lvl>
                <c:lvl>
                  <c:pt idx="0">
                    <c:v>2020</c:v>
                  </c:pt>
                  <c:pt idx="12">
                    <c:v>2021</c:v>
                  </c:pt>
                  <c:pt idx="24">
                    <c:v>2022</c:v>
                  </c:pt>
                  <c:pt idx="36">
                    <c:v>2023</c:v>
                  </c:pt>
                  <c:pt idx="48">
                    <c:v>2024</c:v>
                  </c:pt>
                  <c:pt idx="60">
                    <c:v>2025</c:v>
                  </c:pt>
                </c:lvl>
              </c:multiLvlStrCache>
            </c:multiLvlStrRef>
          </c:cat>
          <c:val>
            <c:numRef>
              <c:f>'Měnové podmínky 1'!$D$30:$D$101</c:f>
              <c:numCache>
                <c:formatCode>General</c:formatCode>
                <c:ptCount val="72"/>
                <c:pt idx="0">
                  <c:v>2.17</c:v>
                </c:pt>
                <c:pt idx="1">
                  <c:v>2.34</c:v>
                </c:pt>
                <c:pt idx="2">
                  <c:v>2</c:v>
                </c:pt>
                <c:pt idx="3">
                  <c:v>0.97</c:v>
                </c:pt>
                <c:pt idx="4">
                  <c:v>0.46</c:v>
                </c:pt>
                <c:pt idx="5">
                  <c:v>0.34</c:v>
                </c:pt>
                <c:pt idx="6">
                  <c:v>0.34</c:v>
                </c:pt>
                <c:pt idx="7">
                  <c:v>0.34</c:v>
                </c:pt>
                <c:pt idx="8">
                  <c:v>0.34</c:v>
                </c:pt>
                <c:pt idx="9">
                  <c:v>0.35</c:v>
                </c:pt>
                <c:pt idx="10">
                  <c:v>0.35</c:v>
                </c:pt>
                <c:pt idx="11">
                  <c:v>0.35</c:v>
                </c:pt>
                <c:pt idx="12">
                  <c:v>0.36</c:v>
                </c:pt>
                <c:pt idx="13">
                  <c:v>0.36</c:v>
                </c:pt>
                <c:pt idx="14">
                  <c:v>0.36</c:v>
                </c:pt>
                <c:pt idx="15">
                  <c:v>0.36</c:v>
                </c:pt>
                <c:pt idx="16">
                  <c:v>0.37</c:v>
                </c:pt>
                <c:pt idx="17">
                  <c:v>0.48</c:v>
                </c:pt>
                <c:pt idx="18">
                  <c:v>0.69</c:v>
                </c:pt>
                <c:pt idx="19">
                  <c:v>0.94</c:v>
                </c:pt>
                <c:pt idx="20">
                  <c:v>1.1100000000000001</c:v>
                </c:pt>
                <c:pt idx="21">
                  <c:v>2.02</c:v>
                </c:pt>
                <c:pt idx="22">
                  <c:v>2.97</c:v>
                </c:pt>
                <c:pt idx="23">
                  <c:v>3.5</c:v>
                </c:pt>
                <c:pt idx="24">
                  <c:v>4.21</c:v>
                </c:pt>
                <c:pt idx="25">
                  <c:v>4.6900000000000004</c:v>
                </c:pt>
                <c:pt idx="26">
                  <c:v>4.8600000000000003</c:v>
                </c:pt>
                <c:pt idx="27">
                  <c:v>5.36</c:v>
                </c:pt>
                <c:pt idx="28">
                  <c:v>5.97</c:v>
                </c:pt>
                <c:pt idx="29">
                  <c:v>6.64</c:v>
                </c:pt>
                <c:pt idx="30">
                  <c:v>7.3</c:v>
                </c:pt>
                <c:pt idx="31">
                  <c:v>7.27</c:v>
                </c:pt>
                <c:pt idx="32">
                  <c:v>7.25</c:v>
                </c:pt>
                <c:pt idx="33">
                  <c:v>7.28</c:v>
                </c:pt>
                <c:pt idx="34">
                  <c:v>7.27</c:v>
                </c:pt>
                <c:pt idx="35">
                  <c:v>7.26</c:v>
                </c:pt>
                <c:pt idx="36" formatCode="###\ ###\ ###\ ###\ ##0.00;\-###\ ###\ ###\ ###\ ##0.00">
                  <c:v>7.2161904761904765</c:v>
                </c:pt>
                <c:pt idx="37" formatCode="###\ ###\ ###\ ###\ ##0.00;\-###\ ###\ ###\ ###\ ##0.00">
                  <c:v>7.2010526315789471</c:v>
                </c:pt>
                <c:pt idx="38" formatCode="###\ ###\ ###\ ###\ ##0.00;\-###\ ###\ ###\ ###\ ##0.00">
                  <c:v>7.1931818181818183</c:v>
                </c:pt>
                <c:pt idx="39" formatCode="###\ ###\ ###\ ###\ ##0.00;\-###\ ###\ ###\ ###\ ##0.00">
                  <c:v>7.1788888888888893</c:v>
                </c:pt>
                <c:pt idx="40" formatCode="###\ ###\ ###\ ###\ ##0.00;\-###\ ###\ ###\ ###\ ##0.00">
                  <c:v>7.1790476190476191</c:v>
                </c:pt>
                <c:pt idx="41" formatCode="###\ ###\ ###\ ###\ ##0.00;\-###\ ###\ ###\ ###\ ##0.00">
                  <c:v>7.1472727272727274</c:v>
                </c:pt>
                <c:pt idx="42" formatCode="###\ ###\ ###\ ###\ ##0.00;\-###\ ###\ ###\ ###\ ##0.00">
                  <c:v>7.1121052631578952</c:v>
                </c:pt>
                <c:pt idx="43" formatCode="###\ ###\ ###\ ###\ ##0.00;\-###\ ###\ ###\ ###\ ##0.00">
                  <c:v>7.1030434782608696</c:v>
                </c:pt>
                <c:pt idx="44" formatCode="###\ ###\ ###\ ###\ ##0.00;\-###\ ###\ ###\ ###\ ##0.00">
                  <c:v>7.0895000000000001</c:v>
                </c:pt>
                <c:pt idx="45" formatCode="###\ ###\ ###\ ###\ ##0.00;\-###\ ###\ ###\ ###\ ##0.00">
                  <c:v>7.0472727272727269</c:v>
                </c:pt>
                <c:pt idx="46" formatCode="###\ ###\ ###\ ###\ ##0.00;\-###\ ###\ ###\ ###\ ##0.00">
                  <c:v>7.062380952380952</c:v>
                </c:pt>
                <c:pt idx="47" formatCode="###\ ###\ ###\ ###\ ##0.00;\-###\ ###\ ###\ ###\ ##0.00">
                  <c:v>6.9663157894736845</c:v>
                </c:pt>
                <c:pt idx="48" formatCode="###\ ###\ ###\ ###\ ##0.00;\-###\ ###\ ###\ ###\ ##0.00">
                  <c:v>6.6340909090909088</c:v>
                </c:pt>
                <c:pt idx="49" formatCode="###\ ###\ ###\ ###\ ##0.00;\-###\ ###\ ###\ ###\ ##0.00">
                  <c:v>6.2019047619047623</c:v>
                </c:pt>
                <c:pt idx="50" formatCode="###\ ###\ ###\ ###\ ##0.00;\-###\ ###\ ###\ ###\ ##0.00">
                  <c:v>5.8363157894736846</c:v>
                </c:pt>
                <c:pt idx="51" formatCode="###\ ###\ ###\ ###\ ##0.00;\-###\ ###\ ###\ ###\ ##0.00">
                  <c:v>5.5461904761904766</c:v>
                </c:pt>
                <c:pt idx="52" formatCode="###\ ###\ ###\ ###\ ##0.00;\-###\ ###\ ###\ ###\ ##0.00">
                  <c:v>5.1704761904761902</c:v>
                </c:pt>
                <c:pt idx="53" formatCode="###\ ###\ ###\ ###\ ##0.00;\-###\ ###\ ###\ ###\ ##0.00">
                  <c:v>5.0274999999999999</c:v>
                </c:pt>
                <c:pt idx="54" formatCode="###\ ###\ ###\ ###\ ##0.00;\-###\ ###\ ###\ ###\ ##0.00">
                  <c:v>4.6090909090909093</c:v>
                </c:pt>
                <c:pt idx="55" formatCode="###\ ###\ ###\ ###\ ##0.00;\-###\ ###\ ###\ ###\ ##0.00">
                  <c:v>4.4118181818181821</c:v>
                </c:pt>
                <c:pt idx="56" formatCode="###\ ###\ ###\ ###\ ##0.00;\-###\ ###\ ###\ ###\ ##0.00">
                  <c:v>4.3004761904761901</c:v>
                </c:pt>
                <c:pt idx="57" formatCode="###\ ###\ ###\ ###\ ##0.00;\-###\ ###\ ###\ ###\ ##0.00">
                  <c:v>4.1322727272727269</c:v>
                </c:pt>
                <c:pt idx="58" formatCode="###\ ###\ ###\ ###\ ##0.00;\-###\ ###\ ###\ ###\ ##0.00">
                  <c:v>3.9452380952380954</c:v>
                </c:pt>
                <c:pt idx="59" formatCode="###\ ###\ ###\ ###\ ##0.00;\-###\ ###\ ###\ ###\ ##0.00">
                  <c:v>3.9066666666666667</c:v>
                </c:pt>
                <c:pt idx="60" formatCode="###\ ###\ ###\ ###\ ##0.00;\-###\ ###\ ###\ ###\ ##0.00">
                  <c:v>3.8804545454545454</c:v>
                </c:pt>
                <c:pt idx="61" formatCode="###\ ###\ ###\ ###\ ##0.00;\-###\ ###\ ###\ ###\ ##0.00">
                  <c:v>3.756842105263158</c:v>
                </c:pt>
                <c:pt idx="62" formatCode="###\ ###\ ###\ ###\ ##0.00;\-###\ ###\ ###\ ###\ ##0.00">
                  <c:v>3.7164999999999999</c:v>
                </c:pt>
                <c:pt idx="63" formatCode="###\ ###\ ###\ ###\ ##0.00;\-###\ ###\ ###\ ###\ ##0.00">
                  <c:v>3.68</c:v>
                </c:pt>
                <c:pt idx="64" formatCode="###\ ###\ ###\ ###\ ##0.00;\-###\ ###\ ###\ ###\ ##0.00">
                  <c:v>3.5357894736842104</c:v>
                </c:pt>
                <c:pt idx="65" formatCode="###\ ###\ ###\ ###\ ##0.00;\-###\ ###\ ###\ ###\ ##0.00">
                  <c:v>3.5114999999999998</c:v>
                </c:pt>
                <c:pt idx="66" formatCode="###\ ###\ ###\ ###\ ##0.00;\-###\ ###\ ###\ ###\ ##0.00">
                  <c:v>3.4930434782608697</c:v>
                </c:pt>
                <c:pt idx="67" formatCode="###\ ###\ ###\ ###\ ##0.00;\-###\ ###\ ###\ ###\ ##0.00">
                  <c:v>3.5024999999999999</c:v>
                </c:pt>
                <c:pt idx="68" formatCode="###\ ###\ ###\ ###\ ##0.00;\-###\ ###\ ###\ ###\ ##0.00">
                  <c:v>3.4909523809523808</c:v>
                </c:pt>
                <c:pt idx="69" formatCode="###\ ###\ ###\ ###\ ##0.00;\-###\ ###\ ###\ ###\ ##0.00">
                  <c:v>3.5263636363636364</c:v>
                </c:pt>
                <c:pt idx="70" formatCode="###\ ###\ ###\ ###\ ##0.00;\-###\ ###\ ###\ ###\ ##0.00">
                  <c:v>3.5516666666666667</c:v>
                </c:pt>
                <c:pt idx="71" formatCode="###\ ###\ ###\ ###\ ##0.00;\-###\ ###\ ###\ ###\ ##0.00">
                  <c:v>3.54</c:v>
                </c:pt>
              </c:numCache>
            </c:numRef>
          </c:val>
          <c:smooth val="0"/>
          <c:extLst>
            <c:ext xmlns:c16="http://schemas.microsoft.com/office/drawing/2014/chart" uri="{C3380CC4-5D6E-409C-BE32-E72D297353CC}">
              <c16:uniqueId val="{00000002-1BD4-4E84-A2E1-E808B81EAEDF}"/>
            </c:ext>
          </c:extLst>
        </c:ser>
        <c:ser>
          <c:idx val="4"/>
          <c:order val="3"/>
          <c:tx>
            <c:strRef>
              <c:f>'Měnové podmínky 1'!$G$5</c:f>
              <c:strCache>
                <c:ptCount val="1"/>
                <c:pt idx="0">
                  <c:v>Průměrný výnos státních dluhopisů (5Y)</c:v>
                </c:pt>
              </c:strCache>
            </c:strRef>
          </c:tx>
          <c:spPr>
            <a:ln w="19050">
              <a:solidFill>
                <a:srgbClr val="CC9610"/>
              </a:solidFill>
            </a:ln>
          </c:spPr>
          <c:marker>
            <c:symbol val="none"/>
          </c:marker>
          <c:cat>
            <c:multiLvlStrRef>
              <c:f>'Měnové podmínky 1'!$A$30:$B$101</c:f>
              <c:multiLvlStrCache>
                <c:ptCount val="72"/>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pt idx="18">
                    <c:v>7</c:v>
                  </c:pt>
                  <c:pt idx="19">
                    <c:v>8</c:v>
                  </c:pt>
                  <c:pt idx="20">
                    <c:v>9</c:v>
                  </c:pt>
                  <c:pt idx="21">
                    <c:v>10</c:v>
                  </c:pt>
                  <c:pt idx="22">
                    <c:v>11</c:v>
                  </c:pt>
                  <c:pt idx="23">
                    <c:v>12</c:v>
                  </c:pt>
                  <c:pt idx="24">
                    <c:v>1</c:v>
                  </c:pt>
                  <c:pt idx="25">
                    <c:v>2</c:v>
                  </c:pt>
                  <c:pt idx="26">
                    <c:v>3</c:v>
                  </c:pt>
                  <c:pt idx="27">
                    <c:v>4</c:v>
                  </c:pt>
                  <c:pt idx="28">
                    <c:v>5</c:v>
                  </c:pt>
                  <c:pt idx="29">
                    <c:v>6</c:v>
                  </c:pt>
                  <c:pt idx="30">
                    <c:v>7</c:v>
                  </c:pt>
                  <c:pt idx="31">
                    <c:v>8</c:v>
                  </c:pt>
                  <c:pt idx="32">
                    <c:v>9</c:v>
                  </c:pt>
                  <c:pt idx="33">
                    <c:v>10</c:v>
                  </c:pt>
                  <c:pt idx="34">
                    <c:v>11</c:v>
                  </c:pt>
                  <c:pt idx="35">
                    <c:v>12</c:v>
                  </c:pt>
                  <c:pt idx="36">
                    <c:v>1</c:v>
                  </c:pt>
                  <c:pt idx="37">
                    <c:v>2</c:v>
                  </c:pt>
                  <c:pt idx="38">
                    <c:v>3</c:v>
                  </c:pt>
                  <c:pt idx="39">
                    <c:v>4</c:v>
                  </c:pt>
                  <c:pt idx="40">
                    <c:v>5</c:v>
                  </c:pt>
                  <c:pt idx="41">
                    <c:v>6</c:v>
                  </c:pt>
                  <c:pt idx="42">
                    <c:v>7</c:v>
                  </c:pt>
                  <c:pt idx="43">
                    <c:v>8</c:v>
                  </c:pt>
                  <c:pt idx="44">
                    <c:v>9</c:v>
                  </c:pt>
                  <c:pt idx="45">
                    <c:v>10</c:v>
                  </c:pt>
                  <c:pt idx="46">
                    <c:v>11</c:v>
                  </c:pt>
                  <c:pt idx="47">
                    <c:v>12</c:v>
                  </c:pt>
                  <c:pt idx="48">
                    <c:v>1</c:v>
                  </c:pt>
                  <c:pt idx="49">
                    <c:v>2</c:v>
                  </c:pt>
                  <c:pt idx="50">
                    <c:v>3</c:v>
                  </c:pt>
                  <c:pt idx="51">
                    <c:v>4</c:v>
                  </c:pt>
                  <c:pt idx="52">
                    <c:v>5</c:v>
                  </c:pt>
                  <c:pt idx="53">
                    <c:v>6</c:v>
                  </c:pt>
                  <c:pt idx="54">
                    <c:v>7</c:v>
                  </c:pt>
                  <c:pt idx="55">
                    <c:v>8</c:v>
                  </c:pt>
                  <c:pt idx="56">
                    <c:v>9</c:v>
                  </c:pt>
                  <c:pt idx="57">
                    <c:v>10</c:v>
                  </c:pt>
                  <c:pt idx="58">
                    <c:v>11</c:v>
                  </c:pt>
                  <c:pt idx="59">
                    <c:v>12</c:v>
                  </c:pt>
                  <c:pt idx="60">
                    <c:v>1</c:v>
                  </c:pt>
                  <c:pt idx="61">
                    <c:v>2</c:v>
                  </c:pt>
                  <c:pt idx="62">
                    <c:v>3</c:v>
                  </c:pt>
                  <c:pt idx="63">
                    <c:v>4</c:v>
                  </c:pt>
                  <c:pt idx="64">
                    <c:v>5</c:v>
                  </c:pt>
                  <c:pt idx="65">
                    <c:v>6</c:v>
                  </c:pt>
                  <c:pt idx="66">
                    <c:v>7</c:v>
                  </c:pt>
                  <c:pt idx="67">
                    <c:v>8</c:v>
                  </c:pt>
                  <c:pt idx="68">
                    <c:v>9</c:v>
                  </c:pt>
                  <c:pt idx="69">
                    <c:v>10</c:v>
                  </c:pt>
                  <c:pt idx="70">
                    <c:v>11</c:v>
                  </c:pt>
                  <c:pt idx="71">
                    <c:v>12</c:v>
                  </c:pt>
                </c:lvl>
                <c:lvl>
                  <c:pt idx="0">
                    <c:v>2020</c:v>
                  </c:pt>
                  <c:pt idx="12">
                    <c:v>2021</c:v>
                  </c:pt>
                  <c:pt idx="24">
                    <c:v>2022</c:v>
                  </c:pt>
                  <c:pt idx="36">
                    <c:v>2023</c:v>
                  </c:pt>
                  <c:pt idx="48">
                    <c:v>2024</c:v>
                  </c:pt>
                  <c:pt idx="60">
                    <c:v>2025</c:v>
                  </c:pt>
                </c:lvl>
              </c:multiLvlStrCache>
            </c:multiLvlStrRef>
          </c:cat>
          <c:val>
            <c:numRef>
              <c:f>'Měnové podmínky 1'!$G$30:$G$101</c:f>
              <c:numCache>
                <c:formatCode>General</c:formatCode>
                <c:ptCount val="72"/>
                <c:pt idx="0">
                  <c:v>1.51</c:v>
                </c:pt>
                <c:pt idx="1">
                  <c:v>1.52</c:v>
                </c:pt>
                <c:pt idx="2">
                  <c:v>1.23</c:v>
                </c:pt>
                <c:pt idx="3">
                  <c:v>1.06</c:v>
                </c:pt>
                <c:pt idx="4">
                  <c:v>0.56999999999999995</c:v>
                </c:pt>
                <c:pt idx="5">
                  <c:v>0.52</c:v>
                </c:pt>
                <c:pt idx="6">
                  <c:v>0.52</c:v>
                </c:pt>
                <c:pt idx="7">
                  <c:v>0.57999999999999996</c:v>
                </c:pt>
                <c:pt idx="8">
                  <c:v>0.57999999999999996</c:v>
                </c:pt>
                <c:pt idx="9">
                  <c:v>0.54</c:v>
                </c:pt>
                <c:pt idx="10">
                  <c:v>0.66</c:v>
                </c:pt>
                <c:pt idx="11">
                  <c:v>0.8</c:v>
                </c:pt>
                <c:pt idx="12">
                  <c:v>0.82</c:v>
                </c:pt>
                <c:pt idx="13">
                  <c:v>1.06</c:v>
                </c:pt>
                <c:pt idx="14">
                  <c:v>1.4</c:v>
                </c:pt>
                <c:pt idx="15">
                  <c:v>1.43</c:v>
                </c:pt>
                <c:pt idx="16">
                  <c:v>1.47</c:v>
                </c:pt>
                <c:pt idx="17">
                  <c:v>1.55</c:v>
                </c:pt>
                <c:pt idx="18">
                  <c:v>1.63</c:v>
                </c:pt>
                <c:pt idx="19">
                  <c:v>1.68</c:v>
                </c:pt>
                <c:pt idx="20">
                  <c:v>1.87</c:v>
                </c:pt>
                <c:pt idx="21">
                  <c:v>2.37</c:v>
                </c:pt>
                <c:pt idx="22">
                  <c:v>2.84</c:v>
                </c:pt>
                <c:pt idx="23">
                  <c:v>2.84</c:v>
                </c:pt>
                <c:pt idx="24">
                  <c:v>3.36</c:v>
                </c:pt>
                <c:pt idx="25">
                  <c:v>3.2</c:v>
                </c:pt>
                <c:pt idx="26">
                  <c:v>3.85</c:v>
                </c:pt>
                <c:pt idx="27">
                  <c:v>4.54</c:v>
                </c:pt>
                <c:pt idx="28">
                  <c:v>4.99</c:v>
                </c:pt>
                <c:pt idx="29">
                  <c:v>5.49</c:v>
                </c:pt>
                <c:pt idx="30">
                  <c:v>5.12</c:v>
                </c:pt>
                <c:pt idx="31">
                  <c:v>4.67</c:v>
                </c:pt>
                <c:pt idx="32">
                  <c:v>5.0599999999999996</c:v>
                </c:pt>
                <c:pt idx="33">
                  <c:v>5.69</c:v>
                </c:pt>
                <c:pt idx="34">
                  <c:v>5.31</c:v>
                </c:pt>
                <c:pt idx="35">
                  <c:v>4.9000000000000004</c:v>
                </c:pt>
                <c:pt idx="36" formatCode="###\ ###\ ###\ ###\ ##0.00;\-###\ ###\ ###\ ###\ ##0.00">
                  <c:v>4.7307064721228871</c:v>
                </c:pt>
                <c:pt idx="37" formatCode="###\ ###\ ###\ ###\ ##0.00;\-###\ ###\ ###\ ###\ ##0.00">
                  <c:v>4.869274267276765</c:v>
                </c:pt>
                <c:pt idx="38" formatCode="###\ ###\ ###\ ###\ ##0.00;\-###\ ###\ ###\ ###\ ##0.00">
                  <c:v>4.8901662581800389</c:v>
                </c:pt>
                <c:pt idx="39" formatCode="###\ ###\ ###\ ###\ ##0.00;\-###\ ###\ ###\ ###\ ##0.00">
                  <c:v>4.9165403661897455</c:v>
                </c:pt>
                <c:pt idx="40" formatCode="###\ ###\ ###\ ###\ ##0.00;\-###\ ###\ ###\ ###\ ##0.00">
                  <c:v>4.8278684891401031</c:v>
                </c:pt>
                <c:pt idx="41" formatCode="###\ ###\ ###\ ###\ ##0.00;\-###\ ###\ ###\ ###\ ##0.00">
                  <c:v>4.641252073600076</c:v>
                </c:pt>
                <c:pt idx="42" formatCode="###\ ###\ ###\ ###\ ##0.00;\-###\ ###\ ###\ ###\ ##0.00">
                  <c:v>4.3712476122939803</c:v>
                </c:pt>
                <c:pt idx="43" formatCode="###\ ###\ ###\ ###\ ##0.00;\-###\ ###\ ###\ ###\ ##0.00">
                  <c:v>4.4394883944569479</c:v>
                </c:pt>
                <c:pt idx="44" formatCode="###\ ###\ ###\ ###\ ##0.00;\-###\ ###\ ###\ ###\ ##0.00">
                  <c:v>4.5697569170379646</c:v>
                </c:pt>
                <c:pt idx="45" formatCode="###\ ###\ ###\ ###\ ##0.00;\-###\ ###\ ###\ ###\ ##0.00">
                  <c:v>4.6213398432367514</c:v>
                </c:pt>
                <c:pt idx="46" formatCode="###\ ###\ ###\ ###\ ##0.00;\-###\ ###\ ###\ ###\ ##0.00">
                  <c:v>4.3189525391351618</c:v>
                </c:pt>
                <c:pt idx="47" formatCode="###\ ###\ ###\ ###\ ##0.00;\-###\ ###\ ###\ ###\ ##0.00">
                  <c:v>3.9581509254616192</c:v>
                </c:pt>
                <c:pt idx="48" formatCode="###\ ###\ ###\ ###\ ##0.00;\-###\ ###\ ###\ ###\ ##0.00">
                  <c:v>3.7948081133062201</c:v>
                </c:pt>
                <c:pt idx="49" formatCode="###\ ###\ ###\ ###\ ##0.00;\-###\ ###\ ###\ ###\ ##0.00">
                  <c:v>3.5373832658022923</c:v>
                </c:pt>
                <c:pt idx="50" formatCode="###\ ###\ ###\ ###\ ##0.00;\-###\ ###\ ###\ ###\ ##0.00">
                  <c:v>3.5659496523361214</c:v>
                </c:pt>
                <c:pt idx="51" formatCode="###\ ###\ ###\ ###\ ##0.00;\-###\ ###\ ###\ ###\ ##0.00">
                  <c:v>4.0341267380705332</c:v>
                </c:pt>
                <c:pt idx="52" formatCode="###\ ###\ ###\ ###\ ##0.00;\-###\ ###\ ###\ ###\ ##0.00">
                  <c:v>4.0872759187026269</c:v>
                </c:pt>
                <c:pt idx="53" formatCode="###\ ###\ ###\ ###\ ##0.00;\-###\ ###\ ###\ ###\ ##0.00">
                  <c:v>4.1227102073974615</c:v>
                </c:pt>
                <c:pt idx="54" formatCode="###\ ###\ ###\ ###\ ##0.00;\-###\ ###\ ###\ ###\ ##0.00">
                  <c:v>3.7623325475565603</c:v>
                </c:pt>
                <c:pt idx="55" formatCode="###\ ###\ ###\ ###\ ##0.00;\-###\ ###\ ###\ ###\ ##0.00">
                  <c:v>3.5039129182503443</c:v>
                </c:pt>
                <c:pt idx="56" formatCode="###\ ###\ ###\ ###\ ##0.00;\-###\ ###\ ###\ ###\ ##0.00">
                  <c:v>3.4678035691094786</c:v>
                </c:pt>
                <c:pt idx="57" formatCode="###\ ###\ ###\ ###\ ##0.00;\-###\ ###\ ###\ ###\ ##0.00">
                  <c:v>3.6478032298510006</c:v>
                </c:pt>
                <c:pt idx="58" formatCode="###\ ###\ ###\ ###\ ##0.00;\-###\ ###\ ###\ ###\ ##0.00">
                  <c:v>3.6973093706088598</c:v>
                </c:pt>
                <c:pt idx="59" formatCode="###\ ###\ ###\ ###\ ##0.00;\-###\ ###\ ###\ ###\ ##0.00">
                  <c:v>3.7325675120007555</c:v>
                </c:pt>
                <c:pt idx="60" formatCode="###\ ###\ ###\ ###\ ##0.00;\-###\ ###\ ###\ ###\ ##0.00">
                  <c:v>3.7588141404146134</c:v>
                </c:pt>
                <c:pt idx="61" formatCode="###\ ###\ ###\ ###\ ##0.00;\-###\ ###\ ###\ ###\ ##0.00">
                  <c:v>3.6352823803920744</c:v>
                </c:pt>
                <c:pt idx="62" formatCode="###\ ###\ ###\ ###\ ##0.00;\-###\ ###\ ###\ ###\ ##0.00">
                  <c:v>3.7899252239626939</c:v>
                </c:pt>
                <c:pt idx="63" formatCode="###\ ###\ ###\ ###\ ##0.00;\-###\ ###\ ###\ ###\ ##0.00">
                  <c:v>3.6082305577112832</c:v>
                </c:pt>
                <c:pt idx="64" formatCode="###\ ###\ ###\ ###\ ##0.00;\-###\ ###\ ###\ ###\ ##0.00">
                  <c:v>3.6407699215316769</c:v>
                </c:pt>
                <c:pt idx="65" formatCode="###\ ###\ ###\ ###\ ##0.00;\-###\ ###\ ###\ ###\ ##0.00">
                  <c:v>3.7391957632436612</c:v>
                </c:pt>
                <c:pt idx="66" formatCode="###\ ###\ ###\ ###\ ##0.00;\-###\ ###\ ###\ ###\ ##0.00">
                  <c:v>3.8233096920115157</c:v>
                </c:pt>
                <c:pt idx="67" formatCode="###\ ###\ ###\ ###\ ##0.00;\-###\ ###\ ###\ ###\ ##0.00">
                  <c:v>3.8536075264749683</c:v>
                </c:pt>
                <c:pt idx="68" formatCode="###\ ###\ ###\ ###\ ##0.00;\-###\ ###\ ###\ ###\ ##0.00">
                  <c:v>3.9325922037802039</c:v>
                </c:pt>
                <c:pt idx="69" formatCode="###\ ###\ ###\ ###\ ##0.00;\-###\ ###\ ###\ ###\ ##0.00">
                  <c:v>3.9580321574258517</c:v>
                </c:pt>
                <c:pt idx="70" formatCode="###\ ###\ ###\ ###\ ##0.00;\-###\ ###\ ###\ ###\ ##0.00">
                  <c:v>4.0644120306794917</c:v>
                </c:pt>
                <c:pt idx="71" formatCode="###\ ###\ ###\ ###\ ##0.00;\-###\ ###\ ###\ ###\ ##0.00">
                  <c:v>4.1202900348510756</c:v>
                </c:pt>
              </c:numCache>
            </c:numRef>
          </c:val>
          <c:smooth val="0"/>
          <c:extLst>
            <c:ext xmlns:c16="http://schemas.microsoft.com/office/drawing/2014/chart" uri="{C3380CC4-5D6E-409C-BE32-E72D297353CC}">
              <c16:uniqueId val="{00000003-1BD4-4E84-A2E1-E808B81EAEDF}"/>
            </c:ext>
          </c:extLst>
        </c:ser>
        <c:ser>
          <c:idx val="2"/>
          <c:order val="4"/>
          <c:tx>
            <c:strRef>
              <c:f>'Měnové podmínky 1'!$E$5</c:f>
              <c:strCache>
                <c:ptCount val="1"/>
                <c:pt idx="0">
                  <c:v>PRIBOR (1Y)</c:v>
                </c:pt>
              </c:strCache>
            </c:strRef>
          </c:tx>
          <c:spPr>
            <a:ln w="19050">
              <a:solidFill>
                <a:srgbClr val="BC5B80"/>
              </a:solidFill>
            </a:ln>
          </c:spPr>
          <c:marker>
            <c:symbol val="none"/>
          </c:marker>
          <c:cat>
            <c:multiLvlStrRef>
              <c:f>'Měnové podmínky 1'!$A$30:$B$101</c:f>
              <c:multiLvlStrCache>
                <c:ptCount val="72"/>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pt idx="18">
                    <c:v>7</c:v>
                  </c:pt>
                  <c:pt idx="19">
                    <c:v>8</c:v>
                  </c:pt>
                  <c:pt idx="20">
                    <c:v>9</c:v>
                  </c:pt>
                  <c:pt idx="21">
                    <c:v>10</c:v>
                  </c:pt>
                  <c:pt idx="22">
                    <c:v>11</c:v>
                  </c:pt>
                  <c:pt idx="23">
                    <c:v>12</c:v>
                  </c:pt>
                  <c:pt idx="24">
                    <c:v>1</c:v>
                  </c:pt>
                  <c:pt idx="25">
                    <c:v>2</c:v>
                  </c:pt>
                  <c:pt idx="26">
                    <c:v>3</c:v>
                  </c:pt>
                  <c:pt idx="27">
                    <c:v>4</c:v>
                  </c:pt>
                  <c:pt idx="28">
                    <c:v>5</c:v>
                  </c:pt>
                  <c:pt idx="29">
                    <c:v>6</c:v>
                  </c:pt>
                  <c:pt idx="30">
                    <c:v>7</c:v>
                  </c:pt>
                  <c:pt idx="31">
                    <c:v>8</c:v>
                  </c:pt>
                  <c:pt idx="32">
                    <c:v>9</c:v>
                  </c:pt>
                  <c:pt idx="33">
                    <c:v>10</c:v>
                  </c:pt>
                  <c:pt idx="34">
                    <c:v>11</c:v>
                  </c:pt>
                  <c:pt idx="35">
                    <c:v>12</c:v>
                  </c:pt>
                  <c:pt idx="36">
                    <c:v>1</c:v>
                  </c:pt>
                  <c:pt idx="37">
                    <c:v>2</c:v>
                  </c:pt>
                  <c:pt idx="38">
                    <c:v>3</c:v>
                  </c:pt>
                  <c:pt idx="39">
                    <c:v>4</c:v>
                  </c:pt>
                  <c:pt idx="40">
                    <c:v>5</c:v>
                  </c:pt>
                  <c:pt idx="41">
                    <c:v>6</c:v>
                  </c:pt>
                  <c:pt idx="42">
                    <c:v>7</c:v>
                  </c:pt>
                  <c:pt idx="43">
                    <c:v>8</c:v>
                  </c:pt>
                  <c:pt idx="44">
                    <c:v>9</c:v>
                  </c:pt>
                  <c:pt idx="45">
                    <c:v>10</c:v>
                  </c:pt>
                  <c:pt idx="46">
                    <c:v>11</c:v>
                  </c:pt>
                  <c:pt idx="47">
                    <c:v>12</c:v>
                  </c:pt>
                  <c:pt idx="48">
                    <c:v>1</c:v>
                  </c:pt>
                  <c:pt idx="49">
                    <c:v>2</c:v>
                  </c:pt>
                  <c:pt idx="50">
                    <c:v>3</c:v>
                  </c:pt>
                  <c:pt idx="51">
                    <c:v>4</c:v>
                  </c:pt>
                  <c:pt idx="52">
                    <c:v>5</c:v>
                  </c:pt>
                  <c:pt idx="53">
                    <c:v>6</c:v>
                  </c:pt>
                  <c:pt idx="54">
                    <c:v>7</c:v>
                  </c:pt>
                  <c:pt idx="55">
                    <c:v>8</c:v>
                  </c:pt>
                  <c:pt idx="56">
                    <c:v>9</c:v>
                  </c:pt>
                  <c:pt idx="57">
                    <c:v>10</c:v>
                  </c:pt>
                  <c:pt idx="58">
                    <c:v>11</c:v>
                  </c:pt>
                  <c:pt idx="59">
                    <c:v>12</c:v>
                  </c:pt>
                  <c:pt idx="60">
                    <c:v>1</c:v>
                  </c:pt>
                  <c:pt idx="61">
                    <c:v>2</c:v>
                  </c:pt>
                  <c:pt idx="62">
                    <c:v>3</c:v>
                  </c:pt>
                  <c:pt idx="63">
                    <c:v>4</c:v>
                  </c:pt>
                  <c:pt idx="64">
                    <c:v>5</c:v>
                  </c:pt>
                  <c:pt idx="65">
                    <c:v>6</c:v>
                  </c:pt>
                  <c:pt idx="66">
                    <c:v>7</c:v>
                  </c:pt>
                  <c:pt idx="67">
                    <c:v>8</c:v>
                  </c:pt>
                  <c:pt idx="68">
                    <c:v>9</c:v>
                  </c:pt>
                  <c:pt idx="69">
                    <c:v>10</c:v>
                  </c:pt>
                  <c:pt idx="70">
                    <c:v>11</c:v>
                  </c:pt>
                  <c:pt idx="71">
                    <c:v>12</c:v>
                  </c:pt>
                </c:lvl>
                <c:lvl>
                  <c:pt idx="0">
                    <c:v>2020</c:v>
                  </c:pt>
                  <c:pt idx="12">
                    <c:v>2021</c:v>
                  </c:pt>
                  <c:pt idx="24">
                    <c:v>2022</c:v>
                  </c:pt>
                  <c:pt idx="36">
                    <c:v>2023</c:v>
                  </c:pt>
                  <c:pt idx="48">
                    <c:v>2024</c:v>
                  </c:pt>
                  <c:pt idx="60">
                    <c:v>2025</c:v>
                  </c:pt>
                </c:lvl>
              </c:multiLvlStrCache>
            </c:multiLvlStrRef>
          </c:cat>
          <c:val>
            <c:numRef>
              <c:f>'Měnové podmínky 1'!$E$30:$E$101</c:f>
              <c:numCache>
                <c:formatCode>General</c:formatCode>
                <c:ptCount val="72"/>
                <c:pt idx="0">
                  <c:v>2.27</c:v>
                </c:pt>
                <c:pt idx="1">
                  <c:v>2.42</c:v>
                </c:pt>
                <c:pt idx="2">
                  <c:v>2.0099999999999998</c:v>
                </c:pt>
                <c:pt idx="3">
                  <c:v>0.92</c:v>
                </c:pt>
                <c:pt idx="4">
                  <c:v>0.51</c:v>
                </c:pt>
                <c:pt idx="5">
                  <c:v>0.43</c:v>
                </c:pt>
                <c:pt idx="6">
                  <c:v>0.43</c:v>
                </c:pt>
                <c:pt idx="7">
                  <c:v>0.43</c:v>
                </c:pt>
                <c:pt idx="8">
                  <c:v>0.44</c:v>
                </c:pt>
                <c:pt idx="9">
                  <c:v>0.43</c:v>
                </c:pt>
                <c:pt idx="10">
                  <c:v>0.44</c:v>
                </c:pt>
                <c:pt idx="11">
                  <c:v>0.49</c:v>
                </c:pt>
                <c:pt idx="12">
                  <c:v>0.49</c:v>
                </c:pt>
                <c:pt idx="13">
                  <c:v>0.54</c:v>
                </c:pt>
                <c:pt idx="14">
                  <c:v>0.56000000000000005</c:v>
                </c:pt>
                <c:pt idx="15">
                  <c:v>0.56000000000000005</c:v>
                </c:pt>
                <c:pt idx="16">
                  <c:v>0.67</c:v>
                </c:pt>
                <c:pt idx="17">
                  <c:v>0.78</c:v>
                </c:pt>
                <c:pt idx="18">
                  <c:v>1</c:v>
                </c:pt>
                <c:pt idx="19">
                  <c:v>1.3</c:v>
                </c:pt>
                <c:pt idx="20">
                  <c:v>1.52</c:v>
                </c:pt>
                <c:pt idx="21">
                  <c:v>2.44</c:v>
                </c:pt>
                <c:pt idx="22">
                  <c:v>3.5</c:v>
                </c:pt>
                <c:pt idx="23">
                  <c:v>3.96</c:v>
                </c:pt>
                <c:pt idx="24">
                  <c:v>4.55</c:v>
                </c:pt>
                <c:pt idx="25">
                  <c:v>4.87</c:v>
                </c:pt>
                <c:pt idx="26">
                  <c:v>5.12</c:v>
                </c:pt>
                <c:pt idx="27">
                  <c:v>5.74</c:v>
                </c:pt>
                <c:pt idx="28">
                  <c:v>6.33</c:v>
                </c:pt>
                <c:pt idx="29">
                  <c:v>7.02</c:v>
                </c:pt>
                <c:pt idx="30">
                  <c:v>7.55</c:v>
                </c:pt>
                <c:pt idx="31">
                  <c:v>7.48</c:v>
                </c:pt>
                <c:pt idx="32">
                  <c:v>7.44</c:v>
                </c:pt>
                <c:pt idx="33">
                  <c:v>7.45</c:v>
                </c:pt>
                <c:pt idx="34">
                  <c:v>7.39</c:v>
                </c:pt>
                <c:pt idx="35">
                  <c:v>7.28</c:v>
                </c:pt>
                <c:pt idx="36" formatCode="###\ ###\ ###\ ###\ ##0.00;\-###\ ###\ ###\ ###\ ##0.00">
                  <c:v>7.2480952380952379</c:v>
                </c:pt>
                <c:pt idx="37" formatCode="###\ ###\ ###\ ###\ ##0.00;\-###\ ###\ ###\ ###\ ##0.00">
                  <c:v>7.2326315789473687</c:v>
                </c:pt>
                <c:pt idx="38" formatCode="###\ ###\ ###\ ###\ ##0.00;\-###\ ###\ ###\ ###\ ##0.00">
                  <c:v>7.2263636363636365</c:v>
                </c:pt>
                <c:pt idx="39" formatCode="###\ ###\ ###\ ###\ ##0.00;\-###\ ###\ ###\ ###\ ##0.00">
                  <c:v>7.2088888888888887</c:v>
                </c:pt>
                <c:pt idx="40" formatCode="###\ ###\ ###\ ###\ ##0.00;\-###\ ###\ ###\ ###\ ##0.00">
                  <c:v>7.196190476190476</c:v>
                </c:pt>
                <c:pt idx="41" formatCode="###\ ###\ ###\ ###\ ##0.00;\-###\ ###\ ###\ ###\ ##0.00">
                  <c:v>7.1377272727272727</c:v>
                </c:pt>
                <c:pt idx="42" formatCode="###\ ###\ ###\ ###\ ##0.00;\-###\ ###\ ###\ ###\ ##0.00">
                  <c:v>7.0289473684210524</c:v>
                </c:pt>
                <c:pt idx="43" formatCode="###\ ###\ ###\ ###\ ##0.00;\-###\ ###\ ###\ ###\ ##0.00">
                  <c:v>6.9473913043478257</c:v>
                </c:pt>
                <c:pt idx="44" formatCode="###\ ###\ ###\ ###\ ##0.00;\-###\ ###\ ###\ ###\ ##0.00">
                  <c:v>6.8470000000000004</c:v>
                </c:pt>
                <c:pt idx="45" formatCode="###\ ###\ ###\ ###\ ##0.00;\-###\ ###\ ###\ ###\ ##0.00">
                  <c:v>6.6090909090909093</c:v>
                </c:pt>
                <c:pt idx="46" formatCode="###\ ###\ ###\ ###\ ##0.00;\-###\ ###\ ###\ ###\ ##0.00">
                  <c:v>6.4771428571428569</c:v>
                </c:pt>
                <c:pt idx="47" formatCode="###\ ###\ ###\ ###\ ##0.00;\-###\ ###\ ###\ ###\ ##0.00">
                  <c:v>6.1873684210526312</c:v>
                </c:pt>
                <c:pt idx="48" formatCode="###\ ###\ ###\ ###\ ##0.00;\-###\ ###\ ###\ ###\ ##0.00">
                  <c:v>5.4690909090909088</c:v>
                </c:pt>
                <c:pt idx="49" formatCode="###\ ###\ ###\ ###\ ##0.00;\-###\ ###\ ###\ ###\ ##0.00">
                  <c:v>5.0338095238095235</c:v>
                </c:pt>
                <c:pt idx="50" formatCode="###\ ###\ ###\ ###\ ##0.00;\-###\ ###\ ###\ ###\ ##0.00">
                  <c:v>4.7994736842105263</c:v>
                </c:pt>
                <c:pt idx="51" formatCode="###\ ###\ ###\ ###\ ##0.00;\-###\ ###\ ###\ ###\ ##0.00">
                  <c:v>4.588571428571429</c:v>
                </c:pt>
                <c:pt idx="52" formatCode="###\ ###\ ###\ ###\ ##0.00;\-###\ ###\ ###\ ###\ ##0.00">
                  <c:v>4.6500000000000004</c:v>
                </c:pt>
                <c:pt idx="53" formatCode="###\ ###\ ###\ ###\ ##0.00;\-###\ ###\ ###\ ###\ ##0.00">
                  <c:v>4.5715000000000003</c:v>
                </c:pt>
                <c:pt idx="54" formatCode="###\ ###\ ###\ ###\ ##0.00;\-###\ ###\ ###\ ###\ ##0.00">
                  <c:v>4.2559090909090909</c:v>
                </c:pt>
                <c:pt idx="55" formatCode="###\ ###\ ###\ ###\ ##0.00;\-###\ ###\ ###\ ###\ ##0.00">
                  <c:v>3.8945454545454545</c:v>
                </c:pt>
                <c:pt idx="56" formatCode="###\ ###\ ###\ ###\ ##0.00;\-###\ ###\ ###\ ###\ ##0.00">
                  <c:v>3.7338095238095237</c:v>
                </c:pt>
                <c:pt idx="57" formatCode="###\ ###\ ###\ ###\ ##0.00;\-###\ ###\ ###\ ###\ ##0.00">
                  <c:v>3.6840909090909091</c:v>
                </c:pt>
                <c:pt idx="58" formatCode="###\ ###\ ###\ ###\ ##0.00;\-###\ ###\ ###\ ###\ ##0.00">
                  <c:v>3.6609523809523807</c:v>
                </c:pt>
                <c:pt idx="59" formatCode="###\ ###\ ###\ ###\ ##0.00;\-###\ ###\ ###\ ###\ ##0.00">
                  <c:v>3.6933333333333334</c:v>
                </c:pt>
                <c:pt idx="60" formatCode="###\ ###\ ###\ ###\ ##0.00;\-###\ ###\ ###\ ###\ ##0.00">
                  <c:v>3.6631818181818181</c:v>
                </c:pt>
                <c:pt idx="61" formatCode="###\ ###\ ###\ ###\ ##0.00;\-###\ ###\ ###\ ###\ ##0.00">
                  <c:v>3.5689473684210524</c:v>
                </c:pt>
                <c:pt idx="62" formatCode="###\ ###\ ###\ ###\ ##0.00;\-###\ ###\ ###\ ###\ ##0.00">
                  <c:v>3.5285000000000002</c:v>
                </c:pt>
                <c:pt idx="63" formatCode="###\ ###\ ###\ ###\ ##0.00;\-###\ ###\ ###\ ###\ ##0.00">
                  <c:v>3.443888888888889</c:v>
                </c:pt>
                <c:pt idx="64" formatCode="###\ ###\ ###\ ###\ ##0.00;\-###\ ###\ ###\ ###\ ##0.00">
                  <c:v>3.3726315789473684</c:v>
                </c:pt>
                <c:pt idx="65" formatCode="###\ ###\ ###\ ###\ ##0.00;\-###\ ###\ ###\ ###\ ##0.00">
                  <c:v>3.4104999999999999</c:v>
                </c:pt>
                <c:pt idx="66" formatCode="###\ ###\ ###\ ###\ ##0.00;\-###\ ###\ ###\ ###\ ##0.00">
                  <c:v>3.4582608695652173</c:v>
                </c:pt>
                <c:pt idx="67" formatCode="###\ ###\ ###\ ###\ ##0.00;\-###\ ###\ ###\ ###\ ##0.00">
                  <c:v>3.4815</c:v>
                </c:pt>
                <c:pt idx="68" formatCode="###\ ###\ ###\ ###\ ##0.00;\-###\ ###\ ###\ ###\ ##0.00">
                  <c:v>3.4776190476190476</c:v>
                </c:pt>
                <c:pt idx="69" formatCode="###\ ###\ ###\ ###\ ##0.00;\-###\ ###\ ###\ ###\ ##0.00">
                  <c:v>3.5395454545454546</c:v>
                </c:pt>
                <c:pt idx="70" formatCode="###\ ###\ ###\ ###\ ##0.00;\-###\ ###\ ###\ ###\ ##0.00">
                  <c:v>3.6111111111111112</c:v>
                </c:pt>
                <c:pt idx="71" formatCode="###\ ###\ ###\ ###\ ##0.00;\-###\ ###\ ###\ ###\ ##0.00">
                  <c:v>3.6016666666666666</c:v>
                </c:pt>
              </c:numCache>
            </c:numRef>
          </c:val>
          <c:smooth val="0"/>
          <c:extLst>
            <c:ext xmlns:c16="http://schemas.microsoft.com/office/drawing/2014/chart" uri="{C3380CC4-5D6E-409C-BE32-E72D297353CC}">
              <c16:uniqueId val="{00000004-1BD4-4E84-A2E1-E808B81EAEDF}"/>
            </c:ext>
          </c:extLst>
        </c:ser>
        <c:ser>
          <c:idx val="5"/>
          <c:order val="5"/>
          <c:tx>
            <c:strRef>
              <c:f>'Měnové podmínky 1'!$H$5</c:f>
              <c:strCache>
                <c:ptCount val="1"/>
                <c:pt idx="0">
                  <c:v>Průměrný výnos státních dluhopisů (10Y)</c:v>
                </c:pt>
              </c:strCache>
            </c:strRef>
          </c:tx>
          <c:spPr>
            <a:ln w="19050">
              <a:solidFill>
                <a:srgbClr val="174F70"/>
              </a:solidFill>
            </a:ln>
          </c:spPr>
          <c:marker>
            <c:symbol val="none"/>
          </c:marker>
          <c:cat>
            <c:multiLvlStrRef>
              <c:f>'Měnové podmínky 1'!$A$30:$B$101</c:f>
              <c:multiLvlStrCache>
                <c:ptCount val="72"/>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pt idx="18">
                    <c:v>7</c:v>
                  </c:pt>
                  <c:pt idx="19">
                    <c:v>8</c:v>
                  </c:pt>
                  <c:pt idx="20">
                    <c:v>9</c:v>
                  </c:pt>
                  <c:pt idx="21">
                    <c:v>10</c:v>
                  </c:pt>
                  <c:pt idx="22">
                    <c:v>11</c:v>
                  </c:pt>
                  <c:pt idx="23">
                    <c:v>12</c:v>
                  </c:pt>
                  <c:pt idx="24">
                    <c:v>1</c:v>
                  </c:pt>
                  <c:pt idx="25">
                    <c:v>2</c:v>
                  </c:pt>
                  <c:pt idx="26">
                    <c:v>3</c:v>
                  </c:pt>
                  <c:pt idx="27">
                    <c:v>4</c:v>
                  </c:pt>
                  <c:pt idx="28">
                    <c:v>5</c:v>
                  </c:pt>
                  <c:pt idx="29">
                    <c:v>6</c:v>
                  </c:pt>
                  <c:pt idx="30">
                    <c:v>7</c:v>
                  </c:pt>
                  <c:pt idx="31">
                    <c:v>8</c:v>
                  </c:pt>
                  <c:pt idx="32">
                    <c:v>9</c:v>
                  </c:pt>
                  <c:pt idx="33">
                    <c:v>10</c:v>
                  </c:pt>
                  <c:pt idx="34">
                    <c:v>11</c:v>
                  </c:pt>
                  <c:pt idx="35">
                    <c:v>12</c:v>
                  </c:pt>
                  <c:pt idx="36">
                    <c:v>1</c:v>
                  </c:pt>
                  <c:pt idx="37">
                    <c:v>2</c:v>
                  </c:pt>
                  <c:pt idx="38">
                    <c:v>3</c:v>
                  </c:pt>
                  <c:pt idx="39">
                    <c:v>4</c:v>
                  </c:pt>
                  <c:pt idx="40">
                    <c:v>5</c:v>
                  </c:pt>
                  <c:pt idx="41">
                    <c:v>6</c:v>
                  </c:pt>
                  <c:pt idx="42">
                    <c:v>7</c:v>
                  </c:pt>
                  <c:pt idx="43">
                    <c:v>8</c:v>
                  </c:pt>
                  <c:pt idx="44">
                    <c:v>9</c:v>
                  </c:pt>
                  <c:pt idx="45">
                    <c:v>10</c:v>
                  </c:pt>
                  <c:pt idx="46">
                    <c:v>11</c:v>
                  </c:pt>
                  <c:pt idx="47">
                    <c:v>12</c:v>
                  </c:pt>
                  <c:pt idx="48">
                    <c:v>1</c:v>
                  </c:pt>
                  <c:pt idx="49">
                    <c:v>2</c:v>
                  </c:pt>
                  <c:pt idx="50">
                    <c:v>3</c:v>
                  </c:pt>
                  <c:pt idx="51">
                    <c:v>4</c:v>
                  </c:pt>
                  <c:pt idx="52">
                    <c:v>5</c:v>
                  </c:pt>
                  <c:pt idx="53">
                    <c:v>6</c:v>
                  </c:pt>
                  <c:pt idx="54">
                    <c:v>7</c:v>
                  </c:pt>
                  <c:pt idx="55">
                    <c:v>8</c:v>
                  </c:pt>
                  <c:pt idx="56">
                    <c:v>9</c:v>
                  </c:pt>
                  <c:pt idx="57">
                    <c:v>10</c:v>
                  </c:pt>
                  <c:pt idx="58">
                    <c:v>11</c:v>
                  </c:pt>
                  <c:pt idx="59">
                    <c:v>12</c:v>
                  </c:pt>
                  <c:pt idx="60">
                    <c:v>1</c:v>
                  </c:pt>
                  <c:pt idx="61">
                    <c:v>2</c:v>
                  </c:pt>
                  <c:pt idx="62">
                    <c:v>3</c:v>
                  </c:pt>
                  <c:pt idx="63">
                    <c:v>4</c:v>
                  </c:pt>
                  <c:pt idx="64">
                    <c:v>5</c:v>
                  </c:pt>
                  <c:pt idx="65">
                    <c:v>6</c:v>
                  </c:pt>
                  <c:pt idx="66">
                    <c:v>7</c:v>
                  </c:pt>
                  <c:pt idx="67">
                    <c:v>8</c:v>
                  </c:pt>
                  <c:pt idx="68">
                    <c:v>9</c:v>
                  </c:pt>
                  <c:pt idx="69">
                    <c:v>10</c:v>
                  </c:pt>
                  <c:pt idx="70">
                    <c:v>11</c:v>
                  </c:pt>
                  <c:pt idx="71">
                    <c:v>12</c:v>
                  </c:pt>
                </c:lvl>
                <c:lvl>
                  <c:pt idx="0">
                    <c:v>2020</c:v>
                  </c:pt>
                  <c:pt idx="12">
                    <c:v>2021</c:v>
                  </c:pt>
                  <c:pt idx="24">
                    <c:v>2022</c:v>
                  </c:pt>
                  <c:pt idx="36">
                    <c:v>2023</c:v>
                  </c:pt>
                  <c:pt idx="48">
                    <c:v>2024</c:v>
                  </c:pt>
                  <c:pt idx="60">
                    <c:v>2025</c:v>
                  </c:pt>
                </c:lvl>
              </c:multiLvlStrCache>
            </c:multiLvlStrRef>
          </c:cat>
          <c:val>
            <c:numRef>
              <c:f>'Měnové podmínky 1'!$H$30:$H$101</c:f>
              <c:numCache>
                <c:formatCode>General</c:formatCode>
                <c:ptCount val="72"/>
                <c:pt idx="0">
                  <c:v>1.62</c:v>
                </c:pt>
                <c:pt idx="1">
                  <c:v>1.47</c:v>
                </c:pt>
                <c:pt idx="2">
                  <c:v>1.28</c:v>
                </c:pt>
                <c:pt idx="3">
                  <c:v>1.28</c:v>
                </c:pt>
                <c:pt idx="4">
                  <c:v>0.92</c:v>
                </c:pt>
                <c:pt idx="5">
                  <c:v>0.86</c:v>
                </c:pt>
                <c:pt idx="6">
                  <c:v>0.86</c:v>
                </c:pt>
                <c:pt idx="7">
                  <c:v>0.95</c:v>
                </c:pt>
                <c:pt idx="8">
                  <c:v>0.98</c:v>
                </c:pt>
                <c:pt idx="9">
                  <c:v>0.94</c:v>
                </c:pt>
                <c:pt idx="10">
                  <c:v>1.1200000000000001</c:v>
                </c:pt>
                <c:pt idx="11">
                  <c:v>1.26</c:v>
                </c:pt>
                <c:pt idx="12">
                  <c:v>1.28</c:v>
                </c:pt>
                <c:pt idx="13">
                  <c:v>1.49</c:v>
                </c:pt>
                <c:pt idx="14">
                  <c:v>1.87</c:v>
                </c:pt>
                <c:pt idx="15">
                  <c:v>1.86</c:v>
                </c:pt>
                <c:pt idx="16">
                  <c:v>1.74</c:v>
                </c:pt>
                <c:pt idx="17">
                  <c:v>1.67</c:v>
                </c:pt>
                <c:pt idx="18">
                  <c:v>1.72</c:v>
                </c:pt>
                <c:pt idx="19">
                  <c:v>1.74</c:v>
                </c:pt>
                <c:pt idx="20">
                  <c:v>1.9</c:v>
                </c:pt>
                <c:pt idx="21">
                  <c:v>2.34</c:v>
                </c:pt>
                <c:pt idx="22">
                  <c:v>2.62</c:v>
                </c:pt>
                <c:pt idx="23">
                  <c:v>2.62</c:v>
                </c:pt>
                <c:pt idx="24">
                  <c:v>3.12</c:v>
                </c:pt>
                <c:pt idx="25">
                  <c:v>3.03</c:v>
                </c:pt>
                <c:pt idx="26">
                  <c:v>3.53</c:v>
                </c:pt>
                <c:pt idx="27">
                  <c:v>4.01</c:v>
                </c:pt>
                <c:pt idx="28">
                  <c:v>4.6100000000000003</c:v>
                </c:pt>
                <c:pt idx="29">
                  <c:v>5.12</c:v>
                </c:pt>
                <c:pt idx="30">
                  <c:v>4.4000000000000004</c:v>
                </c:pt>
                <c:pt idx="31">
                  <c:v>4.1100000000000003</c:v>
                </c:pt>
                <c:pt idx="32">
                  <c:v>4.72</c:v>
                </c:pt>
                <c:pt idx="33">
                  <c:v>5.52</c:v>
                </c:pt>
                <c:pt idx="34">
                  <c:v>5.1100000000000003</c:v>
                </c:pt>
                <c:pt idx="35">
                  <c:v>4.71</c:v>
                </c:pt>
                <c:pt idx="36" formatCode="###\ ###\ ###\ ###\ ##0.00;\-###\ ###\ ###\ ###\ ##0.00">
                  <c:v>4.4683071740930735</c:v>
                </c:pt>
                <c:pt idx="37" formatCode="###\ ###\ ###\ ###\ ##0.00;\-###\ ###\ ###\ ###\ ##0.00">
                  <c:v>4.6124456250457779</c:v>
                </c:pt>
                <c:pt idx="38" formatCode="###\ ###\ ###\ ###\ ##0.00;\-###\ ###\ ###\ ###\ ##0.00">
                  <c:v>4.6664316498532505</c:v>
                </c:pt>
                <c:pt idx="39" formatCode="###\ ###\ ###\ ###\ ##0.00;\-###\ ###\ ###\ ###\ ##0.00">
                  <c:v>4.6464031535593682</c:v>
                </c:pt>
                <c:pt idx="40" formatCode="###\ ###\ ###\ ###\ ##0.00;\-###\ ###\ ###\ ###\ ##0.00">
                  <c:v>4.4999821517871696</c:v>
                </c:pt>
                <c:pt idx="41" formatCode="###\ ###\ ###\ ###\ ##0.00;\-###\ ###\ ###\ ###\ ##0.00">
                  <c:v>4.3475817201909166</c:v>
                </c:pt>
                <c:pt idx="42" formatCode="###\ ###\ ###\ ###\ ##0.00;\-###\ ###\ ###\ ###\ ##0.00">
                  <c:v>4.1488922058727873</c:v>
                </c:pt>
                <c:pt idx="43" formatCode="###\ ###\ ###\ ###\ ##0.00;\-###\ ###\ ###\ ###\ ##0.00">
                  <c:v>4.2612326220421171</c:v>
                </c:pt>
                <c:pt idx="44" formatCode="###\ ###\ ###\ ###\ ##0.00;\-###\ ###\ ###\ ###\ ##0.00">
                  <c:v>4.4941452526073471</c:v>
                </c:pt>
                <c:pt idx="45" formatCode="###\ ###\ ###\ ###\ ##0.00;\-###\ ###\ ###\ ###\ ##0.00">
                  <c:v>4.7196492538174732</c:v>
                </c:pt>
                <c:pt idx="46" formatCode="###\ ###\ ###\ ###\ ##0.00;\-###\ ###\ ###\ ###\ ##0.00">
                  <c:v>4.4238011822001155</c:v>
                </c:pt>
                <c:pt idx="47" formatCode="###\ ###\ ###\ ###\ ##0.00;\-###\ ###\ ###\ ###\ ##0.00">
                  <c:v>3.9723129766524465</c:v>
                </c:pt>
                <c:pt idx="48" formatCode="###\ ###\ ###\ ###\ ##0.00;\-###\ ###\ ###\ ###\ ##0.00">
                  <c:v>3.8808928950535173</c:v>
                </c:pt>
                <c:pt idx="49" formatCode="###\ ###\ ###\ ###\ ##0.00;\-###\ ###\ ###\ ###\ ##0.00">
                  <c:v>3.7595547903987336</c:v>
                </c:pt>
                <c:pt idx="50" formatCode="###\ ###\ ###\ ###\ ##0.00;\-###\ ###\ ###\ ###\ ##0.00">
                  <c:v>3.8237627295684833</c:v>
                </c:pt>
                <c:pt idx="51" formatCode="###\ ###\ ###\ ###\ ##0.00;\-###\ ###\ ###\ ###\ ##0.00">
                  <c:v>4.2047003389485704</c:v>
                </c:pt>
                <c:pt idx="52" formatCode="###\ ###\ ###\ ###\ ##0.00;\-###\ ###\ ###\ ###\ ##0.00">
                  <c:v>4.1563388742973695</c:v>
                </c:pt>
                <c:pt idx="53" formatCode="###\ ###\ ###\ ###\ ##0.00;\-###\ ###\ ###\ ###\ ##0.00">
                  <c:v>4.2111868231811522</c:v>
                </c:pt>
                <c:pt idx="54" formatCode="###\ ###\ ###\ ###\ ##0.00;\-###\ ###\ ###\ ###\ ##0.00">
                  <c:v>3.9530858135362124</c:v>
                </c:pt>
                <c:pt idx="55" formatCode="###\ ###\ ###\ ###\ ##0.00;\-###\ ###\ ###\ ###\ ##0.00">
                  <c:v>3.7819619047615758</c:v>
                </c:pt>
                <c:pt idx="56" formatCode="###\ ###\ ###\ ###\ ##0.00;\-###\ ###\ ###\ ###\ ##0.00">
                  <c:v>3.7680573318990085</c:v>
                </c:pt>
                <c:pt idx="57" formatCode="###\ ###\ ###\ ###\ ##0.00;\-###\ ###\ ###\ ###\ ##0.00">
                  <c:v>3.9822987021498251</c:v>
                </c:pt>
                <c:pt idx="58" formatCode="###\ ###\ ###\ ###\ ##0.00;\-###\ ###\ ###\ ###\ ##0.00">
                  <c:v>4.1040262289864691</c:v>
                </c:pt>
                <c:pt idx="59" formatCode="###\ ###\ ###\ ###\ ##0.00;\-###\ ###\ ###\ ###\ ##0.00">
                  <c:v>4.1331038326115088</c:v>
                </c:pt>
                <c:pt idx="60" formatCode="###\ ###\ ###\ ###\ ##0.00;\-###\ ###\ ###\ ###\ ##0.00">
                  <c:v>4.1959770746595213</c:v>
                </c:pt>
                <c:pt idx="61" formatCode="###\ ###\ ###\ ###\ ##0.00;\-###\ ###\ ###\ ###\ ##0.00">
                  <c:v>4.0620794011249552</c:v>
                </c:pt>
                <c:pt idx="62" formatCode="###\ ###\ ###\ ###\ ##0.00;\-###\ ###\ ###\ ###\ ##0.00">
                  <c:v>4.2638389418665579</c:v>
                </c:pt>
                <c:pt idx="63" formatCode="###\ ###\ ###\ ###\ ##0.00;\-###\ ###\ ###\ ###\ ##0.00">
                  <c:v>4.0853304136734021</c:v>
                </c:pt>
                <c:pt idx="64" formatCode="###\ ###\ ###\ ###\ ##0.00;\-###\ ###\ ###\ ###\ ##0.00">
                  <c:v>4.155816660709382</c:v>
                </c:pt>
                <c:pt idx="65" formatCode="###\ ###\ ###\ ###\ ##0.00;\-###\ ###\ ###\ ###\ ##0.00">
                  <c:v>4.2295835387251115</c:v>
                </c:pt>
                <c:pt idx="66" formatCode="###\ ###\ ###\ ###\ ##0.00;\-###\ ###\ ###\ ###\ ##0.00">
                  <c:v>4.3002231108402862</c:v>
                </c:pt>
                <c:pt idx="67" formatCode="###\ ###\ ###\ ###\ ##0.00;\-###\ ###\ ###\ ###\ ##0.00">
                  <c:v>4.3484906070168519</c:v>
                </c:pt>
                <c:pt idx="68" formatCode="###\ ###\ ###\ ###\ ##0.00;\-###\ ###\ ###\ ###\ ##0.00">
                  <c:v>4.423009514594388</c:v>
                </c:pt>
                <c:pt idx="69" formatCode="###\ ###\ ###\ ###\ ##0.00;\-###\ ###\ ###\ ###\ ##0.00">
                  <c:v>4.4581363099927049</c:v>
                </c:pt>
                <c:pt idx="70" formatCode="###\ ###\ ###\ ###\ ##0.00;\-###\ ###\ ###\ ###\ ##0.00">
                  <c:v>4.6089530587514247</c:v>
                </c:pt>
                <c:pt idx="71" formatCode="###\ ###\ ###\ ###\ ##0.00;\-###\ ###\ ###\ ###\ ##0.00">
                  <c:v>4.6478358968116371</c:v>
                </c:pt>
              </c:numCache>
            </c:numRef>
          </c:val>
          <c:smooth val="0"/>
          <c:extLst>
            <c:ext xmlns:c16="http://schemas.microsoft.com/office/drawing/2014/chart" uri="{C3380CC4-5D6E-409C-BE32-E72D297353CC}">
              <c16:uniqueId val="{00000005-1BD4-4E84-A2E1-E808B81EAEDF}"/>
            </c:ext>
          </c:extLst>
        </c:ser>
        <c:dLbls>
          <c:showLegendKey val="0"/>
          <c:showVal val="0"/>
          <c:showCatName val="0"/>
          <c:showSerName val="0"/>
          <c:showPercent val="0"/>
          <c:showBubbleSize val="0"/>
        </c:dLbls>
        <c:marker val="1"/>
        <c:smooth val="0"/>
        <c:axId val="271742464"/>
        <c:axId val="271744000"/>
      </c:lineChart>
      <c:catAx>
        <c:axId val="271742464"/>
        <c:scaling>
          <c:orientation val="minMax"/>
        </c:scaling>
        <c:delete val="0"/>
        <c:axPos val="b"/>
        <c:numFmt formatCode="General" sourceLinked="0"/>
        <c:majorTickMark val="out"/>
        <c:minorTickMark val="none"/>
        <c:tickLblPos val="low"/>
        <c:spPr>
          <a:ln>
            <a:solidFill>
              <a:schemeClr val="tx1"/>
            </a:solidFill>
          </a:ln>
        </c:spPr>
        <c:crossAx val="271744000"/>
        <c:crosses val="autoZero"/>
        <c:auto val="1"/>
        <c:lblAlgn val="ctr"/>
        <c:lblOffset val="100"/>
        <c:noMultiLvlLbl val="0"/>
      </c:catAx>
      <c:valAx>
        <c:axId val="271744000"/>
        <c:scaling>
          <c:orientation val="minMax"/>
          <c:min val="-1"/>
        </c:scaling>
        <c:delete val="0"/>
        <c:axPos val="l"/>
        <c:majorGridlines>
          <c:spPr>
            <a:ln w="6350">
              <a:solidFill>
                <a:schemeClr val="bg1">
                  <a:lumMod val="75000"/>
                </a:schemeClr>
              </a:solidFill>
            </a:ln>
          </c:spPr>
        </c:majorGridlines>
        <c:numFmt formatCode="0" sourceLinked="0"/>
        <c:majorTickMark val="out"/>
        <c:minorTickMark val="none"/>
        <c:tickLblPos val="nextTo"/>
        <c:spPr>
          <a:ln>
            <a:solidFill>
              <a:schemeClr val="tx1"/>
            </a:solidFill>
          </a:ln>
        </c:spPr>
        <c:crossAx val="271742464"/>
        <c:crosses val="autoZero"/>
        <c:crossBetween val="between"/>
        <c:majorUnit val="1"/>
      </c:valAx>
      <c:spPr>
        <a:ln>
          <a:solidFill>
            <a:schemeClr val="tx1"/>
          </a:solidFill>
        </a:ln>
      </c:spPr>
    </c:plotArea>
    <c:legend>
      <c:legendPos val="b"/>
      <c:layout>
        <c:manualLayout>
          <c:xMode val="edge"/>
          <c:yMode val="edge"/>
          <c:x val="4.7501055386693677E-2"/>
          <c:y val="0.87558269120103249"/>
          <c:w val="0.93350515028706516"/>
          <c:h val="0.11015705924459968"/>
        </c:manualLayout>
      </c:layout>
      <c:overlay val="0"/>
      <c:spPr>
        <a:ln w="6350">
          <a:solidFill>
            <a:schemeClr val="tx1"/>
          </a:solidFill>
        </a:ln>
      </c:spPr>
    </c:legend>
    <c:plotVisOnly val="1"/>
    <c:dispBlanksAs val="gap"/>
    <c:showDLblsOverMax val="0"/>
  </c:chart>
  <c:spPr>
    <a:ln>
      <a:noFill/>
    </a:ln>
  </c:spPr>
  <c:txPr>
    <a:bodyPr/>
    <a:lstStyle/>
    <a:p>
      <a:pPr>
        <a:defRPr sz="800" baseline="0">
          <a:latin typeface="Arial" pitchFamily="34" charset="0"/>
        </a:defRPr>
      </a:pPr>
      <a:endParaRPr lang="cs-CZ"/>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547146084085555E-2"/>
          <c:y val="1.7107287133586922E-2"/>
          <c:w val="0.83426501745522175"/>
          <c:h val="0.73905171083665677"/>
        </c:manualLayout>
      </c:layout>
      <c:barChart>
        <c:barDir val="col"/>
        <c:grouping val="stacked"/>
        <c:varyColors val="0"/>
        <c:ser>
          <c:idx val="1"/>
          <c:order val="1"/>
          <c:tx>
            <c:strRef>
              <c:f>'G1-SR-příjmy-příspěvky'!$A$35</c:f>
              <c:strCache>
                <c:ptCount val="1"/>
                <c:pt idx="0">
                  <c:v>Ostatní daně a poplatky</c:v>
                </c:pt>
              </c:strCache>
            </c:strRef>
          </c:tx>
          <c:spPr>
            <a:solidFill>
              <a:srgbClr val="89898E"/>
            </a:solidFill>
            <a:ln w="12700">
              <a:noFill/>
              <a:prstDash val="solid"/>
            </a:ln>
          </c:spPr>
          <c:invertIfNegative val="0"/>
          <c:cat>
            <c:numRef>
              <c:f>'G1-SR-příjmy-příspěvky'!$E$33:$V$33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'G1-SR-příjmy-příspěvky'!$E$35:$V$35</c:f>
              <c:numCache>
                <c:formatCode>0.0</c:formatCode>
                <c:ptCount val="18"/>
                <c:pt idx="0">
                  <c:v>0.1343620572631733</c:v>
                </c:pt>
                <c:pt idx="1">
                  <c:v>-0.43783892347861697</c:v>
                </c:pt>
                <c:pt idx="2">
                  <c:v>0.39966089378709002</c:v>
                </c:pt>
                <c:pt idx="3">
                  <c:v>0.45397552855721873</c:v>
                </c:pt>
                <c:pt idx="4">
                  <c:v>0.36118400632074082</c:v>
                </c:pt>
                <c:pt idx="5">
                  <c:v>-0.19664736863818325</c:v>
                </c:pt>
                <c:pt idx="6">
                  <c:v>-3.4634341281476876E-2</c:v>
                </c:pt>
                <c:pt idx="7">
                  <c:v>-0.21164971331083993</c:v>
                </c:pt>
                <c:pt idx="8">
                  <c:v>0.99125194374474579</c:v>
                </c:pt>
                <c:pt idx="9">
                  <c:v>0.24244696058614967</c:v>
                </c:pt>
                <c:pt idx="10">
                  <c:v>0.15610407782378988</c:v>
                </c:pt>
                <c:pt idx="11">
                  <c:v>0.45615292592707912</c:v>
                </c:pt>
                <c:pt idx="12">
                  <c:v>-0.24507318270758649</c:v>
                </c:pt>
                <c:pt idx="13">
                  <c:v>0.38912595873892392</c:v>
                </c:pt>
                <c:pt idx="14">
                  <c:v>0.49625884514210122</c:v>
                </c:pt>
                <c:pt idx="15">
                  <c:v>4.9027758286436649</c:v>
                </c:pt>
                <c:pt idx="16">
                  <c:v>-0.29481657806601497</c:v>
                </c:pt>
                <c:pt idx="17">
                  <c:v>0.36155818366086134</c:v>
                </c:pt>
              </c:numCache>
            </c:numRef>
          </c:val>
          <c:extLst>
            <c:ext xmlns:c16="http://schemas.microsoft.com/office/drawing/2014/chart" uri="{C3380CC4-5D6E-409C-BE32-E72D297353CC}">
              <c16:uniqueId val="{00000000-6EBF-4931-9EA2-BC034EA96F96}"/>
            </c:ext>
          </c:extLst>
        </c:ser>
        <c:ser>
          <c:idx val="3"/>
          <c:order val="2"/>
          <c:tx>
            <c:strRef>
              <c:f>'G1-SR-příjmy-příspěvky'!$A$36</c:f>
              <c:strCache>
                <c:ptCount val="1"/>
                <c:pt idx="0">
                  <c:v>Daně z příjmů FO, ostatní</c:v>
                </c:pt>
              </c:strCache>
            </c:strRef>
          </c:tx>
          <c:spPr>
            <a:solidFill>
              <a:srgbClr val="BC5B80"/>
            </a:solidFill>
            <a:ln w="19050">
              <a:noFill/>
              <a:prstDash val="sysDot"/>
            </a:ln>
          </c:spPr>
          <c:invertIfNegative val="0"/>
          <c:cat>
            <c:numRef>
              <c:f>'G1-SR-příjmy-příspěvky'!$E$33:$V$33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'G1-SR-příjmy-příspěvky'!$E$36:$V$36</c:f>
              <c:numCache>
                <c:formatCode>0.0</c:formatCode>
                <c:ptCount val="18"/>
                <c:pt idx="0">
                  <c:v>0.35321984125884731</c:v>
                </c:pt>
                <c:pt idx="1">
                  <c:v>-1.6643234919997321</c:v>
                </c:pt>
                <c:pt idx="2">
                  <c:v>0.37392515441443624</c:v>
                </c:pt>
                <c:pt idx="3">
                  <c:v>-0.6009771282805112</c:v>
                </c:pt>
                <c:pt idx="4">
                  <c:v>0.35271875617257653</c:v>
                </c:pt>
                <c:pt idx="5">
                  <c:v>-0.13614048598027936</c:v>
                </c:pt>
                <c:pt idx="6">
                  <c:v>5.5947782070069875E-2</c:v>
                </c:pt>
                <c:pt idx="7">
                  <c:v>0.29502687309996056</c:v>
                </c:pt>
                <c:pt idx="8">
                  <c:v>0.58137404580152963</c:v>
                </c:pt>
                <c:pt idx="9">
                  <c:v>6.7589193423445826E-2</c:v>
                </c:pt>
                <c:pt idx="10">
                  <c:v>0.27497666712976387</c:v>
                </c:pt>
                <c:pt idx="11">
                  <c:v>0.40549455394307277</c:v>
                </c:pt>
                <c:pt idx="12">
                  <c:v>-0.32978914864881037</c:v>
                </c:pt>
                <c:pt idx="13">
                  <c:v>0.714735210075371</c:v>
                </c:pt>
                <c:pt idx="14">
                  <c:v>1.1235494742441323</c:v>
                </c:pt>
                <c:pt idx="15">
                  <c:v>1.0754046813056035</c:v>
                </c:pt>
                <c:pt idx="16">
                  <c:v>0.22569119130030668</c:v>
                </c:pt>
                <c:pt idx="17">
                  <c:v>0.34230421385596932</c:v>
                </c:pt>
              </c:numCache>
            </c:numRef>
          </c:val>
          <c:extLst>
            <c:ext xmlns:c16="http://schemas.microsoft.com/office/drawing/2014/chart" uri="{C3380CC4-5D6E-409C-BE32-E72D297353CC}">
              <c16:uniqueId val="{00000001-6EBF-4931-9EA2-BC034EA96F96}"/>
            </c:ext>
          </c:extLst>
        </c:ser>
        <c:ser>
          <c:idx val="4"/>
          <c:order val="3"/>
          <c:tx>
            <c:strRef>
              <c:f>'G1-SR-příjmy-příspěvky'!$A$37</c:f>
              <c:strCache>
                <c:ptCount val="1"/>
                <c:pt idx="0">
                  <c:v>Daně z příjmů FO, placená plátci</c:v>
                </c:pt>
              </c:strCache>
            </c:strRef>
          </c:tx>
          <c:spPr>
            <a:solidFill>
              <a:srgbClr val="D8A7B7"/>
            </a:solidFill>
            <a:ln w="19050">
              <a:noFill/>
            </a:ln>
          </c:spPr>
          <c:invertIfNegative val="0"/>
          <c:cat>
            <c:numRef>
              <c:f>'G1-SR-příjmy-příspěvky'!$E$33:$V$33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'G1-SR-příjmy-příspěvky'!$E$37:$V$37</c:f>
              <c:numCache>
                <c:formatCode>0.0</c:formatCode>
                <c:ptCount val="18"/>
                <c:pt idx="0">
                  <c:v>-1.5527821256908552</c:v>
                </c:pt>
                <c:pt idx="1">
                  <c:v>-0.55432817834906578</c:v>
                </c:pt>
                <c:pt idx="2">
                  <c:v>0.12110936175366319</c:v>
                </c:pt>
                <c:pt idx="3">
                  <c:v>1.0852176920748835</c:v>
                </c:pt>
                <c:pt idx="4">
                  <c:v>5.9256751036993432E-2</c:v>
                </c:pt>
                <c:pt idx="5">
                  <c:v>0.87184917284340824</c:v>
                </c:pt>
                <c:pt idx="6">
                  <c:v>0.63141068336219441</c:v>
                </c:pt>
                <c:pt idx="7">
                  <c:v>0.67343090598904543</c:v>
                </c:pt>
                <c:pt idx="8">
                  <c:v>1.6207633587786254</c:v>
                </c:pt>
                <c:pt idx="9">
                  <c:v>2.236075815759023</c:v>
                </c:pt>
                <c:pt idx="10">
                  <c:v>2.5650495208593473</c:v>
                </c:pt>
                <c:pt idx="11">
                  <c:v>2.2145487595779794</c:v>
                </c:pt>
                <c:pt idx="12">
                  <c:v>-1.0526560208410929</c:v>
                </c:pt>
                <c:pt idx="13">
                  <c:v>-6.4557034146693049</c:v>
                </c:pt>
                <c:pt idx="14">
                  <c:v>1.0630342864068225</c:v>
                </c:pt>
                <c:pt idx="15">
                  <c:v>2.2839349884944498</c:v>
                </c:pt>
                <c:pt idx="16">
                  <c:v>1.7763016879021229</c:v>
                </c:pt>
                <c:pt idx="17">
                  <c:v>1.5550031443361572</c:v>
                </c:pt>
              </c:numCache>
            </c:numRef>
          </c:val>
          <c:extLst>
            <c:ext xmlns:c16="http://schemas.microsoft.com/office/drawing/2014/chart" uri="{C3380CC4-5D6E-409C-BE32-E72D297353CC}">
              <c16:uniqueId val="{00000002-6EBF-4931-9EA2-BC034EA96F96}"/>
            </c:ext>
          </c:extLst>
        </c:ser>
        <c:ser>
          <c:idx val="2"/>
          <c:order val="4"/>
          <c:tx>
            <c:strRef>
              <c:f>'G1-SR-příjmy-příspěvky'!$A$38</c:f>
              <c:strCache>
                <c:ptCount val="1"/>
                <c:pt idx="0">
                  <c:v>Daně z příjmů PO</c:v>
                </c:pt>
              </c:strCache>
            </c:strRef>
          </c:tx>
          <c:spPr>
            <a:solidFill>
              <a:srgbClr val="86BF5E"/>
            </a:solidFill>
            <a:ln>
              <a:noFill/>
            </a:ln>
          </c:spPr>
          <c:invertIfNegative val="0"/>
          <c:cat>
            <c:numRef>
              <c:f>'G1-SR-příjmy-příspěvky'!$E$33:$V$33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'G1-SR-příjmy-příspěvky'!$E$38:$V$38</c:f>
              <c:numCache>
                <c:formatCode>0.0</c:formatCode>
                <c:ptCount val="18"/>
                <c:pt idx="0">
                  <c:v>2.7315667724017554</c:v>
                </c:pt>
                <c:pt idx="1">
                  <c:v>-8.4233781883912382</c:v>
                </c:pt>
                <c:pt idx="2">
                  <c:v>0.64490735133825949</c:v>
                </c:pt>
                <c:pt idx="3">
                  <c:v>-0.82868548863619895</c:v>
                </c:pt>
                <c:pt idx="4">
                  <c:v>1.3953553994187209</c:v>
                </c:pt>
                <c:pt idx="5">
                  <c:v>-1.0011138767034737</c:v>
                </c:pt>
                <c:pt idx="6">
                  <c:v>1.5558811775675994</c:v>
                </c:pt>
                <c:pt idx="7">
                  <c:v>1.9381982837132317</c:v>
                </c:pt>
                <c:pt idx="8">
                  <c:v>2.1019847328244308</c:v>
                </c:pt>
                <c:pt idx="9">
                  <c:v>0.66800652833506335</c:v>
                </c:pt>
                <c:pt idx="10">
                  <c:v>0.35264183265496607</c:v>
                </c:pt>
                <c:pt idx="11">
                  <c:v>0.87073588998886708</c:v>
                </c:pt>
                <c:pt idx="12">
                  <c:v>-2.0708537130072977</c:v>
                </c:pt>
                <c:pt idx="13">
                  <c:v>3.8866812074729893</c:v>
                </c:pt>
                <c:pt idx="14">
                  <c:v>3.3224740440006921</c:v>
                </c:pt>
                <c:pt idx="15">
                  <c:v>6.5729866214661055</c:v>
                </c:pt>
                <c:pt idx="16">
                  <c:v>-1.5023121712316627</c:v>
                </c:pt>
                <c:pt idx="17">
                  <c:v>2.8529497380745044</c:v>
                </c:pt>
              </c:numCache>
            </c:numRef>
          </c:val>
          <c:extLst>
            <c:ext xmlns:c16="http://schemas.microsoft.com/office/drawing/2014/chart" uri="{C3380CC4-5D6E-409C-BE32-E72D297353CC}">
              <c16:uniqueId val="{00000003-6EBF-4931-9EA2-BC034EA96F96}"/>
            </c:ext>
          </c:extLst>
        </c:ser>
        <c:ser>
          <c:idx val="5"/>
          <c:order val="5"/>
          <c:tx>
            <c:strRef>
              <c:f>'G1-SR-příjmy-příspěvky'!$A$39</c:f>
              <c:strCache>
                <c:ptCount val="1"/>
                <c:pt idx="0">
                  <c:v>Spotřební daň</c:v>
                </c:pt>
              </c:strCache>
            </c:strRef>
          </c:tx>
          <c:spPr>
            <a:solidFill>
              <a:srgbClr val="009CB5"/>
            </a:solidFill>
            <a:ln>
              <a:noFill/>
            </a:ln>
          </c:spPr>
          <c:invertIfNegative val="0"/>
          <c:cat>
            <c:numRef>
              <c:f>'G1-SR-příjmy-příspěvky'!$E$33:$V$33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'G1-SR-příjmy-příspěvky'!$E$39:$V$39</c:f>
              <c:numCache>
                <c:formatCode>0.0</c:formatCode>
                <c:ptCount val="18"/>
                <c:pt idx="0">
                  <c:v>-0.82002410205975451</c:v>
                </c:pt>
                <c:pt idx="1">
                  <c:v>-0.26243556269666019</c:v>
                </c:pt>
                <c:pt idx="2">
                  <c:v>1.0899842557829751</c:v>
                </c:pt>
                <c:pt idx="3">
                  <c:v>1.1976306800985765</c:v>
                </c:pt>
                <c:pt idx="4">
                  <c:v>2.8217500493804677E-2</c:v>
                </c:pt>
                <c:pt idx="5">
                  <c:v>-0.46205255847852811</c:v>
                </c:pt>
                <c:pt idx="6">
                  <c:v>-0.28107100039962413</c:v>
                </c:pt>
                <c:pt idx="7">
                  <c:v>1.1788247668646334</c:v>
                </c:pt>
                <c:pt idx="8">
                  <c:v>0.94412213740457995</c:v>
                </c:pt>
                <c:pt idx="9">
                  <c:v>0.51818381624642551</c:v>
                </c:pt>
                <c:pt idx="10">
                  <c:v>0.48698157842828721</c:v>
                </c:pt>
                <c:pt idx="11">
                  <c:v>-3.2322029662130096E-2</c:v>
                </c:pt>
                <c:pt idx="12">
                  <c:v>-0.43076419151862821</c:v>
                </c:pt>
                <c:pt idx="13">
                  <c:v>-0.47146544798768414</c:v>
                </c:pt>
                <c:pt idx="14">
                  <c:v>0.28868970114686049</c:v>
                </c:pt>
                <c:pt idx="15">
                  <c:v>-0.4259694478513813</c:v>
                </c:pt>
                <c:pt idx="16">
                  <c:v>1.1238251545622735</c:v>
                </c:pt>
                <c:pt idx="17">
                  <c:v>0.28480332512505774</c:v>
                </c:pt>
              </c:numCache>
            </c:numRef>
          </c:val>
          <c:extLst>
            <c:ext xmlns:c16="http://schemas.microsoft.com/office/drawing/2014/chart" uri="{C3380CC4-5D6E-409C-BE32-E72D297353CC}">
              <c16:uniqueId val="{00000004-6EBF-4931-9EA2-BC034EA96F96}"/>
            </c:ext>
          </c:extLst>
        </c:ser>
        <c:ser>
          <c:idx val="6"/>
          <c:order val="6"/>
          <c:tx>
            <c:strRef>
              <c:f>'G1-SR-příjmy-příspěvky'!$A$40</c:f>
              <c:strCache>
                <c:ptCount val="1"/>
                <c:pt idx="0">
                  <c:v>DPH</c:v>
                </c:pt>
              </c:strCache>
            </c:strRef>
          </c:tx>
          <c:spPr>
            <a:solidFill>
              <a:srgbClr val="9FC9D7"/>
            </a:solidFill>
            <a:ln w="19050">
              <a:noFill/>
            </a:ln>
          </c:spPr>
          <c:invertIfNegative val="0"/>
          <c:cat>
            <c:numRef>
              <c:f>'G1-SR-příjmy-příspěvky'!$E$33:$V$33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'G1-SR-příjmy-příspěvky'!$E$40:$V$40</c:f>
              <c:numCache>
                <c:formatCode>0.0</c:formatCode>
                <c:ptCount val="18"/>
                <c:pt idx="0">
                  <c:v>2.6055157702270297</c:v>
                </c:pt>
                <c:pt idx="1">
                  <c:v>-0.21155519850036597</c:v>
                </c:pt>
                <c:pt idx="2">
                  <c:v>2.4131040329417468</c:v>
                </c:pt>
                <c:pt idx="3">
                  <c:v>0.84165621802354451</c:v>
                </c:pt>
                <c:pt idx="4">
                  <c:v>0.40068850701205366</c:v>
                </c:pt>
                <c:pt idx="5">
                  <c:v>4.1570978698826879</c:v>
                </c:pt>
                <c:pt idx="6">
                  <c:v>1.9208738510723284</c:v>
                </c:pt>
                <c:pt idx="7">
                  <c:v>1.1493220795546348</c:v>
                </c:pt>
                <c:pt idx="8">
                  <c:v>2.1838167938931385</c:v>
                </c:pt>
                <c:pt idx="9">
                  <c:v>3.6002510363555791</c:v>
                </c:pt>
                <c:pt idx="10">
                  <c:v>3.3186115323065706</c:v>
                </c:pt>
                <c:pt idx="11">
                  <c:v>1.7904445521930754</c:v>
                </c:pt>
                <c:pt idx="12">
                  <c:v>-0.47516406466208921</c:v>
                </c:pt>
                <c:pt idx="13">
                  <c:v>3.6157405564344214</c:v>
                </c:pt>
                <c:pt idx="14">
                  <c:v>6.9272296081153648</c:v>
                </c:pt>
                <c:pt idx="15">
                  <c:v>2.6134043336641883</c:v>
                </c:pt>
                <c:pt idx="16">
                  <c:v>1.2221150202102156</c:v>
                </c:pt>
                <c:pt idx="17">
                  <c:v>2.7407325750482823</c:v>
                </c:pt>
              </c:numCache>
            </c:numRef>
          </c:val>
          <c:extLst>
            <c:ext xmlns:c16="http://schemas.microsoft.com/office/drawing/2014/chart" uri="{C3380CC4-5D6E-409C-BE32-E72D297353CC}">
              <c16:uniqueId val="{00000005-6EBF-4931-9EA2-BC034EA96F96}"/>
            </c:ext>
          </c:extLst>
        </c:ser>
        <c:dLbls>
          <c:showLegendKey val="0"/>
          <c:showVal val="0"/>
          <c:showCatName val="0"/>
          <c:showSerName val="0"/>
          <c:showPercent val="0"/>
          <c:showBubbleSize val="0"/>
        </c:dLbls>
        <c:gapWidth val="59"/>
        <c:overlap val="100"/>
        <c:axId val="194467712"/>
        <c:axId val="194473984"/>
      </c:barChart>
      <c:lineChart>
        <c:grouping val="standard"/>
        <c:varyColors val="0"/>
        <c:ser>
          <c:idx val="0"/>
          <c:order val="0"/>
          <c:tx>
            <c:strRef>
              <c:f>'G1-SR-příjmy-příspěvky'!$A$34</c:f>
              <c:strCache>
                <c:ptCount val="1"/>
                <c:pt idx="0">
                  <c:v>Celk. daňové příjmy (bez pojistného na SZ)</c:v>
                </c:pt>
              </c:strCache>
            </c:strRef>
          </c:tx>
          <c:spPr>
            <a:ln w="19050">
              <a:noFill/>
            </a:ln>
          </c:spPr>
          <c:marker>
            <c:symbol val="circle"/>
            <c:size val="7"/>
            <c:spPr>
              <a:solidFill>
                <a:schemeClr val="bg1"/>
              </a:solidFill>
              <a:ln>
                <a:solidFill>
                  <a:schemeClr val="tx1">
                    <a:lumMod val="95000"/>
                    <a:lumOff val="5000"/>
                  </a:schemeClr>
                </a:solidFill>
              </a:ln>
            </c:spPr>
          </c:marker>
          <c:cat>
            <c:numRef>
              <c:f>'G1-SR-příjmy-příspěvky'!$E$33:$V$33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'G1-SR-příjmy-příspěvky'!$E$34:$V$34</c:f>
              <c:numCache>
                <c:formatCode>0.0</c:formatCode>
                <c:ptCount val="18"/>
                <c:pt idx="0">
                  <c:v>3.4518582134001958</c:v>
                </c:pt>
                <c:pt idx="1">
                  <c:v>-11.55385954341568</c:v>
                </c:pt>
                <c:pt idx="2">
                  <c:v>5.0426910500181705</c:v>
                </c:pt>
                <c:pt idx="3">
                  <c:v>2.1488175018375131</c:v>
                </c:pt>
                <c:pt idx="4">
                  <c:v>2.5974209204548901</c:v>
                </c:pt>
                <c:pt idx="5">
                  <c:v>3.2329927529256319</c:v>
                </c:pt>
                <c:pt idx="6">
                  <c:v>3.8484081523910909</c:v>
                </c:pt>
                <c:pt idx="7">
                  <c:v>5.0231531959106652</c:v>
                </c:pt>
                <c:pt idx="8">
                  <c:v>8.4233130124470499</c:v>
                </c:pt>
                <c:pt idx="9">
                  <c:v>7.3325533507056866</c:v>
                </c:pt>
                <c:pt idx="10">
                  <c:v>7.1543652092027248</c:v>
                </c:pt>
                <c:pt idx="11">
                  <c:v>5.7050546519679441</c:v>
                </c:pt>
                <c:pt idx="12">
                  <c:v>-4.6043003213855052</c:v>
                </c:pt>
                <c:pt idx="13">
                  <c:v>1.6791140700647162</c:v>
                </c:pt>
                <c:pt idx="14">
                  <c:v>13.221235959055972</c:v>
                </c:pt>
                <c:pt idx="15">
                  <c:v>17.022537005722633</c:v>
                </c:pt>
                <c:pt idx="16">
                  <c:v>2.5508043046772406</c:v>
                </c:pt>
                <c:pt idx="17">
                  <c:v>8.1373511801008327</c:v>
                </c:pt>
              </c:numCache>
            </c:numRef>
          </c:val>
          <c:smooth val="0"/>
          <c:extLst>
            <c:ext xmlns:c16="http://schemas.microsoft.com/office/drawing/2014/chart" uri="{C3380CC4-5D6E-409C-BE32-E72D297353CC}">
              <c16:uniqueId val="{00000006-6EBF-4931-9EA2-BC034EA96F96}"/>
            </c:ext>
          </c:extLst>
        </c:ser>
        <c:ser>
          <c:idx val="7"/>
          <c:order val="7"/>
          <c:tx>
            <c:strRef>
              <c:f>'G1-SR-příjmy-příspěvky'!$A$41</c:f>
              <c:strCache>
                <c:ptCount val="1"/>
                <c:pt idx="0">
                  <c:v>Příjmy z pojistného na soc. zabezpečení*</c:v>
                </c:pt>
              </c:strCache>
            </c:strRef>
          </c:tx>
          <c:spPr>
            <a:ln w="6350">
              <a:noFill/>
              <a:prstDash val="dash"/>
            </a:ln>
          </c:spPr>
          <c:marker>
            <c:symbol val="triangle"/>
            <c:size val="5"/>
            <c:spPr>
              <a:solidFill>
                <a:schemeClr val="tx1">
                  <a:lumMod val="85000"/>
                  <a:lumOff val="15000"/>
                </a:schemeClr>
              </a:solidFill>
              <a:ln>
                <a:solidFill>
                  <a:schemeClr val="tx1">
                    <a:lumMod val="95000"/>
                    <a:lumOff val="5000"/>
                  </a:schemeClr>
                </a:solidFill>
              </a:ln>
            </c:spPr>
          </c:marker>
          <c:cat>
            <c:numRef>
              <c:f>'G1-SR-příjmy-příspěvky'!$E$33:$V$33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'G1-SR-příjmy-příspěvky'!$E$41:$V$41</c:f>
              <c:numCache>
                <c:formatCode>0.0</c:formatCode>
                <c:ptCount val="18"/>
                <c:pt idx="0">
                  <c:v>4.963380435078534</c:v>
                </c:pt>
                <c:pt idx="1">
                  <c:v>-9.7530608009960531</c:v>
                </c:pt>
                <c:pt idx="2">
                  <c:v>2.2763853759484789</c:v>
                </c:pt>
                <c:pt idx="3">
                  <c:v>3.0856564748201549</c:v>
                </c:pt>
                <c:pt idx="4">
                  <c:v>1.2812823728258991</c:v>
                </c:pt>
                <c:pt idx="5">
                  <c:v>0.18004546818745837</c:v>
                </c:pt>
                <c:pt idx="6">
                  <c:v>2.8854393544132932</c:v>
                </c:pt>
                <c:pt idx="7">
                  <c:v>5.7035679195659696</c:v>
                </c:pt>
                <c:pt idx="8">
                  <c:v>5.8487562070294956</c:v>
                </c:pt>
                <c:pt idx="9">
                  <c:v>8.8257477392857737</c:v>
                </c:pt>
                <c:pt idx="10">
                  <c:v>10.091138884587664</c:v>
                </c:pt>
                <c:pt idx="11">
                  <c:v>7.4794726724714025</c:v>
                </c:pt>
                <c:pt idx="12">
                  <c:v>-2.0257445497974231</c:v>
                </c:pt>
                <c:pt idx="13">
                  <c:v>10.169913745206131</c:v>
                </c:pt>
                <c:pt idx="14">
                  <c:v>7.0843896490699052</c:v>
                </c:pt>
                <c:pt idx="15">
                  <c:v>8.0778415217012167</c:v>
                </c:pt>
                <c:pt idx="16">
                  <c:v>9.205598007851961</c:v>
                </c:pt>
                <c:pt idx="17">
                  <c:v>7.126082940661064</c:v>
                </c:pt>
              </c:numCache>
            </c:numRef>
          </c:val>
          <c:smooth val="0"/>
          <c:extLst>
            <c:ext xmlns:c16="http://schemas.microsoft.com/office/drawing/2014/chart" uri="{C3380CC4-5D6E-409C-BE32-E72D297353CC}">
              <c16:uniqueId val="{00000007-6EBF-4931-9EA2-BC034EA96F96}"/>
            </c:ext>
          </c:extLst>
        </c:ser>
        <c:dLbls>
          <c:showLegendKey val="0"/>
          <c:showVal val="0"/>
          <c:showCatName val="0"/>
          <c:showSerName val="0"/>
          <c:showPercent val="0"/>
          <c:showBubbleSize val="0"/>
        </c:dLbls>
        <c:marker val="1"/>
        <c:smooth val="0"/>
        <c:axId val="194467712"/>
        <c:axId val="194473984"/>
      </c:lineChart>
      <c:lineChart>
        <c:grouping val="standard"/>
        <c:varyColors val="0"/>
        <c:ser>
          <c:idx val="8"/>
          <c:order val="8"/>
          <c:tx>
            <c:strRef>
              <c:f>'G1-SR-příjmy-příspěvky'!$A$42</c:f>
              <c:strCache>
                <c:ptCount val="1"/>
                <c:pt idx="0">
                  <c:v>Saldo státního rozpočtu</c:v>
                </c:pt>
              </c:strCache>
            </c:strRef>
          </c:tx>
          <c:spPr>
            <a:ln w="15875">
              <a:solidFill>
                <a:srgbClr val="CC9610"/>
              </a:solidFill>
            </a:ln>
          </c:spPr>
          <c:marker>
            <c:symbol val="none"/>
          </c:marker>
          <c:cat>
            <c:numRef>
              <c:f>'G1-SR-příjmy-příspěvky'!$E$33:$V$33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'G1-SR-příjmy-příspěvky'!$E$42:$V$42</c:f>
              <c:numCache>
                <c:formatCode>#\ ##0.0</c:formatCode>
                <c:ptCount val="18"/>
                <c:pt idx="0">
                  <c:v>-20.003</c:v>
                </c:pt>
                <c:pt idx="1">
                  <c:v>-192.39400000000001</c:v>
                </c:pt>
                <c:pt idx="2">
                  <c:v>-156.416</c:v>
                </c:pt>
                <c:pt idx="3">
                  <c:v>-142.77099999999999</c:v>
                </c:pt>
                <c:pt idx="4">
                  <c:v>-101</c:v>
                </c:pt>
                <c:pt idx="5">
                  <c:v>-81.263999999999996</c:v>
                </c:pt>
                <c:pt idx="6">
                  <c:v>-77.78</c:v>
                </c:pt>
                <c:pt idx="7">
                  <c:v>-62.8</c:v>
                </c:pt>
                <c:pt idx="8">
                  <c:v>61.77</c:v>
                </c:pt>
                <c:pt idx="9">
                  <c:v>-6.15</c:v>
                </c:pt>
                <c:pt idx="10">
                  <c:v>2.94</c:v>
                </c:pt>
                <c:pt idx="11">
                  <c:v>-28.52</c:v>
                </c:pt>
                <c:pt idx="12">
                  <c:v>-367.44914888590029</c:v>
                </c:pt>
                <c:pt idx="13">
                  <c:v>-419.6878585549</c:v>
                </c:pt>
                <c:pt idx="14">
                  <c:v>-360.40048457025</c:v>
                </c:pt>
                <c:pt idx="15">
                  <c:v>-288.51503705804953</c:v>
                </c:pt>
                <c:pt idx="16">
                  <c:v>-271.39878275976116</c:v>
                </c:pt>
                <c:pt idx="17">
                  <c:v>-290.68456390893016</c:v>
                </c:pt>
              </c:numCache>
            </c:numRef>
          </c:val>
          <c:smooth val="0"/>
          <c:extLst>
            <c:ext xmlns:c16="http://schemas.microsoft.com/office/drawing/2014/chart" uri="{C3380CC4-5D6E-409C-BE32-E72D297353CC}">
              <c16:uniqueId val="{00000008-6EBF-4931-9EA2-BC034EA96F96}"/>
            </c:ext>
          </c:extLst>
        </c:ser>
        <c:ser>
          <c:idx val="9"/>
          <c:order val="9"/>
          <c:tx>
            <c:strRef>
              <c:f>'G1-SR-příjmy-příspěvky'!$A$43</c:f>
              <c:strCache>
                <c:ptCount val="1"/>
                <c:pt idx="0">
                  <c:v>Saldo SR očišťěné o vliv EU a FM**</c:v>
                </c:pt>
              </c:strCache>
            </c:strRef>
          </c:tx>
          <c:spPr>
            <a:ln w="15875">
              <a:solidFill>
                <a:srgbClr val="CC9610"/>
              </a:solidFill>
              <a:prstDash val="sysDash"/>
            </a:ln>
          </c:spPr>
          <c:marker>
            <c:symbol val="none"/>
          </c:marker>
          <c:cat>
            <c:numRef>
              <c:f>'G1-SR-příjmy-příspěvky'!$E$33:$V$33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'G1-SR-příjmy-příspěvky'!$E$43:$V$43</c:f>
              <c:numCache>
                <c:formatCode>General</c:formatCode>
                <c:ptCount val="18"/>
                <c:pt idx="2" formatCode="#\ ##0.0">
                  <c:v>-139.30000000000001</c:v>
                </c:pt>
                <c:pt idx="3" formatCode="#\ ##0.0">
                  <c:v>-117.5</c:v>
                </c:pt>
                <c:pt idx="4" formatCode="#\ ##0.0">
                  <c:v>-70.599999999999994</c:v>
                </c:pt>
                <c:pt idx="5" formatCode="#\ ##0.0">
                  <c:v>-81.73296260617991</c:v>
                </c:pt>
                <c:pt idx="6" formatCode="#\ ##0.0">
                  <c:v>-64.099999999999994</c:v>
                </c:pt>
                <c:pt idx="7" formatCode="#\ ##0.0">
                  <c:v>-41.7</c:v>
                </c:pt>
                <c:pt idx="8" formatCode="#\ ##0.0">
                  <c:v>-13.6</c:v>
                </c:pt>
                <c:pt idx="9" formatCode="#\ ##0.0">
                  <c:v>-1.3</c:v>
                </c:pt>
                <c:pt idx="10" formatCode="#\ ##0.0">
                  <c:v>-3.5</c:v>
                </c:pt>
                <c:pt idx="11" formatCode="#\ ##0.0">
                  <c:v>-29.2</c:v>
                </c:pt>
                <c:pt idx="12" formatCode="#\ ##0.0">
                  <c:v>-364.9</c:v>
                </c:pt>
                <c:pt idx="13" formatCode="#\ ##0.0">
                  <c:v>-408.62534300788002</c:v>
                </c:pt>
                <c:pt idx="14" formatCode="#\ ##0.0">
                  <c:v>-316.78614650160944</c:v>
                </c:pt>
                <c:pt idx="15" formatCode="#\ ##0.0">
                  <c:v>-300.61728585086007</c:v>
                </c:pt>
                <c:pt idx="16" formatCode="#\ ##0.0">
                  <c:v>-288.86586302725118</c:v>
                </c:pt>
                <c:pt idx="17" formatCode="#\ ##0.0">
                  <c:v>-249.91807521373039</c:v>
                </c:pt>
              </c:numCache>
            </c:numRef>
          </c:val>
          <c:smooth val="0"/>
          <c:extLst>
            <c:ext xmlns:c16="http://schemas.microsoft.com/office/drawing/2014/chart" uri="{C3380CC4-5D6E-409C-BE32-E72D297353CC}">
              <c16:uniqueId val="{00000009-6EBF-4931-9EA2-BC034EA96F96}"/>
            </c:ext>
          </c:extLst>
        </c:ser>
        <c:dLbls>
          <c:showLegendKey val="0"/>
          <c:showVal val="0"/>
          <c:showCatName val="0"/>
          <c:showSerName val="0"/>
          <c:showPercent val="0"/>
          <c:showBubbleSize val="0"/>
        </c:dLbls>
        <c:marker val="1"/>
        <c:smooth val="0"/>
        <c:axId val="539204576"/>
        <c:axId val="556140592"/>
      </c:lineChart>
      <c:catAx>
        <c:axId val="194467712"/>
        <c:scaling>
          <c:orientation val="minMax"/>
        </c:scaling>
        <c:delete val="0"/>
        <c:axPos val="b"/>
        <c:numFmt formatCode="General" sourceLinked="1"/>
        <c:majorTickMark val="out"/>
        <c:minorTickMark val="none"/>
        <c:tickLblPos val="low"/>
        <c:spPr>
          <a:ln w="6350">
            <a:solidFill>
              <a:schemeClr val="tx1"/>
            </a:solidFill>
          </a:ln>
        </c:spPr>
        <c:txPr>
          <a:bodyPr rot="-2220000"/>
          <a:lstStyle/>
          <a:p>
            <a:pPr>
              <a:defRPr sz="800" b="0" i="0"/>
            </a:pPr>
            <a:endParaRPr lang="cs-CZ"/>
          </a:p>
        </c:txPr>
        <c:crossAx val="194473984"/>
        <c:crosses val="autoZero"/>
        <c:auto val="1"/>
        <c:lblAlgn val="ctr"/>
        <c:lblOffset val="0"/>
        <c:noMultiLvlLbl val="0"/>
      </c:catAx>
      <c:valAx>
        <c:axId val="194473984"/>
        <c:scaling>
          <c:orientation val="minMax"/>
          <c:max val="18"/>
          <c:min val="-27"/>
        </c:scaling>
        <c:delete val="0"/>
        <c:axPos val="l"/>
        <c:majorGridlines>
          <c:spPr>
            <a:ln w="6350">
              <a:solidFill>
                <a:schemeClr val="bg1">
                  <a:lumMod val="75000"/>
                </a:schemeClr>
              </a:solidFill>
            </a:ln>
          </c:spPr>
        </c:majorGridlines>
        <c:title>
          <c:tx>
            <c:rich>
              <a:bodyPr/>
              <a:lstStyle/>
              <a:p>
                <a:pPr>
                  <a:defRPr b="0"/>
                </a:pPr>
                <a:r>
                  <a:rPr lang="cs-CZ" b="0"/>
                  <a:t>Růst příjmů z pojistného, příspěvek k růstu daň. příjmů</a:t>
                </a:r>
              </a:p>
            </c:rich>
          </c:tx>
          <c:overlay val="0"/>
        </c:title>
        <c:numFmt formatCode="0" sourceLinked="0"/>
        <c:majorTickMark val="out"/>
        <c:minorTickMark val="none"/>
        <c:tickLblPos val="nextTo"/>
        <c:spPr>
          <a:ln w="6350">
            <a:solidFill>
              <a:schemeClr val="tx1"/>
            </a:solidFill>
          </a:ln>
        </c:spPr>
        <c:txPr>
          <a:bodyPr/>
          <a:lstStyle/>
          <a:p>
            <a:pPr>
              <a:defRPr sz="800" b="0" i="0"/>
            </a:pPr>
            <a:endParaRPr lang="cs-CZ"/>
          </a:p>
        </c:txPr>
        <c:crossAx val="194467712"/>
        <c:crosses val="autoZero"/>
        <c:crossBetween val="between"/>
        <c:majorUnit val="3"/>
      </c:valAx>
      <c:valAx>
        <c:axId val="556140592"/>
        <c:scaling>
          <c:orientation val="minMax"/>
          <c:max val="300"/>
          <c:min val="-450"/>
        </c:scaling>
        <c:delete val="0"/>
        <c:axPos val="r"/>
        <c:title>
          <c:tx>
            <c:rich>
              <a:bodyPr/>
              <a:lstStyle/>
              <a:p>
                <a:pPr>
                  <a:defRPr b="0"/>
                </a:pPr>
                <a:r>
                  <a:rPr lang="cs-CZ" b="0"/>
                  <a:t>Saldo státního rozpočtu</a:t>
                </a:r>
              </a:p>
            </c:rich>
          </c:tx>
          <c:layout>
            <c:manualLayout>
              <c:xMode val="edge"/>
              <c:yMode val="edge"/>
              <c:x val="0.97036646544776606"/>
              <c:y val="0.20963215506367217"/>
            </c:manualLayout>
          </c:layout>
          <c:overlay val="0"/>
        </c:title>
        <c:numFmt formatCode="#,##0" sourceLinked="0"/>
        <c:majorTickMark val="out"/>
        <c:minorTickMark val="none"/>
        <c:tickLblPos val="nextTo"/>
        <c:txPr>
          <a:bodyPr/>
          <a:lstStyle/>
          <a:p>
            <a:pPr>
              <a:defRPr sz="800" b="0" i="0"/>
            </a:pPr>
            <a:endParaRPr lang="cs-CZ"/>
          </a:p>
        </c:txPr>
        <c:crossAx val="539204576"/>
        <c:crosses val="max"/>
        <c:crossBetween val="between"/>
        <c:majorUnit val="50"/>
      </c:valAx>
      <c:catAx>
        <c:axId val="539204576"/>
        <c:scaling>
          <c:orientation val="minMax"/>
        </c:scaling>
        <c:delete val="1"/>
        <c:axPos val="b"/>
        <c:numFmt formatCode="General" sourceLinked="1"/>
        <c:majorTickMark val="out"/>
        <c:minorTickMark val="none"/>
        <c:tickLblPos val="nextTo"/>
        <c:crossAx val="556140592"/>
        <c:crosses val="autoZero"/>
        <c:auto val="1"/>
        <c:lblAlgn val="ctr"/>
        <c:lblOffset val="100"/>
        <c:noMultiLvlLbl val="0"/>
      </c:catAx>
      <c:spPr>
        <a:ln w="6350">
          <a:noFill/>
        </a:ln>
      </c:spPr>
    </c:plotArea>
    <c:legend>
      <c:legendPos val="b"/>
      <c:layout>
        <c:manualLayout>
          <c:xMode val="edge"/>
          <c:yMode val="edge"/>
          <c:x val="3.9383697979742956E-2"/>
          <c:y val="0.83886939230239155"/>
          <c:w val="0.94968130979369991"/>
          <c:h val="0.1536733294810981"/>
        </c:manualLayout>
      </c:layout>
      <c:overlay val="0"/>
      <c:spPr>
        <a:ln w="6350">
          <a:solidFill>
            <a:schemeClr val="tx1"/>
          </a:solidFill>
        </a:ln>
      </c:spPr>
      <c:txPr>
        <a:bodyPr/>
        <a:lstStyle/>
        <a:p>
          <a:pPr>
            <a:defRPr sz="750" b="0" i="0"/>
          </a:pPr>
          <a:endParaRPr lang="cs-CZ"/>
        </a:p>
      </c:txPr>
    </c:legend>
    <c:plotVisOnly val="1"/>
    <c:dispBlanksAs val="gap"/>
    <c:showDLblsOverMax val="0"/>
  </c:chart>
  <c:spPr>
    <a:ln>
      <a:noFill/>
    </a:ln>
  </c:spPr>
  <c:txPr>
    <a:bodyPr/>
    <a:lstStyle/>
    <a:p>
      <a:pPr>
        <a:defRPr sz="700" b="1" i="1">
          <a:latin typeface="Arial" panose="020B0604020202020204" pitchFamily="34" charset="0"/>
          <a:cs typeface="Arial" panose="020B0604020202020204" pitchFamily="34" charset="0"/>
        </a:defRPr>
      </a:pPr>
      <a:endParaRPr lang="cs-CZ"/>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4631741153750356E-2"/>
          <c:y val="1.7698902479006788E-2"/>
          <c:w val="0.82413891400339601"/>
          <c:h val="0.72727915094472939"/>
        </c:manualLayout>
      </c:layout>
      <c:barChart>
        <c:barDir val="col"/>
        <c:grouping val="clustered"/>
        <c:varyColors val="0"/>
        <c:ser>
          <c:idx val="0"/>
          <c:order val="0"/>
          <c:tx>
            <c:strRef>
              <c:f>'G2-St.rozpočet-výdaje-2024'!$B$32</c:f>
              <c:strCache>
                <c:ptCount val="1"/>
                <c:pt idx="0">
                  <c:v>Běžné výdaje celkem (pravá osa)</c:v>
                </c:pt>
              </c:strCache>
            </c:strRef>
          </c:tx>
          <c:spPr>
            <a:solidFill>
              <a:schemeClr val="bg1">
                <a:lumMod val="95000"/>
              </a:schemeClr>
            </a:solidFill>
            <a:ln w="6350">
              <a:solidFill>
                <a:schemeClr val="bg1">
                  <a:lumMod val="65000"/>
                </a:schemeClr>
              </a:solidFill>
            </a:ln>
          </c:spPr>
          <c:invertIfNegative val="0"/>
          <c:cat>
            <c:numRef>
              <c:f>'G2-St.rozpočet-výdaje-2024'!$A$36:$A$53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'G2-St.rozpočet-výdaje-2024'!$B$36:$B$53</c:f>
              <c:numCache>
                <c:formatCode>0.0</c:formatCode>
                <c:ptCount val="18"/>
                <c:pt idx="0">
                  <c:v>975.86</c:v>
                </c:pt>
                <c:pt idx="1">
                  <c:v>1032.78</c:v>
                </c:pt>
                <c:pt idx="2">
                  <c:v>1021.89</c:v>
                </c:pt>
                <c:pt idx="3">
                  <c:v>1031.83</c:v>
                </c:pt>
                <c:pt idx="4">
                  <c:v>1038.76</c:v>
                </c:pt>
                <c:pt idx="5">
                  <c:v>1070.8130000000001</c:v>
                </c:pt>
                <c:pt idx="6">
                  <c:v>1100.1020000000001</c:v>
                </c:pt>
                <c:pt idx="7">
                  <c:v>1121.6600000000001</c:v>
                </c:pt>
                <c:pt idx="8">
                  <c:v>1135.57</c:v>
                </c:pt>
                <c:pt idx="9">
                  <c:v>1198.05</c:v>
                </c:pt>
                <c:pt idx="10">
                  <c:v>1284.5</c:v>
                </c:pt>
                <c:pt idx="11">
                  <c:v>1412.5989294339895</c:v>
                </c:pt>
                <c:pt idx="12">
                  <c:v>1670.3085864663701</c:v>
                </c:pt>
                <c:pt idx="13">
                  <c:v>1729.78958897348</c:v>
                </c:pt>
                <c:pt idx="14">
                  <c:v>1797.9543482348001</c:v>
                </c:pt>
                <c:pt idx="15">
                  <c:v>1992.17183615831</c:v>
                </c:pt>
                <c:pt idx="16">
                  <c:v>2024.29896954112</c:v>
                </c:pt>
                <c:pt idx="17">
                  <c:v>2109.4088252373499</c:v>
                </c:pt>
              </c:numCache>
            </c:numRef>
          </c:val>
          <c:extLst>
            <c:ext xmlns:c16="http://schemas.microsoft.com/office/drawing/2014/chart" uri="{C3380CC4-5D6E-409C-BE32-E72D297353CC}">
              <c16:uniqueId val="{00000000-9FEC-42EF-8221-620F94FEADFA}"/>
            </c:ext>
          </c:extLst>
        </c:ser>
        <c:ser>
          <c:idx val="1"/>
          <c:order val="1"/>
          <c:tx>
            <c:strRef>
              <c:f>'G2-St.rozpočet-výdaje-2024'!$C$32</c:f>
              <c:strCache>
                <c:ptCount val="1"/>
                <c:pt idx="0">
                  <c:v>z toho výdaje na důchody (pr. osa)</c:v>
                </c:pt>
              </c:strCache>
            </c:strRef>
          </c:tx>
          <c:spPr>
            <a:solidFill>
              <a:srgbClr val="D1D1D1"/>
            </a:solidFill>
            <a:ln w="6350">
              <a:solidFill>
                <a:schemeClr val="bg1">
                  <a:lumMod val="75000"/>
                </a:schemeClr>
              </a:solidFill>
            </a:ln>
          </c:spPr>
          <c:invertIfNegative val="0"/>
          <c:cat>
            <c:numRef>
              <c:f>'G2-St.rozpočet-výdaje-2024'!$A$36:$A$53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'G2-St.rozpočet-výdaje-2024'!$C$36:$C$53</c:f>
              <c:numCache>
                <c:formatCode>0.0</c:formatCode>
                <c:ptCount val="18"/>
                <c:pt idx="0">
                  <c:v>312.53199999999998</c:v>
                </c:pt>
                <c:pt idx="1">
                  <c:v>339.78800000000001</c:v>
                </c:pt>
                <c:pt idx="2">
                  <c:v>346.21300000000002</c:v>
                </c:pt>
                <c:pt idx="3">
                  <c:v>368.06900000000002</c:v>
                </c:pt>
                <c:pt idx="4">
                  <c:v>382.03100000000001</c:v>
                </c:pt>
                <c:pt idx="5">
                  <c:v>382.77300000000002</c:v>
                </c:pt>
                <c:pt idx="6">
                  <c:v>385.84</c:v>
                </c:pt>
                <c:pt idx="7">
                  <c:v>395.22</c:v>
                </c:pt>
                <c:pt idx="8">
                  <c:v>398.97</c:v>
                </c:pt>
                <c:pt idx="9">
                  <c:v>414.39</c:v>
                </c:pt>
                <c:pt idx="10">
                  <c:v>433.84407565780998</c:v>
                </c:pt>
                <c:pt idx="11">
                  <c:v>471.57754787601999</c:v>
                </c:pt>
                <c:pt idx="12">
                  <c:v>519.56821115258003</c:v>
                </c:pt>
                <c:pt idx="13">
                  <c:v>530.49962626152001</c:v>
                </c:pt>
                <c:pt idx="14">
                  <c:v>588.08604572466004</c:v>
                </c:pt>
                <c:pt idx="15">
                  <c:v>685.32250789549005</c:v>
                </c:pt>
                <c:pt idx="16">
                  <c:v>709.96444188773</c:v>
                </c:pt>
                <c:pt idx="17">
                  <c:v>715.82688185897007</c:v>
                </c:pt>
              </c:numCache>
            </c:numRef>
          </c:val>
          <c:extLst>
            <c:ext xmlns:c16="http://schemas.microsoft.com/office/drawing/2014/chart" uri="{C3380CC4-5D6E-409C-BE32-E72D297353CC}">
              <c16:uniqueId val="{00000001-9FEC-42EF-8221-620F94FEADFA}"/>
            </c:ext>
          </c:extLst>
        </c:ser>
        <c:dLbls>
          <c:showLegendKey val="0"/>
          <c:showVal val="0"/>
          <c:showCatName val="0"/>
          <c:showSerName val="0"/>
          <c:showPercent val="0"/>
          <c:showBubbleSize val="0"/>
        </c:dLbls>
        <c:gapWidth val="85"/>
        <c:overlap val="100"/>
        <c:axId val="72836608"/>
        <c:axId val="72835072"/>
      </c:barChart>
      <c:lineChart>
        <c:grouping val="standard"/>
        <c:varyColors val="0"/>
        <c:ser>
          <c:idx val="6"/>
          <c:order val="2"/>
          <c:tx>
            <c:strRef>
              <c:f>'G2-St.rozpočet-výdaje-2024'!$D$32</c:f>
              <c:strCache>
                <c:ptCount val="1"/>
                <c:pt idx="0">
                  <c:v>Platy státních zaměstnanců*</c:v>
                </c:pt>
              </c:strCache>
            </c:strRef>
          </c:tx>
          <c:spPr>
            <a:ln w="15875">
              <a:solidFill>
                <a:srgbClr val="E6C483"/>
              </a:solidFill>
            </a:ln>
          </c:spPr>
          <c:marker>
            <c:symbol val="none"/>
          </c:marker>
          <c:cat>
            <c:numRef>
              <c:f>'G2-St.rozpočet-výdaje-2024'!$A$36:$A$53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'G2-St.rozpočet-výdaje-2024'!$D$36:$D$53</c:f>
              <c:numCache>
                <c:formatCode>0.0</c:formatCode>
                <c:ptCount val="18"/>
                <c:pt idx="0">
                  <c:v>97.33</c:v>
                </c:pt>
                <c:pt idx="1">
                  <c:v>100.19</c:v>
                </c:pt>
                <c:pt idx="2">
                  <c:v>97.67</c:v>
                </c:pt>
                <c:pt idx="3">
                  <c:v>89.6</c:v>
                </c:pt>
                <c:pt idx="4">
                  <c:v>90.45</c:v>
                </c:pt>
                <c:pt idx="5">
                  <c:v>92.375</c:v>
                </c:pt>
                <c:pt idx="6">
                  <c:v>96.582999999999998</c:v>
                </c:pt>
                <c:pt idx="7">
                  <c:v>104.19</c:v>
                </c:pt>
                <c:pt idx="8">
                  <c:v>109.86</c:v>
                </c:pt>
                <c:pt idx="9">
                  <c:v>120.08</c:v>
                </c:pt>
                <c:pt idx="10">
                  <c:v>133.9</c:v>
                </c:pt>
                <c:pt idx="11">
                  <c:v>143.72754730148006</c:v>
                </c:pt>
                <c:pt idx="12">
                  <c:v>150.49796216553</c:v>
                </c:pt>
                <c:pt idx="13">
                  <c:v>152.83601356255002</c:v>
                </c:pt>
                <c:pt idx="14">
                  <c:v>153.60033768561999</c:v>
                </c:pt>
                <c:pt idx="15">
                  <c:v>165.85338141482998</c:v>
                </c:pt>
                <c:pt idx="16">
                  <c:v>167.94144594688996</c:v>
                </c:pt>
                <c:pt idx="17">
                  <c:v>180.02784240655998</c:v>
                </c:pt>
              </c:numCache>
            </c:numRef>
          </c:val>
          <c:smooth val="0"/>
          <c:extLst>
            <c:ext xmlns:c16="http://schemas.microsoft.com/office/drawing/2014/chart" uri="{C3380CC4-5D6E-409C-BE32-E72D297353CC}">
              <c16:uniqueId val="{00000002-9FEC-42EF-8221-620F94FEADFA}"/>
            </c:ext>
          </c:extLst>
        </c:ser>
        <c:ser>
          <c:idx val="7"/>
          <c:order val="3"/>
          <c:tx>
            <c:strRef>
              <c:f>'G2-St.rozpočet-výdaje-2024'!$E$32</c:f>
              <c:strCache>
                <c:ptCount val="1"/>
                <c:pt idx="0">
                  <c:v>Podpora v nezaměstnanosti</c:v>
                </c:pt>
              </c:strCache>
            </c:strRef>
          </c:tx>
          <c:spPr>
            <a:ln w="15875">
              <a:solidFill>
                <a:srgbClr val="D8A7B7"/>
              </a:solidFill>
            </a:ln>
          </c:spPr>
          <c:marker>
            <c:symbol val="none"/>
          </c:marker>
          <c:cat>
            <c:numRef>
              <c:f>'G2-St.rozpočet-výdaje-2024'!$A$36:$A$53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'G2-St.rozpočet-výdaje-2024'!$E$36:$E$53</c:f>
              <c:numCache>
                <c:formatCode>0.0</c:formatCode>
                <c:ptCount val="18"/>
                <c:pt idx="0">
                  <c:v>7.11</c:v>
                </c:pt>
                <c:pt idx="1">
                  <c:v>15.077999999999999</c:v>
                </c:pt>
                <c:pt idx="2">
                  <c:v>13.355</c:v>
                </c:pt>
                <c:pt idx="3">
                  <c:v>10.349</c:v>
                </c:pt>
                <c:pt idx="4">
                  <c:v>8.76</c:v>
                </c:pt>
                <c:pt idx="5">
                  <c:v>9.65</c:v>
                </c:pt>
                <c:pt idx="6">
                  <c:v>9.2620000000000005</c:v>
                </c:pt>
                <c:pt idx="7">
                  <c:v>8.2759999999999998</c:v>
                </c:pt>
                <c:pt idx="8">
                  <c:v>8.2200000000000006</c:v>
                </c:pt>
                <c:pt idx="9">
                  <c:v>7.82</c:v>
                </c:pt>
                <c:pt idx="10">
                  <c:v>7.51</c:v>
                </c:pt>
                <c:pt idx="11">
                  <c:v>8.1136251569399995</c:v>
                </c:pt>
                <c:pt idx="12">
                  <c:v>10.524849742540001</c:v>
                </c:pt>
                <c:pt idx="13">
                  <c:v>9.9694941281400009</c:v>
                </c:pt>
                <c:pt idx="14">
                  <c:v>9.8510506837400005</c:v>
                </c:pt>
                <c:pt idx="15">
                  <c:v>10.449400058329999</c:v>
                </c:pt>
                <c:pt idx="16">
                  <c:v>12.86098902494</c:v>
                </c:pt>
                <c:pt idx="17">
                  <c:v>14.887388856789999</c:v>
                </c:pt>
              </c:numCache>
            </c:numRef>
          </c:val>
          <c:smooth val="0"/>
          <c:extLst>
            <c:ext xmlns:c16="http://schemas.microsoft.com/office/drawing/2014/chart" uri="{C3380CC4-5D6E-409C-BE32-E72D297353CC}">
              <c16:uniqueId val="{00000003-9FEC-42EF-8221-620F94FEADFA}"/>
            </c:ext>
          </c:extLst>
        </c:ser>
        <c:ser>
          <c:idx val="2"/>
          <c:order val="4"/>
          <c:tx>
            <c:strRef>
              <c:f>'G2-St.rozpočet-výdaje-2024'!$F$32</c:f>
              <c:strCache>
                <c:ptCount val="1"/>
                <c:pt idx="0">
                  <c:v>Státní sociální podpora**</c:v>
                </c:pt>
              </c:strCache>
            </c:strRef>
          </c:tx>
          <c:spPr>
            <a:ln w="15875">
              <a:solidFill>
                <a:srgbClr val="BC5B80"/>
              </a:solidFill>
            </a:ln>
          </c:spPr>
          <c:marker>
            <c:symbol val="none"/>
          </c:marker>
          <c:cat>
            <c:numRef>
              <c:f>'G2-St.rozpočet-výdaje-2024'!$A$36:$A$53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'G2-St.rozpočet-výdaje-2024'!$F$36:$F$53</c:f>
              <c:numCache>
                <c:formatCode>0.0</c:formatCode>
                <c:ptCount val="18"/>
                <c:pt idx="0">
                  <c:v>41.97</c:v>
                </c:pt>
                <c:pt idx="1">
                  <c:v>41.167999999999999</c:v>
                </c:pt>
                <c:pt idx="2">
                  <c:v>40.881</c:v>
                </c:pt>
                <c:pt idx="3">
                  <c:v>36.094000000000001</c:v>
                </c:pt>
                <c:pt idx="4">
                  <c:v>35.554000000000002</c:v>
                </c:pt>
                <c:pt idx="5">
                  <c:v>37.423000000000002</c:v>
                </c:pt>
                <c:pt idx="6">
                  <c:v>37.543999999999997</c:v>
                </c:pt>
                <c:pt idx="7">
                  <c:v>37.65</c:v>
                </c:pt>
                <c:pt idx="8">
                  <c:v>37.78</c:v>
                </c:pt>
                <c:pt idx="9">
                  <c:v>37.22</c:v>
                </c:pt>
                <c:pt idx="10">
                  <c:v>39.22</c:v>
                </c:pt>
                <c:pt idx="11">
                  <c:v>37.87859106618</c:v>
                </c:pt>
                <c:pt idx="12">
                  <c:v>51.685289497479999</c:v>
                </c:pt>
                <c:pt idx="13">
                  <c:v>48.771589956349999</c:v>
                </c:pt>
                <c:pt idx="14">
                  <c:v>56.352518862019998</c:v>
                </c:pt>
                <c:pt idx="15">
                  <c:v>59.946979211910005</c:v>
                </c:pt>
                <c:pt idx="16">
                  <c:v>60.254299653700002</c:v>
                </c:pt>
                <c:pt idx="17">
                  <c:v>62.688521025519996</c:v>
                </c:pt>
              </c:numCache>
            </c:numRef>
          </c:val>
          <c:smooth val="0"/>
          <c:extLst>
            <c:ext xmlns:c16="http://schemas.microsoft.com/office/drawing/2014/chart" uri="{C3380CC4-5D6E-409C-BE32-E72D297353CC}">
              <c16:uniqueId val="{00000004-9FEC-42EF-8221-620F94FEADFA}"/>
            </c:ext>
          </c:extLst>
        </c:ser>
        <c:ser>
          <c:idx val="3"/>
          <c:order val="5"/>
          <c:tx>
            <c:strRef>
              <c:f>'G2-St.rozpočet-výdaje-2024'!$G$32</c:f>
              <c:strCache>
                <c:ptCount val="1"/>
                <c:pt idx="0">
                  <c:v>Dávky nemocenského pojištění</c:v>
                </c:pt>
              </c:strCache>
            </c:strRef>
          </c:tx>
          <c:spPr>
            <a:ln w="15875">
              <a:solidFill>
                <a:srgbClr val="009CB5"/>
              </a:solidFill>
            </a:ln>
          </c:spPr>
          <c:marker>
            <c:symbol val="none"/>
          </c:marker>
          <c:cat>
            <c:numRef>
              <c:f>'G2-St.rozpočet-výdaje-2024'!$A$36:$A$53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'G2-St.rozpočet-výdaje-2024'!$G$36:$G$53</c:f>
              <c:numCache>
                <c:formatCode>0.0</c:formatCode>
                <c:ptCount val="18"/>
                <c:pt idx="0">
                  <c:v>31.882000000000001</c:v>
                </c:pt>
                <c:pt idx="1">
                  <c:v>26.233000000000001</c:v>
                </c:pt>
                <c:pt idx="2">
                  <c:v>22.995999999999999</c:v>
                </c:pt>
                <c:pt idx="3">
                  <c:v>21.734000000000002</c:v>
                </c:pt>
                <c:pt idx="4">
                  <c:v>19.602</c:v>
                </c:pt>
                <c:pt idx="5">
                  <c:v>20.350000000000001</c:v>
                </c:pt>
                <c:pt idx="6">
                  <c:v>22.283000000000001</c:v>
                </c:pt>
                <c:pt idx="7">
                  <c:v>24.31</c:v>
                </c:pt>
                <c:pt idx="8">
                  <c:v>26.5</c:v>
                </c:pt>
                <c:pt idx="9">
                  <c:v>28.57</c:v>
                </c:pt>
                <c:pt idx="10">
                  <c:v>34.261000000000003</c:v>
                </c:pt>
                <c:pt idx="11">
                  <c:v>39.229999999999997</c:v>
                </c:pt>
                <c:pt idx="12">
                  <c:v>55.610999999999997</c:v>
                </c:pt>
                <c:pt idx="13">
                  <c:v>51.904000000000003</c:v>
                </c:pt>
                <c:pt idx="14">
                  <c:v>48.125999999999998</c:v>
                </c:pt>
                <c:pt idx="15">
                  <c:v>45.918999999999997</c:v>
                </c:pt>
                <c:pt idx="16">
                  <c:v>48.03</c:v>
                </c:pt>
                <c:pt idx="17">
                  <c:v>49.4</c:v>
                </c:pt>
              </c:numCache>
            </c:numRef>
          </c:val>
          <c:smooth val="0"/>
          <c:extLst>
            <c:ext xmlns:c16="http://schemas.microsoft.com/office/drawing/2014/chart" uri="{C3380CC4-5D6E-409C-BE32-E72D297353CC}">
              <c16:uniqueId val="{00000005-9FEC-42EF-8221-620F94FEADFA}"/>
            </c:ext>
          </c:extLst>
        </c:ser>
        <c:ser>
          <c:idx val="4"/>
          <c:order val="6"/>
          <c:tx>
            <c:strRef>
              <c:f>'G2-St.rozpočet-výdaje-2024'!$H$32</c:f>
              <c:strCache>
                <c:ptCount val="1"/>
                <c:pt idx="0">
                  <c:v>Dávky sociální péče***</c:v>
                </c:pt>
              </c:strCache>
            </c:strRef>
          </c:tx>
          <c:spPr>
            <a:ln w="15875">
              <a:solidFill>
                <a:srgbClr val="86BF04"/>
              </a:solidFill>
              <a:prstDash val="solid"/>
            </a:ln>
          </c:spPr>
          <c:marker>
            <c:symbol val="none"/>
          </c:marker>
          <c:cat>
            <c:numRef>
              <c:f>'G2-St.rozpočet-výdaje-2024'!$A$36:$A$53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'G2-St.rozpočet-výdaje-2024'!$H$36:$H$53</c:f>
              <c:numCache>
                <c:formatCode>General</c:formatCode>
                <c:ptCount val="18"/>
                <c:pt idx="4" formatCode="0.0">
                  <c:v>27.695499999999999</c:v>
                </c:pt>
                <c:pt idx="5" formatCode="0.0">
                  <c:v>31.978999999999999</c:v>
                </c:pt>
                <c:pt idx="6" formatCode="0.0">
                  <c:v>33.622</c:v>
                </c:pt>
                <c:pt idx="7" formatCode="0.0">
                  <c:v>33.621000000000002</c:v>
                </c:pt>
                <c:pt idx="8" formatCode="0.0">
                  <c:v>34.295000000000002</c:v>
                </c:pt>
                <c:pt idx="9" formatCode="0.0">
                  <c:v>34.439</c:v>
                </c:pt>
                <c:pt idx="10" formatCode="0.0">
                  <c:v>33.990400000000001</c:v>
                </c:pt>
                <c:pt idx="11" formatCode="0.0">
                  <c:v>36.831099999999999</c:v>
                </c:pt>
                <c:pt idx="12" formatCode="0.0">
                  <c:v>40.510200000000005</c:v>
                </c:pt>
                <c:pt idx="13" formatCode="0.0">
                  <c:v>40.520200000000003</c:v>
                </c:pt>
                <c:pt idx="14" formatCode="0.0">
                  <c:v>53.4238</c:v>
                </c:pt>
                <c:pt idx="15" formatCode="0.0">
                  <c:v>53.747900000000001</c:v>
                </c:pt>
                <c:pt idx="16" formatCode="0.0">
                  <c:v>59.666800000000002</c:v>
                </c:pt>
                <c:pt idx="17" formatCode="0.0">
                  <c:v>65.991480800000005</c:v>
                </c:pt>
              </c:numCache>
            </c:numRef>
          </c:val>
          <c:smooth val="0"/>
          <c:extLst>
            <c:ext xmlns:c16="http://schemas.microsoft.com/office/drawing/2014/chart" uri="{C3380CC4-5D6E-409C-BE32-E72D297353CC}">
              <c16:uniqueId val="{00000006-9FEC-42EF-8221-620F94FEADFA}"/>
            </c:ext>
          </c:extLst>
        </c:ser>
        <c:ser>
          <c:idx val="5"/>
          <c:order val="7"/>
          <c:tx>
            <c:strRef>
              <c:f>'G2-St.rozpočet-výdaje-2024'!$I$32</c:f>
              <c:strCache>
                <c:ptCount val="1"/>
                <c:pt idx="0">
                  <c:v>Neinvestič. transfery podnikatelům</c:v>
                </c:pt>
              </c:strCache>
            </c:strRef>
          </c:tx>
          <c:spPr>
            <a:ln w="9525">
              <a:solidFill>
                <a:srgbClr val="CC9610"/>
              </a:solidFill>
              <a:prstDash val="sysDot"/>
            </a:ln>
          </c:spPr>
          <c:marker>
            <c:symbol val="circle"/>
            <c:size val="5"/>
            <c:spPr>
              <a:solidFill>
                <a:schemeClr val="bg1"/>
              </a:solidFill>
              <a:ln>
                <a:solidFill>
                  <a:srgbClr val="CC9610"/>
                </a:solidFill>
              </a:ln>
            </c:spPr>
          </c:marker>
          <c:cat>
            <c:numRef>
              <c:f>'G2-St.rozpočet-výdaje-2024'!$A$36:$A$53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'G2-St.rozpočet-výdaje-2024'!$I$36:$I$53</c:f>
              <c:numCache>
                <c:formatCode>0.0</c:formatCode>
                <c:ptCount val="18"/>
                <c:pt idx="0">
                  <c:v>26.108000000000001</c:v>
                </c:pt>
                <c:pt idx="1">
                  <c:v>28.491</c:v>
                </c:pt>
                <c:pt idx="2">
                  <c:v>28.100999999999999</c:v>
                </c:pt>
                <c:pt idx="3">
                  <c:v>33.262999999999998</c:v>
                </c:pt>
                <c:pt idx="4">
                  <c:v>35.61</c:v>
                </c:pt>
                <c:pt idx="5">
                  <c:v>35.03</c:v>
                </c:pt>
                <c:pt idx="6">
                  <c:v>41.23</c:v>
                </c:pt>
                <c:pt idx="7">
                  <c:v>39.14</c:v>
                </c:pt>
                <c:pt idx="8">
                  <c:v>44.23</c:v>
                </c:pt>
                <c:pt idx="9">
                  <c:v>48.3</c:v>
                </c:pt>
                <c:pt idx="10">
                  <c:v>57.32</c:v>
                </c:pt>
                <c:pt idx="11">
                  <c:v>57.932912725290002</c:v>
                </c:pt>
                <c:pt idx="12">
                  <c:v>106.75302514385</c:v>
                </c:pt>
                <c:pt idx="13">
                  <c:v>125.41352918255001</c:v>
                </c:pt>
                <c:pt idx="14">
                  <c:v>89.292856818779995</c:v>
                </c:pt>
                <c:pt idx="15">
                  <c:v>137.69890614772999</c:v>
                </c:pt>
                <c:pt idx="16">
                  <c:v>66.535549576650013</c:v>
                </c:pt>
                <c:pt idx="17">
                  <c:v>69.279952920100001</c:v>
                </c:pt>
              </c:numCache>
            </c:numRef>
          </c:val>
          <c:smooth val="0"/>
          <c:extLst>
            <c:ext xmlns:c16="http://schemas.microsoft.com/office/drawing/2014/chart" uri="{C3380CC4-5D6E-409C-BE32-E72D297353CC}">
              <c16:uniqueId val="{00000007-9FEC-42EF-8221-620F94FEADFA}"/>
            </c:ext>
          </c:extLst>
        </c:ser>
        <c:ser>
          <c:idx val="9"/>
          <c:order val="8"/>
          <c:tx>
            <c:strRef>
              <c:f>'G2-St.rozpočet-výdaje-2024'!$J$32</c:f>
              <c:strCache>
                <c:ptCount val="1"/>
                <c:pt idx="0">
                  <c:v>Neinvestič. nákupy a souvis. výdaje****</c:v>
                </c:pt>
              </c:strCache>
            </c:strRef>
          </c:tx>
          <c:spPr>
            <a:ln w="15875">
              <a:solidFill>
                <a:srgbClr val="8390A7"/>
              </a:solidFill>
              <a:prstDash val="solid"/>
            </a:ln>
          </c:spPr>
          <c:marker>
            <c:symbol val="none"/>
          </c:marker>
          <c:dPt>
            <c:idx val="4"/>
            <c:bubble3D val="0"/>
            <c:extLst>
              <c:ext xmlns:c16="http://schemas.microsoft.com/office/drawing/2014/chart" uri="{C3380CC4-5D6E-409C-BE32-E72D297353CC}">
                <c16:uniqueId val="{00000008-9FEC-42EF-8221-620F94FEADFA}"/>
              </c:ext>
            </c:extLst>
          </c:dPt>
          <c:cat>
            <c:numRef>
              <c:f>'G2-St.rozpočet-výdaje-2024'!$A$36:$A$53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'G2-St.rozpočet-výdaje-2024'!$J$36:$J$53</c:f>
              <c:numCache>
                <c:formatCode>0.0</c:formatCode>
                <c:ptCount val="18"/>
                <c:pt idx="0">
                  <c:v>71.581999999999994</c:v>
                </c:pt>
                <c:pt idx="1">
                  <c:v>69.73</c:v>
                </c:pt>
                <c:pt idx="2">
                  <c:v>65.116</c:v>
                </c:pt>
                <c:pt idx="3">
                  <c:v>57.98</c:v>
                </c:pt>
                <c:pt idx="4">
                  <c:v>53.174999999999997</c:v>
                </c:pt>
                <c:pt idx="5">
                  <c:v>54.192999999999998</c:v>
                </c:pt>
                <c:pt idx="6">
                  <c:v>54.751000000000005</c:v>
                </c:pt>
                <c:pt idx="7">
                  <c:v>62.36</c:v>
                </c:pt>
                <c:pt idx="8">
                  <c:v>57.560000000000009</c:v>
                </c:pt>
                <c:pt idx="9">
                  <c:v>62.76</c:v>
                </c:pt>
                <c:pt idx="10">
                  <c:v>68.41</c:v>
                </c:pt>
                <c:pt idx="11">
                  <c:v>66.430000000000007</c:v>
                </c:pt>
                <c:pt idx="12">
                  <c:v>77.884951001920001</c:v>
                </c:pt>
                <c:pt idx="13">
                  <c:v>78.966372350420002</c:v>
                </c:pt>
                <c:pt idx="14">
                  <c:v>91.193704519299956</c:v>
                </c:pt>
                <c:pt idx="15">
                  <c:v>81.520509210230003</c:v>
                </c:pt>
                <c:pt idx="16">
                  <c:v>94.458819465009967</c:v>
                </c:pt>
                <c:pt idx="17">
                  <c:v>109.43083630714</c:v>
                </c:pt>
              </c:numCache>
            </c:numRef>
          </c:val>
          <c:smooth val="0"/>
          <c:extLst>
            <c:ext xmlns:c16="http://schemas.microsoft.com/office/drawing/2014/chart" uri="{C3380CC4-5D6E-409C-BE32-E72D297353CC}">
              <c16:uniqueId val="{00000009-9FEC-42EF-8221-620F94FEADFA}"/>
            </c:ext>
          </c:extLst>
        </c:ser>
        <c:ser>
          <c:idx val="8"/>
          <c:order val="9"/>
          <c:tx>
            <c:strRef>
              <c:f>'G2-St.rozpočet-výdaje-2024'!$K$32</c:f>
              <c:strCache>
                <c:ptCount val="1"/>
                <c:pt idx="0">
                  <c:v>Státní dluh (čisté výdaje)*****</c:v>
                </c:pt>
              </c:strCache>
            </c:strRef>
          </c:tx>
          <c:spPr>
            <a:ln w="6350">
              <a:solidFill>
                <a:srgbClr val="BC5B80"/>
              </a:solidFill>
              <a:prstDash val="sysDot"/>
            </a:ln>
          </c:spPr>
          <c:marker>
            <c:symbol val="diamond"/>
            <c:size val="5"/>
            <c:spPr>
              <a:solidFill>
                <a:srgbClr val="BC5B80"/>
              </a:solidFill>
              <a:ln>
                <a:noFill/>
              </a:ln>
            </c:spPr>
          </c:marker>
          <c:cat>
            <c:numRef>
              <c:f>'G2-St.rozpočet-výdaje-2024'!$A$36:$A$53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'G2-St.rozpočet-výdaje-2024'!$K$36:$K$53</c:f>
              <c:numCache>
                <c:formatCode>0.0</c:formatCode>
                <c:ptCount val="18"/>
                <c:pt idx="0">
                  <c:v>37.64</c:v>
                </c:pt>
                <c:pt idx="1">
                  <c:v>44.46</c:v>
                </c:pt>
                <c:pt idx="2">
                  <c:v>35.840000000000003</c:v>
                </c:pt>
                <c:pt idx="3">
                  <c:v>45.120000000000005</c:v>
                </c:pt>
                <c:pt idx="4">
                  <c:v>41.400000000000006</c:v>
                </c:pt>
                <c:pt idx="5">
                  <c:v>50.89</c:v>
                </c:pt>
                <c:pt idx="6">
                  <c:v>48.49</c:v>
                </c:pt>
                <c:pt idx="7">
                  <c:v>45.28</c:v>
                </c:pt>
                <c:pt idx="8">
                  <c:v>40.65</c:v>
                </c:pt>
                <c:pt idx="9">
                  <c:v>39.769999999999996</c:v>
                </c:pt>
                <c:pt idx="10">
                  <c:v>40.729999999999997</c:v>
                </c:pt>
                <c:pt idx="11">
                  <c:v>39.550577993799998</c:v>
                </c:pt>
                <c:pt idx="12">
                  <c:v>40.145474011320005</c:v>
                </c:pt>
                <c:pt idx="13">
                  <c:v>42.233847726199997</c:v>
                </c:pt>
                <c:pt idx="14">
                  <c:v>49.705483243529997</c:v>
                </c:pt>
                <c:pt idx="15">
                  <c:v>68.31769375044</c:v>
                </c:pt>
                <c:pt idx="16">
                  <c:v>88.457587403429997</c:v>
                </c:pt>
                <c:pt idx="17">
                  <c:v>98.126376340890005</c:v>
                </c:pt>
              </c:numCache>
            </c:numRef>
          </c:val>
          <c:smooth val="0"/>
          <c:extLst>
            <c:ext xmlns:c16="http://schemas.microsoft.com/office/drawing/2014/chart" uri="{C3380CC4-5D6E-409C-BE32-E72D297353CC}">
              <c16:uniqueId val="{0000000A-9FEC-42EF-8221-620F94FEADFA}"/>
            </c:ext>
          </c:extLst>
        </c:ser>
        <c:ser>
          <c:idx val="10"/>
          <c:order val="10"/>
          <c:tx>
            <c:strRef>
              <c:f>'G2-St.rozpočet-výdaje-2024'!$L$32</c:f>
              <c:strCache>
                <c:ptCount val="1"/>
                <c:pt idx="0">
                  <c:v>Kapitálové výdaje</c:v>
                </c:pt>
              </c:strCache>
            </c:strRef>
          </c:tx>
          <c:spPr>
            <a:ln w="15875">
              <a:solidFill>
                <a:srgbClr val="8390A7"/>
              </a:solidFill>
              <a:prstDash val="sysDash"/>
            </a:ln>
          </c:spPr>
          <c:marker>
            <c:symbol val="none"/>
          </c:marker>
          <c:cat>
            <c:numRef>
              <c:f>'G2-St.rozpočet-výdaje-2024'!$A$36:$A$53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'G2-St.rozpočet-výdaje-2024'!$L$36:$L$53</c:f>
              <c:numCache>
                <c:formatCode>0.0</c:formatCode>
                <c:ptCount val="18"/>
                <c:pt idx="0">
                  <c:v>108.08</c:v>
                </c:pt>
                <c:pt idx="1">
                  <c:v>134.22999999999999</c:v>
                </c:pt>
                <c:pt idx="2">
                  <c:v>134.91</c:v>
                </c:pt>
                <c:pt idx="3">
                  <c:v>123.69</c:v>
                </c:pt>
                <c:pt idx="4">
                  <c:v>113.62</c:v>
                </c:pt>
                <c:pt idx="5">
                  <c:v>102.315</c:v>
                </c:pt>
                <c:pt idx="6">
                  <c:v>111.50700000000001</c:v>
                </c:pt>
                <c:pt idx="7">
                  <c:v>175.66</c:v>
                </c:pt>
                <c:pt idx="8">
                  <c:v>84.27</c:v>
                </c:pt>
                <c:pt idx="9">
                  <c:v>81.75</c:v>
                </c:pt>
                <c:pt idx="10">
                  <c:v>116.46</c:v>
                </c:pt>
                <c:pt idx="11">
                  <c:v>139.13928546782003</c:v>
                </c:pt>
                <c:pt idx="12">
                  <c:v>172.62079654905</c:v>
                </c:pt>
                <c:pt idx="13">
                  <c:v>177.13556603782001</c:v>
                </c:pt>
                <c:pt idx="14">
                  <c:v>186.85457144361001</c:v>
                </c:pt>
                <c:pt idx="15">
                  <c:v>210.46592558279002</c:v>
                </c:pt>
                <c:pt idx="16">
                  <c:v>212.49180793746041</c:v>
                </c:pt>
                <c:pt idx="17">
                  <c:v>262.36460534138001</c:v>
                </c:pt>
              </c:numCache>
            </c:numRef>
          </c:val>
          <c:smooth val="0"/>
          <c:extLst>
            <c:ext xmlns:c16="http://schemas.microsoft.com/office/drawing/2014/chart" uri="{C3380CC4-5D6E-409C-BE32-E72D297353CC}">
              <c16:uniqueId val="{0000000B-9FEC-42EF-8221-620F94FEADFA}"/>
            </c:ext>
          </c:extLst>
        </c:ser>
        <c:dLbls>
          <c:showLegendKey val="0"/>
          <c:showVal val="0"/>
          <c:showCatName val="0"/>
          <c:showSerName val="0"/>
          <c:showPercent val="0"/>
          <c:showBubbleSize val="0"/>
        </c:dLbls>
        <c:marker val="1"/>
        <c:smooth val="0"/>
        <c:axId val="72827648"/>
        <c:axId val="72829184"/>
      </c:lineChart>
      <c:catAx>
        <c:axId val="72827648"/>
        <c:scaling>
          <c:orientation val="minMax"/>
        </c:scaling>
        <c:delete val="0"/>
        <c:axPos val="b"/>
        <c:numFmt formatCode="General" sourceLinked="1"/>
        <c:majorTickMark val="out"/>
        <c:minorTickMark val="none"/>
        <c:tickLblPos val="low"/>
        <c:spPr>
          <a:ln w="6350">
            <a:solidFill>
              <a:schemeClr val="bg1">
                <a:lumMod val="50000"/>
              </a:schemeClr>
            </a:solidFill>
          </a:ln>
        </c:spPr>
        <c:txPr>
          <a:bodyPr rot="-1800000"/>
          <a:lstStyle/>
          <a:p>
            <a:pPr>
              <a:defRPr sz="750"/>
            </a:pPr>
            <a:endParaRPr lang="cs-CZ"/>
          </a:p>
        </c:txPr>
        <c:crossAx val="72829184"/>
        <c:crosses val="autoZero"/>
        <c:auto val="1"/>
        <c:lblAlgn val="ctr"/>
        <c:lblOffset val="0"/>
        <c:noMultiLvlLbl val="0"/>
      </c:catAx>
      <c:valAx>
        <c:axId val="72829184"/>
        <c:scaling>
          <c:orientation val="minMax"/>
          <c:max val="270"/>
          <c:min val="0"/>
        </c:scaling>
        <c:delete val="0"/>
        <c:axPos val="l"/>
        <c:majorGridlines>
          <c:spPr>
            <a:ln w="6350">
              <a:solidFill>
                <a:schemeClr val="bg1">
                  <a:lumMod val="75000"/>
                </a:schemeClr>
              </a:solidFill>
            </a:ln>
          </c:spPr>
        </c:majorGridlines>
        <c:title>
          <c:tx>
            <c:rich>
              <a:bodyPr/>
              <a:lstStyle/>
              <a:p>
                <a:pPr>
                  <a:defRPr sz="700" b="0" i="1"/>
                </a:pPr>
                <a:r>
                  <a:rPr lang="cs-CZ" sz="700" b="0" i="1"/>
                  <a:t>Vybrané</a:t>
                </a:r>
                <a:r>
                  <a:rPr lang="cs-CZ" sz="700" b="0" i="1" baseline="0"/>
                  <a:t> </a:t>
                </a:r>
                <a:r>
                  <a:rPr lang="cs-CZ" sz="700" b="0" i="1"/>
                  <a:t>výdaje</a:t>
                </a:r>
              </a:p>
            </c:rich>
          </c:tx>
          <c:layout>
            <c:manualLayout>
              <c:xMode val="edge"/>
              <c:yMode val="edge"/>
              <c:x val="1.2260306060608514E-3"/>
              <c:y val="0.26858049252640298"/>
            </c:manualLayout>
          </c:layout>
          <c:overlay val="0"/>
        </c:title>
        <c:numFmt formatCode="0" sourceLinked="0"/>
        <c:majorTickMark val="out"/>
        <c:minorTickMark val="none"/>
        <c:tickLblPos val="nextTo"/>
        <c:spPr>
          <a:ln w="6350">
            <a:solidFill>
              <a:schemeClr val="tx1"/>
            </a:solidFill>
          </a:ln>
        </c:spPr>
        <c:crossAx val="72827648"/>
        <c:crosses val="autoZero"/>
        <c:crossBetween val="between"/>
        <c:majorUnit val="15"/>
      </c:valAx>
      <c:valAx>
        <c:axId val="72835072"/>
        <c:scaling>
          <c:orientation val="minMax"/>
          <c:max val="2250"/>
          <c:min val="0"/>
        </c:scaling>
        <c:delete val="0"/>
        <c:axPos val="r"/>
        <c:title>
          <c:tx>
            <c:rich>
              <a:bodyPr/>
              <a:lstStyle/>
              <a:p>
                <a:pPr>
                  <a:defRPr sz="700" b="0" i="1"/>
                </a:pPr>
                <a:r>
                  <a:rPr lang="cs-CZ" sz="700" b="0" i="1"/>
                  <a:t>Běžné výdaje celkem, důchody</a:t>
                </a:r>
              </a:p>
            </c:rich>
          </c:tx>
          <c:layout>
            <c:manualLayout>
              <c:xMode val="edge"/>
              <c:yMode val="edge"/>
              <c:x val="0.96904909706663278"/>
              <c:y val="0.16648817731466736"/>
            </c:manualLayout>
          </c:layout>
          <c:overlay val="0"/>
        </c:title>
        <c:numFmt formatCode="0" sourceLinked="0"/>
        <c:majorTickMark val="out"/>
        <c:minorTickMark val="none"/>
        <c:tickLblPos val="nextTo"/>
        <c:spPr>
          <a:ln w="6350">
            <a:solidFill>
              <a:schemeClr val="tx1"/>
            </a:solidFill>
          </a:ln>
        </c:spPr>
        <c:txPr>
          <a:bodyPr rot="0" vert="horz"/>
          <a:lstStyle/>
          <a:p>
            <a:pPr>
              <a:defRPr/>
            </a:pPr>
            <a:endParaRPr lang="cs-CZ"/>
          </a:p>
        </c:txPr>
        <c:crossAx val="72836608"/>
        <c:crosses val="max"/>
        <c:crossBetween val="between"/>
        <c:majorUnit val="250"/>
        <c:minorUnit val="10"/>
      </c:valAx>
      <c:catAx>
        <c:axId val="72836608"/>
        <c:scaling>
          <c:orientation val="minMax"/>
        </c:scaling>
        <c:delete val="1"/>
        <c:axPos val="b"/>
        <c:numFmt formatCode="General" sourceLinked="1"/>
        <c:majorTickMark val="out"/>
        <c:minorTickMark val="none"/>
        <c:tickLblPos val="none"/>
        <c:crossAx val="72835072"/>
        <c:crosses val="autoZero"/>
        <c:auto val="1"/>
        <c:lblAlgn val="ctr"/>
        <c:lblOffset val="100"/>
        <c:noMultiLvlLbl val="0"/>
      </c:catAx>
      <c:spPr>
        <a:ln w="6350">
          <a:solidFill>
            <a:schemeClr val="tx1"/>
          </a:solidFill>
        </a:ln>
      </c:spPr>
    </c:plotArea>
    <c:legend>
      <c:legendPos val="b"/>
      <c:layout>
        <c:manualLayout>
          <c:xMode val="edge"/>
          <c:yMode val="edge"/>
          <c:x val="6.4833749442982813E-2"/>
          <c:y val="0.81180120948849488"/>
          <c:w val="0.92726476298168437"/>
          <c:h val="0.18112677235287147"/>
        </c:manualLayout>
      </c:layout>
      <c:overlay val="0"/>
      <c:spPr>
        <a:ln w="6350">
          <a:solidFill>
            <a:schemeClr val="tx1"/>
          </a:solidFill>
        </a:ln>
      </c:spPr>
    </c:legend>
    <c:plotVisOnly val="1"/>
    <c:dispBlanksAs val="gap"/>
    <c:showDLblsOverMax val="0"/>
  </c:chart>
  <c:spPr>
    <a:ln>
      <a:noFill/>
    </a:ln>
  </c:spPr>
  <c:txPr>
    <a:bodyPr/>
    <a:lstStyle/>
    <a:p>
      <a:pPr>
        <a:defRPr sz="800">
          <a:latin typeface="Arial" panose="020B0604020202020204" pitchFamily="34" charset="0"/>
          <a:cs typeface="Arial" panose="020B0604020202020204" pitchFamily="34" charset="0"/>
        </a:defRPr>
      </a:pPr>
      <a:endParaRPr lang="cs-CZ"/>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9629137115839245E-2"/>
          <c:y val="2.8458510079622041E-2"/>
          <c:w val="0.93688386524822698"/>
          <c:h val="0.67476668918158278"/>
        </c:manualLayout>
      </c:layout>
      <c:barChart>
        <c:barDir val="col"/>
        <c:grouping val="stacked"/>
        <c:varyColors val="0"/>
        <c:ser>
          <c:idx val="1"/>
          <c:order val="1"/>
          <c:tx>
            <c:strRef>
              <c:f>'souhrnná výkonnost 3'!$F$5</c:f>
              <c:strCache>
                <c:ptCount val="1"/>
                <c:pt idx="0">
                  <c:v>Bilance zahraničního obchodu</c:v>
                </c:pt>
              </c:strCache>
            </c:strRef>
          </c:tx>
          <c:spPr>
            <a:solidFill>
              <a:srgbClr val="86BF5E"/>
            </a:solidFill>
            <a:ln>
              <a:noFill/>
            </a:ln>
          </c:spPr>
          <c:invertIfNegative val="0"/>
          <c:cat>
            <c:multiLvlStrRef>
              <c:f>'souhrnná výkonnost 3'!$A$14:$B$37</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f>'souhrnná výkonnost 3'!$F$14:$F$37</c:f>
              <c:numCache>
                <c:formatCode>#\ ##0.0</c:formatCode>
                <c:ptCount val="24"/>
                <c:pt idx="0">
                  <c:v>-1.5220098818172303</c:v>
                </c:pt>
                <c:pt idx="1">
                  <c:v>-8.6080644896923371</c:v>
                </c:pt>
                <c:pt idx="2">
                  <c:v>-0.87113777913486379</c:v>
                </c:pt>
                <c:pt idx="3">
                  <c:v>1.614021737138305</c:v>
                </c:pt>
                <c:pt idx="4">
                  <c:v>1.00806823267428</c:v>
                </c:pt>
                <c:pt idx="5">
                  <c:v>6.0445409199098634</c:v>
                </c:pt>
                <c:pt idx="6">
                  <c:v>-3.6147534072472292</c:v>
                </c:pt>
                <c:pt idx="7">
                  <c:v>-3.6138200235464661</c:v>
                </c:pt>
                <c:pt idx="8">
                  <c:v>-1.7829602338092709</c:v>
                </c:pt>
                <c:pt idx="9">
                  <c:v>-0.36779214215191103</c:v>
                </c:pt>
                <c:pt idx="10">
                  <c:v>3.4250247402899241</c:v>
                </c:pt>
                <c:pt idx="11">
                  <c:v>1.5571662732257714</c:v>
                </c:pt>
                <c:pt idx="12">
                  <c:v>1.389081636710952</c:v>
                </c:pt>
                <c:pt idx="13">
                  <c:v>2.0848251500495598</c:v>
                </c:pt>
                <c:pt idx="14">
                  <c:v>-6.9193170333818277E-2</c:v>
                </c:pt>
                <c:pt idx="15">
                  <c:v>1.9371733646297469</c:v>
                </c:pt>
                <c:pt idx="16">
                  <c:v>1.3656021569064456</c:v>
                </c:pt>
                <c:pt idx="17">
                  <c:v>0.55718364150554223</c:v>
                </c:pt>
                <c:pt idx="18">
                  <c:v>0.70240933543370643</c:v>
                </c:pt>
                <c:pt idx="19">
                  <c:v>-0.99272856503726026</c:v>
                </c:pt>
                <c:pt idx="20">
                  <c:v>-1.7593788662101151E-2</c:v>
                </c:pt>
                <c:pt idx="21">
                  <c:v>-0.37568878287551799</c:v>
                </c:pt>
                <c:pt idx="22">
                  <c:v>0.22560583536934153</c:v>
                </c:pt>
                <c:pt idx="23">
                  <c:v>0.67080215712061486</c:v>
                </c:pt>
              </c:numCache>
            </c:numRef>
          </c:val>
          <c:extLst>
            <c:ext xmlns:c16="http://schemas.microsoft.com/office/drawing/2014/chart" uri="{C3380CC4-5D6E-409C-BE32-E72D297353CC}">
              <c16:uniqueId val="{00000000-7C15-4CA0-BD0C-1E09AFBFF356}"/>
            </c:ext>
          </c:extLst>
        </c:ser>
        <c:ser>
          <c:idx val="2"/>
          <c:order val="2"/>
          <c:tx>
            <c:strRef>
              <c:f>'souhrnná výkonnost 3'!$H$5</c:f>
              <c:strCache>
                <c:ptCount val="1"/>
                <c:pt idx="0">
                  <c:v>Změna zásob</c:v>
                </c:pt>
              </c:strCache>
            </c:strRef>
          </c:tx>
          <c:spPr>
            <a:solidFill>
              <a:srgbClr val="D8A7B7"/>
            </a:solidFill>
            <a:ln>
              <a:noFill/>
            </a:ln>
          </c:spPr>
          <c:invertIfNegative val="0"/>
          <c:cat>
            <c:multiLvlStrRef>
              <c:f>'souhrnná výkonnost 3'!$A$14:$B$37</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f>'souhrnná výkonnost 3'!$H$14:$H$37</c:f>
              <c:numCache>
                <c:formatCode>#\ ##0.0</c:formatCode>
                <c:ptCount val="24"/>
                <c:pt idx="0">
                  <c:v>-0.41142612595158018</c:v>
                </c:pt>
                <c:pt idx="1">
                  <c:v>0.47087204680237044</c:v>
                </c:pt>
                <c:pt idx="2">
                  <c:v>-1.2262407779150233</c:v>
                </c:pt>
                <c:pt idx="3">
                  <c:v>-2.1516080620905655</c:v>
                </c:pt>
                <c:pt idx="4">
                  <c:v>0.31270763257798917</c:v>
                </c:pt>
                <c:pt idx="5">
                  <c:v>0.61650741218595939</c:v>
                </c:pt>
                <c:pt idx="6">
                  <c:v>2.6077548225619727</c:v>
                </c:pt>
                <c:pt idx="7">
                  <c:v>1.4587483911788564</c:v>
                </c:pt>
                <c:pt idx="8">
                  <c:v>0.7370032046500693</c:v>
                </c:pt>
                <c:pt idx="9">
                  <c:v>1.6997333429922492</c:v>
                </c:pt>
                <c:pt idx="10">
                  <c:v>-0.76175295397537413</c:v>
                </c:pt>
                <c:pt idx="11">
                  <c:v>0.95369117492959898</c:v>
                </c:pt>
                <c:pt idx="12">
                  <c:v>0.47915445264561807</c:v>
                </c:pt>
                <c:pt idx="13">
                  <c:v>-1.4971510065677742</c:v>
                </c:pt>
                <c:pt idx="14">
                  <c:v>-0.50712143488440276</c:v>
                </c:pt>
                <c:pt idx="15">
                  <c:v>-3.4417223821981748</c:v>
                </c:pt>
                <c:pt idx="16">
                  <c:v>-2.7592900025370692</c:v>
                </c:pt>
                <c:pt idx="17">
                  <c:v>-0.69852262297165268</c:v>
                </c:pt>
                <c:pt idx="18">
                  <c:v>0.16687464100094435</c:v>
                </c:pt>
                <c:pt idx="19">
                  <c:v>2.62714578191486</c:v>
                </c:pt>
                <c:pt idx="20">
                  <c:v>1.8936486449738312</c:v>
                </c:pt>
                <c:pt idx="21">
                  <c:v>1.2072690642491575</c:v>
                </c:pt>
                <c:pt idx="22">
                  <c:v>0.41112719795444386</c:v>
                </c:pt>
                <c:pt idx="23">
                  <c:v>-0.96493077823615525</c:v>
                </c:pt>
              </c:numCache>
            </c:numRef>
          </c:val>
          <c:extLst>
            <c:ext xmlns:c16="http://schemas.microsoft.com/office/drawing/2014/chart" uri="{C3380CC4-5D6E-409C-BE32-E72D297353CC}">
              <c16:uniqueId val="{00000001-7C15-4CA0-BD0C-1E09AFBFF356}"/>
            </c:ext>
          </c:extLst>
        </c:ser>
        <c:ser>
          <c:idx val="3"/>
          <c:order val="3"/>
          <c:tx>
            <c:strRef>
              <c:f>'souhrnná výkonnost 3'!$G$5</c:f>
              <c:strCache>
                <c:ptCount val="1"/>
                <c:pt idx="0">
                  <c:v>Tvorba hrubého fixního kapitálu</c:v>
                </c:pt>
              </c:strCache>
            </c:strRef>
          </c:tx>
          <c:spPr>
            <a:solidFill>
              <a:srgbClr val="BC5B80"/>
            </a:solidFill>
            <a:ln>
              <a:noFill/>
            </a:ln>
          </c:spPr>
          <c:invertIfNegative val="0"/>
          <c:cat>
            <c:multiLvlStrRef>
              <c:f>'souhrnná výkonnost 3'!$A$14:$B$37</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f>'souhrnná výkonnost 3'!$G$14:$G$37</c:f>
              <c:numCache>
                <c:formatCode>#\ ##0.0</c:formatCode>
                <c:ptCount val="24"/>
                <c:pt idx="0">
                  <c:v>-0.26700598408244552</c:v>
                </c:pt>
                <c:pt idx="1">
                  <c:v>0.17117214561128005</c:v>
                </c:pt>
                <c:pt idx="2">
                  <c:v>-1.0835608783889494</c:v>
                </c:pt>
                <c:pt idx="3">
                  <c:v>-1.2503151391513465</c:v>
                </c:pt>
                <c:pt idx="4">
                  <c:v>0.19329716710704048</c:v>
                </c:pt>
                <c:pt idx="5">
                  <c:v>4.4129877412921126E-2</c:v>
                </c:pt>
                <c:pt idx="6">
                  <c:v>1.9442632515958205</c:v>
                </c:pt>
                <c:pt idx="7">
                  <c:v>2.0044020268363827</c:v>
                </c:pt>
                <c:pt idx="8">
                  <c:v>2.0518449819968736</c:v>
                </c:pt>
                <c:pt idx="9">
                  <c:v>1.4499382287130853</c:v>
                </c:pt>
                <c:pt idx="10">
                  <c:v>0.92691645618860796</c:v>
                </c:pt>
                <c:pt idx="11">
                  <c:v>0.8739358711392371</c:v>
                </c:pt>
                <c:pt idx="12">
                  <c:v>0.34095431774632395</c:v>
                </c:pt>
                <c:pt idx="13">
                  <c:v>0.87661322433525268</c:v>
                </c:pt>
                <c:pt idx="14">
                  <c:v>0.8151154367611948</c:v>
                </c:pt>
                <c:pt idx="15">
                  <c:v>0.96102158219447764</c:v>
                </c:pt>
                <c:pt idx="16">
                  <c:v>0.30346748665372919</c:v>
                </c:pt>
                <c:pt idx="17">
                  <c:v>-0.48069417125986957</c:v>
                </c:pt>
                <c:pt idx="18">
                  <c:v>-0.87280673126229236</c:v>
                </c:pt>
                <c:pt idx="19">
                  <c:v>-1.332707794600857</c:v>
                </c:pt>
                <c:pt idx="20">
                  <c:v>-0.50752902708722225</c:v>
                </c:pt>
                <c:pt idx="21">
                  <c:v>8.7079348973971321E-2</c:v>
                </c:pt>
                <c:pt idx="22">
                  <c:v>0.58656405454890914</c:v>
                </c:pt>
                <c:pt idx="23">
                  <c:v>1.1914367699610569</c:v>
                </c:pt>
              </c:numCache>
            </c:numRef>
          </c:val>
          <c:extLst>
            <c:ext xmlns:c16="http://schemas.microsoft.com/office/drawing/2014/chart" uri="{C3380CC4-5D6E-409C-BE32-E72D297353CC}">
              <c16:uniqueId val="{00000002-7C15-4CA0-BD0C-1E09AFBFF356}"/>
            </c:ext>
          </c:extLst>
        </c:ser>
        <c:ser>
          <c:idx val="5"/>
          <c:order val="4"/>
          <c:tx>
            <c:strRef>
              <c:f>'souhrnná výkonnost 3'!$D$5</c:f>
              <c:strCache>
                <c:ptCount val="1"/>
                <c:pt idx="0">
                  <c:v>Výdaje na konečnou spotřebu domácností (vč. nezisk. inst.)</c:v>
                </c:pt>
              </c:strCache>
            </c:strRef>
          </c:tx>
          <c:spPr>
            <a:solidFill>
              <a:srgbClr val="009CB5"/>
            </a:solidFill>
            <a:ln>
              <a:noFill/>
            </a:ln>
          </c:spPr>
          <c:invertIfNegative val="0"/>
          <c:cat>
            <c:multiLvlStrRef>
              <c:f>'souhrnná výkonnost 3'!$A$14:$B$37</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f>'souhrnná výkonnost 3'!$D$14:$D$37</c:f>
              <c:numCache>
                <c:formatCode>#\ ##0.0</c:formatCode>
                <c:ptCount val="24"/>
                <c:pt idx="0">
                  <c:v>-0.20652462785548492</c:v>
                </c:pt>
                <c:pt idx="1">
                  <c:v>-3.1846278495284714</c:v>
                </c:pt>
                <c:pt idx="2">
                  <c:v>-1.7932936482460928</c:v>
                </c:pt>
                <c:pt idx="3">
                  <c:v>-4.1601529367988528</c:v>
                </c:pt>
                <c:pt idx="4">
                  <c:v>-2.7114582495040898</c:v>
                </c:pt>
                <c:pt idx="5">
                  <c:v>3.0643008969551713</c:v>
                </c:pt>
                <c:pt idx="6">
                  <c:v>1.9670161927809442</c:v>
                </c:pt>
                <c:pt idx="7">
                  <c:v>3.8180993600086053</c:v>
                </c:pt>
                <c:pt idx="8">
                  <c:v>3.31386782283117</c:v>
                </c:pt>
                <c:pt idx="9">
                  <c:v>0.16881001369198514</c:v>
                </c:pt>
                <c:pt idx="10">
                  <c:v>-1.3101813511687193</c:v>
                </c:pt>
                <c:pt idx="11">
                  <c:v>-2.089708487125038</c:v>
                </c:pt>
                <c:pt idx="12">
                  <c:v>-2.6013321896959831</c:v>
                </c:pt>
                <c:pt idx="13">
                  <c:v>-1.7057384010523833</c:v>
                </c:pt>
                <c:pt idx="14">
                  <c:v>-1.1009050834144585</c:v>
                </c:pt>
                <c:pt idx="15">
                  <c:v>0.28178742175377886</c:v>
                </c:pt>
                <c:pt idx="16">
                  <c:v>1.0137894571059509</c:v>
                </c:pt>
                <c:pt idx="17">
                  <c:v>0.32301326056167923</c:v>
                </c:pt>
                <c:pt idx="18">
                  <c:v>0.74204257138144858</c:v>
                </c:pt>
                <c:pt idx="19">
                  <c:v>0.97184134487184903</c:v>
                </c:pt>
                <c:pt idx="20">
                  <c:v>0.70181007938438944</c:v>
                </c:pt>
                <c:pt idx="21">
                  <c:v>1.2324382827855747</c:v>
                </c:pt>
                <c:pt idx="22">
                  <c:v>1.1283868796699228</c:v>
                </c:pt>
                <c:pt idx="23">
                  <c:v>1.140433516521199</c:v>
                </c:pt>
              </c:numCache>
            </c:numRef>
          </c:val>
          <c:extLst>
            <c:ext xmlns:c16="http://schemas.microsoft.com/office/drawing/2014/chart" uri="{C3380CC4-5D6E-409C-BE32-E72D297353CC}">
              <c16:uniqueId val="{00000003-7C15-4CA0-BD0C-1E09AFBFF356}"/>
            </c:ext>
          </c:extLst>
        </c:ser>
        <c:ser>
          <c:idx val="4"/>
          <c:order val="5"/>
          <c:tx>
            <c:strRef>
              <c:f>'souhrnná výkonnost 3'!$E$5</c:f>
              <c:strCache>
                <c:ptCount val="1"/>
                <c:pt idx="0">
                  <c:v>Výdaje na konečnou spotřebu vládních institucí</c:v>
                </c:pt>
              </c:strCache>
            </c:strRef>
          </c:tx>
          <c:spPr>
            <a:solidFill>
              <a:srgbClr val="9FC9D7"/>
            </a:solidFill>
            <a:ln>
              <a:noFill/>
            </a:ln>
          </c:spPr>
          <c:invertIfNegative val="0"/>
          <c:cat>
            <c:multiLvlStrRef>
              <c:f>'souhrnná výkonnost 3'!$A$14:$B$37</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f>'souhrnná výkonnost 3'!$E$14:$E$37</c:f>
              <c:numCache>
                <c:formatCode>#\ ##0.0</c:formatCode>
                <c:ptCount val="24"/>
                <c:pt idx="0">
                  <c:v>0.86512840343977537</c:v>
                </c:pt>
                <c:pt idx="1">
                  <c:v>0.57364238954899127</c:v>
                </c:pt>
                <c:pt idx="2">
                  <c:v>0.30782450653884724</c:v>
                </c:pt>
                <c:pt idx="3">
                  <c:v>1.4124984433188399</c:v>
                </c:pt>
                <c:pt idx="4">
                  <c:v>-0.11329209027996652</c:v>
                </c:pt>
                <c:pt idx="5">
                  <c:v>-7.0904860317901872E-2</c:v>
                </c:pt>
                <c:pt idx="6">
                  <c:v>0.99024135484615394</c:v>
                </c:pt>
                <c:pt idx="7">
                  <c:v>8.7306640760843102E-2</c:v>
                </c:pt>
                <c:pt idx="8">
                  <c:v>0.39862222919793239</c:v>
                </c:pt>
                <c:pt idx="9">
                  <c:v>0.55855858849053874</c:v>
                </c:pt>
                <c:pt idx="10">
                  <c:v>-0.333976366812193</c:v>
                </c:pt>
                <c:pt idx="11">
                  <c:v>-0.31055874129171235</c:v>
                </c:pt>
                <c:pt idx="12">
                  <c:v>0.59888687487615944</c:v>
                </c:pt>
                <c:pt idx="13">
                  <c:v>0.46547224810803889</c:v>
                </c:pt>
                <c:pt idx="14">
                  <c:v>0.57996402837612049</c:v>
                </c:pt>
                <c:pt idx="15">
                  <c:v>0.62077939777900504</c:v>
                </c:pt>
                <c:pt idx="16">
                  <c:v>0.4976218135363028</c:v>
                </c:pt>
                <c:pt idx="17">
                  <c:v>0.71118296182321328</c:v>
                </c:pt>
                <c:pt idx="18">
                  <c:v>0.64263920955276566</c:v>
                </c:pt>
                <c:pt idx="19">
                  <c:v>0.61804008890538431</c:v>
                </c:pt>
                <c:pt idx="20">
                  <c:v>0.33913099174035255</c:v>
                </c:pt>
                <c:pt idx="21">
                  <c:v>0.41279419041996912</c:v>
                </c:pt>
                <c:pt idx="22">
                  <c:v>0.40700528769182204</c:v>
                </c:pt>
                <c:pt idx="23">
                  <c:v>0.47708380893619212</c:v>
                </c:pt>
              </c:numCache>
            </c:numRef>
          </c:val>
          <c:extLst>
            <c:ext xmlns:c16="http://schemas.microsoft.com/office/drawing/2014/chart" uri="{C3380CC4-5D6E-409C-BE32-E72D297353CC}">
              <c16:uniqueId val="{00000004-7C15-4CA0-BD0C-1E09AFBFF356}"/>
            </c:ext>
          </c:extLst>
        </c:ser>
        <c:dLbls>
          <c:showLegendKey val="0"/>
          <c:showVal val="0"/>
          <c:showCatName val="0"/>
          <c:showSerName val="0"/>
          <c:showPercent val="0"/>
          <c:showBubbleSize val="0"/>
        </c:dLbls>
        <c:gapWidth val="90"/>
        <c:overlap val="100"/>
        <c:axId val="267591040"/>
        <c:axId val="267605120"/>
      </c:barChart>
      <c:lineChart>
        <c:grouping val="standard"/>
        <c:varyColors val="0"/>
        <c:ser>
          <c:idx val="0"/>
          <c:order val="0"/>
          <c:tx>
            <c:strRef>
              <c:f>'souhrnná výkonnost 3'!$C$5</c:f>
              <c:strCache>
                <c:ptCount val="1"/>
                <c:pt idx="0">
                  <c:v>HDP</c:v>
                </c:pt>
              </c:strCache>
            </c:strRef>
          </c:tx>
          <c:spPr>
            <a:ln>
              <a:solidFill>
                <a:schemeClr val="tx1"/>
              </a:solidFill>
            </a:ln>
          </c:spPr>
          <c:marker>
            <c:symbol val="none"/>
          </c:marker>
          <c:cat>
            <c:multiLvlStrRef>
              <c:f>'souhrnná výkonnost 3'!$A$14:$B$37</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f>'souhrnná výkonnost 3'!$C$14:$C$37</c:f>
              <c:numCache>
                <c:formatCode>#\ ##0.0</c:formatCode>
                <c:ptCount val="24"/>
                <c:pt idx="0">
                  <c:v>-1.5351860152398018</c:v>
                </c:pt>
                <c:pt idx="1">
                  <c:v>-10.559588208597859</c:v>
                </c:pt>
                <c:pt idx="2">
                  <c:v>-4.6693672774553789</c:v>
                </c:pt>
                <c:pt idx="3">
                  <c:v>-4.5192220435162938</c:v>
                </c:pt>
                <c:pt idx="4">
                  <c:v>-1.2664242830816619</c:v>
                </c:pt>
                <c:pt idx="5">
                  <c:v>9.7297344586924766</c:v>
                </c:pt>
                <c:pt idx="6">
                  <c:v>3.996179947304455</c:v>
                </c:pt>
                <c:pt idx="7">
                  <c:v>3.9239119810993373</c:v>
                </c:pt>
                <c:pt idx="8">
                  <c:v>4.8491184646536567</c:v>
                </c:pt>
                <c:pt idx="9">
                  <c:v>3.6598013831556528</c:v>
                </c:pt>
                <c:pt idx="10">
                  <c:v>2.0291770951442913</c:v>
                </c:pt>
                <c:pt idx="11">
                  <c:v>0.95170578002515072</c:v>
                </c:pt>
                <c:pt idx="12">
                  <c:v>0.26249013974401691</c:v>
                </c:pt>
                <c:pt idx="13">
                  <c:v>0.21779356784705328</c:v>
                </c:pt>
                <c:pt idx="14">
                  <c:v>-0.28185838328641921</c:v>
                </c:pt>
                <c:pt idx="15">
                  <c:v>0.48630488598595889</c:v>
                </c:pt>
                <c:pt idx="16">
                  <c:v>0.50109966208633239</c:v>
                </c:pt>
                <c:pt idx="17">
                  <c:v>0.53792839687616834</c:v>
                </c:pt>
                <c:pt idx="18">
                  <c:v>1.5167593336196603</c:v>
                </c:pt>
                <c:pt idx="19">
                  <c:v>1.9540920716112566</c:v>
                </c:pt>
                <c:pt idx="20">
                  <c:v>2.4336713698293693</c:v>
                </c:pt>
                <c:pt idx="21">
                  <c:v>2.5963071293802358</c:v>
                </c:pt>
                <c:pt idx="22">
                  <c:v>2.7833074905334314</c:v>
                </c:pt>
                <c:pt idx="23">
                  <c:v>2.5575048195052972</c:v>
                </c:pt>
              </c:numCache>
            </c:numRef>
          </c:val>
          <c:smooth val="0"/>
          <c:extLst>
            <c:ext xmlns:c16="http://schemas.microsoft.com/office/drawing/2014/chart" uri="{C3380CC4-5D6E-409C-BE32-E72D297353CC}">
              <c16:uniqueId val="{00000005-7C15-4CA0-BD0C-1E09AFBFF356}"/>
            </c:ext>
          </c:extLst>
        </c:ser>
        <c:dLbls>
          <c:showLegendKey val="0"/>
          <c:showVal val="0"/>
          <c:showCatName val="0"/>
          <c:showSerName val="0"/>
          <c:showPercent val="0"/>
          <c:showBubbleSize val="0"/>
        </c:dLbls>
        <c:marker val="1"/>
        <c:smooth val="0"/>
        <c:axId val="267591040"/>
        <c:axId val="267605120"/>
      </c:lineChart>
      <c:catAx>
        <c:axId val="267591040"/>
        <c:scaling>
          <c:orientation val="minMax"/>
        </c:scaling>
        <c:delete val="0"/>
        <c:axPos val="b"/>
        <c:numFmt formatCode="General" sourceLinked="1"/>
        <c:majorTickMark val="out"/>
        <c:minorTickMark val="none"/>
        <c:tickLblPos val="low"/>
        <c:spPr>
          <a:ln>
            <a:solidFill>
              <a:schemeClr val="tx1"/>
            </a:solidFill>
          </a:ln>
        </c:spPr>
        <c:txPr>
          <a:bodyPr rot="0" vert="horz"/>
          <a:lstStyle/>
          <a:p>
            <a:pPr>
              <a:defRPr/>
            </a:pPr>
            <a:endParaRPr lang="cs-CZ"/>
          </a:p>
        </c:txPr>
        <c:crossAx val="267605120"/>
        <c:crosses val="autoZero"/>
        <c:auto val="1"/>
        <c:lblAlgn val="ctr"/>
        <c:lblOffset val="100"/>
        <c:noMultiLvlLbl val="0"/>
      </c:catAx>
      <c:valAx>
        <c:axId val="267605120"/>
        <c:scaling>
          <c:orientation val="minMax"/>
          <c:max val="10"/>
          <c:min val="-12"/>
        </c:scaling>
        <c:delete val="0"/>
        <c:axPos val="l"/>
        <c:majorGridlines>
          <c:spPr>
            <a:ln w="6350">
              <a:solidFill>
                <a:schemeClr val="bg1">
                  <a:lumMod val="75000"/>
                </a:schemeClr>
              </a:solidFill>
            </a:ln>
          </c:spPr>
        </c:majorGridlines>
        <c:numFmt formatCode="#,##0" sourceLinked="0"/>
        <c:majorTickMark val="out"/>
        <c:minorTickMark val="none"/>
        <c:tickLblPos val="nextTo"/>
        <c:spPr>
          <a:ln>
            <a:solidFill>
              <a:schemeClr val="tx1"/>
            </a:solidFill>
          </a:ln>
        </c:spPr>
        <c:crossAx val="267591040"/>
        <c:crosses val="autoZero"/>
        <c:crossBetween val="between"/>
        <c:majorUnit val="2"/>
      </c:valAx>
      <c:spPr>
        <a:ln>
          <a:solidFill>
            <a:schemeClr val="tx1"/>
          </a:solidFill>
        </a:ln>
      </c:spPr>
    </c:plotArea>
    <c:legend>
      <c:legendPos val="b"/>
      <c:layout>
        <c:manualLayout>
          <c:xMode val="edge"/>
          <c:yMode val="edge"/>
          <c:x val="4.7571766295170556E-2"/>
          <c:y val="0.81445992344928519"/>
          <c:w val="0.94432624113475194"/>
          <c:h val="0.17481734774287963"/>
        </c:manualLayout>
      </c:layout>
      <c:overlay val="0"/>
      <c:spPr>
        <a:ln w="6350">
          <a:solidFill>
            <a:schemeClr val="tx1"/>
          </a:solidFill>
        </a:ln>
      </c:spPr>
    </c:legend>
    <c:plotVisOnly val="1"/>
    <c:dispBlanksAs val="gap"/>
    <c:showDLblsOverMax val="0"/>
  </c:chart>
  <c:spPr>
    <a:ln>
      <a:noFill/>
    </a:ln>
  </c:spPr>
  <c:txPr>
    <a:bodyPr/>
    <a:lstStyle/>
    <a:p>
      <a:pPr>
        <a:defRPr sz="800" baseline="0">
          <a:latin typeface="Arial" pitchFamily="34" charset="0"/>
        </a:defRPr>
      </a:pPr>
      <a:endParaRPr lang="cs-CZ"/>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655893706870088E-2"/>
          <c:y val="2.0804998806967311E-2"/>
          <c:w val="0.85715869620290541"/>
          <c:h val="0.71453640666329366"/>
        </c:manualLayout>
      </c:layout>
      <c:barChart>
        <c:barDir val="col"/>
        <c:grouping val="clustered"/>
        <c:varyColors val="0"/>
        <c:ser>
          <c:idx val="0"/>
          <c:order val="0"/>
          <c:tx>
            <c:strRef>
              <c:f>'G3-Sektor vlád.institucí (2)'!$A$117</c:f>
              <c:strCache>
                <c:ptCount val="1"/>
                <c:pt idx="0">
                  <c:v>Saldo hospodaření (EU27)</c:v>
                </c:pt>
              </c:strCache>
            </c:strRef>
          </c:tx>
          <c:spPr>
            <a:solidFill>
              <a:schemeClr val="bg2">
                <a:lumMod val="90000"/>
              </a:schemeClr>
            </a:solidFill>
            <a:ln>
              <a:solidFill>
                <a:schemeClr val="bg2">
                  <a:lumMod val="75000"/>
                </a:schemeClr>
              </a:solidFill>
            </a:ln>
            <a:effectLst/>
          </c:spPr>
          <c:invertIfNegative val="0"/>
          <c:cat>
            <c:multiLvlStrRef>
              <c:f>'G3-Sektor vlád.institucí (2)'!$F$115:$AR$116</c:f>
              <c:multiLvlStrCache>
                <c:ptCount val="39"/>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lvl>
                <c:lvl>
                  <c:pt idx="0">
                    <c:v>2016</c:v>
                  </c:pt>
                  <c:pt idx="4">
                    <c:v>2017</c:v>
                  </c:pt>
                  <c:pt idx="8">
                    <c:v>2018</c:v>
                  </c:pt>
                  <c:pt idx="12">
                    <c:v>2019</c:v>
                  </c:pt>
                  <c:pt idx="16">
                    <c:v>2020</c:v>
                  </c:pt>
                  <c:pt idx="20">
                    <c:v>2021</c:v>
                  </c:pt>
                  <c:pt idx="24">
                    <c:v>2022</c:v>
                  </c:pt>
                  <c:pt idx="28">
                    <c:v>2023</c:v>
                  </c:pt>
                  <c:pt idx="32">
                    <c:v>2024</c:v>
                  </c:pt>
                  <c:pt idx="36">
                    <c:v>2025</c:v>
                  </c:pt>
                </c:lvl>
              </c:multiLvlStrCache>
            </c:multiLvlStrRef>
          </c:cat>
          <c:val>
            <c:numRef>
              <c:f>'G3-Sektor vlád.institucí (2)'!$F$117:$AR$117</c:f>
              <c:numCache>
                <c:formatCode>#\ ##0.##########</c:formatCode>
                <c:ptCount val="39"/>
                <c:pt idx="0">
                  <c:v>-1.6</c:v>
                </c:pt>
                <c:pt idx="1">
                  <c:v>-1.4</c:v>
                </c:pt>
                <c:pt idx="2">
                  <c:v>-1.6</c:v>
                </c:pt>
                <c:pt idx="3">
                  <c:v>-0.9</c:v>
                </c:pt>
                <c:pt idx="4">
                  <c:v>-0.9</c:v>
                </c:pt>
                <c:pt idx="5">
                  <c:v>-1.3</c:v>
                </c:pt>
                <c:pt idx="6">
                  <c:v>-0.8</c:v>
                </c:pt>
                <c:pt idx="7">
                  <c:v>-0.5</c:v>
                </c:pt>
                <c:pt idx="8">
                  <c:v>-0.2</c:v>
                </c:pt>
                <c:pt idx="9">
                  <c:v>-0.1</c:v>
                </c:pt>
                <c:pt idx="10">
                  <c:v>-0.5</c:v>
                </c:pt>
                <c:pt idx="11">
                  <c:v>-0.7</c:v>
                </c:pt>
                <c:pt idx="12">
                  <c:v>-0.2</c:v>
                </c:pt>
                <c:pt idx="13">
                  <c:v>-0.3</c:v>
                </c:pt>
                <c:pt idx="14">
                  <c:v>-0.7</c:v>
                </c:pt>
                <c:pt idx="15">
                  <c:v>-0.7</c:v>
                </c:pt>
                <c:pt idx="16">
                  <c:v>-2.8</c:v>
                </c:pt>
                <c:pt idx="17">
                  <c:v>-11.7</c:v>
                </c:pt>
                <c:pt idx="18">
                  <c:v>-6.1</c:v>
                </c:pt>
                <c:pt idx="19">
                  <c:v>-6.6</c:v>
                </c:pt>
                <c:pt idx="20">
                  <c:v>-6.2</c:v>
                </c:pt>
                <c:pt idx="21">
                  <c:v>-5.9</c:v>
                </c:pt>
                <c:pt idx="22">
                  <c:v>-3.5</c:v>
                </c:pt>
                <c:pt idx="23">
                  <c:v>-3.1</c:v>
                </c:pt>
                <c:pt idx="24">
                  <c:v>-2.2999999999999998</c:v>
                </c:pt>
                <c:pt idx="25">
                  <c:v>-2.2000000000000002</c:v>
                </c:pt>
                <c:pt idx="26">
                  <c:v>-3.7</c:v>
                </c:pt>
                <c:pt idx="27">
                  <c:v>-4.4000000000000004</c:v>
                </c:pt>
                <c:pt idx="28" formatCode="#\ ##0.0">
                  <c:v>-3.1</c:v>
                </c:pt>
                <c:pt idx="29">
                  <c:v>-3.2</c:v>
                </c:pt>
                <c:pt idx="30">
                  <c:v>-3.5</c:v>
                </c:pt>
                <c:pt idx="31">
                  <c:v>-3.9</c:v>
                </c:pt>
                <c:pt idx="32" formatCode="#\ ##0.0">
                  <c:v>-3</c:v>
                </c:pt>
                <c:pt idx="33">
                  <c:v>-3.2</c:v>
                </c:pt>
                <c:pt idx="34">
                  <c:v>-3</c:v>
                </c:pt>
                <c:pt idx="35">
                  <c:v>-3.4</c:v>
                </c:pt>
                <c:pt idx="36">
                  <c:v>-2.8</c:v>
                </c:pt>
                <c:pt idx="37" formatCode="General">
                  <c:v>-2.9</c:v>
                </c:pt>
                <c:pt idx="38" formatCode="General">
                  <c:v>-3.2</c:v>
                </c:pt>
              </c:numCache>
            </c:numRef>
          </c:val>
          <c:extLst>
            <c:ext xmlns:c16="http://schemas.microsoft.com/office/drawing/2014/chart" uri="{C3380CC4-5D6E-409C-BE32-E72D297353CC}">
              <c16:uniqueId val="{00000000-AAD1-497F-8936-D2D2A703A2A3}"/>
            </c:ext>
          </c:extLst>
        </c:ser>
        <c:ser>
          <c:idx val="1"/>
          <c:order val="1"/>
          <c:tx>
            <c:strRef>
              <c:f>'G3-Sektor vlád.institucí (2)'!$A$118</c:f>
              <c:strCache>
                <c:ptCount val="1"/>
                <c:pt idx="0">
                  <c:v>Saldo hospodaření (Česko)</c:v>
                </c:pt>
              </c:strCache>
            </c:strRef>
          </c:tx>
          <c:spPr>
            <a:solidFill>
              <a:schemeClr val="bg2">
                <a:lumMod val="50000"/>
              </a:schemeClr>
            </a:solidFill>
            <a:ln>
              <a:noFill/>
            </a:ln>
            <a:effectLst/>
          </c:spPr>
          <c:invertIfNegative val="0"/>
          <c:cat>
            <c:multiLvlStrRef>
              <c:f>'G3-Sektor vlád.institucí (2)'!$F$115:$AR$116</c:f>
              <c:multiLvlStrCache>
                <c:ptCount val="39"/>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lvl>
                <c:lvl>
                  <c:pt idx="0">
                    <c:v>2016</c:v>
                  </c:pt>
                  <c:pt idx="4">
                    <c:v>2017</c:v>
                  </c:pt>
                  <c:pt idx="8">
                    <c:v>2018</c:v>
                  </c:pt>
                  <c:pt idx="12">
                    <c:v>2019</c:v>
                  </c:pt>
                  <c:pt idx="16">
                    <c:v>2020</c:v>
                  </c:pt>
                  <c:pt idx="20">
                    <c:v>2021</c:v>
                  </c:pt>
                  <c:pt idx="24">
                    <c:v>2022</c:v>
                  </c:pt>
                  <c:pt idx="28">
                    <c:v>2023</c:v>
                  </c:pt>
                  <c:pt idx="32">
                    <c:v>2024</c:v>
                  </c:pt>
                  <c:pt idx="36">
                    <c:v>2025</c:v>
                  </c:pt>
                </c:lvl>
              </c:multiLvlStrCache>
            </c:multiLvlStrRef>
          </c:cat>
          <c:val>
            <c:numRef>
              <c:f>'G3-Sektor vlád.institucí (2)'!$F$118:$AR$118</c:f>
              <c:numCache>
                <c:formatCode>#\ ##0.##########</c:formatCode>
                <c:ptCount val="39"/>
                <c:pt idx="0">
                  <c:v>0.7</c:v>
                </c:pt>
                <c:pt idx="1">
                  <c:v>0.7</c:v>
                </c:pt>
                <c:pt idx="2" formatCode="#\ ##0.0">
                  <c:v>0.9</c:v>
                </c:pt>
                <c:pt idx="3">
                  <c:v>0.4</c:v>
                </c:pt>
                <c:pt idx="4">
                  <c:v>1.1000000000000001</c:v>
                </c:pt>
                <c:pt idx="5">
                  <c:v>1.5</c:v>
                </c:pt>
                <c:pt idx="6">
                  <c:v>1.5</c:v>
                </c:pt>
                <c:pt idx="7">
                  <c:v>1.7</c:v>
                </c:pt>
                <c:pt idx="8">
                  <c:v>1.2</c:v>
                </c:pt>
                <c:pt idx="9">
                  <c:v>1.3</c:v>
                </c:pt>
                <c:pt idx="10">
                  <c:v>0.1</c:v>
                </c:pt>
                <c:pt idx="11">
                  <c:v>1</c:v>
                </c:pt>
                <c:pt idx="12">
                  <c:v>1</c:v>
                </c:pt>
                <c:pt idx="13">
                  <c:v>0.5</c:v>
                </c:pt>
                <c:pt idx="14">
                  <c:v>-0.2</c:v>
                </c:pt>
                <c:pt idx="15">
                  <c:v>-0.2</c:v>
                </c:pt>
                <c:pt idx="16">
                  <c:v>-2.6</c:v>
                </c:pt>
                <c:pt idx="17">
                  <c:v>-9.1</c:v>
                </c:pt>
                <c:pt idx="18" formatCode="#\ ##0.0">
                  <c:v>-4.5</c:v>
                </c:pt>
                <c:pt idx="19" formatCode="#\ ##0.0">
                  <c:v>-6.7</c:v>
                </c:pt>
                <c:pt idx="20" formatCode="#\ ##0.0">
                  <c:v>-7.4</c:v>
                </c:pt>
                <c:pt idx="21" formatCode="#\ ##0.0">
                  <c:v>-5.4</c:v>
                </c:pt>
                <c:pt idx="22">
                  <c:v>-3.7</c:v>
                </c:pt>
                <c:pt idx="23">
                  <c:v>-3.4</c:v>
                </c:pt>
                <c:pt idx="24">
                  <c:v>-2.4</c:v>
                </c:pt>
                <c:pt idx="25">
                  <c:v>-2.6</c:v>
                </c:pt>
                <c:pt idx="26">
                  <c:v>-3.9</c:v>
                </c:pt>
                <c:pt idx="27">
                  <c:v>-3.3</c:v>
                </c:pt>
                <c:pt idx="28">
                  <c:v>-4.5</c:v>
                </c:pt>
                <c:pt idx="29">
                  <c:v>-3.4</c:v>
                </c:pt>
                <c:pt idx="30">
                  <c:v>-3.2</c:v>
                </c:pt>
                <c:pt idx="31">
                  <c:v>-3.9</c:v>
                </c:pt>
                <c:pt idx="32" formatCode="#\ ##0.0">
                  <c:v>-1.7</c:v>
                </c:pt>
                <c:pt idx="33">
                  <c:v>-2.2999999999999998</c:v>
                </c:pt>
                <c:pt idx="34">
                  <c:v>-2.2999999999999998</c:v>
                </c:pt>
                <c:pt idx="35">
                  <c:v>-1.8</c:v>
                </c:pt>
                <c:pt idx="36">
                  <c:v>-2.2000000000000002</c:v>
                </c:pt>
                <c:pt idx="37" formatCode="General">
                  <c:v>-1.9</c:v>
                </c:pt>
                <c:pt idx="38" formatCode="General">
                  <c:v>-1.9</c:v>
                </c:pt>
              </c:numCache>
            </c:numRef>
          </c:val>
          <c:extLst>
            <c:ext xmlns:c16="http://schemas.microsoft.com/office/drawing/2014/chart" uri="{C3380CC4-5D6E-409C-BE32-E72D297353CC}">
              <c16:uniqueId val="{00000001-AAD1-497F-8936-D2D2A703A2A3}"/>
            </c:ext>
          </c:extLst>
        </c:ser>
        <c:dLbls>
          <c:showLegendKey val="0"/>
          <c:showVal val="0"/>
          <c:showCatName val="0"/>
          <c:showSerName val="0"/>
          <c:showPercent val="0"/>
          <c:showBubbleSize val="0"/>
        </c:dLbls>
        <c:gapWidth val="150"/>
        <c:axId val="531992144"/>
        <c:axId val="531997552"/>
      </c:barChart>
      <c:lineChart>
        <c:grouping val="standard"/>
        <c:varyColors val="0"/>
        <c:ser>
          <c:idx val="3"/>
          <c:order val="2"/>
          <c:tx>
            <c:strRef>
              <c:f>'G3-Sektor vlád.institucí (2)'!$A$119</c:f>
              <c:strCache>
                <c:ptCount val="1"/>
                <c:pt idx="0">
                  <c:v>Míra zadlužení (Rakousko)</c:v>
                </c:pt>
              </c:strCache>
            </c:strRef>
          </c:tx>
          <c:spPr>
            <a:ln w="15875" cap="rnd">
              <a:solidFill>
                <a:srgbClr val="89898E"/>
              </a:solidFill>
              <a:prstDash val="dash"/>
              <a:round/>
            </a:ln>
            <a:effectLst/>
          </c:spPr>
          <c:marker>
            <c:symbol val="none"/>
          </c:marker>
          <c:cat>
            <c:multiLvlStrRef>
              <c:f>'G3-Sektor vlád.institucí (2)'!$F$115:$AR$116</c:f>
              <c:multiLvlStrCache>
                <c:ptCount val="39"/>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lvl>
                <c:lvl>
                  <c:pt idx="0">
                    <c:v>2016</c:v>
                  </c:pt>
                  <c:pt idx="4">
                    <c:v>2017</c:v>
                  </c:pt>
                  <c:pt idx="8">
                    <c:v>2018</c:v>
                  </c:pt>
                  <c:pt idx="12">
                    <c:v>2019</c:v>
                  </c:pt>
                  <c:pt idx="16">
                    <c:v>2020</c:v>
                  </c:pt>
                  <c:pt idx="20">
                    <c:v>2021</c:v>
                  </c:pt>
                  <c:pt idx="24">
                    <c:v>2022</c:v>
                  </c:pt>
                  <c:pt idx="28">
                    <c:v>2023</c:v>
                  </c:pt>
                  <c:pt idx="32">
                    <c:v>2024</c:v>
                  </c:pt>
                  <c:pt idx="36">
                    <c:v>2025</c:v>
                  </c:pt>
                </c:lvl>
              </c:multiLvlStrCache>
            </c:multiLvlStrRef>
          </c:cat>
          <c:val>
            <c:numRef>
              <c:f>'G3-Sektor vlád.institucí (2)'!$F$119:$AR$119</c:f>
              <c:numCache>
                <c:formatCode>#\ ##0.##########</c:formatCode>
                <c:ptCount val="39"/>
                <c:pt idx="0">
                  <c:v>86.2</c:v>
                </c:pt>
                <c:pt idx="1">
                  <c:v>85.2</c:v>
                </c:pt>
                <c:pt idx="2">
                  <c:v>82.7</c:v>
                </c:pt>
                <c:pt idx="3">
                  <c:v>83.4</c:v>
                </c:pt>
                <c:pt idx="4">
                  <c:v>81.900000000000006</c:v>
                </c:pt>
                <c:pt idx="5">
                  <c:v>81.8</c:v>
                </c:pt>
                <c:pt idx="6">
                  <c:v>80.7</c:v>
                </c:pt>
                <c:pt idx="7">
                  <c:v>79.099999999999994</c:v>
                </c:pt>
                <c:pt idx="8" formatCode="#\ ##0.0">
                  <c:v>78</c:v>
                </c:pt>
                <c:pt idx="9">
                  <c:v>77.3</c:v>
                </c:pt>
                <c:pt idx="10">
                  <c:v>76.400000000000006</c:v>
                </c:pt>
                <c:pt idx="11">
                  <c:v>74.599999999999994</c:v>
                </c:pt>
                <c:pt idx="12">
                  <c:v>73.400000000000006</c:v>
                </c:pt>
                <c:pt idx="13">
                  <c:v>72.400000000000006</c:v>
                </c:pt>
                <c:pt idx="14">
                  <c:v>71.7</c:v>
                </c:pt>
                <c:pt idx="15" formatCode="#\ ##0.0">
                  <c:v>71</c:v>
                </c:pt>
                <c:pt idx="16">
                  <c:v>73.3</c:v>
                </c:pt>
                <c:pt idx="17">
                  <c:v>82.3</c:v>
                </c:pt>
                <c:pt idx="18">
                  <c:v>78.599999999999994</c:v>
                </c:pt>
                <c:pt idx="19">
                  <c:v>83.2</c:v>
                </c:pt>
                <c:pt idx="20" formatCode="#\ ##0.0">
                  <c:v>87</c:v>
                </c:pt>
                <c:pt idx="21">
                  <c:v>85.9</c:v>
                </c:pt>
                <c:pt idx="22" formatCode="#\ ##0.0">
                  <c:v>84</c:v>
                </c:pt>
                <c:pt idx="23">
                  <c:v>82.4</c:v>
                </c:pt>
                <c:pt idx="24">
                  <c:v>83.2</c:v>
                </c:pt>
                <c:pt idx="25">
                  <c:v>82.3</c:v>
                </c:pt>
                <c:pt idx="26">
                  <c:v>80.900000000000006</c:v>
                </c:pt>
                <c:pt idx="27">
                  <c:v>78.099999999999994</c:v>
                </c:pt>
                <c:pt idx="28">
                  <c:v>79.900000000000006</c:v>
                </c:pt>
                <c:pt idx="29">
                  <c:v>78.3</c:v>
                </c:pt>
                <c:pt idx="30">
                  <c:v>78.2</c:v>
                </c:pt>
                <c:pt idx="31">
                  <c:v>77.8</c:v>
                </c:pt>
                <c:pt idx="32">
                  <c:v>79.900000000000006</c:v>
                </c:pt>
                <c:pt idx="33">
                  <c:v>81.5</c:v>
                </c:pt>
                <c:pt idx="34">
                  <c:v>81.599999999999994</c:v>
                </c:pt>
                <c:pt idx="35">
                  <c:v>79.900000000000006</c:v>
                </c:pt>
                <c:pt idx="36" formatCode="#\ ##0.0">
                  <c:v>83</c:v>
                </c:pt>
                <c:pt idx="37">
                  <c:v>82.2</c:v>
                </c:pt>
                <c:pt idx="38">
                  <c:v>83.7</c:v>
                </c:pt>
              </c:numCache>
            </c:numRef>
          </c:val>
          <c:smooth val="0"/>
          <c:extLst>
            <c:ext xmlns:c16="http://schemas.microsoft.com/office/drawing/2014/chart" uri="{C3380CC4-5D6E-409C-BE32-E72D297353CC}">
              <c16:uniqueId val="{00000002-AAD1-497F-8936-D2D2A703A2A3}"/>
            </c:ext>
          </c:extLst>
        </c:ser>
        <c:ser>
          <c:idx val="4"/>
          <c:order val="3"/>
          <c:tx>
            <c:strRef>
              <c:f>'G3-Sektor vlád.institucí (2)'!$A$120</c:f>
              <c:strCache>
                <c:ptCount val="1"/>
                <c:pt idx="0">
                  <c:v>Míra zadlužení (EU)</c:v>
                </c:pt>
              </c:strCache>
            </c:strRef>
          </c:tx>
          <c:spPr>
            <a:ln w="12700" cap="rnd">
              <a:solidFill>
                <a:schemeClr val="bg2">
                  <a:lumMod val="50000"/>
                </a:schemeClr>
              </a:solidFill>
              <a:prstDash val="sysDot"/>
              <a:round/>
            </a:ln>
            <a:effectLst/>
          </c:spPr>
          <c:marker>
            <c:symbol val="circle"/>
            <c:size val="4"/>
            <c:spPr>
              <a:solidFill>
                <a:schemeClr val="bg1"/>
              </a:solidFill>
              <a:ln w="6350">
                <a:solidFill>
                  <a:schemeClr val="tx1"/>
                </a:solidFill>
              </a:ln>
              <a:effectLst/>
            </c:spPr>
          </c:marker>
          <c:cat>
            <c:multiLvlStrRef>
              <c:f>'G3-Sektor vlád.institucí (2)'!$F$115:$AR$116</c:f>
              <c:multiLvlStrCache>
                <c:ptCount val="39"/>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lvl>
                <c:lvl>
                  <c:pt idx="0">
                    <c:v>2016</c:v>
                  </c:pt>
                  <c:pt idx="4">
                    <c:v>2017</c:v>
                  </c:pt>
                  <c:pt idx="8">
                    <c:v>2018</c:v>
                  </c:pt>
                  <c:pt idx="12">
                    <c:v>2019</c:v>
                  </c:pt>
                  <c:pt idx="16">
                    <c:v>2020</c:v>
                  </c:pt>
                  <c:pt idx="20">
                    <c:v>2021</c:v>
                  </c:pt>
                  <c:pt idx="24">
                    <c:v>2022</c:v>
                  </c:pt>
                  <c:pt idx="28">
                    <c:v>2023</c:v>
                  </c:pt>
                  <c:pt idx="32">
                    <c:v>2024</c:v>
                  </c:pt>
                  <c:pt idx="36">
                    <c:v>2025</c:v>
                  </c:pt>
                </c:lvl>
              </c:multiLvlStrCache>
            </c:multiLvlStrRef>
          </c:cat>
          <c:val>
            <c:numRef>
              <c:f>'G3-Sektor vlád.institucí (2)'!$F$120:$AR$120</c:f>
              <c:numCache>
                <c:formatCode>#\ ##0.##########</c:formatCode>
                <c:ptCount val="39"/>
                <c:pt idx="0">
                  <c:v>85.9</c:v>
                </c:pt>
                <c:pt idx="1">
                  <c:v>85.8</c:v>
                </c:pt>
                <c:pt idx="2">
                  <c:v>84.8</c:v>
                </c:pt>
                <c:pt idx="3">
                  <c:v>84.1</c:v>
                </c:pt>
                <c:pt idx="4">
                  <c:v>84.2</c:v>
                </c:pt>
                <c:pt idx="5">
                  <c:v>84.1</c:v>
                </c:pt>
                <c:pt idx="6" formatCode="#\ ##0.0">
                  <c:v>83</c:v>
                </c:pt>
                <c:pt idx="7">
                  <c:v>81.5</c:v>
                </c:pt>
                <c:pt idx="8">
                  <c:v>81.400000000000006</c:v>
                </c:pt>
                <c:pt idx="9">
                  <c:v>80.8</c:v>
                </c:pt>
                <c:pt idx="10">
                  <c:v>80.7</c:v>
                </c:pt>
                <c:pt idx="11">
                  <c:v>79.5</c:v>
                </c:pt>
                <c:pt idx="12">
                  <c:v>79.8</c:v>
                </c:pt>
                <c:pt idx="13">
                  <c:v>79.599999999999994</c:v>
                </c:pt>
                <c:pt idx="14" formatCode="#\ ##0.0">
                  <c:v>79</c:v>
                </c:pt>
                <c:pt idx="15">
                  <c:v>77.5</c:v>
                </c:pt>
                <c:pt idx="16" formatCode="#\ ##0.0">
                  <c:v>79</c:v>
                </c:pt>
                <c:pt idx="17">
                  <c:v>87.1</c:v>
                </c:pt>
                <c:pt idx="18" formatCode="#\ ##0.0">
                  <c:v>89</c:v>
                </c:pt>
                <c:pt idx="19">
                  <c:v>89.5</c:v>
                </c:pt>
                <c:pt idx="20">
                  <c:v>91.5</c:v>
                </c:pt>
                <c:pt idx="21">
                  <c:v>89.7</c:v>
                </c:pt>
                <c:pt idx="22">
                  <c:v>88.7</c:v>
                </c:pt>
                <c:pt idx="23">
                  <c:v>86.7</c:v>
                </c:pt>
                <c:pt idx="24">
                  <c:v>86.2</c:v>
                </c:pt>
                <c:pt idx="25" formatCode="#\ ##0.0">
                  <c:v>85</c:v>
                </c:pt>
                <c:pt idx="26">
                  <c:v>83.5</c:v>
                </c:pt>
                <c:pt idx="27">
                  <c:v>82.3</c:v>
                </c:pt>
                <c:pt idx="28">
                  <c:v>82.2</c:v>
                </c:pt>
                <c:pt idx="29">
                  <c:v>81.7</c:v>
                </c:pt>
                <c:pt idx="30">
                  <c:v>81.2</c:v>
                </c:pt>
                <c:pt idx="31">
                  <c:v>80.5</c:v>
                </c:pt>
                <c:pt idx="32" formatCode="#\ ##0.0">
                  <c:v>81</c:v>
                </c:pt>
                <c:pt idx="33">
                  <c:v>81.2</c:v>
                </c:pt>
                <c:pt idx="34">
                  <c:v>81.3</c:v>
                </c:pt>
                <c:pt idx="35">
                  <c:v>80.7</c:v>
                </c:pt>
                <c:pt idx="36">
                  <c:v>81.5</c:v>
                </c:pt>
                <c:pt idx="37">
                  <c:v>81.900000000000006</c:v>
                </c:pt>
                <c:pt idx="38">
                  <c:v>82.1</c:v>
                </c:pt>
              </c:numCache>
            </c:numRef>
          </c:val>
          <c:smooth val="0"/>
          <c:extLst>
            <c:ext xmlns:c16="http://schemas.microsoft.com/office/drawing/2014/chart" uri="{C3380CC4-5D6E-409C-BE32-E72D297353CC}">
              <c16:uniqueId val="{00000003-AAD1-497F-8936-D2D2A703A2A3}"/>
            </c:ext>
          </c:extLst>
        </c:ser>
        <c:ser>
          <c:idx val="5"/>
          <c:order val="4"/>
          <c:tx>
            <c:strRef>
              <c:f>'G3-Sektor vlád.institucí (2)'!$A$121</c:f>
              <c:strCache>
                <c:ptCount val="1"/>
                <c:pt idx="0">
                  <c:v>Míra zadlužení (Česko)</c:v>
                </c:pt>
              </c:strCache>
            </c:strRef>
          </c:tx>
          <c:spPr>
            <a:ln w="12700" cap="rnd">
              <a:solidFill>
                <a:srgbClr val="89898E"/>
              </a:solidFill>
              <a:prstDash val="sysDot"/>
              <a:round/>
            </a:ln>
            <a:effectLst/>
          </c:spPr>
          <c:marker>
            <c:symbol val="circle"/>
            <c:size val="4"/>
            <c:spPr>
              <a:solidFill>
                <a:srgbClr val="89898E"/>
              </a:solidFill>
              <a:ln w="9525">
                <a:noFill/>
              </a:ln>
              <a:effectLst/>
            </c:spPr>
          </c:marker>
          <c:cat>
            <c:multiLvlStrRef>
              <c:f>'G3-Sektor vlád.institucí (2)'!$F$115:$AR$116</c:f>
              <c:multiLvlStrCache>
                <c:ptCount val="39"/>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lvl>
                <c:lvl>
                  <c:pt idx="0">
                    <c:v>2016</c:v>
                  </c:pt>
                  <c:pt idx="4">
                    <c:v>2017</c:v>
                  </c:pt>
                  <c:pt idx="8">
                    <c:v>2018</c:v>
                  </c:pt>
                  <c:pt idx="12">
                    <c:v>2019</c:v>
                  </c:pt>
                  <c:pt idx="16">
                    <c:v>2020</c:v>
                  </c:pt>
                  <c:pt idx="20">
                    <c:v>2021</c:v>
                  </c:pt>
                  <c:pt idx="24">
                    <c:v>2022</c:v>
                  </c:pt>
                  <c:pt idx="28">
                    <c:v>2023</c:v>
                  </c:pt>
                  <c:pt idx="32">
                    <c:v>2024</c:v>
                  </c:pt>
                  <c:pt idx="36">
                    <c:v>2025</c:v>
                  </c:pt>
                </c:lvl>
              </c:multiLvlStrCache>
            </c:multiLvlStrRef>
          </c:cat>
          <c:val>
            <c:numRef>
              <c:f>'G3-Sektor vlád.institucí (2)'!$F$121:$AR$121</c:f>
              <c:numCache>
                <c:formatCode>#\ ##0.##########</c:formatCode>
                <c:ptCount val="39"/>
                <c:pt idx="0">
                  <c:v>39.5</c:v>
                </c:pt>
                <c:pt idx="1">
                  <c:v>38.9</c:v>
                </c:pt>
                <c:pt idx="2">
                  <c:v>37.799999999999997</c:v>
                </c:pt>
                <c:pt idx="3">
                  <c:v>36.200000000000003</c:v>
                </c:pt>
                <c:pt idx="4">
                  <c:v>39.200000000000003</c:v>
                </c:pt>
                <c:pt idx="5">
                  <c:v>38.6</c:v>
                </c:pt>
                <c:pt idx="6">
                  <c:v>34.299999999999997</c:v>
                </c:pt>
                <c:pt idx="7">
                  <c:v>33.799999999999997</c:v>
                </c:pt>
                <c:pt idx="8">
                  <c:v>34.9</c:v>
                </c:pt>
                <c:pt idx="9">
                  <c:v>34.299999999999997</c:v>
                </c:pt>
                <c:pt idx="10">
                  <c:v>32.9</c:v>
                </c:pt>
                <c:pt idx="11">
                  <c:v>31.7</c:v>
                </c:pt>
                <c:pt idx="12" formatCode="#\ ##0.0">
                  <c:v>33</c:v>
                </c:pt>
                <c:pt idx="13">
                  <c:v>32.1</c:v>
                </c:pt>
                <c:pt idx="14">
                  <c:v>30.8</c:v>
                </c:pt>
                <c:pt idx="15">
                  <c:v>29.6</c:v>
                </c:pt>
                <c:pt idx="16">
                  <c:v>31.9</c:v>
                </c:pt>
                <c:pt idx="17">
                  <c:v>38.9</c:v>
                </c:pt>
                <c:pt idx="18">
                  <c:v>37.4</c:v>
                </c:pt>
                <c:pt idx="19">
                  <c:v>36.9</c:v>
                </c:pt>
                <c:pt idx="20">
                  <c:v>42.9</c:v>
                </c:pt>
                <c:pt idx="21">
                  <c:v>41.5</c:v>
                </c:pt>
                <c:pt idx="22">
                  <c:v>39.299999999999997</c:v>
                </c:pt>
                <c:pt idx="23">
                  <c:v>40.700000000000003</c:v>
                </c:pt>
                <c:pt idx="24">
                  <c:v>41.4</c:v>
                </c:pt>
                <c:pt idx="25">
                  <c:v>41.9</c:v>
                </c:pt>
                <c:pt idx="26">
                  <c:v>43.5</c:v>
                </c:pt>
                <c:pt idx="27">
                  <c:v>42.5</c:v>
                </c:pt>
                <c:pt idx="28">
                  <c:v>42.8</c:v>
                </c:pt>
                <c:pt idx="29">
                  <c:v>42.5</c:v>
                </c:pt>
                <c:pt idx="30">
                  <c:v>42.7</c:v>
                </c:pt>
                <c:pt idx="31">
                  <c:v>42.2</c:v>
                </c:pt>
                <c:pt idx="32">
                  <c:v>43.1</c:v>
                </c:pt>
                <c:pt idx="33">
                  <c:v>42.4</c:v>
                </c:pt>
                <c:pt idx="34">
                  <c:v>43.4</c:v>
                </c:pt>
                <c:pt idx="35">
                  <c:v>43.3</c:v>
                </c:pt>
                <c:pt idx="36">
                  <c:v>43.3</c:v>
                </c:pt>
                <c:pt idx="37">
                  <c:v>43.8</c:v>
                </c:pt>
                <c:pt idx="38">
                  <c:v>43.1</c:v>
                </c:pt>
              </c:numCache>
            </c:numRef>
          </c:val>
          <c:smooth val="0"/>
          <c:extLst>
            <c:ext xmlns:c16="http://schemas.microsoft.com/office/drawing/2014/chart" uri="{C3380CC4-5D6E-409C-BE32-E72D297353CC}">
              <c16:uniqueId val="{00000004-AAD1-497F-8936-D2D2A703A2A3}"/>
            </c:ext>
          </c:extLst>
        </c:ser>
        <c:ser>
          <c:idx val="2"/>
          <c:order val="5"/>
          <c:tx>
            <c:strRef>
              <c:f>'G3-Sektor vlád.institucí (2)'!$A$122</c:f>
              <c:strCache>
                <c:ptCount val="1"/>
                <c:pt idx="0">
                  <c:v>Míra zadlužení (Německo)</c:v>
                </c:pt>
              </c:strCache>
            </c:strRef>
          </c:tx>
          <c:spPr>
            <a:ln w="15875" cap="rnd">
              <a:solidFill>
                <a:srgbClr val="1B4F70"/>
              </a:solidFill>
              <a:round/>
            </a:ln>
            <a:effectLst/>
          </c:spPr>
          <c:marker>
            <c:symbol val="none"/>
          </c:marker>
          <c:cat>
            <c:multiLvlStrRef>
              <c:f>'G3-Sektor vlád.institucí (2)'!$F$115:$AR$116</c:f>
              <c:multiLvlStrCache>
                <c:ptCount val="39"/>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lvl>
                <c:lvl>
                  <c:pt idx="0">
                    <c:v>2016</c:v>
                  </c:pt>
                  <c:pt idx="4">
                    <c:v>2017</c:v>
                  </c:pt>
                  <c:pt idx="8">
                    <c:v>2018</c:v>
                  </c:pt>
                  <c:pt idx="12">
                    <c:v>2019</c:v>
                  </c:pt>
                  <c:pt idx="16">
                    <c:v>2020</c:v>
                  </c:pt>
                  <c:pt idx="20">
                    <c:v>2021</c:v>
                  </c:pt>
                  <c:pt idx="24">
                    <c:v>2022</c:v>
                  </c:pt>
                  <c:pt idx="28">
                    <c:v>2023</c:v>
                  </c:pt>
                  <c:pt idx="32">
                    <c:v>2024</c:v>
                  </c:pt>
                  <c:pt idx="36">
                    <c:v>2025</c:v>
                  </c:pt>
                </c:lvl>
              </c:multiLvlStrCache>
            </c:multiLvlStrRef>
          </c:cat>
          <c:val>
            <c:numRef>
              <c:f>'G3-Sektor vlád.institucí (2)'!$F$122:$AR$122</c:f>
              <c:numCache>
                <c:formatCode>#\ ##0.##########</c:formatCode>
                <c:ptCount val="39"/>
                <c:pt idx="0">
                  <c:v>70.900000000000006</c:v>
                </c:pt>
                <c:pt idx="1">
                  <c:v>70.2</c:v>
                </c:pt>
                <c:pt idx="2">
                  <c:v>69.5</c:v>
                </c:pt>
                <c:pt idx="3">
                  <c:v>68.3</c:v>
                </c:pt>
                <c:pt idx="4">
                  <c:v>66.8</c:v>
                </c:pt>
                <c:pt idx="5">
                  <c:v>66.099999999999994</c:v>
                </c:pt>
                <c:pt idx="6">
                  <c:v>65.2</c:v>
                </c:pt>
                <c:pt idx="7" formatCode="#\ ##0.0">
                  <c:v>64</c:v>
                </c:pt>
                <c:pt idx="8">
                  <c:v>62.9</c:v>
                </c:pt>
                <c:pt idx="9">
                  <c:v>61.8</c:v>
                </c:pt>
                <c:pt idx="10">
                  <c:v>61.5</c:v>
                </c:pt>
                <c:pt idx="11">
                  <c:v>60.8</c:v>
                </c:pt>
                <c:pt idx="12">
                  <c:v>60.6</c:v>
                </c:pt>
                <c:pt idx="13" formatCode="#\ ##0.0">
                  <c:v>60</c:v>
                </c:pt>
                <c:pt idx="14">
                  <c:v>59.9</c:v>
                </c:pt>
                <c:pt idx="15">
                  <c:v>58.7</c:v>
                </c:pt>
                <c:pt idx="16">
                  <c:v>59.8</c:v>
                </c:pt>
                <c:pt idx="17" formatCode="#\ ##0.0">
                  <c:v>66</c:v>
                </c:pt>
                <c:pt idx="18">
                  <c:v>68.5</c:v>
                </c:pt>
                <c:pt idx="19" formatCode="#\ ##0.0">
                  <c:v>68</c:v>
                </c:pt>
                <c:pt idx="20">
                  <c:v>68.8</c:v>
                </c:pt>
                <c:pt idx="21">
                  <c:v>68.2</c:v>
                </c:pt>
                <c:pt idx="22" formatCode="#\ ##0.0">
                  <c:v>68</c:v>
                </c:pt>
                <c:pt idx="23">
                  <c:v>67.900000000000006</c:v>
                </c:pt>
                <c:pt idx="24">
                  <c:v>66.5</c:v>
                </c:pt>
                <c:pt idx="25">
                  <c:v>66.099999999999994</c:v>
                </c:pt>
                <c:pt idx="26">
                  <c:v>65.2</c:v>
                </c:pt>
                <c:pt idx="27">
                  <c:v>64.400000000000006</c:v>
                </c:pt>
                <c:pt idx="28">
                  <c:v>63.9</c:v>
                </c:pt>
                <c:pt idx="29" formatCode="#\ ##0.0">
                  <c:v>63</c:v>
                </c:pt>
                <c:pt idx="30">
                  <c:v>63.2</c:v>
                </c:pt>
                <c:pt idx="31">
                  <c:v>62.3</c:v>
                </c:pt>
                <c:pt idx="32">
                  <c:v>62.1</c:v>
                </c:pt>
                <c:pt idx="33">
                  <c:v>61.6</c:v>
                </c:pt>
                <c:pt idx="34" formatCode="#\ ##0.0">
                  <c:v>62</c:v>
                </c:pt>
                <c:pt idx="35">
                  <c:v>62.2</c:v>
                </c:pt>
                <c:pt idx="36" formatCode="#\ ##0.0">
                  <c:v>62</c:v>
                </c:pt>
                <c:pt idx="37">
                  <c:v>62.3</c:v>
                </c:pt>
                <c:pt idx="38" formatCode="#\ ##0.0">
                  <c:v>63</c:v>
                </c:pt>
              </c:numCache>
            </c:numRef>
          </c:val>
          <c:smooth val="0"/>
          <c:extLst>
            <c:ext xmlns:c16="http://schemas.microsoft.com/office/drawing/2014/chart" uri="{C3380CC4-5D6E-409C-BE32-E72D297353CC}">
              <c16:uniqueId val="{00000005-AAD1-497F-8936-D2D2A703A2A3}"/>
            </c:ext>
          </c:extLst>
        </c:ser>
        <c:ser>
          <c:idx val="6"/>
          <c:order val="6"/>
          <c:tx>
            <c:strRef>
              <c:f>'G3-Sektor vlád.institucí (2)'!$A$123</c:f>
              <c:strCache>
                <c:ptCount val="1"/>
                <c:pt idx="0">
                  <c:v>Míra zadlužení (Slovensko)</c:v>
                </c:pt>
              </c:strCache>
            </c:strRef>
          </c:tx>
          <c:spPr>
            <a:ln w="15875" cap="rnd">
              <a:solidFill>
                <a:srgbClr val="BC5B80"/>
              </a:solidFill>
              <a:round/>
            </a:ln>
            <a:effectLst/>
          </c:spPr>
          <c:marker>
            <c:symbol val="none"/>
          </c:marker>
          <c:cat>
            <c:multiLvlStrRef>
              <c:f>'G3-Sektor vlád.institucí (2)'!$F$115:$AR$116</c:f>
              <c:multiLvlStrCache>
                <c:ptCount val="39"/>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lvl>
                <c:lvl>
                  <c:pt idx="0">
                    <c:v>2016</c:v>
                  </c:pt>
                  <c:pt idx="4">
                    <c:v>2017</c:v>
                  </c:pt>
                  <c:pt idx="8">
                    <c:v>2018</c:v>
                  </c:pt>
                  <c:pt idx="12">
                    <c:v>2019</c:v>
                  </c:pt>
                  <c:pt idx="16">
                    <c:v>2020</c:v>
                  </c:pt>
                  <c:pt idx="20">
                    <c:v>2021</c:v>
                  </c:pt>
                  <c:pt idx="24">
                    <c:v>2022</c:v>
                  </c:pt>
                  <c:pt idx="28">
                    <c:v>2023</c:v>
                  </c:pt>
                  <c:pt idx="32">
                    <c:v>2024</c:v>
                  </c:pt>
                  <c:pt idx="36">
                    <c:v>2025</c:v>
                  </c:pt>
                </c:lvl>
              </c:multiLvlStrCache>
            </c:multiLvlStrRef>
          </c:cat>
          <c:val>
            <c:numRef>
              <c:f>'G3-Sektor vlád.institucí (2)'!$F$123:$AR$123</c:f>
              <c:numCache>
                <c:formatCode>#\ ##0.##########</c:formatCode>
                <c:ptCount val="39"/>
                <c:pt idx="0">
                  <c:v>51.3</c:v>
                </c:pt>
                <c:pt idx="1">
                  <c:v>52.6</c:v>
                </c:pt>
                <c:pt idx="2">
                  <c:v>52.7</c:v>
                </c:pt>
                <c:pt idx="3">
                  <c:v>52.1</c:v>
                </c:pt>
                <c:pt idx="4">
                  <c:v>53.7</c:v>
                </c:pt>
                <c:pt idx="5">
                  <c:v>52.1</c:v>
                </c:pt>
                <c:pt idx="6">
                  <c:v>51.7</c:v>
                </c:pt>
                <c:pt idx="7">
                  <c:v>51.4</c:v>
                </c:pt>
                <c:pt idx="8">
                  <c:v>51.3</c:v>
                </c:pt>
                <c:pt idx="9">
                  <c:v>52.3</c:v>
                </c:pt>
                <c:pt idx="10">
                  <c:v>51.9</c:v>
                </c:pt>
                <c:pt idx="11">
                  <c:v>49.3</c:v>
                </c:pt>
                <c:pt idx="12">
                  <c:v>49.2</c:v>
                </c:pt>
                <c:pt idx="13">
                  <c:v>48.6</c:v>
                </c:pt>
                <c:pt idx="14">
                  <c:v>48.4</c:v>
                </c:pt>
                <c:pt idx="15" formatCode="#\ ##0.0">
                  <c:v>48</c:v>
                </c:pt>
                <c:pt idx="16" formatCode="#\ ##0.0">
                  <c:v>49</c:v>
                </c:pt>
                <c:pt idx="17">
                  <c:v>58.9</c:v>
                </c:pt>
                <c:pt idx="18">
                  <c:v>58.9</c:v>
                </c:pt>
                <c:pt idx="19">
                  <c:v>58.4</c:v>
                </c:pt>
                <c:pt idx="20">
                  <c:v>58.2</c:v>
                </c:pt>
                <c:pt idx="21" formatCode="#\ ##0.0">
                  <c:v>59</c:v>
                </c:pt>
                <c:pt idx="22">
                  <c:v>58.8</c:v>
                </c:pt>
                <c:pt idx="23">
                  <c:v>60.2</c:v>
                </c:pt>
                <c:pt idx="24">
                  <c:v>59.8</c:v>
                </c:pt>
                <c:pt idx="25">
                  <c:v>58.8</c:v>
                </c:pt>
                <c:pt idx="26">
                  <c:v>57.3</c:v>
                </c:pt>
                <c:pt idx="27">
                  <c:v>57.8</c:v>
                </c:pt>
                <c:pt idx="28">
                  <c:v>57.8</c:v>
                </c:pt>
                <c:pt idx="29">
                  <c:v>59.3</c:v>
                </c:pt>
                <c:pt idx="30">
                  <c:v>58.1</c:v>
                </c:pt>
                <c:pt idx="31">
                  <c:v>55.8</c:v>
                </c:pt>
                <c:pt idx="32">
                  <c:v>60.3</c:v>
                </c:pt>
                <c:pt idx="33">
                  <c:v>60.2</c:v>
                </c:pt>
                <c:pt idx="34">
                  <c:v>60.1</c:v>
                </c:pt>
                <c:pt idx="35">
                  <c:v>59.7</c:v>
                </c:pt>
                <c:pt idx="36">
                  <c:v>63.2</c:v>
                </c:pt>
                <c:pt idx="37">
                  <c:v>62.9</c:v>
                </c:pt>
                <c:pt idx="38">
                  <c:v>62.3</c:v>
                </c:pt>
              </c:numCache>
            </c:numRef>
          </c:val>
          <c:smooth val="0"/>
          <c:extLst>
            <c:ext xmlns:c16="http://schemas.microsoft.com/office/drawing/2014/chart" uri="{C3380CC4-5D6E-409C-BE32-E72D297353CC}">
              <c16:uniqueId val="{00000006-AAD1-497F-8936-D2D2A703A2A3}"/>
            </c:ext>
          </c:extLst>
        </c:ser>
        <c:ser>
          <c:idx val="7"/>
          <c:order val="7"/>
          <c:tx>
            <c:strRef>
              <c:f>'G3-Sektor vlád.institucí (2)'!$A$124</c:f>
              <c:strCache>
                <c:ptCount val="1"/>
                <c:pt idx="0">
                  <c:v>Míra zadlužení (Polsko)</c:v>
                </c:pt>
              </c:strCache>
            </c:strRef>
          </c:tx>
          <c:spPr>
            <a:ln w="15875" cap="rnd">
              <a:solidFill>
                <a:srgbClr val="009CB5"/>
              </a:solidFill>
              <a:round/>
            </a:ln>
            <a:effectLst/>
          </c:spPr>
          <c:marker>
            <c:symbol val="none"/>
          </c:marker>
          <c:cat>
            <c:multiLvlStrRef>
              <c:f>'G3-Sektor vlád.institucí (2)'!$F$115:$AR$116</c:f>
              <c:multiLvlStrCache>
                <c:ptCount val="39"/>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lvl>
                <c:lvl>
                  <c:pt idx="0">
                    <c:v>2016</c:v>
                  </c:pt>
                  <c:pt idx="4">
                    <c:v>2017</c:v>
                  </c:pt>
                  <c:pt idx="8">
                    <c:v>2018</c:v>
                  </c:pt>
                  <c:pt idx="12">
                    <c:v>2019</c:v>
                  </c:pt>
                  <c:pt idx="16">
                    <c:v>2020</c:v>
                  </c:pt>
                  <c:pt idx="20">
                    <c:v>2021</c:v>
                  </c:pt>
                  <c:pt idx="24">
                    <c:v>2022</c:v>
                  </c:pt>
                  <c:pt idx="28">
                    <c:v>2023</c:v>
                  </c:pt>
                  <c:pt idx="32">
                    <c:v>2024</c:v>
                  </c:pt>
                  <c:pt idx="36">
                    <c:v>2025</c:v>
                  </c:pt>
                </c:lvl>
              </c:multiLvlStrCache>
            </c:multiLvlStrRef>
          </c:cat>
          <c:val>
            <c:numRef>
              <c:f>'G3-Sektor vlád.institucí (2)'!$F$124:$AR$124</c:f>
              <c:numCache>
                <c:formatCode>#\ ##0.##########</c:formatCode>
                <c:ptCount val="39"/>
                <c:pt idx="0">
                  <c:v>51.6</c:v>
                </c:pt>
                <c:pt idx="1">
                  <c:v>53.4</c:v>
                </c:pt>
                <c:pt idx="2" formatCode="#\ ##0.0">
                  <c:v>53</c:v>
                </c:pt>
                <c:pt idx="3">
                  <c:v>54.1</c:v>
                </c:pt>
                <c:pt idx="4">
                  <c:v>53.6</c:v>
                </c:pt>
                <c:pt idx="5" formatCode="#\ ##0.0">
                  <c:v>53</c:v>
                </c:pt>
                <c:pt idx="6">
                  <c:v>51.7</c:v>
                </c:pt>
                <c:pt idx="7">
                  <c:v>50.4</c:v>
                </c:pt>
                <c:pt idx="8">
                  <c:v>50.9</c:v>
                </c:pt>
                <c:pt idx="9">
                  <c:v>50.1</c:v>
                </c:pt>
                <c:pt idx="10" formatCode="#\ ##0.0">
                  <c:v>49</c:v>
                </c:pt>
                <c:pt idx="11">
                  <c:v>48.2</c:v>
                </c:pt>
                <c:pt idx="12">
                  <c:v>48.3</c:v>
                </c:pt>
                <c:pt idx="13">
                  <c:v>47.2</c:v>
                </c:pt>
                <c:pt idx="14">
                  <c:v>46.5</c:v>
                </c:pt>
                <c:pt idx="15">
                  <c:v>45.2</c:v>
                </c:pt>
                <c:pt idx="16">
                  <c:v>47.1</c:v>
                </c:pt>
                <c:pt idx="17">
                  <c:v>54.1</c:v>
                </c:pt>
                <c:pt idx="18">
                  <c:v>55.8</c:v>
                </c:pt>
                <c:pt idx="19">
                  <c:v>56.6</c:v>
                </c:pt>
                <c:pt idx="20">
                  <c:v>57.9</c:v>
                </c:pt>
                <c:pt idx="21">
                  <c:v>56.3</c:v>
                </c:pt>
                <c:pt idx="22">
                  <c:v>55.2</c:v>
                </c:pt>
                <c:pt idx="23" formatCode="#\ ##0.0">
                  <c:v>53</c:v>
                </c:pt>
                <c:pt idx="24">
                  <c:v>51.4</c:v>
                </c:pt>
                <c:pt idx="25">
                  <c:v>50.9</c:v>
                </c:pt>
                <c:pt idx="26">
                  <c:v>49.8</c:v>
                </c:pt>
                <c:pt idx="27">
                  <c:v>48.8</c:v>
                </c:pt>
                <c:pt idx="28">
                  <c:v>47.9</c:v>
                </c:pt>
                <c:pt idx="29">
                  <c:v>48.1</c:v>
                </c:pt>
                <c:pt idx="30">
                  <c:v>48.5</c:v>
                </c:pt>
                <c:pt idx="31">
                  <c:v>49.5</c:v>
                </c:pt>
                <c:pt idx="32">
                  <c:v>51.3</c:v>
                </c:pt>
                <c:pt idx="33" formatCode="#\ ##0.0">
                  <c:v>52</c:v>
                </c:pt>
                <c:pt idx="34">
                  <c:v>53.2</c:v>
                </c:pt>
                <c:pt idx="35">
                  <c:v>55.1</c:v>
                </c:pt>
                <c:pt idx="36">
                  <c:v>57.3</c:v>
                </c:pt>
                <c:pt idx="37">
                  <c:v>58.1</c:v>
                </c:pt>
                <c:pt idx="38">
                  <c:v>58.1</c:v>
                </c:pt>
              </c:numCache>
            </c:numRef>
          </c:val>
          <c:smooth val="0"/>
          <c:extLst>
            <c:ext xmlns:c16="http://schemas.microsoft.com/office/drawing/2014/chart" uri="{C3380CC4-5D6E-409C-BE32-E72D297353CC}">
              <c16:uniqueId val="{00000007-AAD1-497F-8936-D2D2A703A2A3}"/>
            </c:ext>
          </c:extLst>
        </c:ser>
        <c:ser>
          <c:idx val="8"/>
          <c:order val="8"/>
          <c:tx>
            <c:strRef>
              <c:f>'G3-Sektor vlád.institucí (2)'!$A$125</c:f>
              <c:strCache>
                <c:ptCount val="1"/>
                <c:pt idx="0">
                  <c:v>Míra zadlužení (Maďarsko)</c:v>
                </c:pt>
              </c:strCache>
            </c:strRef>
          </c:tx>
          <c:spPr>
            <a:ln w="15875" cap="rnd">
              <a:solidFill>
                <a:srgbClr val="CC9610"/>
              </a:solidFill>
              <a:round/>
            </a:ln>
            <a:effectLst/>
          </c:spPr>
          <c:marker>
            <c:symbol val="none"/>
          </c:marker>
          <c:cat>
            <c:multiLvlStrRef>
              <c:f>'G3-Sektor vlád.institucí (2)'!$F$115:$AR$116</c:f>
              <c:multiLvlStrCache>
                <c:ptCount val="39"/>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lvl>
                <c:lvl>
                  <c:pt idx="0">
                    <c:v>2016</c:v>
                  </c:pt>
                  <c:pt idx="4">
                    <c:v>2017</c:v>
                  </c:pt>
                  <c:pt idx="8">
                    <c:v>2018</c:v>
                  </c:pt>
                  <c:pt idx="12">
                    <c:v>2019</c:v>
                  </c:pt>
                  <c:pt idx="16">
                    <c:v>2020</c:v>
                  </c:pt>
                  <c:pt idx="20">
                    <c:v>2021</c:v>
                  </c:pt>
                  <c:pt idx="24">
                    <c:v>2022</c:v>
                  </c:pt>
                  <c:pt idx="28">
                    <c:v>2023</c:v>
                  </c:pt>
                  <c:pt idx="32">
                    <c:v>2024</c:v>
                  </c:pt>
                  <c:pt idx="36">
                    <c:v>2025</c:v>
                  </c:pt>
                </c:lvl>
              </c:multiLvlStrCache>
            </c:multiLvlStrRef>
          </c:cat>
          <c:val>
            <c:numRef>
              <c:f>'G3-Sektor vlád.institucí (2)'!$F$125:$AR$125</c:f>
              <c:numCache>
                <c:formatCode>#\ ##0.##########</c:formatCode>
                <c:ptCount val="39"/>
                <c:pt idx="0">
                  <c:v>77.2</c:v>
                </c:pt>
                <c:pt idx="1">
                  <c:v>75.599999999999994</c:v>
                </c:pt>
                <c:pt idx="2">
                  <c:v>74.8</c:v>
                </c:pt>
                <c:pt idx="3">
                  <c:v>74.599999999999994</c:v>
                </c:pt>
                <c:pt idx="4">
                  <c:v>74.900000000000006</c:v>
                </c:pt>
                <c:pt idx="5">
                  <c:v>74.3</c:v>
                </c:pt>
                <c:pt idx="6">
                  <c:v>72.900000000000006</c:v>
                </c:pt>
                <c:pt idx="7" formatCode="#\ ##0.0">
                  <c:v>72</c:v>
                </c:pt>
                <c:pt idx="8">
                  <c:v>72.2</c:v>
                </c:pt>
                <c:pt idx="9">
                  <c:v>72.3</c:v>
                </c:pt>
                <c:pt idx="10">
                  <c:v>70.7</c:v>
                </c:pt>
                <c:pt idx="11">
                  <c:v>68.8</c:v>
                </c:pt>
                <c:pt idx="12">
                  <c:v>68.099999999999994</c:v>
                </c:pt>
                <c:pt idx="13">
                  <c:v>66.8</c:v>
                </c:pt>
                <c:pt idx="14">
                  <c:v>66.7</c:v>
                </c:pt>
                <c:pt idx="15" formatCode="#\ ##0.0">
                  <c:v>65</c:v>
                </c:pt>
                <c:pt idx="16">
                  <c:v>65.2</c:v>
                </c:pt>
                <c:pt idx="17">
                  <c:v>69.400000000000006</c:v>
                </c:pt>
                <c:pt idx="18">
                  <c:v>72.8</c:v>
                </c:pt>
                <c:pt idx="19">
                  <c:v>78.7</c:v>
                </c:pt>
                <c:pt idx="20">
                  <c:v>79.7</c:v>
                </c:pt>
                <c:pt idx="21">
                  <c:v>76.2</c:v>
                </c:pt>
                <c:pt idx="22" formatCode="#\ ##0.0">
                  <c:v>79</c:v>
                </c:pt>
                <c:pt idx="23">
                  <c:v>76.2</c:v>
                </c:pt>
                <c:pt idx="24">
                  <c:v>76.7</c:v>
                </c:pt>
                <c:pt idx="25">
                  <c:v>76.5</c:v>
                </c:pt>
                <c:pt idx="26">
                  <c:v>75.5</c:v>
                </c:pt>
                <c:pt idx="27">
                  <c:v>74.099999999999994</c:v>
                </c:pt>
                <c:pt idx="28">
                  <c:v>75.400000000000006</c:v>
                </c:pt>
                <c:pt idx="29" formatCode="#\ ##0.0">
                  <c:v>75</c:v>
                </c:pt>
                <c:pt idx="30">
                  <c:v>74.599999999999994</c:v>
                </c:pt>
                <c:pt idx="31">
                  <c:v>73.2</c:v>
                </c:pt>
                <c:pt idx="32">
                  <c:v>76.5</c:v>
                </c:pt>
                <c:pt idx="33">
                  <c:v>76.3</c:v>
                </c:pt>
                <c:pt idx="34">
                  <c:v>76.099999999999994</c:v>
                </c:pt>
                <c:pt idx="35">
                  <c:v>73.5</c:v>
                </c:pt>
                <c:pt idx="36">
                  <c:v>75.400000000000006</c:v>
                </c:pt>
                <c:pt idx="37">
                  <c:v>76.2</c:v>
                </c:pt>
                <c:pt idx="38">
                  <c:v>75.2</c:v>
                </c:pt>
              </c:numCache>
            </c:numRef>
          </c:val>
          <c:smooth val="0"/>
          <c:extLst>
            <c:ext xmlns:c16="http://schemas.microsoft.com/office/drawing/2014/chart" uri="{C3380CC4-5D6E-409C-BE32-E72D297353CC}">
              <c16:uniqueId val="{00000008-AAD1-497F-8936-D2D2A703A2A3}"/>
            </c:ext>
          </c:extLst>
        </c:ser>
        <c:ser>
          <c:idx val="9"/>
          <c:order val="9"/>
          <c:tx>
            <c:strRef>
              <c:f>'G3-Sektor vlád.institucí (2)'!$A$126</c:f>
              <c:strCache>
                <c:ptCount val="1"/>
                <c:pt idx="0">
                  <c:v>Míra zadlužení (Slovinsko)</c:v>
                </c:pt>
              </c:strCache>
            </c:strRef>
          </c:tx>
          <c:spPr>
            <a:ln w="15875" cap="rnd">
              <a:solidFill>
                <a:srgbClr val="86BF5E"/>
              </a:solidFill>
              <a:round/>
            </a:ln>
            <a:effectLst/>
          </c:spPr>
          <c:marker>
            <c:symbol val="none"/>
          </c:marker>
          <c:cat>
            <c:multiLvlStrRef>
              <c:f>'G3-Sektor vlád.institucí (2)'!$F$115:$AR$116</c:f>
              <c:multiLvlStrCache>
                <c:ptCount val="39"/>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lvl>
                <c:lvl>
                  <c:pt idx="0">
                    <c:v>2016</c:v>
                  </c:pt>
                  <c:pt idx="4">
                    <c:v>2017</c:v>
                  </c:pt>
                  <c:pt idx="8">
                    <c:v>2018</c:v>
                  </c:pt>
                  <c:pt idx="12">
                    <c:v>2019</c:v>
                  </c:pt>
                  <c:pt idx="16">
                    <c:v>2020</c:v>
                  </c:pt>
                  <c:pt idx="20">
                    <c:v>2021</c:v>
                  </c:pt>
                  <c:pt idx="24">
                    <c:v>2022</c:v>
                  </c:pt>
                  <c:pt idx="28">
                    <c:v>2023</c:v>
                  </c:pt>
                  <c:pt idx="32">
                    <c:v>2024</c:v>
                  </c:pt>
                  <c:pt idx="36">
                    <c:v>2025</c:v>
                  </c:pt>
                </c:lvl>
              </c:multiLvlStrCache>
            </c:multiLvlStrRef>
          </c:cat>
          <c:val>
            <c:numRef>
              <c:f>'G3-Sektor vlád.institucí (2)'!$F$126:$AR$126</c:f>
              <c:numCache>
                <c:formatCode>#\ ##0.##########</c:formatCode>
                <c:ptCount val="39"/>
                <c:pt idx="0">
                  <c:v>83.8</c:v>
                </c:pt>
                <c:pt idx="1">
                  <c:v>82.5</c:v>
                </c:pt>
                <c:pt idx="2">
                  <c:v>82.5</c:v>
                </c:pt>
                <c:pt idx="3">
                  <c:v>79.400000000000006</c:v>
                </c:pt>
                <c:pt idx="4">
                  <c:v>81.400000000000006</c:v>
                </c:pt>
                <c:pt idx="5">
                  <c:v>81.099999999999994</c:v>
                </c:pt>
                <c:pt idx="6">
                  <c:v>79.900000000000006</c:v>
                </c:pt>
                <c:pt idx="7">
                  <c:v>74.900000000000006</c:v>
                </c:pt>
                <c:pt idx="8">
                  <c:v>76.400000000000006</c:v>
                </c:pt>
                <c:pt idx="9">
                  <c:v>73.7</c:v>
                </c:pt>
                <c:pt idx="10">
                  <c:v>72.099999999999994</c:v>
                </c:pt>
                <c:pt idx="11" formatCode="#\ ##0.0">
                  <c:v>71</c:v>
                </c:pt>
                <c:pt idx="12">
                  <c:v>68.5</c:v>
                </c:pt>
                <c:pt idx="13">
                  <c:v>68.099999999999994</c:v>
                </c:pt>
                <c:pt idx="14">
                  <c:v>68.3</c:v>
                </c:pt>
                <c:pt idx="15" formatCode="#\ ##0.0">
                  <c:v>66</c:v>
                </c:pt>
                <c:pt idx="16">
                  <c:v>69.2</c:v>
                </c:pt>
                <c:pt idx="17">
                  <c:v>78.3</c:v>
                </c:pt>
                <c:pt idx="18">
                  <c:v>78.3</c:v>
                </c:pt>
                <c:pt idx="19">
                  <c:v>80.2</c:v>
                </c:pt>
                <c:pt idx="20">
                  <c:v>85.5</c:v>
                </c:pt>
                <c:pt idx="21">
                  <c:v>80.400000000000006</c:v>
                </c:pt>
                <c:pt idx="22">
                  <c:v>79.7</c:v>
                </c:pt>
                <c:pt idx="23">
                  <c:v>74.8</c:v>
                </c:pt>
                <c:pt idx="24">
                  <c:v>75.900000000000006</c:v>
                </c:pt>
                <c:pt idx="25">
                  <c:v>75.599999999999994</c:v>
                </c:pt>
                <c:pt idx="26">
                  <c:v>75.099999999999994</c:v>
                </c:pt>
                <c:pt idx="27">
                  <c:v>72.8</c:v>
                </c:pt>
                <c:pt idx="28" formatCode="#\ ##0.0">
                  <c:v>72</c:v>
                </c:pt>
                <c:pt idx="29">
                  <c:v>70.099999999999994</c:v>
                </c:pt>
                <c:pt idx="30" formatCode="#\ ##0.0">
                  <c:v>71</c:v>
                </c:pt>
                <c:pt idx="31">
                  <c:v>68.3</c:v>
                </c:pt>
                <c:pt idx="32">
                  <c:v>69.8</c:v>
                </c:pt>
                <c:pt idx="33" formatCode="#\ ##0.0">
                  <c:v>69</c:v>
                </c:pt>
                <c:pt idx="34">
                  <c:v>66.3</c:v>
                </c:pt>
                <c:pt idx="35">
                  <c:v>66.599999999999994</c:v>
                </c:pt>
                <c:pt idx="36">
                  <c:v>69.5</c:v>
                </c:pt>
                <c:pt idx="37">
                  <c:v>69.3</c:v>
                </c:pt>
                <c:pt idx="38">
                  <c:v>67.599999999999994</c:v>
                </c:pt>
              </c:numCache>
            </c:numRef>
          </c:val>
          <c:smooth val="0"/>
          <c:extLst>
            <c:ext xmlns:c16="http://schemas.microsoft.com/office/drawing/2014/chart" uri="{C3380CC4-5D6E-409C-BE32-E72D297353CC}">
              <c16:uniqueId val="{00000009-AAD1-497F-8936-D2D2A703A2A3}"/>
            </c:ext>
          </c:extLst>
        </c:ser>
        <c:ser>
          <c:idx val="10"/>
          <c:order val="10"/>
          <c:tx>
            <c:strRef>
              <c:f>'G3-Sektor vlád.institucí (2)'!$A$127</c:f>
              <c:strCache>
                <c:ptCount val="1"/>
                <c:pt idx="0">
                  <c:v>Míra zadlužení (Rumunsko)</c:v>
                </c:pt>
              </c:strCache>
            </c:strRef>
          </c:tx>
          <c:spPr>
            <a:ln w="15875" cap="rnd">
              <a:solidFill>
                <a:srgbClr val="86BF04"/>
              </a:solidFill>
              <a:round/>
            </a:ln>
            <a:effectLst/>
          </c:spPr>
          <c:marker>
            <c:symbol val="none"/>
          </c:marker>
          <c:cat>
            <c:multiLvlStrRef>
              <c:f>'G3-Sektor vlád.institucí (2)'!$F$115:$AR$116</c:f>
              <c:multiLvlStrCache>
                <c:ptCount val="39"/>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lvl>
                <c:lvl>
                  <c:pt idx="0">
                    <c:v>2016</c:v>
                  </c:pt>
                  <c:pt idx="4">
                    <c:v>2017</c:v>
                  </c:pt>
                  <c:pt idx="8">
                    <c:v>2018</c:v>
                  </c:pt>
                  <c:pt idx="12">
                    <c:v>2019</c:v>
                  </c:pt>
                  <c:pt idx="16">
                    <c:v>2020</c:v>
                  </c:pt>
                  <c:pt idx="20">
                    <c:v>2021</c:v>
                  </c:pt>
                  <c:pt idx="24">
                    <c:v>2022</c:v>
                  </c:pt>
                  <c:pt idx="28">
                    <c:v>2023</c:v>
                  </c:pt>
                  <c:pt idx="32">
                    <c:v>2024</c:v>
                  </c:pt>
                  <c:pt idx="36">
                    <c:v>2025</c:v>
                  </c:pt>
                </c:lvl>
              </c:multiLvlStrCache>
            </c:multiLvlStrRef>
          </c:cat>
          <c:val>
            <c:numRef>
              <c:f>'G3-Sektor vlád.institucí (2)'!$F$127:$AR$127</c:f>
              <c:numCache>
                <c:formatCode>#\ ##0.##########</c:formatCode>
                <c:ptCount val="39"/>
                <c:pt idx="0" formatCode="#\ ##0.0">
                  <c:v>37</c:v>
                </c:pt>
                <c:pt idx="1">
                  <c:v>36.700000000000003</c:v>
                </c:pt>
                <c:pt idx="2">
                  <c:v>36.299999999999997</c:v>
                </c:pt>
                <c:pt idx="3">
                  <c:v>37.799999999999997</c:v>
                </c:pt>
                <c:pt idx="4">
                  <c:v>37.299999999999997</c:v>
                </c:pt>
                <c:pt idx="5">
                  <c:v>37.4</c:v>
                </c:pt>
                <c:pt idx="6">
                  <c:v>35.799999999999997</c:v>
                </c:pt>
                <c:pt idx="7">
                  <c:v>35.299999999999997</c:v>
                </c:pt>
                <c:pt idx="8">
                  <c:v>34.6</c:v>
                </c:pt>
                <c:pt idx="9">
                  <c:v>34.1</c:v>
                </c:pt>
                <c:pt idx="10" formatCode="#\ ##0.0">
                  <c:v>34</c:v>
                </c:pt>
                <c:pt idx="11">
                  <c:v>34.6</c:v>
                </c:pt>
                <c:pt idx="12">
                  <c:v>33.799999999999997</c:v>
                </c:pt>
                <c:pt idx="13">
                  <c:v>33.700000000000003</c:v>
                </c:pt>
                <c:pt idx="14" formatCode="#\ ##0.0">
                  <c:v>35</c:v>
                </c:pt>
                <c:pt idx="15">
                  <c:v>35.200000000000003</c:v>
                </c:pt>
                <c:pt idx="16">
                  <c:v>37.299999999999997</c:v>
                </c:pt>
                <c:pt idx="17">
                  <c:v>40.5</c:v>
                </c:pt>
                <c:pt idx="18">
                  <c:v>42.7</c:v>
                </c:pt>
                <c:pt idx="19">
                  <c:v>46.9</c:v>
                </c:pt>
                <c:pt idx="20" formatCode="#\ ##0.0">
                  <c:v>47</c:v>
                </c:pt>
                <c:pt idx="21">
                  <c:v>46.8</c:v>
                </c:pt>
                <c:pt idx="22" formatCode="#\ ##0.0">
                  <c:v>48</c:v>
                </c:pt>
                <c:pt idx="23">
                  <c:v>48.6</c:v>
                </c:pt>
                <c:pt idx="24">
                  <c:v>48.4</c:v>
                </c:pt>
                <c:pt idx="25">
                  <c:v>48.6</c:v>
                </c:pt>
                <c:pt idx="26">
                  <c:v>48.6</c:v>
                </c:pt>
                <c:pt idx="27">
                  <c:v>48.1</c:v>
                </c:pt>
                <c:pt idx="28" formatCode="#\ ##0.0">
                  <c:v>50</c:v>
                </c:pt>
                <c:pt idx="29">
                  <c:v>49.1</c:v>
                </c:pt>
                <c:pt idx="30">
                  <c:v>49.9</c:v>
                </c:pt>
                <c:pt idx="31">
                  <c:v>49.3</c:v>
                </c:pt>
                <c:pt idx="32">
                  <c:v>52.1</c:v>
                </c:pt>
                <c:pt idx="33">
                  <c:v>51.5</c:v>
                </c:pt>
                <c:pt idx="34">
                  <c:v>53.3</c:v>
                </c:pt>
                <c:pt idx="35">
                  <c:v>54.8</c:v>
                </c:pt>
                <c:pt idx="36">
                  <c:v>55.9</c:v>
                </c:pt>
                <c:pt idx="37">
                  <c:v>57.3</c:v>
                </c:pt>
                <c:pt idx="38">
                  <c:v>58.9</c:v>
                </c:pt>
              </c:numCache>
            </c:numRef>
          </c:val>
          <c:smooth val="0"/>
          <c:extLst>
            <c:ext xmlns:c16="http://schemas.microsoft.com/office/drawing/2014/chart" uri="{C3380CC4-5D6E-409C-BE32-E72D297353CC}">
              <c16:uniqueId val="{0000000A-AAD1-497F-8936-D2D2A703A2A3}"/>
            </c:ext>
          </c:extLst>
        </c:ser>
        <c:ser>
          <c:idx val="11"/>
          <c:order val="11"/>
          <c:tx>
            <c:strRef>
              <c:f>'G3-Sektor vlád.institucí (2)'!$A$128</c:f>
              <c:strCache>
                <c:ptCount val="1"/>
                <c:pt idx="0">
                  <c:v>Míra zadlužení (Estonsko)</c:v>
                </c:pt>
              </c:strCache>
            </c:strRef>
          </c:tx>
          <c:spPr>
            <a:ln w="15875" cap="rnd">
              <a:solidFill>
                <a:srgbClr val="D8A7B7"/>
              </a:solidFill>
              <a:round/>
            </a:ln>
            <a:effectLst/>
          </c:spPr>
          <c:marker>
            <c:symbol val="none"/>
          </c:marker>
          <c:cat>
            <c:multiLvlStrRef>
              <c:f>'G3-Sektor vlád.institucí (2)'!$F$115:$AR$116</c:f>
              <c:multiLvlStrCache>
                <c:ptCount val="39"/>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lvl>
                <c:lvl>
                  <c:pt idx="0">
                    <c:v>2016</c:v>
                  </c:pt>
                  <c:pt idx="4">
                    <c:v>2017</c:v>
                  </c:pt>
                  <c:pt idx="8">
                    <c:v>2018</c:v>
                  </c:pt>
                  <c:pt idx="12">
                    <c:v>2019</c:v>
                  </c:pt>
                  <c:pt idx="16">
                    <c:v>2020</c:v>
                  </c:pt>
                  <c:pt idx="20">
                    <c:v>2021</c:v>
                  </c:pt>
                  <c:pt idx="24">
                    <c:v>2022</c:v>
                  </c:pt>
                  <c:pt idx="28">
                    <c:v>2023</c:v>
                  </c:pt>
                  <c:pt idx="32">
                    <c:v>2024</c:v>
                  </c:pt>
                  <c:pt idx="36">
                    <c:v>2025</c:v>
                  </c:pt>
                </c:lvl>
              </c:multiLvlStrCache>
            </c:multiLvlStrRef>
          </c:cat>
          <c:val>
            <c:numRef>
              <c:f>'G3-Sektor vlád.institucí (2)'!$F$128:$AR$128</c:f>
              <c:numCache>
                <c:formatCode>#\ ##0.0</c:formatCode>
                <c:ptCount val="39"/>
                <c:pt idx="0" formatCode="#\ ##0.##########">
                  <c:v>10.3</c:v>
                </c:pt>
                <c:pt idx="1">
                  <c:v>10</c:v>
                </c:pt>
                <c:pt idx="2">
                  <c:v>10</c:v>
                </c:pt>
                <c:pt idx="3" formatCode="#\ ##0.##########">
                  <c:v>10.199999999999999</c:v>
                </c:pt>
                <c:pt idx="4" formatCode="#\ ##0.##########">
                  <c:v>9.8000000000000007</c:v>
                </c:pt>
                <c:pt idx="5" formatCode="#\ ##0.##########">
                  <c:v>9.6</c:v>
                </c:pt>
                <c:pt idx="6" formatCode="#\ ##0.##########">
                  <c:v>9.5</c:v>
                </c:pt>
                <c:pt idx="7" formatCode="#\ ##0.##########">
                  <c:v>9.4</c:v>
                </c:pt>
                <c:pt idx="8" formatCode="#\ ##0.##########">
                  <c:v>9.1</c:v>
                </c:pt>
                <c:pt idx="9" formatCode="#\ ##0.##########">
                  <c:v>8.9</c:v>
                </c:pt>
                <c:pt idx="10" formatCode="#\ ##0.##########">
                  <c:v>8.6999999999999993</c:v>
                </c:pt>
                <c:pt idx="11" formatCode="#\ ##0.##########">
                  <c:v>8.5</c:v>
                </c:pt>
                <c:pt idx="12" formatCode="#\ ##0.##########">
                  <c:v>8.3000000000000007</c:v>
                </c:pt>
                <c:pt idx="13" formatCode="#\ ##0.##########">
                  <c:v>9.6999999999999993</c:v>
                </c:pt>
                <c:pt idx="14" formatCode="#\ ##0.##########">
                  <c:v>9.6</c:v>
                </c:pt>
                <c:pt idx="15">
                  <c:v>9</c:v>
                </c:pt>
                <c:pt idx="16" formatCode="#\ ##0.##########">
                  <c:v>9.5</c:v>
                </c:pt>
                <c:pt idx="17">
                  <c:v>19</c:v>
                </c:pt>
                <c:pt idx="18" formatCode="#\ ##0.##########">
                  <c:v>19.2</c:v>
                </c:pt>
                <c:pt idx="19" formatCode="#\ ##0.##########">
                  <c:v>19.100000000000001</c:v>
                </c:pt>
                <c:pt idx="20" formatCode="#\ ##0.##########">
                  <c:v>19.7</c:v>
                </c:pt>
                <c:pt idx="21" formatCode="#\ ##0.##########">
                  <c:v>19.7</c:v>
                </c:pt>
                <c:pt idx="22" formatCode="#\ ##0.##########">
                  <c:v>19.8</c:v>
                </c:pt>
                <c:pt idx="23" formatCode="#\ ##0.##########">
                  <c:v>18.399999999999999</c:v>
                </c:pt>
                <c:pt idx="24" formatCode="#\ ##0.##########">
                  <c:v>18.100000000000001</c:v>
                </c:pt>
                <c:pt idx="25" formatCode="#\ ##0.##########">
                  <c:v>17.7</c:v>
                </c:pt>
                <c:pt idx="26" formatCode="#\ ##0.##########">
                  <c:v>16.7</c:v>
                </c:pt>
                <c:pt idx="27" formatCode="#\ ##0.##########">
                  <c:v>19.2</c:v>
                </c:pt>
                <c:pt idx="28" formatCode="#\ ##0.##########">
                  <c:v>17.8</c:v>
                </c:pt>
                <c:pt idx="29">
                  <c:v>19</c:v>
                </c:pt>
                <c:pt idx="30" formatCode="#\ ##0.##########">
                  <c:v>18.7</c:v>
                </c:pt>
                <c:pt idx="31" formatCode="#\ ##0.##########">
                  <c:v>20.2</c:v>
                </c:pt>
                <c:pt idx="32">
                  <c:v>24</c:v>
                </c:pt>
                <c:pt idx="33" formatCode="#\ ##0.##########">
                  <c:v>23.6</c:v>
                </c:pt>
                <c:pt idx="34" formatCode="#\ ##0.##########">
                  <c:v>23.8</c:v>
                </c:pt>
                <c:pt idx="35" formatCode="#\ ##0.##########">
                  <c:v>23.5</c:v>
                </c:pt>
                <c:pt idx="36" formatCode="#\ ##0.##########">
                  <c:v>23.9</c:v>
                </c:pt>
                <c:pt idx="37" formatCode="#\ ##0.##########">
                  <c:v>23.2</c:v>
                </c:pt>
                <c:pt idx="38" formatCode="#\ ##0.##########">
                  <c:v>22.9</c:v>
                </c:pt>
              </c:numCache>
            </c:numRef>
          </c:val>
          <c:smooth val="0"/>
          <c:extLst>
            <c:ext xmlns:c16="http://schemas.microsoft.com/office/drawing/2014/chart" uri="{C3380CC4-5D6E-409C-BE32-E72D297353CC}">
              <c16:uniqueId val="{0000000B-AAD1-497F-8936-D2D2A703A2A3}"/>
            </c:ext>
          </c:extLst>
        </c:ser>
        <c:dLbls>
          <c:showLegendKey val="0"/>
          <c:showVal val="0"/>
          <c:showCatName val="0"/>
          <c:showSerName val="0"/>
          <c:showPercent val="0"/>
          <c:showBubbleSize val="0"/>
        </c:dLbls>
        <c:marker val="1"/>
        <c:smooth val="0"/>
        <c:axId val="531949712"/>
        <c:axId val="531963024"/>
      </c:lineChart>
      <c:catAx>
        <c:axId val="531992144"/>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531997552"/>
        <c:crosses val="autoZero"/>
        <c:auto val="1"/>
        <c:lblAlgn val="ctr"/>
        <c:lblOffset val="0"/>
        <c:noMultiLvlLbl val="0"/>
      </c:catAx>
      <c:valAx>
        <c:axId val="531997552"/>
        <c:scaling>
          <c:orientation val="minMax"/>
          <c:max val="2"/>
          <c:min val="-22"/>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700" b="0" i="1"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cs-CZ" sz="700" i="1">
                    <a:latin typeface="Arial" panose="020B0604020202020204" pitchFamily="34" charset="0"/>
                    <a:cs typeface="Arial" panose="020B0604020202020204" pitchFamily="34" charset="0"/>
                  </a:rPr>
                  <a:t>Saldo</a:t>
                </a:r>
                <a:r>
                  <a:rPr lang="cs-CZ" sz="700" i="1" baseline="0">
                    <a:latin typeface="Arial" panose="020B0604020202020204" pitchFamily="34" charset="0"/>
                    <a:cs typeface="Arial" panose="020B0604020202020204" pitchFamily="34" charset="0"/>
                  </a:rPr>
                  <a:t> hospodaření</a:t>
                </a:r>
                <a:endParaRPr lang="cs-CZ" sz="700" i="1">
                  <a:latin typeface="Arial" panose="020B0604020202020204" pitchFamily="34" charset="0"/>
                  <a:cs typeface="Arial" panose="020B0604020202020204" pitchFamily="34" charset="0"/>
                </a:endParaRPr>
              </a:p>
            </c:rich>
          </c:tx>
          <c:layout>
            <c:manualLayout>
              <c:xMode val="edge"/>
              <c:yMode val="edge"/>
              <c:x val="0"/>
              <c:y val="0.27608885992954735"/>
            </c:manualLayout>
          </c:layout>
          <c:overlay val="0"/>
          <c:spPr>
            <a:noFill/>
            <a:ln>
              <a:noFill/>
            </a:ln>
            <a:effectLst/>
          </c:spPr>
          <c:txPr>
            <a:bodyPr rot="-5400000" spcFirstLastPara="1" vertOverflow="ellipsis" vert="horz" wrap="square" anchor="ctr" anchorCtr="1"/>
            <a:lstStyle/>
            <a:p>
              <a:pPr>
                <a:defRPr sz="700" b="0" i="1"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531992144"/>
        <c:crosses val="autoZero"/>
        <c:crossBetween val="between"/>
        <c:majorUnit val="2"/>
      </c:valAx>
      <c:valAx>
        <c:axId val="531963024"/>
        <c:scaling>
          <c:orientation val="minMax"/>
          <c:max val="120"/>
          <c:min val="0"/>
        </c:scaling>
        <c:delete val="0"/>
        <c:axPos val="r"/>
        <c:title>
          <c:tx>
            <c:rich>
              <a:bodyPr rot="-5400000" spcFirstLastPara="1" vertOverflow="ellipsis" vert="horz" wrap="square" anchor="ctr" anchorCtr="1"/>
              <a:lstStyle/>
              <a:p>
                <a:pPr>
                  <a:defRPr sz="700" b="0" i="1"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cs-CZ" sz="700" i="1">
                    <a:latin typeface="Arial" panose="020B0604020202020204" pitchFamily="34" charset="0"/>
                    <a:cs typeface="Arial" panose="020B0604020202020204" pitchFamily="34" charset="0"/>
                  </a:rPr>
                  <a:t>Míra</a:t>
                </a:r>
                <a:r>
                  <a:rPr lang="cs-CZ" sz="700" i="1" baseline="0">
                    <a:latin typeface="Arial" panose="020B0604020202020204" pitchFamily="34" charset="0"/>
                    <a:cs typeface="Arial" panose="020B0604020202020204" pitchFamily="34" charset="0"/>
                  </a:rPr>
                  <a:t> zadlužení</a:t>
                </a:r>
                <a:endParaRPr lang="cs-CZ" sz="700" i="1">
                  <a:latin typeface="Arial" panose="020B0604020202020204" pitchFamily="34" charset="0"/>
                  <a:cs typeface="Arial" panose="020B0604020202020204" pitchFamily="34" charset="0"/>
                </a:endParaRPr>
              </a:p>
            </c:rich>
          </c:tx>
          <c:overlay val="0"/>
          <c:spPr>
            <a:noFill/>
            <a:ln>
              <a:noFill/>
            </a:ln>
            <a:effectLst/>
          </c:spPr>
          <c:txPr>
            <a:bodyPr rot="-5400000" spcFirstLastPara="1" vertOverflow="ellipsis" vert="horz" wrap="square" anchor="ctr" anchorCtr="1"/>
            <a:lstStyle/>
            <a:p>
              <a:pPr>
                <a:defRPr sz="700" b="0" i="1"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531949712"/>
        <c:crosses val="max"/>
        <c:crossBetween val="between"/>
        <c:majorUnit val="10"/>
      </c:valAx>
      <c:catAx>
        <c:axId val="531949712"/>
        <c:scaling>
          <c:orientation val="minMax"/>
        </c:scaling>
        <c:delete val="1"/>
        <c:axPos val="b"/>
        <c:numFmt formatCode="General" sourceLinked="1"/>
        <c:majorTickMark val="out"/>
        <c:minorTickMark val="none"/>
        <c:tickLblPos val="nextTo"/>
        <c:crossAx val="531963024"/>
        <c:crosses val="autoZero"/>
        <c:auto val="1"/>
        <c:lblAlgn val="ctr"/>
        <c:lblOffset val="100"/>
        <c:noMultiLvlLbl val="0"/>
      </c:catAx>
      <c:spPr>
        <a:noFill/>
        <a:ln w="6350">
          <a:solidFill>
            <a:schemeClr val="tx1"/>
          </a:solidFill>
        </a:ln>
        <a:effectLst/>
      </c:spPr>
    </c:plotArea>
    <c:legend>
      <c:legendPos val="b"/>
      <c:layout>
        <c:manualLayout>
          <c:xMode val="edge"/>
          <c:yMode val="edge"/>
          <c:x val="1.3141700567023604E-3"/>
          <c:y val="0.83112056138013779"/>
          <c:w val="0.98932614825909782"/>
          <c:h val="0.15961998451318865"/>
        </c:manualLayout>
      </c:layout>
      <c:overlay val="0"/>
      <c:spPr>
        <a:noFill/>
        <a:ln w="6350">
          <a:solidFill>
            <a:schemeClr val="tx1"/>
          </a:solidFill>
        </a:ln>
        <a:effectLst/>
      </c:spPr>
      <c:txPr>
        <a:bodyPr rot="0" spcFirstLastPara="1" vertOverflow="ellipsis" vert="horz" wrap="square" anchor="ctr" anchorCtr="1"/>
        <a:lstStyle/>
        <a:p>
          <a:pPr>
            <a:defRPr sz="7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legend>
    <c:plotVisOnly val="1"/>
    <c:dispBlanksAs val="gap"/>
    <c:showDLblsOverMax val="0"/>
  </c:chart>
  <c:spPr>
    <a:solidFill>
      <a:schemeClr val="bg1"/>
    </a:solidFill>
    <a:ln w="6350" cap="flat" cmpd="sng" algn="ctr">
      <a:noFill/>
      <a:round/>
    </a:ln>
    <a:effectLst/>
  </c:spPr>
  <c:txPr>
    <a:bodyPr/>
    <a:lstStyle/>
    <a:p>
      <a:pPr>
        <a:defRPr/>
      </a:pPr>
      <a:endParaRPr lang="cs-CZ"/>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126857480580882E-2"/>
          <c:y val="2.9499886988623526E-2"/>
          <c:w val="0.9260266801756164"/>
          <c:h val="0.63445260610154264"/>
        </c:manualLayout>
      </c:layout>
      <c:barChart>
        <c:barDir val="col"/>
        <c:grouping val="stacked"/>
        <c:varyColors val="0"/>
        <c:ser>
          <c:idx val="4"/>
          <c:order val="0"/>
          <c:tx>
            <c:strRef>
              <c:f>'souhrnná výkonnost 4'!$C$5</c:f>
              <c:strCache>
                <c:ptCount val="1"/>
                <c:pt idx="0">
                  <c:v>Zemědělství, lesnictví a rybářství</c:v>
                </c:pt>
              </c:strCache>
            </c:strRef>
          </c:tx>
          <c:spPr>
            <a:solidFill>
              <a:srgbClr val="86BF5E"/>
            </a:solidFill>
            <a:ln>
              <a:noFill/>
            </a:ln>
          </c:spPr>
          <c:invertIfNegative val="0"/>
          <c:val>
            <c:numRef>
              <c:f>'souhrnná výkonnost 4'!$C$14:$C$37</c:f>
              <c:numCache>
                <c:formatCode>#\ ##0.0</c:formatCode>
                <c:ptCount val="24"/>
                <c:pt idx="0">
                  <c:v>0.20474410757490741</c:v>
                </c:pt>
                <c:pt idx="1">
                  <c:v>0.18193909338973391</c:v>
                </c:pt>
                <c:pt idx="2">
                  <c:v>0.12986799571839833</c:v>
                </c:pt>
                <c:pt idx="3">
                  <c:v>6.0774672253045774E-2</c:v>
                </c:pt>
                <c:pt idx="4">
                  <c:v>-0.21896810900573507</c:v>
                </c:pt>
                <c:pt idx="5">
                  <c:v>-0.35546246774022089</c:v>
                </c:pt>
                <c:pt idx="6">
                  <c:v>-0.31345773827216172</c:v>
                </c:pt>
                <c:pt idx="7">
                  <c:v>-0.28221462677607811</c:v>
                </c:pt>
                <c:pt idx="8">
                  <c:v>-2.7607081723218754E-2</c:v>
                </c:pt>
                <c:pt idx="9">
                  <c:v>8.8416510484459823E-2</c:v>
                </c:pt>
                <c:pt idx="10">
                  <c:v>0.11003669694477575</c:v>
                </c:pt>
                <c:pt idx="11">
                  <c:v>-7.1734601521123695E-2</c:v>
                </c:pt>
                <c:pt idx="12">
                  <c:v>0.55251546503756477</c:v>
                </c:pt>
                <c:pt idx="13">
                  <c:v>0.43246198901845179</c:v>
                </c:pt>
                <c:pt idx="14">
                  <c:v>0.26031798923309352</c:v>
                </c:pt>
                <c:pt idx="15">
                  <c:v>0.57187060565368231</c:v>
                </c:pt>
                <c:pt idx="16">
                  <c:v>-9.2484293084104385E-2</c:v>
                </c:pt>
                <c:pt idx="17">
                  <c:v>1.5763907422232673E-2</c:v>
                </c:pt>
                <c:pt idx="18">
                  <c:v>0.16060866097379706</c:v>
                </c:pt>
                <c:pt idx="19">
                  <c:v>4.0801953905620608E-2</c:v>
                </c:pt>
                <c:pt idx="20">
                  <c:v>6.6142073173369412E-2</c:v>
                </c:pt>
                <c:pt idx="21">
                  <c:v>6.9252296314730344E-2</c:v>
                </c:pt>
                <c:pt idx="22">
                  <c:v>7.5663251456639199E-2</c:v>
                </c:pt>
                <c:pt idx="23">
                  <c:v>7.6138284642775167E-2</c:v>
                </c:pt>
              </c:numCache>
            </c:numRef>
          </c:val>
          <c:extLst>
            <c:ext xmlns:c16="http://schemas.microsoft.com/office/drawing/2014/chart" uri="{C3380CC4-5D6E-409C-BE32-E72D297353CC}">
              <c16:uniqueId val="{00000000-7622-4EF0-A1C7-C5CAF3C0DF41}"/>
            </c:ext>
          </c:extLst>
        </c:ser>
        <c:ser>
          <c:idx val="3"/>
          <c:order val="1"/>
          <c:tx>
            <c:strRef>
              <c:f>'souhrnná výkonnost 4'!$D$5</c:f>
              <c:strCache>
                <c:ptCount val="1"/>
                <c:pt idx="0">
                  <c:v>Zpracovatelský průmysl (CZ-NACE C)</c:v>
                </c:pt>
              </c:strCache>
            </c:strRef>
          </c:tx>
          <c:spPr>
            <a:solidFill>
              <a:srgbClr val="009CB5"/>
            </a:solidFill>
            <a:ln>
              <a:noFill/>
            </a:ln>
          </c:spPr>
          <c:invertIfNegative val="0"/>
          <c:val>
            <c:numRef>
              <c:f>'souhrnná výkonnost 4'!$D$14:$D$37</c:f>
              <c:numCache>
                <c:formatCode>#\ ##0.0</c:formatCode>
                <c:ptCount val="24"/>
                <c:pt idx="0">
                  <c:v>-0.99913036972300806</c:v>
                </c:pt>
                <c:pt idx="1">
                  <c:v>-5.8646555137341574</c:v>
                </c:pt>
                <c:pt idx="2">
                  <c:v>-2.1534841805298068</c:v>
                </c:pt>
                <c:pt idx="3">
                  <c:v>-1.5540721517892744</c:v>
                </c:pt>
                <c:pt idx="4">
                  <c:v>-0.79750382840225398</c:v>
                </c:pt>
                <c:pt idx="5">
                  <c:v>3.9909379237888789</c:v>
                </c:pt>
                <c:pt idx="6">
                  <c:v>-0.74858711455149796</c:v>
                </c:pt>
                <c:pt idx="7">
                  <c:v>-0.90527326488749837</c:v>
                </c:pt>
                <c:pt idx="8">
                  <c:v>0.68544605235729006</c:v>
                </c:pt>
                <c:pt idx="9">
                  <c:v>1.6014259985527444</c:v>
                </c:pt>
                <c:pt idx="10">
                  <c:v>2.2123375450016312</c:v>
                </c:pt>
                <c:pt idx="11">
                  <c:v>2.6313203520667794</c:v>
                </c:pt>
                <c:pt idx="12">
                  <c:v>1.6312980907507209</c:v>
                </c:pt>
                <c:pt idx="13">
                  <c:v>1.105966757109025</c:v>
                </c:pt>
                <c:pt idx="14">
                  <c:v>0.58899302624669825</c:v>
                </c:pt>
                <c:pt idx="15">
                  <c:v>0.50026396716330868</c:v>
                </c:pt>
                <c:pt idx="16">
                  <c:v>-0.97314885656961803</c:v>
                </c:pt>
                <c:pt idx="17">
                  <c:v>-1.3133220466188547</c:v>
                </c:pt>
                <c:pt idx="18">
                  <c:v>-0.73770683474410603</c:v>
                </c:pt>
                <c:pt idx="19">
                  <c:v>-1.0591488873237926</c:v>
                </c:pt>
                <c:pt idx="20">
                  <c:v>0.10619860832019534</c:v>
                </c:pt>
                <c:pt idx="21">
                  <c:v>0.39309904501994147</c:v>
                </c:pt>
                <c:pt idx="22">
                  <c:v>8.9567423934869259E-2</c:v>
                </c:pt>
                <c:pt idx="23">
                  <c:v>0.53564923901138273</c:v>
                </c:pt>
              </c:numCache>
            </c:numRef>
          </c:val>
          <c:extLst>
            <c:ext xmlns:c16="http://schemas.microsoft.com/office/drawing/2014/chart" uri="{C3380CC4-5D6E-409C-BE32-E72D297353CC}">
              <c16:uniqueId val="{00000001-7622-4EF0-A1C7-C5CAF3C0DF41}"/>
            </c:ext>
          </c:extLst>
        </c:ser>
        <c:ser>
          <c:idx val="2"/>
          <c:order val="2"/>
          <c:tx>
            <c:strRef>
              <c:f>'souhrnná výkonnost 4'!$E$5</c:f>
              <c:strCache>
                <c:ptCount val="1"/>
                <c:pt idx="0">
                  <c:v>Ostatní průmyslová odvětví (CZ-NACE B, D, E)</c:v>
                </c:pt>
              </c:strCache>
            </c:strRef>
          </c:tx>
          <c:spPr>
            <a:solidFill>
              <a:srgbClr val="9FC9D7"/>
            </a:solidFill>
            <a:ln>
              <a:noFill/>
            </a:ln>
          </c:spPr>
          <c:invertIfNegative val="0"/>
          <c:val>
            <c:numRef>
              <c:f>'souhrnná výkonnost 4'!$E$14:$E$37</c:f>
              <c:numCache>
                <c:formatCode>#\ ##0.0</c:formatCode>
                <c:ptCount val="24"/>
                <c:pt idx="0">
                  <c:v>-0.19031586783510557</c:v>
                </c:pt>
                <c:pt idx="1">
                  <c:v>-0.24885055868865447</c:v>
                </c:pt>
                <c:pt idx="2">
                  <c:v>-6.8100757785281907E-2</c:v>
                </c:pt>
                <c:pt idx="3">
                  <c:v>8.6873524737786978E-2</c:v>
                </c:pt>
                <c:pt idx="4">
                  <c:v>0.37090166603725971</c:v>
                </c:pt>
                <c:pt idx="5">
                  <c:v>0.43449287266447101</c:v>
                </c:pt>
                <c:pt idx="6">
                  <c:v>0.30466221362414897</c:v>
                </c:pt>
                <c:pt idx="7">
                  <c:v>1.7094673925321713E-2</c:v>
                </c:pt>
                <c:pt idx="8">
                  <c:v>-0.49498548983118773</c:v>
                </c:pt>
                <c:pt idx="9">
                  <c:v>-0.36703909153071357</c:v>
                </c:pt>
                <c:pt idx="10">
                  <c:v>-0.58289817942589317</c:v>
                </c:pt>
                <c:pt idx="11">
                  <c:v>-0.85284564576950173</c:v>
                </c:pt>
                <c:pt idx="12">
                  <c:v>-0.72089004231394793</c:v>
                </c:pt>
                <c:pt idx="13">
                  <c:v>-0.9587984772254694</c:v>
                </c:pt>
                <c:pt idx="14">
                  <c:v>-0.86317511484719223</c:v>
                </c:pt>
                <c:pt idx="15">
                  <c:v>-0.50223553688522504</c:v>
                </c:pt>
                <c:pt idx="16">
                  <c:v>-7.7240003452301531E-2</c:v>
                </c:pt>
                <c:pt idx="17">
                  <c:v>0.12703981604473547</c:v>
                </c:pt>
                <c:pt idx="18">
                  <c:v>0.25583372727332165</c:v>
                </c:pt>
                <c:pt idx="19">
                  <c:v>0.18500163447617468</c:v>
                </c:pt>
                <c:pt idx="20">
                  <c:v>0.14122285837562884</c:v>
                </c:pt>
                <c:pt idx="21">
                  <c:v>0.19424883401953347</c:v>
                </c:pt>
                <c:pt idx="22">
                  <c:v>0.10605257367440112</c:v>
                </c:pt>
                <c:pt idx="23">
                  <c:v>3.915439334887405E-2</c:v>
                </c:pt>
              </c:numCache>
            </c:numRef>
          </c:val>
          <c:extLst>
            <c:ext xmlns:c16="http://schemas.microsoft.com/office/drawing/2014/chart" uri="{C3380CC4-5D6E-409C-BE32-E72D297353CC}">
              <c16:uniqueId val="{00000002-7622-4EF0-A1C7-C5CAF3C0DF41}"/>
            </c:ext>
          </c:extLst>
        </c:ser>
        <c:ser>
          <c:idx val="1"/>
          <c:order val="3"/>
          <c:tx>
            <c:strRef>
              <c:f>'souhrnná výkonnost 4'!$F$5</c:f>
              <c:strCache>
                <c:ptCount val="1"/>
                <c:pt idx="0">
                  <c:v>Stavebnictví</c:v>
                </c:pt>
              </c:strCache>
            </c:strRef>
          </c:tx>
          <c:spPr>
            <a:solidFill>
              <a:srgbClr val="174F70"/>
            </a:solidFill>
            <a:ln>
              <a:noFill/>
            </a:ln>
          </c:spPr>
          <c:invertIfNegative val="0"/>
          <c:val>
            <c:numRef>
              <c:f>'souhrnná výkonnost 4'!$F$14:$F$37</c:f>
              <c:numCache>
                <c:formatCode>#\ ##0.0</c:formatCode>
                <c:ptCount val="24"/>
                <c:pt idx="0">
                  <c:v>-0.30166772298617284</c:v>
                </c:pt>
                <c:pt idx="1">
                  <c:v>-0.48053456061289057</c:v>
                </c:pt>
                <c:pt idx="2">
                  <c:v>-0.45378387986882363</c:v>
                </c:pt>
                <c:pt idx="3">
                  <c:v>-0.43586476428987242</c:v>
                </c:pt>
                <c:pt idx="4">
                  <c:v>-0.33833459958051637</c:v>
                </c:pt>
                <c:pt idx="5">
                  <c:v>-6.4883402484855884E-2</c:v>
                </c:pt>
                <c:pt idx="6">
                  <c:v>-5.6735775192007655E-2</c:v>
                </c:pt>
                <c:pt idx="7">
                  <c:v>-0.11209281400825521</c:v>
                </c:pt>
                <c:pt idx="8">
                  <c:v>-0.10546033608204923</c:v>
                </c:pt>
                <c:pt idx="9">
                  <c:v>-0.29054660345106559</c:v>
                </c:pt>
                <c:pt idx="10">
                  <c:v>-0.451821017159387</c:v>
                </c:pt>
                <c:pt idx="11">
                  <c:v>-0.32901397344166938</c:v>
                </c:pt>
                <c:pt idx="12">
                  <c:v>-0.13840591105504113</c:v>
                </c:pt>
                <c:pt idx="13">
                  <c:v>-1.2903984714601602E-2</c:v>
                </c:pt>
                <c:pt idx="14">
                  <c:v>0.1616031723963629</c:v>
                </c:pt>
                <c:pt idx="15">
                  <c:v>3.5760466298751591E-2</c:v>
                </c:pt>
                <c:pt idx="16">
                  <c:v>3.2788154642874101E-2</c:v>
                </c:pt>
                <c:pt idx="17">
                  <c:v>2.0320941881718829E-2</c:v>
                </c:pt>
                <c:pt idx="18">
                  <c:v>2.2792210802845641E-2</c:v>
                </c:pt>
                <c:pt idx="19">
                  <c:v>0.12360584964670659</c:v>
                </c:pt>
                <c:pt idx="20">
                  <c:v>0.26578753913466358</c:v>
                </c:pt>
                <c:pt idx="21">
                  <c:v>0.3825604512050701</c:v>
                </c:pt>
                <c:pt idx="22">
                  <c:v>0.55363100581088176</c:v>
                </c:pt>
                <c:pt idx="23">
                  <c:v>0.3116678757757167</c:v>
                </c:pt>
              </c:numCache>
            </c:numRef>
          </c:val>
          <c:extLst>
            <c:ext xmlns:c16="http://schemas.microsoft.com/office/drawing/2014/chart" uri="{C3380CC4-5D6E-409C-BE32-E72D297353CC}">
              <c16:uniqueId val="{00000003-7622-4EF0-A1C7-C5CAF3C0DF41}"/>
            </c:ext>
          </c:extLst>
        </c:ser>
        <c:ser>
          <c:idx val="0"/>
          <c:order val="4"/>
          <c:tx>
            <c:strRef>
              <c:f>'souhrnná výkonnost 4'!$G$5</c:f>
              <c:strCache>
                <c:ptCount val="1"/>
                <c:pt idx="0">
                  <c:v>Služby (CZ-NACE G až U)</c:v>
                </c:pt>
              </c:strCache>
            </c:strRef>
          </c:tx>
          <c:spPr>
            <a:solidFill>
              <a:srgbClr val="BC5B80"/>
            </a:solidFill>
            <a:ln>
              <a:noFill/>
            </a:ln>
          </c:spPr>
          <c:invertIfNegative val="0"/>
          <c:val>
            <c:numRef>
              <c:f>'souhrnná výkonnost 4'!$G$14:$G$37</c:f>
              <c:numCache>
                <c:formatCode>#\ ##0.0</c:formatCode>
                <c:ptCount val="24"/>
                <c:pt idx="0">
                  <c:v>7.093155569492321E-2</c:v>
                </c:pt>
                <c:pt idx="1">
                  <c:v>-4.3045407242818117</c:v>
                </c:pt>
                <c:pt idx="2">
                  <c:v>-1.7237030445478896</c:v>
                </c:pt>
                <c:pt idx="3">
                  <c:v>-2.2257304528365829</c:v>
                </c:pt>
                <c:pt idx="4">
                  <c:v>-0.13287358134730987</c:v>
                </c:pt>
                <c:pt idx="5">
                  <c:v>6.0094667700580624</c:v>
                </c:pt>
                <c:pt idx="6">
                  <c:v>4.4583427477661246</c:v>
                </c:pt>
                <c:pt idx="7">
                  <c:v>4.7441380023749824</c:v>
                </c:pt>
                <c:pt idx="8">
                  <c:v>4.2794753272124808</c:v>
                </c:pt>
                <c:pt idx="9">
                  <c:v>2.6644708506253814</c:v>
                </c:pt>
                <c:pt idx="10">
                  <c:v>0.75291420064175929</c:v>
                </c:pt>
                <c:pt idx="11">
                  <c:v>0.24070555003152422</c:v>
                </c:pt>
                <c:pt idx="12">
                  <c:v>0.21267121835186337</c:v>
                </c:pt>
                <c:pt idx="13">
                  <c:v>9.5064594177366207E-2</c:v>
                </c:pt>
                <c:pt idx="14">
                  <c:v>0.17753332068364941</c:v>
                </c:pt>
                <c:pt idx="15">
                  <c:v>-0.33669513337032031</c:v>
                </c:pt>
                <c:pt idx="16">
                  <c:v>0.5628897258482618</c:v>
                </c:pt>
                <c:pt idx="17">
                  <c:v>1.1508415136414849</c:v>
                </c:pt>
                <c:pt idx="18">
                  <c:v>1.3525782035243568</c:v>
                </c:pt>
                <c:pt idx="19">
                  <c:v>2.1230818104608744</c:v>
                </c:pt>
                <c:pt idx="20">
                  <c:v>2.0898613930157879</c:v>
                </c:pt>
                <c:pt idx="21">
                  <c:v>1.7582549561810406</c:v>
                </c:pt>
                <c:pt idx="22">
                  <c:v>2.0498560627420264</c:v>
                </c:pt>
                <c:pt idx="23">
                  <c:v>1.8134045628609765</c:v>
                </c:pt>
              </c:numCache>
            </c:numRef>
          </c:val>
          <c:extLst>
            <c:ext xmlns:c16="http://schemas.microsoft.com/office/drawing/2014/chart" uri="{C3380CC4-5D6E-409C-BE32-E72D297353CC}">
              <c16:uniqueId val="{00000004-7622-4EF0-A1C7-C5CAF3C0DF41}"/>
            </c:ext>
          </c:extLst>
        </c:ser>
        <c:dLbls>
          <c:showLegendKey val="0"/>
          <c:showVal val="0"/>
          <c:showCatName val="0"/>
          <c:showSerName val="0"/>
          <c:showPercent val="0"/>
          <c:showBubbleSize val="0"/>
        </c:dLbls>
        <c:gapWidth val="70"/>
        <c:overlap val="100"/>
        <c:axId val="269005952"/>
        <c:axId val="269007488"/>
      </c:barChart>
      <c:lineChart>
        <c:grouping val="standard"/>
        <c:varyColors val="0"/>
        <c:ser>
          <c:idx val="5"/>
          <c:order val="5"/>
          <c:tx>
            <c:strRef>
              <c:f>'souhrnná výkonnost 4'!$H$5</c:f>
              <c:strCache>
                <c:ptCount val="1"/>
                <c:pt idx="0">
                  <c:v>Hrubá přidaná hodnota celkem</c:v>
                </c:pt>
              </c:strCache>
            </c:strRef>
          </c:tx>
          <c:spPr>
            <a:ln w="19050">
              <a:solidFill>
                <a:prstClr val="black"/>
              </a:solidFill>
            </a:ln>
          </c:spPr>
          <c:marker>
            <c:symbol val="none"/>
          </c:marker>
          <c:cat>
            <c:multiLvlStrRef>
              <c:f>'souhrnná výkonnost 4'!$A$14:$B$37</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f>'souhrnná výkonnost 4'!$H$14:$H$37</c:f>
              <c:numCache>
                <c:formatCode>#\ ##0.0</c:formatCode>
                <c:ptCount val="24"/>
                <c:pt idx="0">
                  <c:v>-1.2153058513710135</c:v>
                </c:pt>
                <c:pt idx="1">
                  <c:v>-10.716443173048049</c:v>
                </c:pt>
                <c:pt idx="2">
                  <c:v>-4.2693530438049407</c:v>
                </c:pt>
                <c:pt idx="3">
                  <c:v>-4.0682252377118857</c:v>
                </c:pt>
                <c:pt idx="4">
                  <c:v>-1.1167681102123339</c:v>
                </c:pt>
                <c:pt idx="5">
                  <c:v>10.014414773055606</c:v>
                </c:pt>
                <c:pt idx="6">
                  <c:v>3.6442422755888657</c:v>
                </c:pt>
                <c:pt idx="7">
                  <c:v>3.4619136451914159</c:v>
                </c:pt>
                <c:pt idx="8">
                  <c:v>4.3369045569128275</c:v>
                </c:pt>
                <c:pt idx="9">
                  <c:v>3.6967487112593602</c:v>
                </c:pt>
                <c:pt idx="10">
                  <c:v>2.0405324001032739</c:v>
                </c:pt>
                <c:pt idx="11">
                  <c:v>1.6183474426606779</c:v>
                </c:pt>
                <c:pt idx="12">
                  <c:v>1.5370994075002642</c:v>
                </c:pt>
                <c:pt idx="13">
                  <c:v>0.66174660015900599</c:v>
                </c:pt>
                <c:pt idx="14">
                  <c:v>0.32525261895825963</c:v>
                </c:pt>
                <c:pt idx="15">
                  <c:v>0.26916645993897248</c:v>
                </c:pt>
                <c:pt idx="16">
                  <c:v>-0.54725583809319289</c:v>
                </c:pt>
                <c:pt idx="17">
                  <c:v>6.9891165477997674E-4</c:v>
                </c:pt>
                <c:pt idx="18">
                  <c:v>1.0542044185658739</c:v>
                </c:pt>
                <c:pt idx="19">
                  <c:v>1.4132267851239675</c:v>
                </c:pt>
                <c:pt idx="20">
                  <c:v>2.6691992752886193</c:v>
                </c:pt>
                <c:pt idx="21">
                  <c:v>2.7973044563693463</c:v>
                </c:pt>
                <c:pt idx="22">
                  <c:v>2.8746592022160371</c:v>
                </c:pt>
                <c:pt idx="23">
                  <c:v>2.7763841605447084</c:v>
                </c:pt>
              </c:numCache>
            </c:numRef>
          </c:val>
          <c:smooth val="0"/>
          <c:extLst>
            <c:ext xmlns:c16="http://schemas.microsoft.com/office/drawing/2014/chart" uri="{C3380CC4-5D6E-409C-BE32-E72D297353CC}">
              <c16:uniqueId val="{00000005-7622-4EF0-A1C7-C5CAF3C0DF41}"/>
            </c:ext>
          </c:extLst>
        </c:ser>
        <c:dLbls>
          <c:showLegendKey val="0"/>
          <c:showVal val="0"/>
          <c:showCatName val="0"/>
          <c:showSerName val="0"/>
          <c:showPercent val="0"/>
          <c:showBubbleSize val="0"/>
        </c:dLbls>
        <c:marker val="1"/>
        <c:smooth val="0"/>
        <c:axId val="269005952"/>
        <c:axId val="269007488"/>
      </c:lineChart>
      <c:catAx>
        <c:axId val="269005952"/>
        <c:scaling>
          <c:orientation val="minMax"/>
        </c:scaling>
        <c:delete val="0"/>
        <c:axPos val="b"/>
        <c:majorTickMark val="out"/>
        <c:minorTickMark val="none"/>
        <c:tickLblPos val="low"/>
        <c:spPr>
          <a:ln>
            <a:solidFill>
              <a:schemeClr val="tx1"/>
            </a:solidFill>
          </a:ln>
        </c:spPr>
        <c:txPr>
          <a:bodyPr rot="0" vert="horz"/>
          <a:lstStyle/>
          <a:p>
            <a:pPr>
              <a:defRPr/>
            </a:pPr>
            <a:endParaRPr lang="cs-CZ"/>
          </a:p>
        </c:txPr>
        <c:crossAx val="269007488"/>
        <c:crosses val="autoZero"/>
        <c:auto val="1"/>
        <c:lblAlgn val="ctr"/>
        <c:lblOffset val="100"/>
        <c:noMultiLvlLbl val="0"/>
      </c:catAx>
      <c:valAx>
        <c:axId val="269007488"/>
        <c:scaling>
          <c:orientation val="minMax"/>
        </c:scaling>
        <c:delete val="0"/>
        <c:axPos val="l"/>
        <c:majorGridlines>
          <c:spPr>
            <a:ln w="6350">
              <a:solidFill>
                <a:schemeClr val="bg1">
                  <a:lumMod val="75000"/>
                </a:schemeClr>
              </a:solidFill>
            </a:ln>
          </c:spPr>
        </c:majorGridlines>
        <c:numFmt formatCode="0" sourceLinked="0"/>
        <c:majorTickMark val="out"/>
        <c:minorTickMark val="none"/>
        <c:tickLblPos val="nextTo"/>
        <c:spPr>
          <a:ln>
            <a:solidFill>
              <a:schemeClr val="tx1"/>
            </a:solidFill>
          </a:ln>
        </c:spPr>
        <c:crossAx val="269005952"/>
        <c:crosses val="autoZero"/>
        <c:crossBetween val="between"/>
        <c:majorUnit val="2"/>
      </c:valAx>
      <c:spPr>
        <a:ln>
          <a:solidFill>
            <a:schemeClr val="tx1"/>
          </a:solidFill>
        </a:ln>
      </c:spPr>
    </c:plotArea>
    <c:legend>
      <c:legendPos val="b"/>
      <c:layout>
        <c:manualLayout>
          <c:xMode val="edge"/>
          <c:yMode val="edge"/>
          <c:x val="5.4144292468760548E-2"/>
          <c:y val="0.79016604750647301"/>
          <c:w val="0.92386482607227283"/>
          <c:h val="0.19462484520994944"/>
        </c:manualLayout>
      </c:layout>
      <c:overlay val="0"/>
      <c:spPr>
        <a:ln w="6350">
          <a:solidFill>
            <a:schemeClr val="tx1"/>
          </a:solidFill>
        </a:ln>
      </c:spPr>
    </c:legend>
    <c:plotVisOnly val="1"/>
    <c:dispBlanksAs val="gap"/>
    <c:showDLblsOverMax val="0"/>
  </c:chart>
  <c:spPr>
    <a:ln>
      <a:noFill/>
    </a:ln>
  </c:spPr>
  <c:txPr>
    <a:bodyPr/>
    <a:lstStyle/>
    <a:p>
      <a:pPr>
        <a:defRPr sz="800" baseline="0">
          <a:latin typeface="Arial" pitchFamily="34" charset="0"/>
        </a:defRPr>
      </a:pPr>
      <a:endParaRPr lang="cs-CZ"/>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6610992424025054E-2"/>
          <c:y val="1.5804777005479873E-2"/>
          <c:w val="0.84144249386957193"/>
          <c:h val="0.67988415028182514"/>
        </c:manualLayout>
      </c:layout>
      <c:barChart>
        <c:barDir val="col"/>
        <c:grouping val="stacked"/>
        <c:varyColors val="0"/>
        <c:ser>
          <c:idx val="0"/>
          <c:order val="0"/>
          <c:tx>
            <c:strRef>
              <c:f>'GRAF příspěvky IPP'!$A$27</c:f>
              <c:strCache>
                <c:ptCount val="1"/>
                <c:pt idx="0">
                  <c:v>Výroba dopravních prostředků (29, 30)</c:v>
                </c:pt>
              </c:strCache>
            </c:strRef>
          </c:tx>
          <c:spPr>
            <a:solidFill>
              <a:srgbClr val="D8A7B7"/>
            </a:solidFill>
          </c:spPr>
          <c:invertIfNegative val="0"/>
          <c:cat>
            <c:multiLvlStrRef>
              <c:f>'GRAF příspěvky IPP'!$Z$25:$BI$26</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IPP'!$Z$27:$BI$27</c:f>
              <c:numCache>
                <c:formatCode>0.0</c:formatCode>
                <c:ptCount val="36"/>
                <c:pt idx="0">
                  <c:v>1.7408920839398754</c:v>
                </c:pt>
                <c:pt idx="1">
                  <c:v>2.1378802528812932</c:v>
                </c:pt>
                <c:pt idx="2">
                  <c:v>1.5935135243788106</c:v>
                </c:pt>
                <c:pt idx="3">
                  <c:v>1.6791873092801739</c:v>
                </c:pt>
                <c:pt idx="4">
                  <c:v>0.75268647024158142</c:v>
                </c:pt>
                <c:pt idx="5">
                  <c:v>0.54211789515047693</c:v>
                </c:pt>
                <c:pt idx="6">
                  <c:v>0.24127576647979335</c:v>
                </c:pt>
                <c:pt idx="7">
                  <c:v>0.97863378627142206</c:v>
                </c:pt>
                <c:pt idx="8">
                  <c:v>-0.2260516552234422</c:v>
                </c:pt>
                <c:pt idx="9">
                  <c:v>0.44759183220264459</c:v>
                </c:pt>
                <c:pt idx="10">
                  <c:v>0.76878503294695455</c:v>
                </c:pt>
                <c:pt idx="11">
                  <c:v>-1.0091759236462883</c:v>
                </c:pt>
                <c:pt idx="12">
                  <c:v>-1.5334709251303915</c:v>
                </c:pt>
                <c:pt idx="13">
                  <c:v>-9.3844961095672232</c:v>
                </c:pt>
                <c:pt idx="14">
                  <c:v>-0.1831246423410012</c:v>
                </c:pt>
                <c:pt idx="15">
                  <c:v>2.0633116605855042</c:v>
                </c:pt>
                <c:pt idx="16">
                  <c:v>1.9009220582212656</c:v>
                </c:pt>
                <c:pt idx="17">
                  <c:v>10.962436300546839</c:v>
                </c:pt>
                <c:pt idx="18">
                  <c:v>-3.7816826515966451</c:v>
                </c:pt>
                <c:pt idx="19">
                  <c:v>-3.2415310878086325</c:v>
                </c:pt>
                <c:pt idx="20">
                  <c:v>-1.9006279034039761</c:v>
                </c:pt>
                <c:pt idx="21">
                  <c:v>9.8882021278874688E-2</c:v>
                </c:pt>
                <c:pt idx="22">
                  <c:v>5.6047148528941628</c:v>
                </c:pt>
                <c:pt idx="23">
                  <c:v>3.9970459414903723</c:v>
                </c:pt>
                <c:pt idx="24">
                  <c:v>5.2762979416848301</c:v>
                </c:pt>
                <c:pt idx="25">
                  <c:v>5.0691801030618473</c:v>
                </c:pt>
                <c:pt idx="26">
                  <c:v>1.3395150948118291</c:v>
                </c:pt>
                <c:pt idx="27">
                  <c:v>3.1934880866006852</c:v>
                </c:pt>
                <c:pt idx="28">
                  <c:v>0.44683712045987689</c:v>
                </c:pt>
                <c:pt idx="29">
                  <c:v>-1.084777099067793</c:v>
                </c:pt>
                <c:pt idx="30">
                  <c:v>0.66912123314032446</c:v>
                </c:pt>
                <c:pt idx="31">
                  <c:v>-1.4432630187184605</c:v>
                </c:pt>
                <c:pt idx="32">
                  <c:v>-0.54240091765398424</c:v>
                </c:pt>
                <c:pt idx="33">
                  <c:v>0.51859084237716646</c:v>
                </c:pt>
                <c:pt idx="34">
                  <c:v>4.5665139379404571E-2</c:v>
                </c:pt>
                <c:pt idx="35">
                  <c:v>0.91267682458047084</c:v>
                </c:pt>
              </c:numCache>
            </c:numRef>
          </c:val>
          <c:extLst>
            <c:ext xmlns:c16="http://schemas.microsoft.com/office/drawing/2014/chart" uri="{C3380CC4-5D6E-409C-BE32-E72D297353CC}">
              <c16:uniqueId val="{00000000-C697-442E-B859-B1944EA88545}"/>
            </c:ext>
          </c:extLst>
        </c:ser>
        <c:ser>
          <c:idx val="1"/>
          <c:order val="1"/>
          <c:tx>
            <c:strRef>
              <c:f>'GRAF příspěvky IPP'!$A$28</c:f>
              <c:strCache>
                <c:ptCount val="1"/>
                <c:pt idx="0">
                  <c:v>Gumárenství, elektrotechnický pr. (22, 27)</c:v>
                </c:pt>
              </c:strCache>
            </c:strRef>
          </c:tx>
          <c:spPr>
            <a:solidFill>
              <a:srgbClr val="BC5B80"/>
            </a:solidFill>
          </c:spPr>
          <c:invertIfNegative val="0"/>
          <c:cat>
            <c:multiLvlStrRef>
              <c:f>'GRAF příspěvky IPP'!$Z$25:$BI$26</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IPP'!$Z$28:$BI$28</c:f>
              <c:numCache>
                <c:formatCode>0.0</c:formatCode>
                <c:ptCount val="36"/>
                <c:pt idx="0">
                  <c:v>0.79334952879496901</c:v>
                </c:pt>
                <c:pt idx="1">
                  <c:v>1.468356537050969</c:v>
                </c:pt>
                <c:pt idx="2">
                  <c:v>0.87390949425966125</c:v>
                </c:pt>
                <c:pt idx="3">
                  <c:v>1.644368824210785</c:v>
                </c:pt>
                <c:pt idx="4">
                  <c:v>1.0040337375607471</c:v>
                </c:pt>
                <c:pt idx="5">
                  <c:v>0.3253925650201499</c:v>
                </c:pt>
                <c:pt idx="6">
                  <c:v>0.43133954445298106</c:v>
                </c:pt>
                <c:pt idx="7">
                  <c:v>-5.9899261699036116E-2</c:v>
                </c:pt>
                <c:pt idx="8">
                  <c:v>0.52608733581744893</c:v>
                </c:pt>
                <c:pt idx="9">
                  <c:v>0.44070570288166666</c:v>
                </c:pt>
                <c:pt idx="10">
                  <c:v>0.16703875787161085</c:v>
                </c:pt>
                <c:pt idx="11">
                  <c:v>0.41508771908448316</c:v>
                </c:pt>
                <c:pt idx="12">
                  <c:v>-0.55255281731107375</c:v>
                </c:pt>
                <c:pt idx="13">
                  <c:v>-4.0630399723550301</c:v>
                </c:pt>
                <c:pt idx="14">
                  <c:v>-0.43874587338548932</c:v>
                </c:pt>
                <c:pt idx="15">
                  <c:v>0.53060699318837878</c:v>
                </c:pt>
                <c:pt idx="16">
                  <c:v>0.71105377730316599</c:v>
                </c:pt>
                <c:pt idx="17">
                  <c:v>5.4813528736391373</c:v>
                </c:pt>
                <c:pt idx="18">
                  <c:v>0.6216905337035239</c:v>
                </c:pt>
                <c:pt idx="19">
                  <c:v>-0.4237146866197381</c:v>
                </c:pt>
                <c:pt idx="20">
                  <c:v>8.5432905047654106E-2</c:v>
                </c:pt>
                <c:pt idx="21">
                  <c:v>0.14017080136165114</c:v>
                </c:pt>
                <c:pt idx="22">
                  <c:v>0.54140847185477736</c:v>
                </c:pt>
                <c:pt idx="23">
                  <c:v>0.61586793753317559</c:v>
                </c:pt>
                <c:pt idx="24">
                  <c:v>0.24643729008607473</c:v>
                </c:pt>
                <c:pt idx="25">
                  <c:v>0.13297387060287902</c:v>
                </c:pt>
                <c:pt idx="26">
                  <c:v>-0.41954906744716108</c:v>
                </c:pt>
                <c:pt idx="27">
                  <c:v>1.8029268216841199E-2</c:v>
                </c:pt>
                <c:pt idx="28">
                  <c:v>3.5719762074797032E-2</c:v>
                </c:pt>
                <c:pt idx="29">
                  <c:v>-0.18845737493805909</c:v>
                </c:pt>
                <c:pt idx="30">
                  <c:v>0.14813881914088348</c:v>
                </c:pt>
                <c:pt idx="31">
                  <c:v>-0.54230725025084103</c:v>
                </c:pt>
                <c:pt idx="32">
                  <c:v>1.9841564989931101E-2</c:v>
                </c:pt>
                <c:pt idx="33">
                  <c:v>0.45360802630904795</c:v>
                </c:pt>
                <c:pt idx="34">
                  <c:v>0.31951292417359611</c:v>
                </c:pt>
                <c:pt idx="35">
                  <c:v>0.66980993527071697</c:v>
                </c:pt>
              </c:numCache>
            </c:numRef>
          </c:val>
          <c:extLst>
            <c:ext xmlns:c16="http://schemas.microsoft.com/office/drawing/2014/chart" uri="{C3380CC4-5D6E-409C-BE32-E72D297353CC}">
              <c16:uniqueId val="{00000001-C697-442E-B859-B1944EA88545}"/>
            </c:ext>
          </c:extLst>
        </c:ser>
        <c:ser>
          <c:idx val="2"/>
          <c:order val="2"/>
          <c:tx>
            <c:strRef>
              <c:f>'GRAF příspěvky IPP'!$A$29</c:f>
              <c:strCache>
                <c:ptCount val="1"/>
                <c:pt idx="0">
                  <c:v>Strojírenství (28)</c:v>
                </c:pt>
              </c:strCache>
            </c:strRef>
          </c:tx>
          <c:spPr>
            <a:solidFill>
              <a:srgbClr val="9FC9D7"/>
            </a:solidFill>
          </c:spPr>
          <c:invertIfNegative val="0"/>
          <c:cat>
            <c:multiLvlStrRef>
              <c:f>'GRAF příspěvky IPP'!$Z$25:$BI$26</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IPP'!$Z$29:$BI$29</c:f>
              <c:numCache>
                <c:formatCode>0.0</c:formatCode>
                <c:ptCount val="36"/>
                <c:pt idx="0">
                  <c:v>0.3345178851347928</c:v>
                </c:pt>
                <c:pt idx="1">
                  <c:v>1.1003694908923236</c:v>
                </c:pt>
                <c:pt idx="2">
                  <c:v>0.85805445400541835</c:v>
                </c:pt>
                <c:pt idx="3">
                  <c:v>0.80055944660911171</c:v>
                </c:pt>
                <c:pt idx="4">
                  <c:v>0.48868169907415326</c:v>
                </c:pt>
                <c:pt idx="5">
                  <c:v>0.13868742792561028</c:v>
                </c:pt>
                <c:pt idx="6">
                  <c:v>0.18638853797251198</c:v>
                </c:pt>
                <c:pt idx="7">
                  <c:v>-0.20071677551985512</c:v>
                </c:pt>
                <c:pt idx="8">
                  <c:v>0.20262845642032346</c:v>
                </c:pt>
                <c:pt idx="9">
                  <c:v>-9.1482438382696971E-3</c:v>
                </c:pt>
                <c:pt idx="10">
                  <c:v>-0.3267936607108648</c:v>
                </c:pt>
                <c:pt idx="11">
                  <c:v>-0.14957125605699437</c:v>
                </c:pt>
                <c:pt idx="12">
                  <c:v>-0.7072452096320988</c:v>
                </c:pt>
                <c:pt idx="13">
                  <c:v>-2.1308377913469609</c:v>
                </c:pt>
                <c:pt idx="14">
                  <c:v>-0.8017096029334061</c:v>
                </c:pt>
                <c:pt idx="15">
                  <c:v>-0.54797142039304825</c:v>
                </c:pt>
                <c:pt idx="16">
                  <c:v>6.9523816193354571E-2</c:v>
                </c:pt>
                <c:pt idx="17">
                  <c:v>2.0537889224076182</c:v>
                </c:pt>
                <c:pt idx="18">
                  <c:v>0.54998998649274944</c:v>
                </c:pt>
                <c:pt idx="19">
                  <c:v>0.27824368190942744</c:v>
                </c:pt>
                <c:pt idx="20">
                  <c:v>0.35474059805720581</c:v>
                </c:pt>
                <c:pt idx="21">
                  <c:v>9.159353246407527E-2</c:v>
                </c:pt>
                <c:pt idx="22">
                  <c:v>0.48985672658594026</c:v>
                </c:pt>
                <c:pt idx="23">
                  <c:v>0.65848483899880683</c:v>
                </c:pt>
                <c:pt idx="24">
                  <c:v>0.47009044095931496</c:v>
                </c:pt>
                <c:pt idx="25">
                  <c:v>0.4006172401103964</c:v>
                </c:pt>
                <c:pt idx="26">
                  <c:v>-0.57578518680795432</c:v>
                </c:pt>
                <c:pt idx="27">
                  <c:v>-0.75578874449495581</c:v>
                </c:pt>
                <c:pt idx="28">
                  <c:v>-0.9625142240233997</c:v>
                </c:pt>
                <c:pt idx="29">
                  <c:v>-0.80168828655754398</c:v>
                </c:pt>
                <c:pt idx="30">
                  <c:v>-0.39977018694536648</c:v>
                </c:pt>
                <c:pt idx="31">
                  <c:v>-0.52594869917284226</c:v>
                </c:pt>
                <c:pt idx="32">
                  <c:v>9.3043953965084594E-2</c:v>
                </c:pt>
                <c:pt idx="33">
                  <c:v>-0.14554659159843011</c:v>
                </c:pt>
                <c:pt idx="34">
                  <c:v>0.12349543492602813</c:v>
                </c:pt>
                <c:pt idx="35">
                  <c:v>0.49619228577641566</c:v>
                </c:pt>
              </c:numCache>
            </c:numRef>
          </c:val>
          <c:extLst>
            <c:ext xmlns:c16="http://schemas.microsoft.com/office/drawing/2014/chart" uri="{C3380CC4-5D6E-409C-BE32-E72D297353CC}">
              <c16:uniqueId val="{00000002-C697-442E-B859-B1944EA88545}"/>
            </c:ext>
          </c:extLst>
        </c:ser>
        <c:ser>
          <c:idx val="3"/>
          <c:order val="3"/>
          <c:tx>
            <c:strRef>
              <c:f>'GRAF příspěvky IPP'!$A$30</c:f>
              <c:strCache>
                <c:ptCount val="1"/>
                <c:pt idx="0">
                  <c:v>Kovodělný průmysl (25)</c:v>
                </c:pt>
              </c:strCache>
            </c:strRef>
          </c:tx>
          <c:spPr>
            <a:solidFill>
              <a:srgbClr val="009CB5"/>
            </a:solidFill>
          </c:spPr>
          <c:invertIfNegative val="0"/>
          <c:cat>
            <c:multiLvlStrRef>
              <c:f>'GRAF příspěvky IPP'!$Z$25:$BI$26</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IPP'!$Z$30:$BI$30</c:f>
              <c:numCache>
                <c:formatCode>0.0</c:formatCode>
                <c:ptCount val="36"/>
                <c:pt idx="0">
                  <c:v>0.38676361423749528</c:v>
                </c:pt>
                <c:pt idx="1">
                  <c:v>0.95166355765299349</c:v>
                </c:pt>
                <c:pt idx="2">
                  <c:v>0.86091550298549102</c:v>
                </c:pt>
                <c:pt idx="3">
                  <c:v>0.96020285266505589</c:v>
                </c:pt>
                <c:pt idx="4">
                  <c:v>0.67147421279246411</c:v>
                </c:pt>
                <c:pt idx="5">
                  <c:v>0.46338675111775501</c:v>
                </c:pt>
                <c:pt idx="6">
                  <c:v>0.40465307945227347</c:v>
                </c:pt>
                <c:pt idx="7">
                  <c:v>0.13991647838864771</c:v>
                </c:pt>
                <c:pt idx="8">
                  <c:v>0.23284119938910905</c:v>
                </c:pt>
                <c:pt idx="9">
                  <c:v>-2.3018109664658163E-3</c:v>
                </c:pt>
                <c:pt idx="10">
                  <c:v>-0.27902616348258918</c:v>
                </c:pt>
                <c:pt idx="11">
                  <c:v>-0.28921256974210446</c:v>
                </c:pt>
                <c:pt idx="12">
                  <c:v>-0.59705730498174525</c:v>
                </c:pt>
                <c:pt idx="13">
                  <c:v>-2.0768472147616719</c:v>
                </c:pt>
                <c:pt idx="14">
                  <c:v>-0.62165835195312102</c:v>
                </c:pt>
                <c:pt idx="15">
                  <c:v>4.661253810289321E-2</c:v>
                </c:pt>
                <c:pt idx="16">
                  <c:v>0.43211394669446129</c:v>
                </c:pt>
                <c:pt idx="17">
                  <c:v>2.9905594307699275</c:v>
                </c:pt>
                <c:pt idx="18">
                  <c:v>0.80057174840018464</c:v>
                </c:pt>
                <c:pt idx="19">
                  <c:v>1.7842744066281405E-2</c:v>
                </c:pt>
                <c:pt idx="20">
                  <c:v>0.2270419422273395</c:v>
                </c:pt>
                <c:pt idx="21">
                  <c:v>-0.40390149701119177</c:v>
                </c:pt>
                <c:pt idx="22">
                  <c:v>-0.31522655000635558</c:v>
                </c:pt>
                <c:pt idx="23">
                  <c:v>-0.2158460789696578</c:v>
                </c:pt>
                <c:pt idx="24">
                  <c:v>-0.35304158862001117</c:v>
                </c:pt>
                <c:pt idx="25">
                  <c:v>-9.898514727148211E-2</c:v>
                </c:pt>
                <c:pt idx="26">
                  <c:v>-0.21045961248750156</c:v>
                </c:pt>
                <c:pt idx="27">
                  <c:v>-0.27573885577866986</c:v>
                </c:pt>
                <c:pt idx="28">
                  <c:v>-0.20005962705948793</c:v>
                </c:pt>
                <c:pt idx="29">
                  <c:v>-3.6999886884328842E-2</c:v>
                </c:pt>
                <c:pt idx="30">
                  <c:v>0.34489368177621904</c:v>
                </c:pt>
                <c:pt idx="31">
                  <c:v>0.21350994299050982</c:v>
                </c:pt>
                <c:pt idx="32">
                  <c:v>0.24827787635955434</c:v>
                </c:pt>
                <c:pt idx="33">
                  <c:v>0.55926957397260735</c:v>
                </c:pt>
                <c:pt idx="34">
                  <c:v>0.65322130754166841</c:v>
                </c:pt>
                <c:pt idx="35">
                  <c:v>1.3015974142663862</c:v>
                </c:pt>
              </c:numCache>
            </c:numRef>
          </c:val>
          <c:extLst>
            <c:ext xmlns:c16="http://schemas.microsoft.com/office/drawing/2014/chart" uri="{C3380CC4-5D6E-409C-BE32-E72D297353CC}">
              <c16:uniqueId val="{00000003-C697-442E-B859-B1944EA88545}"/>
            </c:ext>
          </c:extLst>
        </c:ser>
        <c:ser>
          <c:idx val="4"/>
          <c:order val="4"/>
          <c:tx>
            <c:strRef>
              <c:f>'GRAF příspěvky IPP'!$A$31</c:f>
              <c:strCache>
                <c:ptCount val="1"/>
                <c:pt idx="0">
                  <c:v>Výroba PC, elektronic. a optic. přístr. (26)</c:v>
                </c:pt>
              </c:strCache>
            </c:strRef>
          </c:tx>
          <c:spPr>
            <a:solidFill>
              <a:srgbClr val="E6C483"/>
            </a:solidFill>
          </c:spPr>
          <c:invertIfNegative val="0"/>
          <c:cat>
            <c:multiLvlStrRef>
              <c:f>'GRAF příspěvky IPP'!$Z$25:$BI$26</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IPP'!$Z$31:$BI$31</c:f>
              <c:numCache>
                <c:formatCode>0.0</c:formatCode>
                <c:ptCount val="36"/>
                <c:pt idx="0">
                  <c:v>0.1517960019133566</c:v>
                </c:pt>
                <c:pt idx="1">
                  <c:v>0.35040742405813147</c:v>
                </c:pt>
                <c:pt idx="2">
                  <c:v>0.22701547985990286</c:v>
                </c:pt>
                <c:pt idx="3">
                  <c:v>0.23483306705633769</c:v>
                </c:pt>
                <c:pt idx="4">
                  <c:v>0.38575845909308681</c:v>
                </c:pt>
                <c:pt idx="5">
                  <c:v>0.1585479563430445</c:v>
                </c:pt>
                <c:pt idx="6">
                  <c:v>0.63604123808561219</c:v>
                </c:pt>
                <c:pt idx="7">
                  <c:v>0.3169722012936107</c:v>
                </c:pt>
                <c:pt idx="8">
                  <c:v>-0.10335857004416719</c:v>
                </c:pt>
                <c:pt idx="9">
                  <c:v>-3.5698176267711781E-2</c:v>
                </c:pt>
                <c:pt idx="10">
                  <c:v>-0.60934912550064046</c:v>
                </c:pt>
                <c:pt idx="11">
                  <c:v>-0.3641176829939205</c:v>
                </c:pt>
                <c:pt idx="12">
                  <c:v>-0.1013700779981392</c:v>
                </c:pt>
                <c:pt idx="13">
                  <c:v>-0.31920945262277456</c:v>
                </c:pt>
                <c:pt idx="14">
                  <c:v>3.1049160053994794E-2</c:v>
                </c:pt>
                <c:pt idx="15">
                  <c:v>2.2349038466741165E-2</c:v>
                </c:pt>
                <c:pt idx="16">
                  <c:v>0.12975355540314282</c:v>
                </c:pt>
                <c:pt idx="17">
                  <c:v>0.21201733992680374</c:v>
                </c:pt>
                <c:pt idx="18">
                  <c:v>0.1941841019992544</c:v>
                </c:pt>
                <c:pt idx="19">
                  <c:v>-0.23843126852101912</c:v>
                </c:pt>
                <c:pt idx="20">
                  <c:v>2.2375778653478211E-2</c:v>
                </c:pt>
                <c:pt idx="21">
                  <c:v>-1.8664914809135777E-2</c:v>
                </c:pt>
                <c:pt idx="22">
                  <c:v>5.983720902341521E-2</c:v>
                </c:pt>
                <c:pt idx="23">
                  <c:v>0.43552217534069498</c:v>
                </c:pt>
                <c:pt idx="24">
                  <c:v>0.14470334752654473</c:v>
                </c:pt>
                <c:pt idx="25">
                  <c:v>8.8197188447825356E-2</c:v>
                </c:pt>
                <c:pt idx="26">
                  <c:v>-6.9028846604599223E-2</c:v>
                </c:pt>
                <c:pt idx="27">
                  <c:v>-6.5570020882029928E-2</c:v>
                </c:pt>
                <c:pt idx="28">
                  <c:v>-7.7915888293924231E-3</c:v>
                </c:pt>
                <c:pt idx="29">
                  <c:v>0.21997586638815811</c:v>
                </c:pt>
                <c:pt idx="30">
                  <c:v>0.28884635576240486</c:v>
                </c:pt>
                <c:pt idx="31">
                  <c:v>9.551918740327324E-2</c:v>
                </c:pt>
                <c:pt idx="32">
                  <c:v>5.9992683361345016E-3</c:v>
                </c:pt>
                <c:pt idx="33">
                  <c:v>-0.1123065842307529</c:v>
                </c:pt>
                <c:pt idx="34">
                  <c:v>-0.20924737566523802</c:v>
                </c:pt>
                <c:pt idx="35">
                  <c:v>3.4515177598828037E-2</c:v>
                </c:pt>
              </c:numCache>
            </c:numRef>
          </c:val>
          <c:extLst>
            <c:ext xmlns:c16="http://schemas.microsoft.com/office/drawing/2014/chart" uri="{C3380CC4-5D6E-409C-BE32-E72D297353CC}">
              <c16:uniqueId val="{00000004-C697-442E-B859-B1944EA88545}"/>
            </c:ext>
          </c:extLst>
        </c:ser>
        <c:ser>
          <c:idx val="5"/>
          <c:order val="5"/>
          <c:tx>
            <c:strRef>
              <c:f>'GRAF příspěvky IPP'!$A$32</c:f>
              <c:strCache>
                <c:ptCount val="1"/>
                <c:pt idx="0">
                  <c:v>Chemický a farmaceutický pr. (20, 21)</c:v>
                </c:pt>
              </c:strCache>
            </c:strRef>
          </c:tx>
          <c:spPr>
            <a:solidFill>
              <a:srgbClr val="CC9610"/>
            </a:solidFill>
            <a:ln>
              <a:noFill/>
            </a:ln>
          </c:spPr>
          <c:invertIfNegative val="0"/>
          <c:cat>
            <c:multiLvlStrRef>
              <c:f>'GRAF příspěvky IPP'!$Z$25:$BI$26</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IPP'!$Z$32:$BI$32</c:f>
              <c:numCache>
                <c:formatCode>0.0</c:formatCode>
                <c:ptCount val="36"/>
                <c:pt idx="0">
                  <c:v>0.51439307947726998</c:v>
                </c:pt>
                <c:pt idx="1">
                  <c:v>0.83289717197907565</c:v>
                </c:pt>
                <c:pt idx="2">
                  <c:v>0.65310318202327911</c:v>
                </c:pt>
                <c:pt idx="3">
                  <c:v>0.50440121167449548</c:v>
                </c:pt>
                <c:pt idx="4">
                  <c:v>0.40911320927322647</c:v>
                </c:pt>
                <c:pt idx="5">
                  <c:v>7.7633111380155301E-2</c:v>
                </c:pt>
                <c:pt idx="6">
                  <c:v>-5.3190732776962651E-2</c:v>
                </c:pt>
                <c:pt idx="7">
                  <c:v>-7.1103221110709838E-2</c:v>
                </c:pt>
                <c:pt idx="8">
                  <c:v>9.3101613350728932E-2</c:v>
                </c:pt>
                <c:pt idx="9">
                  <c:v>6.1474211824515262E-2</c:v>
                </c:pt>
                <c:pt idx="10">
                  <c:v>0.2229684142187896</c:v>
                </c:pt>
                <c:pt idx="11">
                  <c:v>3.2130190492489386E-2</c:v>
                </c:pt>
                <c:pt idx="12">
                  <c:v>-3.6216479616950112E-2</c:v>
                </c:pt>
                <c:pt idx="13">
                  <c:v>-0.57135666895590331</c:v>
                </c:pt>
                <c:pt idx="14">
                  <c:v>-0.22076865898667289</c:v>
                </c:pt>
                <c:pt idx="15">
                  <c:v>0.42176753383241716</c:v>
                </c:pt>
                <c:pt idx="16">
                  <c:v>0.28426277083090246</c:v>
                </c:pt>
                <c:pt idx="17">
                  <c:v>0.82325325428168006</c:v>
                </c:pt>
                <c:pt idx="18">
                  <c:v>0.31991054650479339</c:v>
                </c:pt>
                <c:pt idx="19">
                  <c:v>8.7688985546260853E-2</c:v>
                </c:pt>
                <c:pt idx="20">
                  <c:v>0.24863963230574521</c:v>
                </c:pt>
                <c:pt idx="21">
                  <c:v>0.15905411527097743</c:v>
                </c:pt>
                <c:pt idx="22">
                  <c:v>-9.9192658046001692E-2</c:v>
                </c:pt>
                <c:pt idx="23">
                  <c:v>-0.29076993899169623</c:v>
                </c:pt>
                <c:pt idx="24">
                  <c:v>-0.60054284095284183</c:v>
                </c:pt>
                <c:pt idx="25">
                  <c:v>-0.17710340225216925</c:v>
                </c:pt>
                <c:pt idx="26">
                  <c:v>-7.3516958752537429E-2</c:v>
                </c:pt>
                <c:pt idx="27">
                  <c:v>-0.12575787999845109</c:v>
                </c:pt>
                <c:pt idx="28">
                  <c:v>0.26823896721095042</c:v>
                </c:pt>
                <c:pt idx="29">
                  <c:v>0.14459515409260676</c:v>
                </c:pt>
                <c:pt idx="30">
                  <c:v>-7.3019869232471224E-2</c:v>
                </c:pt>
                <c:pt idx="31">
                  <c:v>-7.0266611213317939E-2</c:v>
                </c:pt>
                <c:pt idx="32">
                  <c:v>-0.11473054611690403</c:v>
                </c:pt>
                <c:pt idx="33">
                  <c:v>-0.15124708140176971</c:v>
                </c:pt>
                <c:pt idx="34">
                  <c:v>0.1819138694259059</c:v>
                </c:pt>
                <c:pt idx="35">
                  <c:v>0.2045931133528113</c:v>
                </c:pt>
              </c:numCache>
            </c:numRef>
          </c:val>
          <c:extLst>
            <c:ext xmlns:c16="http://schemas.microsoft.com/office/drawing/2014/chart" uri="{C3380CC4-5D6E-409C-BE32-E72D297353CC}">
              <c16:uniqueId val="{00000005-C697-442E-B859-B1944EA88545}"/>
            </c:ext>
          </c:extLst>
        </c:ser>
        <c:ser>
          <c:idx val="6"/>
          <c:order val="6"/>
          <c:tx>
            <c:strRef>
              <c:f>'GRAF příspěvky IPP'!$A$33</c:f>
              <c:strCache>
                <c:ptCount val="1"/>
                <c:pt idx="0">
                  <c:v>Zbývající zpracovatelský průmysl*</c:v>
                </c:pt>
              </c:strCache>
            </c:strRef>
          </c:tx>
          <c:spPr>
            <a:solidFill>
              <a:srgbClr val="C3DDAC"/>
            </a:solidFill>
          </c:spPr>
          <c:invertIfNegative val="0"/>
          <c:cat>
            <c:multiLvlStrRef>
              <c:f>'GRAF příspěvky IPP'!$Z$25:$BI$26</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IPP'!$Z$33:$BI$33</c:f>
              <c:numCache>
                <c:formatCode>0.0</c:formatCode>
                <c:ptCount val="36"/>
                <c:pt idx="0">
                  <c:v>-0.13802711444318691</c:v>
                </c:pt>
                <c:pt idx="1">
                  <c:v>1.4520150527939983</c:v>
                </c:pt>
                <c:pt idx="2">
                  <c:v>0.65687676657011995</c:v>
                </c:pt>
                <c:pt idx="3">
                  <c:v>0.76186639439852744</c:v>
                </c:pt>
                <c:pt idx="4">
                  <c:v>1.1768838940724016</c:v>
                </c:pt>
                <c:pt idx="5">
                  <c:v>0.73260991135089881</c:v>
                </c:pt>
                <c:pt idx="6">
                  <c:v>1.1309843102453647</c:v>
                </c:pt>
                <c:pt idx="7">
                  <c:v>0.15993804771029091</c:v>
                </c:pt>
                <c:pt idx="8">
                  <c:v>-0.32185268974320136</c:v>
                </c:pt>
                <c:pt idx="9">
                  <c:v>-0.30512916964802844</c:v>
                </c:pt>
                <c:pt idx="10">
                  <c:v>-0.97407463154620033</c:v>
                </c:pt>
                <c:pt idx="11">
                  <c:v>-3.9701171551173531E-2</c:v>
                </c:pt>
                <c:pt idx="12">
                  <c:v>0.31377104389497573</c:v>
                </c:pt>
                <c:pt idx="13">
                  <c:v>-1.6010940767108721</c:v>
                </c:pt>
                <c:pt idx="14">
                  <c:v>-5.0886354263985356E-3</c:v>
                </c:pt>
                <c:pt idx="15">
                  <c:v>-0.12175513984550231</c:v>
                </c:pt>
                <c:pt idx="16">
                  <c:v>-2.1128761312970146E-3</c:v>
                </c:pt>
                <c:pt idx="17">
                  <c:v>3.2182826185149889</c:v>
                </c:pt>
                <c:pt idx="18">
                  <c:v>1.5227369240206821</c:v>
                </c:pt>
                <c:pt idx="19">
                  <c:v>1.1735580757843487</c:v>
                </c:pt>
                <c:pt idx="20">
                  <c:v>1.6949563990634429</c:v>
                </c:pt>
                <c:pt idx="21">
                  <c:v>0.27470000381588033</c:v>
                </c:pt>
                <c:pt idx="22">
                  <c:v>-1.6667213846762752</c:v>
                </c:pt>
                <c:pt idx="23">
                  <c:v>-1.5269932606404839</c:v>
                </c:pt>
                <c:pt idx="24">
                  <c:v>-3.3261450575018028</c:v>
                </c:pt>
                <c:pt idx="25">
                  <c:v>-3.5878313003538334</c:v>
                </c:pt>
                <c:pt idx="26">
                  <c:v>-1.8071756863987505</c:v>
                </c:pt>
                <c:pt idx="27">
                  <c:v>-1.6144210415769553</c:v>
                </c:pt>
                <c:pt idx="28">
                  <c:v>0.13077401211331544</c:v>
                </c:pt>
                <c:pt idx="29">
                  <c:v>0.27796430392454941</c:v>
                </c:pt>
                <c:pt idx="30">
                  <c:v>-0.19589531851693803</c:v>
                </c:pt>
                <c:pt idx="31">
                  <c:v>0.25803068209411495</c:v>
                </c:pt>
                <c:pt idx="32">
                  <c:v>0.39218706834499417</c:v>
                </c:pt>
                <c:pt idx="33">
                  <c:v>0.68187785973882531</c:v>
                </c:pt>
                <c:pt idx="34">
                  <c:v>0.24157709889443785</c:v>
                </c:pt>
                <c:pt idx="35">
                  <c:v>0.6635577314478216</c:v>
                </c:pt>
              </c:numCache>
            </c:numRef>
          </c:val>
          <c:extLst>
            <c:ext xmlns:c16="http://schemas.microsoft.com/office/drawing/2014/chart" uri="{C3380CC4-5D6E-409C-BE32-E72D297353CC}">
              <c16:uniqueId val="{00000006-C697-442E-B859-B1944EA88545}"/>
            </c:ext>
          </c:extLst>
        </c:ser>
        <c:ser>
          <c:idx val="7"/>
          <c:order val="7"/>
          <c:tx>
            <c:strRef>
              <c:f>'GRAF příspěvky IPP'!$A$34</c:f>
              <c:strCache>
                <c:ptCount val="1"/>
                <c:pt idx="0">
                  <c:v>Těžba a energetika (B, D)</c:v>
                </c:pt>
              </c:strCache>
            </c:strRef>
          </c:tx>
          <c:spPr>
            <a:solidFill>
              <a:srgbClr val="86BF5E"/>
            </a:solidFill>
          </c:spPr>
          <c:invertIfNegative val="0"/>
          <c:cat>
            <c:multiLvlStrRef>
              <c:f>'GRAF příspěvky IPP'!$Z$25:$BI$26</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IPP'!$Z$34:$BI$34</c:f>
              <c:numCache>
                <c:formatCode>0.0</c:formatCode>
                <c:ptCount val="36"/>
                <c:pt idx="0">
                  <c:v>0.68579685044543348</c:v>
                </c:pt>
                <c:pt idx="1">
                  <c:v>-0.21786071250878586</c:v>
                </c:pt>
                <c:pt idx="2">
                  <c:v>0.74762012671732325</c:v>
                </c:pt>
                <c:pt idx="3">
                  <c:v>0.67922569430551583</c:v>
                </c:pt>
                <c:pt idx="4">
                  <c:v>-0.54241645010765449</c:v>
                </c:pt>
                <c:pt idx="5">
                  <c:v>-1.8631527880888649E-3</c:v>
                </c:pt>
                <c:pt idx="6">
                  <c:v>0.78670127678843149</c:v>
                </c:pt>
                <c:pt idx="7">
                  <c:v>0.32960713526562863</c:v>
                </c:pt>
                <c:pt idx="8">
                  <c:v>6.8904910133199077E-2</c:v>
                </c:pt>
                <c:pt idx="9">
                  <c:v>0.12170682001164354</c:v>
                </c:pt>
                <c:pt idx="10">
                  <c:v>-0.5109816723970585</c:v>
                </c:pt>
                <c:pt idx="11">
                  <c:v>-0.36784640528649537</c:v>
                </c:pt>
                <c:pt idx="12">
                  <c:v>-1.0379724863245821</c:v>
                </c:pt>
                <c:pt idx="13">
                  <c:v>-1.638329285379571</c:v>
                </c:pt>
                <c:pt idx="14">
                  <c:v>-0.82494325172790062</c:v>
                </c:pt>
                <c:pt idx="15">
                  <c:v>-0.74239007583737793</c:v>
                </c:pt>
                <c:pt idx="16">
                  <c:v>0.59189490518500398</c:v>
                </c:pt>
                <c:pt idx="17">
                  <c:v>0.52656327821300353</c:v>
                </c:pt>
                <c:pt idx="18">
                  <c:v>0.31374008907545176</c:v>
                </c:pt>
                <c:pt idx="19">
                  <c:v>0.81659894104306607</c:v>
                </c:pt>
                <c:pt idx="20">
                  <c:v>-0.20894060705088399</c:v>
                </c:pt>
                <c:pt idx="21">
                  <c:v>0.24268235052886977</c:v>
                </c:pt>
                <c:pt idx="22">
                  <c:v>0.41441971307033448</c:v>
                </c:pt>
                <c:pt idx="23">
                  <c:v>-1.2878566765612138</c:v>
                </c:pt>
                <c:pt idx="24">
                  <c:v>-1.3045936982821111</c:v>
                </c:pt>
                <c:pt idx="25">
                  <c:v>-1.5790684974454656</c:v>
                </c:pt>
                <c:pt idx="26">
                  <c:v>-1.6278225134133213</c:v>
                </c:pt>
                <c:pt idx="27">
                  <c:v>-1.1076317448864703</c:v>
                </c:pt>
                <c:pt idx="28">
                  <c:v>-0.77646516844666147</c:v>
                </c:pt>
                <c:pt idx="29">
                  <c:v>-8.0819445457593481E-2</c:v>
                </c:pt>
                <c:pt idx="30">
                  <c:v>4.8663335749503378E-3</c:v>
                </c:pt>
                <c:pt idx="31">
                  <c:v>-0.18709046803243062</c:v>
                </c:pt>
                <c:pt idx="32">
                  <c:v>0.97128306287519417</c:v>
                </c:pt>
                <c:pt idx="33">
                  <c:v>0.41779064863331256</c:v>
                </c:pt>
                <c:pt idx="34">
                  <c:v>-0.21688938377580066</c:v>
                </c:pt>
                <c:pt idx="35">
                  <c:v>-6.8429938893444536E-2</c:v>
                </c:pt>
              </c:numCache>
            </c:numRef>
          </c:val>
          <c:extLst>
            <c:ext xmlns:c16="http://schemas.microsoft.com/office/drawing/2014/chart" uri="{C3380CC4-5D6E-409C-BE32-E72D297353CC}">
              <c16:uniqueId val="{00000007-C697-442E-B859-B1944EA88545}"/>
            </c:ext>
          </c:extLst>
        </c:ser>
        <c:dLbls>
          <c:showLegendKey val="0"/>
          <c:showVal val="0"/>
          <c:showCatName val="0"/>
          <c:showSerName val="0"/>
          <c:showPercent val="0"/>
          <c:showBubbleSize val="0"/>
        </c:dLbls>
        <c:gapWidth val="15"/>
        <c:overlap val="100"/>
        <c:axId val="112768128"/>
        <c:axId val="112769664"/>
      </c:barChart>
      <c:lineChart>
        <c:grouping val="standard"/>
        <c:varyColors val="0"/>
        <c:ser>
          <c:idx val="8"/>
          <c:order val="8"/>
          <c:tx>
            <c:strRef>
              <c:f>'GRAF příspěvky IPP'!$A$35</c:f>
              <c:strCache>
                <c:ptCount val="1"/>
                <c:pt idx="0">
                  <c:v>Průmysl celkem (NACE B až D)</c:v>
                </c:pt>
              </c:strCache>
            </c:strRef>
          </c:tx>
          <c:spPr>
            <a:ln w="19050">
              <a:noFill/>
            </a:ln>
          </c:spPr>
          <c:marker>
            <c:symbol val="circle"/>
            <c:size val="4"/>
            <c:spPr>
              <a:solidFill>
                <a:schemeClr val="bg1"/>
              </a:solidFill>
              <a:ln>
                <a:solidFill>
                  <a:schemeClr val="tx1">
                    <a:lumMod val="95000"/>
                    <a:lumOff val="5000"/>
                  </a:schemeClr>
                </a:solidFill>
              </a:ln>
            </c:spPr>
          </c:marker>
          <c:cat>
            <c:multiLvlStrRef>
              <c:f>'GRAF příspěvky IPP'!$Z$25:$BI$26</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IPP'!$Z$35:$BI$35</c:f>
              <c:numCache>
                <c:formatCode>0.0</c:formatCode>
                <c:ptCount val="36"/>
                <c:pt idx="0">
                  <c:v>4.4694819295000059</c:v>
                </c:pt>
                <c:pt idx="1">
                  <c:v>8.0757287747999982</c:v>
                </c:pt>
                <c:pt idx="2">
                  <c:v>6.471008530800006</c:v>
                </c:pt>
                <c:pt idx="3">
                  <c:v>7.2646448002000028</c:v>
                </c:pt>
                <c:pt idx="4">
                  <c:v>4.3462152320000058</c:v>
                </c:pt>
                <c:pt idx="5">
                  <c:v>2.4365124655000017</c:v>
                </c:pt>
                <c:pt idx="6">
                  <c:v>3.7641930207000058</c:v>
                </c:pt>
                <c:pt idx="7">
                  <c:v>1.5933483905999992</c:v>
                </c:pt>
                <c:pt idx="8">
                  <c:v>0.47230060009999875</c:v>
                </c:pt>
                <c:pt idx="9">
                  <c:v>0.71920116619999419</c:v>
                </c:pt>
                <c:pt idx="10">
                  <c:v>-1.5414330485999983</c:v>
                </c:pt>
                <c:pt idx="11">
                  <c:v>-1.7724070997000041</c:v>
                </c:pt>
                <c:pt idx="12">
                  <c:v>-4.2521142571000041</c:v>
                </c:pt>
                <c:pt idx="13">
                  <c:v>-21.785210571700006</c:v>
                </c:pt>
                <c:pt idx="14">
                  <c:v>-3.0649898566999951</c:v>
                </c:pt>
                <c:pt idx="15">
                  <c:v>1.6725311281000046</c:v>
                </c:pt>
                <c:pt idx="16">
                  <c:v>4.1174119536999996</c:v>
                </c:pt>
                <c:pt idx="17">
                  <c:v>26.268254018299999</c:v>
                </c:pt>
                <c:pt idx="18">
                  <c:v>0.54114127859999428</c:v>
                </c:pt>
                <c:pt idx="19">
                  <c:v>-1.5297446146000055</c:v>
                </c:pt>
                <c:pt idx="20">
                  <c:v>0.52361874490000559</c:v>
                </c:pt>
                <c:pt idx="21">
                  <c:v>0.58451641290000111</c:v>
                </c:pt>
                <c:pt idx="22">
                  <c:v>5.0290963806999969</c:v>
                </c:pt>
                <c:pt idx="23">
                  <c:v>2.3854549381999988</c:v>
                </c:pt>
                <c:pt idx="24">
                  <c:v>0.55320583489999819</c:v>
                </c:pt>
                <c:pt idx="25">
                  <c:v>0.24798005489999753</c:v>
                </c:pt>
                <c:pt idx="26">
                  <c:v>-3.4438227770999958</c:v>
                </c:pt>
                <c:pt idx="27">
                  <c:v>-0.73339093280000611</c:v>
                </c:pt>
                <c:pt idx="28">
                  <c:v>-1.0652607465000017</c:v>
                </c:pt>
                <c:pt idx="29">
                  <c:v>-1.5502067685000043</c:v>
                </c:pt>
                <c:pt idx="30">
                  <c:v>0.78718104870000616</c:v>
                </c:pt>
                <c:pt idx="31">
                  <c:v>-2.2018162348999937</c:v>
                </c:pt>
                <c:pt idx="32">
                  <c:v>1.0735013311000046</c:v>
                </c:pt>
                <c:pt idx="33">
                  <c:v>2.2220366938000069</c:v>
                </c:pt>
                <c:pt idx="34">
                  <c:v>1.1392490149000025</c:v>
                </c:pt>
                <c:pt idx="35">
                  <c:v>4.214512543400005</c:v>
                </c:pt>
              </c:numCache>
            </c:numRef>
          </c:val>
          <c:smooth val="0"/>
          <c:extLst>
            <c:ext xmlns:c16="http://schemas.microsoft.com/office/drawing/2014/chart" uri="{C3380CC4-5D6E-409C-BE32-E72D297353CC}">
              <c16:uniqueId val="{00000008-C697-442E-B859-B1944EA88545}"/>
            </c:ext>
          </c:extLst>
        </c:ser>
        <c:dLbls>
          <c:showLegendKey val="0"/>
          <c:showVal val="0"/>
          <c:showCatName val="0"/>
          <c:showSerName val="0"/>
          <c:showPercent val="0"/>
          <c:showBubbleSize val="0"/>
        </c:dLbls>
        <c:marker val="1"/>
        <c:smooth val="0"/>
        <c:axId val="112768128"/>
        <c:axId val="112769664"/>
      </c:lineChart>
      <c:lineChart>
        <c:grouping val="standard"/>
        <c:varyColors val="0"/>
        <c:ser>
          <c:idx val="9"/>
          <c:order val="9"/>
          <c:tx>
            <c:strRef>
              <c:f>'GRAF příspěvky IPP'!$A$36</c:f>
              <c:strCache>
                <c:ptCount val="1"/>
              </c:strCache>
            </c:strRef>
          </c:tx>
          <c:spPr>
            <a:ln w="15875">
              <a:noFill/>
              <a:prstDash val="sysDot"/>
            </a:ln>
          </c:spPr>
          <c:marker>
            <c:symbol val="none"/>
          </c:marker>
          <c:cat>
            <c:multiLvlStrRef>
              <c:f>'GRAF příspěvky IPP'!$Z$25:$BI$26</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IPP'!$Z$36:$BI$36</c:f>
              <c:numCache>
                <c:formatCode>General</c:formatCode>
                <c:ptCount val="36"/>
              </c:numCache>
            </c:numRef>
          </c:val>
          <c:smooth val="0"/>
          <c:extLst>
            <c:ext xmlns:c16="http://schemas.microsoft.com/office/drawing/2014/chart" uri="{C3380CC4-5D6E-409C-BE32-E72D297353CC}">
              <c16:uniqueId val="{00000009-C697-442E-B859-B1944EA88545}"/>
            </c:ext>
          </c:extLst>
        </c:ser>
        <c:ser>
          <c:idx val="10"/>
          <c:order val="10"/>
          <c:tx>
            <c:strRef>
              <c:f>'GRAF příspěvky IPP'!$A$37</c:f>
              <c:strCache>
                <c:ptCount val="1"/>
                <c:pt idx="0">
                  <c:v>Produkce, prům. v ČR celkem (2021=100)</c:v>
                </c:pt>
              </c:strCache>
            </c:strRef>
          </c:tx>
          <c:spPr>
            <a:ln w="15875">
              <a:solidFill>
                <a:srgbClr val="174F70"/>
              </a:solidFill>
            </a:ln>
          </c:spPr>
          <c:marker>
            <c:symbol val="none"/>
          </c:marker>
          <c:cat>
            <c:multiLvlStrRef>
              <c:f>'GRAF příspěvky IPP'!$Z$25:$BI$26</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IPP'!$Z$37:$BI$37</c:f>
              <c:numCache>
                <c:formatCode>#\ ##0.#</c:formatCode>
                <c:ptCount val="36"/>
                <c:pt idx="0">
                  <c:v>95.6</c:v>
                </c:pt>
                <c:pt idx="1">
                  <c:v>98.6</c:v>
                </c:pt>
                <c:pt idx="2">
                  <c:v>98.2</c:v>
                </c:pt>
                <c:pt idx="3">
                  <c:v>100.1</c:v>
                </c:pt>
                <c:pt idx="4">
                  <c:v>100.1</c:v>
                </c:pt>
                <c:pt idx="5">
                  <c:v>101.1</c:v>
                </c:pt>
                <c:pt idx="6">
                  <c:v>102</c:v>
                </c:pt>
                <c:pt idx="7">
                  <c:v>101.3</c:v>
                </c:pt>
                <c:pt idx="8">
                  <c:v>100.6</c:v>
                </c:pt>
                <c:pt idx="9">
                  <c:v>102.2</c:v>
                </c:pt>
                <c:pt idx="10">
                  <c:v>100.1</c:v>
                </c:pt>
                <c:pt idx="11">
                  <c:v>99.4</c:v>
                </c:pt>
                <c:pt idx="12">
                  <c:v>96.7</c:v>
                </c:pt>
                <c:pt idx="13">
                  <c:v>80.2</c:v>
                </c:pt>
                <c:pt idx="14">
                  <c:v>97</c:v>
                </c:pt>
                <c:pt idx="15">
                  <c:v>101.1</c:v>
                </c:pt>
                <c:pt idx="16">
                  <c:v>99.6</c:v>
                </c:pt>
                <c:pt idx="17">
                  <c:v>100.6</c:v>
                </c:pt>
                <c:pt idx="18">
                  <c:v>98.6</c:v>
                </c:pt>
                <c:pt idx="19">
                  <c:v>99.2</c:v>
                </c:pt>
                <c:pt idx="20">
                  <c:v>100.7</c:v>
                </c:pt>
                <c:pt idx="21">
                  <c:v>101.3</c:v>
                </c:pt>
                <c:pt idx="22">
                  <c:v>102.9</c:v>
                </c:pt>
                <c:pt idx="23">
                  <c:v>101.8</c:v>
                </c:pt>
                <c:pt idx="24">
                  <c:v>101.3</c:v>
                </c:pt>
                <c:pt idx="25">
                  <c:v>101.4</c:v>
                </c:pt>
                <c:pt idx="26">
                  <c:v>99.3</c:v>
                </c:pt>
                <c:pt idx="27">
                  <c:v>101.4</c:v>
                </c:pt>
                <c:pt idx="28">
                  <c:v>100.2</c:v>
                </c:pt>
                <c:pt idx="29">
                  <c:v>99.9</c:v>
                </c:pt>
                <c:pt idx="30">
                  <c:v>100</c:v>
                </c:pt>
                <c:pt idx="31">
                  <c:v>99.1</c:v>
                </c:pt>
                <c:pt idx="32">
                  <c:v>101.2</c:v>
                </c:pt>
                <c:pt idx="33">
                  <c:v>101.9</c:v>
                </c:pt>
                <c:pt idx="34" formatCode="#\ ##0.##########">
                  <c:v>101.2</c:v>
                </c:pt>
                <c:pt idx="35" formatCode="#\ ##0.##########">
                  <c:v>103.4</c:v>
                </c:pt>
              </c:numCache>
            </c:numRef>
          </c:val>
          <c:smooth val="0"/>
          <c:extLst>
            <c:ext xmlns:c16="http://schemas.microsoft.com/office/drawing/2014/chart" uri="{C3380CC4-5D6E-409C-BE32-E72D297353CC}">
              <c16:uniqueId val="{0000000A-C697-442E-B859-B1944EA88545}"/>
            </c:ext>
          </c:extLst>
        </c:ser>
        <c:ser>
          <c:idx val="11"/>
          <c:order val="11"/>
          <c:tx>
            <c:strRef>
              <c:f>'GRAF příspěvky IPP'!$A$38</c:f>
              <c:strCache>
                <c:ptCount val="1"/>
                <c:pt idx="0">
                  <c:v>Produkce, prům. v EU27 celkem (2021=100)</c:v>
                </c:pt>
              </c:strCache>
            </c:strRef>
          </c:tx>
          <c:spPr>
            <a:ln w="15875">
              <a:solidFill>
                <a:srgbClr val="85938E"/>
              </a:solidFill>
              <a:prstDash val="sysDash"/>
            </a:ln>
          </c:spPr>
          <c:marker>
            <c:symbol val="none"/>
          </c:marker>
          <c:cat>
            <c:multiLvlStrRef>
              <c:f>'GRAF příspěvky IPP'!$Z$25:$BI$26</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IPP'!$Z$38:$BI$38</c:f>
              <c:numCache>
                <c:formatCode>#\ ##0.##########</c:formatCode>
                <c:ptCount val="36"/>
                <c:pt idx="0">
                  <c:v>96</c:v>
                </c:pt>
                <c:pt idx="1">
                  <c:v>97.2</c:v>
                </c:pt>
                <c:pt idx="2">
                  <c:v>98.6</c:v>
                </c:pt>
                <c:pt idx="3">
                  <c:v>100.4</c:v>
                </c:pt>
                <c:pt idx="4">
                  <c:v>99.1</c:v>
                </c:pt>
                <c:pt idx="5">
                  <c:v>99.6</c:v>
                </c:pt>
                <c:pt idx="6">
                  <c:v>99.3</c:v>
                </c:pt>
                <c:pt idx="7">
                  <c:v>99</c:v>
                </c:pt>
                <c:pt idx="8">
                  <c:v>99.3</c:v>
                </c:pt>
                <c:pt idx="9">
                  <c:v>99.2</c:v>
                </c:pt>
                <c:pt idx="10">
                  <c:v>98.6</c:v>
                </c:pt>
                <c:pt idx="11" formatCode="#\ ##0.0">
                  <c:v>97.9</c:v>
                </c:pt>
                <c:pt idx="12" formatCode="#\ ##0.0">
                  <c:v>94.9</c:v>
                </c:pt>
                <c:pt idx="13">
                  <c:v>80.3</c:v>
                </c:pt>
                <c:pt idx="14">
                  <c:v>93.4</c:v>
                </c:pt>
                <c:pt idx="15" formatCode="#\ ##0.0">
                  <c:v>98</c:v>
                </c:pt>
                <c:pt idx="16">
                  <c:v>99.4</c:v>
                </c:pt>
                <c:pt idx="17">
                  <c:v>100</c:v>
                </c:pt>
                <c:pt idx="18">
                  <c:v>99.8</c:v>
                </c:pt>
                <c:pt idx="19">
                  <c:v>100.8</c:v>
                </c:pt>
                <c:pt idx="20">
                  <c:v>101.8</c:v>
                </c:pt>
                <c:pt idx="21">
                  <c:v>102.4</c:v>
                </c:pt>
                <c:pt idx="22">
                  <c:v>103</c:v>
                </c:pt>
                <c:pt idx="23">
                  <c:v>102.8</c:v>
                </c:pt>
                <c:pt idx="24">
                  <c:v>102.8</c:v>
                </c:pt>
                <c:pt idx="25">
                  <c:v>102</c:v>
                </c:pt>
                <c:pt idx="26">
                  <c:v>99.7</c:v>
                </c:pt>
                <c:pt idx="27">
                  <c:v>99.8</c:v>
                </c:pt>
                <c:pt idx="28">
                  <c:v>98.8</c:v>
                </c:pt>
                <c:pt idx="29">
                  <c:v>98.7</c:v>
                </c:pt>
                <c:pt idx="30">
                  <c:v>98.5</c:v>
                </c:pt>
                <c:pt idx="31">
                  <c:v>98.5</c:v>
                </c:pt>
                <c:pt idx="32">
                  <c:v>99.9</c:v>
                </c:pt>
                <c:pt idx="33">
                  <c:v>100</c:v>
                </c:pt>
                <c:pt idx="34">
                  <c:v>100.2</c:v>
                </c:pt>
                <c:pt idx="35">
                  <c:v>100.5</c:v>
                </c:pt>
              </c:numCache>
            </c:numRef>
          </c:val>
          <c:smooth val="0"/>
          <c:extLst>
            <c:ext xmlns:c16="http://schemas.microsoft.com/office/drawing/2014/chart" uri="{C3380CC4-5D6E-409C-BE32-E72D297353CC}">
              <c16:uniqueId val="{0000000B-C697-442E-B859-B1944EA88545}"/>
            </c:ext>
          </c:extLst>
        </c:ser>
        <c:ser>
          <c:idx val="12"/>
          <c:order val="12"/>
          <c:tx>
            <c:strRef>
              <c:f>'GRAF příspěvky IPP'!$A$39</c:f>
              <c:strCache>
                <c:ptCount val="1"/>
                <c:pt idx="0">
                  <c:v>Produkce, prům. v Německu (2021=100)</c:v>
                </c:pt>
              </c:strCache>
            </c:strRef>
          </c:tx>
          <c:spPr>
            <a:ln w="15875">
              <a:solidFill>
                <a:srgbClr val="B8BBC0"/>
              </a:solidFill>
              <a:prstDash val="dash"/>
            </a:ln>
          </c:spPr>
          <c:marker>
            <c:symbol val="none"/>
          </c:marker>
          <c:cat>
            <c:multiLvlStrRef>
              <c:f>'GRAF příspěvky IPP'!$Z$25:$BI$26</c:f>
              <c:multiLvlStrCache>
                <c:ptCount val="36"/>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IPP'!$Z$39:$BI$39</c:f>
              <c:numCache>
                <c:formatCode>#\ ##0.0</c:formatCode>
                <c:ptCount val="36"/>
                <c:pt idx="0">
                  <c:v>105</c:v>
                </c:pt>
                <c:pt idx="1">
                  <c:v>107</c:v>
                </c:pt>
                <c:pt idx="2" formatCode="#\ ##0.##########">
                  <c:v>108.8</c:v>
                </c:pt>
                <c:pt idx="3" formatCode="#\ ##0.##########">
                  <c:v>109.6</c:v>
                </c:pt>
                <c:pt idx="4">
                  <c:v>109</c:v>
                </c:pt>
                <c:pt idx="5" formatCode="#\ ##0.##########">
                  <c:v>109.8</c:v>
                </c:pt>
                <c:pt idx="6" formatCode="#\ ##0.##########">
                  <c:v>108.8</c:v>
                </c:pt>
                <c:pt idx="7" formatCode="#\ ##0.##########">
                  <c:v>107.2</c:v>
                </c:pt>
                <c:pt idx="8">
                  <c:v>107</c:v>
                </c:pt>
                <c:pt idx="9" formatCode="#\ ##0.##########">
                  <c:v>105.8</c:v>
                </c:pt>
                <c:pt idx="10" formatCode="#\ ##0.##########">
                  <c:v>104.6</c:v>
                </c:pt>
                <c:pt idx="11" formatCode="#\ ##0.##########">
                  <c:v>102.9</c:v>
                </c:pt>
                <c:pt idx="12" formatCode="#\ ##0.##########">
                  <c:v>101.3</c:v>
                </c:pt>
                <c:pt idx="13" formatCode="#\ ##0.##########">
                  <c:v>82.9</c:v>
                </c:pt>
                <c:pt idx="14" formatCode="#\ ##0.##########">
                  <c:v>94.8</c:v>
                </c:pt>
                <c:pt idx="15" formatCode="#\ ##0.##########">
                  <c:v>100.9</c:v>
                </c:pt>
                <c:pt idx="16" formatCode="#\ ##0.##########">
                  <c:v>100.7</c:v>
                </c:pt>
                <c:pt idx="17" formatCode="#\ ##0.##########">
                  <c:v>99.9</c:v>
                </c:pt>
                <c:pt idx="18">
                  <c:v>97.1</c:v>
                </c:pt>
                <c:pt idx="19">
                  <c:v>100</c:v>
                </c:pt>
                <c:pt idx="20" formatCode="#\ ##0.##########">
                  <c:v>99.2</c:v>
                </c:pt>
                <c:pt idx="21" formatCode="#\ ##0.##########">
                  <c:v>98.7</c:v>
                </c:pt>
                <c:pt idx="22" formatCode="#\ ##0.##########">
                  <c:v>99.5</c:v>
                </c:pt>
                <c:pt idx="23">
                  <c:v>99</c:v>
                </c:pt>
                <c:pt idx="24" formatCode="#\ ##0.##########">
                  <c:v>99.8</c:v>
                </c:pt>
                <c:pt idx="25" formatCode="#\ ##0.##########">
                  <c:v>98.3</c:v>
                </c:pt>
                <c:pt idx="26">
                  <c:v>96.1</c:v>
                </c:pt>
                <c:pt idx="27" formatCode="#\ ##0.##########">
                  <c:v>94.6</c:v>
                </c:pt>
                <c:pt idx="28" formatCode="#\ ##0.##########">
                  <c:v>94.3</c:v>
                </c:pt>
                <c:pt idx="29" formatCode="#\ ##0.##########">
                  <c:v>93.2</c:v>
                </c:pt>
                <c:pt idx="30">
                  <c:v>92.1</c:v>
                </c:pt>
                <c:pt idx="31" formatCode="#\ ##0.##########">
                  <c:v>91.5</c:v>
                </c:pt>
                <c:pt idx="32" formatCode="#\ ##0.##########">
                  <c:v>92.2</c:v>
                </c:pt>
                <c:pt idx="33" formatCode="#\ ##0.##########">
                  <c:v>91.8</c:v>
                </c:pt>
                <c:pt idx="34" formatCode="#\ ##0.##########">
                  <c:v>91.3</c:v>
                </c:pt>
                <c:pt idx="35" formatCode="#\ ##0.##########">
                  <c:v>92.3</c:v>
                </c:pt>
              </c:numCache>
            </c:numRef>
          </c:val>
          <c:smooth val="0"/>
          <c:extLst>
            <c:ext xmlns:c16="http://schemas.microsoft.com/office/drawing/2014/chart" uri="{C3380CC4-5D6E-409C-BE32-E72D297353CC}">
              <c16:uniqueId val="{0000000C-C697-442E-B859-B1944EA88545}"/>
            </c:ext>
          </c:extLst>
        </c:ser>
        <c:dLbls>
          <c:showLegendKey val="0"/>
          <c:showVal val="0"/>
          <c:showCatName val="0"/>
          <c:showSerName val="0"/>
          <c:showPercent val="0"/>
          <c:showBubbleSize val="0"/>
        </c:dLbls>
        <c:marker val="1"/>
        <c:smooth val="0"/>
        <c:axId val="1513731104"/>
        <c:axId val="1513729024"/>
      </c:lineChart>
      <c:catAx>
        <c:axId val="112768128"/>
        <c:scaling>
          <c:orientation val="minMax"/>
        </c:scaling>
        <c:delete val="0"/>
        <c:axPos val="b"/>
        <c:numFmt formatCode="General" sourceLinked="1"/>
        <c:majorTickMark val="none"/>
        <c:minorTickMark val="none"/>
        <c:tickLblPos val="low"/>
        <c:txPr>
          <a:bodyPr/>
          <a:lstStyle/>
          <a:p>
            <a:pPr>
              <a:defRPr sz="800">
                <a:latin typeface="Arial" pitchFamily="34" charset="0"/>
                <a:cs typeface="Arial" pitchFamily="34" charset="0"/>
              </a:defRPr>
            </a:pPr>
            <a:endParaRPr lang="cs-CZ"/>
          </a:p>
        </c:txPr>
        <c:crossAx val="112769664"/>
        <c:crosses val="autoZero"/>
        <c:auto val="1"/>
        <c:lblAlgn val="ctr"/>
        <c:lblOffset val="0"/>
        <c:noMultiLvlLbl val="0"/>
      </c:catAx>
      <c:valAx>
        <c:axId val="112769664"/>
        <c:scaling>
          <c:orientation val="minMax"/>
          <c:max val="28"/>
          <c:min val="-24"/>
        </c:scaling>
        <c:delete val="0"/>
        <c:axPos val="l"/>
        <c:majorGridlines>
          <c:spPr>
            <a:ln>
              <a:solidFill>
                <a:srgbClr val="BEBEBE"/>
              </a:solidFill>
            </a:ln>
          </c:spPr>
        </c:majorGridlines>
        <c:title>
          <c:tx>
            <c:rich>
              <a:bodyPr/>
              <a:lstStyle/>
              <a:p>
                <a:pPr>
                  <a:defRPr sz="700" b="0" i="1">
                    <a:latin typeface="Arial" panose="020B0604020202020204" pitchFamily="34" charset="0"/>
                    <a:cs typeface="Arial" panose="020B0604020202020204" pitchFamily="34" charset="0"/>
                  </a:defRPr>
                </a:pPr>
                <a:r>
                  <a:rPr lang="cs-CZ" sz="700" b="0" i="1" u="none" strike="noStrike" baseline="0">
                    <a:effectLst/>
                  </a:rPr>
                  <a:t>Prům. produkce (příspěvky  k meziroč. změně)</a:t>
                </a:r>
                <a:endParaRPr lang="cs-CZ" sz="700" b="0" i="1">
                  <a:latin typeface="Arial" panose="020B0604020202020204" pitchFamily="34" charset="0"/>
                  <a:cs typeface="Arial" panose="020B0604020202020204" pitchFamily="34" charset="0"/>
                </a:endParaRPr>
              </a:p>
            </c:rich>
          </c:tx>
          <c:layout>
            <c:manualLayout>
              <c:xMode val="edge"/>
              <c:yMode val="edge"/>
              <c:x val="0"/>
              <c:y val="0.1165198004318692"/>
            </c:manualLayout>
          </c:layout>
          <c:overlay val="0"/>
        </c:title>
        <c:numFmt formatCode="0" sourceLinked="0"/>
        <c:majorTickMark val="out"/>
        <c:minorTickMark val="none"/>
        <c:tickLblPos val="nextTo"/>
        <c:txPr>
          <a:bodyPr/>
          <a:lstStyle/>
          <a:p>
            <a:pPr>
              <a:defRPr sz="800">
                <a:latin typeface="Arial" pitchFamily="34" charset="0"/>
                <a:cs typeface="Arial" pitchFamily="34" charset="0"/>
              </a:defRPr>
            </a:pPr>
            <a:endParaRPr lang="cs-CZ"/>
          </a:p>
        </c:txPr>
        <c:crossAx val="112768128"/>
        <c:crosses val="autoZero"/>
        <c:crossBetween val="between"/>
        <c:majorUnit val="4"/>
      </c:valAx>
      <c:valAx>
        <c:axId val="1513729024"/>
        <c:scaling>
          <c:orientation val="minMax"/>
          <c:max val="115"/>
          <c:min val="50"/>
        </c:scaling>
        <c:delete val="0"/>
        <c:axPos val="r"/>
        <c:title>
          <c:tx>
            <c:rich>
              <a:bodyPr/>
              <a:lstStyle/>
              <a:p>
                <a:pPr>
                  <a:defRPr sz="700" b="0" i="1">
                    <a:latin typeface="Arial" panose="020B0604020202020204" pitchFamily="34" charset="0"/>
                    <a:cs typeface="Arial" panose="020B0604020202020204" pitchFamily="34" charset="0"/>
                  </a:defRPr>
                </a:pPr>
                <a:r>
                  <a:rPr lang="cs-CZ" sz="700" b="0" i="1">
                    <a:latin typeface="Arial" panose="020B0604020202020204" pitchFamily="34" charset="0"/>
                    <a:cs typeface="Arial" panose="020B0604020202020204" pitchFamily="34" charset="0"/>
                  </a:rPr>
                  <a:t>Produkce</a:t>
                </a:r>
                <a:r>
                  <a:rPr lang="cs-CZ" sz="700" b="0" i="1" baseline="0">
                    <a:latin typeface="Arial" panose="020B0604020202020204" pitchFamily="34" charset="0"/>
                    <a:cs typeface="Arial" panose="020B0604020202020204" pitchFamily="34" charset="0"/>
                  </a:rPr>
                  <a:t> </a:t>
                </a:r>
                <a:r>
                  <a:rPr lang="cs-CZ" sz="700" b="0" i="1">
                    <a:latin typeface="Arial" panose="020B0604020202020204" pitchFamily="34" charset="0"/>
                    <a:cs typeface="Arial" panose="020B0604020202020204" pitchFamily="34" charset="0"/>
                  </a:rPr>
                  <a:t>v průmyslu (báze 2021=100)</a:t>
                </a:r>
              </a:p>
            </c:rich>
          </c:tx>
          <c:layout>
            <c:manualLayout>
              <c:xMode val="edge"/>
              <c:yMode val="edge"/>
              <c:x val="0.97040158454025283"/>
              <c:y val="0.16649922312229412"/>
            </c:manualLayout>
          </c:layout>
          <c:overlay val="0"/>
        </c:title>
        <c:numFmt formatCode="0" sourceLinked="0"/>
        <c:majorTickMark val="out"/>
        <c:minorTickMark val="none"/>
        <c:tickLblPos val="nextTo"/>
        <c:txPr>
          <a:bodyPr/>
          <a:lstStyle/>
          <a:p>
            <a:pPr>
              <a:defRPr sz="800">
                <a:latin typeface="Arial" panose="020B0604020202020204" pitchFamily="34" charset="0"/>
                <a:cs typeface="Arial" panose="020B0604020202020204" pitchFamily="34" charset="0"/>
              </a:defRPr>
            </a:pPr>
            <a:endParaRPr lang="cs-CZ"/>
          </a:p>
        </c:txPr>
        <c:crossAx val="1513731104"/>
        <c:crosses val="max"/>
        <c:crossBetween val="between"/>
        <c:majorUnit val="5"/>
      </c:valAx>
      <c:catAx>
        <c:axId val="1513731104"/>
        <c:scaling>
          <c:orientation val="minMax"/>
        </c:scaling>
        <c:delete val="1"/>
        <c:axPos val="b"/>
        <c:numFmt formatCode="General" sourceLinked="1"/>
        <c:majorTickMark val="out"/>
        <c:minorTickMark val="none"/>
        <c:tickLblPos val="nextTo"/>
        <c:crossAx val="1513729024"/>
        <c:crosses val="autoZero"/>
        <c:auto val="1"/>
        <c:lblAlgn val="ctr"/>
        <c:lblOffset val="100"/>
        <c:noMultiLvlLbl val="0"/>
      </c:catAx>
      <c:spPr>
        <a:noFill/>
        <a:ln w="6350">
          <a:solidFill>
            <a:prstClr val="black">
              <a:lumMod val="95000"/>
              <a:lumOff val="5000"/>
            </a:prstClr>
          </a:solidFill>
        </a:ln>
      </c:spPr>
    </c:plotArea>
    <c:legend>
      <c:legendPos val="r"/>
      <c:layout>
        <c:manualLayout>
          <c:xMode val="edge"/>
          <c:yMode val="edge"/>
          <c:x val="2.5422495495726866E-2"/>
          <c:y val="0.7932567443166475"/>
          <c:w val="0.95335913646574755"/>
          <c:h val="0.20355147830569023"/>
        </c:manualLayout>
      </c:layout>
      <c:overlay val="0"/>
      <c:spPr>
        <a:ln w="6350">
          <a:solidFill>
            <a:prstClr val="black">
              <a:lumMod val="95000"/>
              <a:lumOff val="5000"/>
            </a:prstClr>
          </a:solidFill>
        </a:ln>
      </c:spPr>
      <c:txPr>
        <a:bodyPr/>
        <a:lstStyle/>
        <a:p>
          <a:pPr>
            <a:defRPr sz="720">
              <a:latin typeface="Arial" pitchFamily="34" charset="0"/>
              <a:cs typeface="Arial" pitchFamily="34" charset="0"/>
            </a:defRPr>
          </a:pPr>
          <a:endParaRPr lang="cs-CZ"/>
        </a:p>
      </c:txPr>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3688042665536843E-2"/>
          <c:y val="1.5647041011259352E-2"/>
          <c:w val="0.84974974879787502"/>
          <c:h val="0.750636022143085"/>
        </c:manualLayout>
      </c:layout>
      <c:barChart>
        <c:barDir val="col"/>
        <c:grouping val="clustered"/>
        <c:varyColors val="0"/>
        <c:ser>
          <c:idx val="0"/>
          <c:order val="0"/>
          <c:tx>
            <c:strRef>
              <c:f>'výkonnost odvětví 2'!$A$36</c:f>
              <c:strCache>
                <c:ptCount val="1"/>
                <c:pt idx="0">
                  <c:v>Průmyslové zakázky celkem</c:v>
                </c:pt>
              </c:strCache>
            </c:strRef>
          </c:tx>
          <c:spPr>
            <a:solidFill>
              <a:srgbClr val="86BF5E"/>
            </a:solidFill>
            <a:ln>
              <a:noFill/>
            </a:ln>
          </c:spPr>
          <c:invertIfNegative val="0"/>
          <c:cat>
            <c:multiLvlStrRef>
              <c:f>'výkonnost odvětví 2'!$AD$34:$BJ$35</c:f>
              <c:multiLvlStrCache>
                <c:ptCount val="3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'výkonnost odvětví 2'!$AD$36:$BJ$36</c:f>
              <c:numCache>
                <c:formatCode>##0.0</c:formatCode>
                <c:ptCount val="33"/>
                <c:pt idx="0">
                  <c:v>3.2993551214999997</c:v>
                </c:pt>
                <c:pt idx="1">
                  <c:v>2.9773571834000023</c:v>
                </c:pt>
                <c:pt idx="2">
                  <c:v>3.5300064828000046</c:v>
                </c:pt>
                <c:pt idx="3">
                  <c:v>2.4324207204000032</c:v>
                </c:pt>
                <c:pt idx="4">
                  <c:v>3.2234606388999936</c:v>
                </c:pt>
                <c:pt idx="5">
                  <c:v>2.1291359181000047</c:v>
                </c:pt>
                <c:pt idx="6">
                  <c:v>-1.1496242270000039</c:v>
                </c:pt>
                <c:pt idx="7">
                  <c:v>-2.8233445845000062</c:v>
                </c:pt>
                <c:pt idx="8">
                  <c:v>-4.1421474552000035</c:v>
                </c:pt>
                <c:pt idx="9">
                  <c:v>-27.261303375300002</c:v>
                </c:pt>
                <c:pt idx="10">
                  <c:v>-0.61408028729999842</c:v>
                </c:pt>
                <c:pt idx="11">
                  <c:v>6.5219093458999993</c:v>
                </c:pt>
                <c:pt idx="12">
                  <c:v>10.602066683199993</c:v>
                </c:pt>
                <c:pt idx="13">
                  <c:v>46.734027953999998</c:v>
                </c:pt>
                <c:pt idx="14">
                  <c:v>7.4414460278999996</c:v>
                </c:pt>
                <c:pt idx="15">
                  <c:v>4.0145458960000013</c:v>
                </c:pt>
                <c:pt idx="16">
                  <c:v>6.3629553604999955</c:v>
                </c:pt>
                <c:pt idx="17">
                  <c:v>10.097910523699994</c:v>
                </c:pt>
                <c:pt idx="18">
                  <c:v>15.277525986499995</c:v>
                </c:pt>
                <c:pt idx="19">
                  <c:v>12.575771332200006</c:v>
                </c:pt>
                <c:pt idx="20">
                  <c:v>3.1337316676000029</c:v>
                </c:pt>
                <c:pt idx="21">
                  <c:v>-2.2599865078999954</c:v>
                </c:pt>
                <c:pt idx="22">
                  <c:v>-3.8402894136000043</c:v>
                </c:pt>
                <c:pt idx="23">
                  <c:v>-0.93949183089999622</c:v>
                </c:pt>
                <c:pt idx="24">
                  <c:v>4.4754830751000014</c:v>
                </c:pt>
                <c:pt idx="25">
                  <c:v>4.485315818700002</c:v>
                </c:pt>
                <c:pt idx="26">
                  <c:v>4.3869355584999994</c:v>
                </c:pt>
                <c:pt idx="27">
                  <c:v>1.2151640171999958</c:v>
                </c:pt>
                <c:pt idx="28">
                  <c:v>-0.12799306670000021</c:v>
                </c:pt>
                <c:pt idx="29" formatCode="#\ ##0.0">
                  <c:v>3.3995345226000069</c:v>
                </c:pt>
                <c:pt idx="30" formatCode="#\ ##0.0">
                  <c:v>2.2450201407000066</c:v>
                </c:pt>
                <c:pt idx="31" formatCode="#\ ##0.0">
                  <c:v>10.2945626602</c:v>
                </c:pt>
              </c:numCache>
            </c:numRef>
          </c:val>
          <c:extLst>
            <c:ext xmlns:c16="http://schemas.microsoft.com/office/drawing/2014/chart" uri="{C3380CC4-5D6E-409C-BE32-E72D297353CC}">
              <c16:uniqueId val="{00000000-B64A-4067-B6E0-A04F333DFD9C}"/>
            </c:ext>
          </c:extLst>
        </c:ser>
        <c:dLbls>
          <c:showLegendKey val="0"/>
          <c:showVal val="0"/>
          <c:showCatName val="0"/>
          <c:showSerName val="0"/>
          <c:showPercent val="0"/>
          <c:showBubbleSize val="0"/>
        </c:dLbls>
        <c:gapWidth val="30"/>
        <c:axId val="112768128"/>
        <c:axId val="112769664"/>
      </c:barChart>
      <c:lineChart>
        <c:grouping val="standard"/>
        <c:varyColors val="0"/>
        <c:ser>
          <c:idx val="1"/>
          <c:order val="1"/>
          <c:tx>
            <c:strRef>
              <c:f>'výkonnost odvětví 2'!$A$37</c:f>
              <c:strCache>
                <c:ptCount val="1"/>
                <c:pt idx="0">
                  <c:v>z toho: zakázky z tuzemska</c:v>
                </c:pt>
              </c:strCache>
            </c:strRef>
          </c:tx>
          <c:spPr>
            <a:ln w="15875">
              <a:noFill/>
              <a:prstDash val="sysDot"/>
            </a:ln>
          </c:spPr>
          <c:marker>
            <c:symbol val="circle"/>
            <c:size val="5"/>
            <c:spPr>
              <a:solidFill>
                <a:schemeClr val="bg1"/>
              </a:solidFill>
              <a:ln w="12700">
                <a:solidFill>
                  <a:srgbClr val="85BF5E"/>
                </a:solidFill>
              </a:ln>
            </c:spPr>
          </c:marker>
          <c:cat>
            <c:multiLvlStrRef>
              <c:f>'výkonnost odvětví 2'!$AD$34:$BJ$35</c:f>
              <c:multiLvlStrCache>
                <c:ptCount val="3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'výkonnost odvětví 2'!$AD$37:$BJ$37</c:f>
              <c:numCache>
                <c:formatCode>##0.0</c:formatCode>
                <c:ptCount val="33"/>
                <c:pt idx="0">
                  <c:v>2.1530605192999985</c:v>
                </c:pt>
                <c:pt idx="1">
                  <c:v>2.440306231799994</c:v>
                </c:pt>
                <c:pt idx="2">
                  <c:v>4.7510172912000002</c:v>
                </c:pt>
                <c:pt idx="3">
                  <c:v>3.3084884759999937</c:v>
                </c:pt>
                <c:pt idx="4">
                  <c:v>7.6964313707999992</c:v>
                </c:pt>
                <c:pt idx="5">
                  <c:v>5.9656126075999936</c:v>
                </c:pt>
                <c:pt idx="6">
                  <c:v>0.2850715043000065</c:v>
                </c:pt>
                <c:pt idx="7">
                  <c:v>-0.84674153630000148</c:v>
                </c:pt>
                <c:pt idx="8">
                  <c:v>0.84542569580000304</c:v>
                </c:pt>
                <c:pt idx="9">
                  <c:v>-25.680778364399998</c:v>
                </c:pt>
                <c:pt idx="10">
                  <c:v>-3.379983194199994</c:v>
                </c:pt>
                <c:pt idx="11">
                  <c:v>5.566224000099993</c:v>
                </c:pt>
                <c:pt idx="12">
                  <c:v>2.2000447382000061</c:v>
                </c:pt>
                <c:pt idx="13">
                  <c:v>42.216312892800005</c:v>
                </c:pt>
                <c:pt idx="14">
                  <c:v>9.2699996399000071</c:v>
                </c:pt>
                <c:pt idx="15">
                  <c:v>5.7633315440999979</c:v>
                </c:pt>
                <c:pt idx="16">
                  <c:v>8.7211151614999949</c:v>
                </c:pt>
                <c:pt idx="17">
                  <c:v>15.4518467276</c:v>
                </c:pt>
                <c:pt idx="18">
                  <c:v>26.230113619700006</c:v>
                </c:pt>
                <c:pt idx="19">
                  <c:v>19.294974516799996</c:v>
                </c:pt>
                <c:pt idx="20">
                  <c:v>11.970278561000001</c:v>
                </c:pt>
                <c:pt idx="21">
                  <c:v>2.3758644261999962</c:v>
                </c:pt>
                <c:pt idx="22">
                  <c:v>-6.7655627147999979</c:v>
                </c:pt>
                <c:pt idx="23">
                  <c:v>-0.67711067199999775</c:v>
                </c:pt>
                <c:pt idx="24">
                  <c:v>3.4837125815000007</c:v>
                </c:pt>
                <c:pt idx="25">
                  <c:v>3.0828713233999991</c:v>
                </c:pt>
                <c:pt idx="26">
                  <c:v>7.8595010221000052</c:v>
                </c:pt>
                <c:pt idx="27">
                  <c:v>2.419199062399997</c:v>
                </c:pt>
                <c:pt idx="28">
                  <c:v>0.47666051660000619</c:v>
                </c:pt>
                <c:pt idx="29" formatCode="#\ ##0.0">
                  <c:v>2.3801168512000004</c:v>
                </c:pt>
                <c:pt idx="30" formatCode="#\ ##0.0">
                  <c:v>4.4991561675000042</c:v>
                </c:pt>
                <c:pt idx="31" formatCode="#\ ##0.0">
                  <c:v>0.18329621809999708</c:v>
                </c:pt>
              </c:numCache>
            </c:numRef>
          </c:val>
          <c:smooth val="0"/>
          <c:extLst>
            <c:ext xmlns:c16="http://schemas.microsoft.com/office/drawing/2014/chart" uri="{C3380CC4-5D6E-409C-BE32-E72D297353CC}">
              <c16:uniqueId val="{00000001-B64A-4067-B6E0-A04F333DFD9C}"/>
            </c:ext>
          </c:extLst>
        </c:ser>
        <c:dLbls>
          <c:showLegendKey val="0"/>
          <c:showVal val="0"/>
          <c:showCatName val="0"/>
          <c:showSerName val="0"/>
          <c:showPercent val="0"/>
          <c:showBubbleSize val="0"/>
        </c:dLbls>
        <c:marker val="1"/>
        <c:smooth val="0"/>
        <c:axId val="112768128"/>
        <c:axId val="112769664"/>
      </c:lineChart>
      <c:lineChart>
        <c:grouping val="standard"/>
        <c:varyColors val="0"/>
        <c:ser>
          <c:idx val="2"/>
          <c:order val="2"/>
          <c:tx>
            <c:strRef>
              <c:f>'výkonnost odvětví 2'!$A$38</c:f>
              <c:strCache>
                <c:ptCount val="1"/>
                <c:pt idx="0">
                  <c:v>Využití výrob. kapacit v průmyslu celkem</c:v>
                </c:pt>
              </c:strCache>
            </c:strRef>
          </c:tx>
          <c:spPr>
            <a:ln w="15875">
              <a:solidFill>
                <a:srgbClr val="CC9610"/>
              </a:solidFill>
            </a:ln>
          </c:spPr>
          <c:marker>
            <c:symbol val="none"/>
          </c:marker>
          <c:cat>
            <c:multiLvlStrRef>
              <c:f>'výkonnost odvětví 2'!$AD$34:$BJ$35</c:f>
              <c:multiLvlStrCache>
                <c:ptCount val="3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'výkonnost odvětví 2'!$AD$38:$BJ$38</c:f>
              <c:numCache>
                <c:formatCode>##0.0</c:formatCode>
                <c:ptCount val="33"/>
                <c:pt idx="0">
                  <c:v>85.33</c:v>
                </c:pt>
                <c:pt idx="1">
                  <c:v>84.89</c:v>
                </c:pt>
                <c:pt idx="2">
                  <c:v>85.13</c:v>
                </c:pt>
                <c:pt idx="3">
                  <c:v>84.76</c:v>
                </c:pt>
                <c:pt idx="4">
                  <c:v>84.93</c:v>
                </c:pt>
                <c:pt idx="5">
                  <c:v>85.19</c:v>
                </c:pt>
                <c:pt idx="6">
                  <c:v>83.6</c:v>
                </c:pt>
                <c:pt idx="7">
                  <c:v>83.7</c:v>
                </c:pt>
                <c:pt idx="8">
                  <c:v>84.2</c:v>
                </c:pt>
                <c:pt idx="9">
                  <c:v>70.400000000000006</c:v>
                </c:pt>
                <c:pt idx="10">
                  <c:v>76.3</c:v>
                </c:pt>
                <c:pt idx="11">
                  <c:v>82.7</c:v>
                </c:pt>
                <c:pt idx="12">
                  <c:v>85.8</c:v>
                </c:pt>
                <c:pt idx="13">
                  <c:v>84.4</c:v>
                </c:pt>
                <c:pt idx="14">
                  <c:v>86.41</c:v>
                </c:pt>
                <c:pt idx="15">
                  <c:v>77.599999999999994</c:v>
                </c:pt>
                <c:pt idx="16">
                  <c:v>83.6</c:v>
                </c:pt>
                <c:pt idx="17">
                  <c:v>82.17</c:v>
                </c:pt>
                <c:pt idx="18">
                  <c:v>83.5</c:v>
                </c:pt>
                <c:pt idx="19">
                  <c:v>81.099999999999994</c:v>
                </c:pt>
                <c:pt idx="20">
                  <c:v>81.400000000000006</c:v>
                </c:pt>
                <c:pt idx="21">
                  <c:v>83.7</c:v>
                </c:pt>
                <c:pt idx="22">
                  <c:v>83.5</c:v>
                </c:pt>
                <c:pt idx="23">
                  <c:v>83.6</c:v>
                </c:pt>
                <c:pt idx="24">
                  <c:v>83.1</c:v>
                </c:pt>
                <c:pt idx="25">
                  <c:v>83</c:v>
                </c:pt>
                <c:pt idx="26">
                  <c:v>80.599999999999994</c:v>
                </c:pt>
                <c:pt idx="27">
                  <c:v>82.47</c:v>
                </c:pt>
                <c:pt idx="28">
                  <c:v>82.7</c:v>
                </c:pt>
                <c:pt idx="29">
                  <c:v>83.36</c:v>
                </c:pt>
                <c:pt idx="30">
                  <c:v>84.2</c:v>
                </c:pt>
                <c:pt idx="31">
                  <c:v>84.334999999999994</c:v>
                </c:pt>
                <c:pt idx="32">
                  <c:v>81.96</c:v>
                </c:pt>
              </c:numCache>
            </c:numRef>
          </c:val>
          <c:smooth val="0"/>
          <c:extLst>
            <c:ext xmlns:c16="http://schemas.microsoft.com/office/drawing/2014/chart" uri="{C3380CC4-5D6E-409C-BE32-E72D297353CC}">
              <c16:uniqueId val="{00000002-B64A-4067-B6E0-A04F333DFD9C}"/>
            </c:ext>
          </c:extLst>
        </c:ser>
        <c:ser>
          <c:idx val="3"/>
          <c:order val="3"/>
          <c:tx>
            <c:strRef>
              <c:f>'výkonnost odvětví 2'!$A$39</c:f>
              <c:strCache>
                <c:ptCount val="1"/>
                <c:pt idx="0">
                  <c:v>Využití výrob. kapacit v automobil. prům.</c:v>
                </c:pt>
              </c:strCache>
            </c:strRef>
          </c:tx>
          <c:spPr>
            <a:ln w="15875">
              <a:solidFill>
                <a:srgbClr val="E6C45B"/>
              </a:solidFill>
              <a:prstDash val="sysDash"/>
            </a:ln>
          </c:spPr>
          <c:marker>
            <c:symbol val="none"/>
          </c:marker>
          <c:cat>
            <c:multiLvlStrRef>
              <c:f>'výkonnost odvětví 2'!$AD$34:$BJ$35</c:f>
              <c:multiLvlStrCache>
                <c:ptCount val="3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'výkonnost odvětví 2'!$AD$39:$BJ$39</c:f>
              <c:numCache>
                <c:formatCode>##0.0</c:formatCode>
                <c:ptCount val="33"/>
                <c:pt idx="0">
                  <c:v>91.4</c:v>
                </c:pt>
                <c:pt idx="1">
                  <c:v>91.3</c:v>
                </c:pt>
                <c:pt idx="2">
                  <c:v>92.9</c:v>
                </c:pt>
                <c:pt idx="3">
                  <c:v>92.5</c:v>
                </c:pt>
                <c:pt idx="4">
                  <c:v>92.9</c:v>
                </c:pt>
                <c:pt idx="5">
                  <c:v>92.7</c:v>
                </c:pt>
                <c:pt idx="6">
                  <c:v>92.8</c:v>
                </c:pt>
                <c:pt idx="7">
                  <c:v>93</c:v>
                </c:pt>
                <c:pt idx="8">
                  <c:v>90.6</c:v>
                </c:pt>
                <c:pt idx="9">
                  <c:v>45</c:v>
                </c:pt>
                <c:pt idx="10">
                  <c:v>79.099999999999994</c:v>
                </c:pt>
                <c:pt idx="11">
                  <c:v>96.9</c:v>
                </c:pt>
                <c:pt idx="12">
                  <c:v>94.9</c:v>
                </c:pt>
                <c:pt idx="13">
                  <c:v>89.6</c:v>
                </c:pt>
                <c:pt idx="14">
                  <c:v>95.3</c:v>
                </c:pt>
                <c:pt idx="15">
                  <c:v>55.8</c:v>
                </c:pt>
                <c:pt idx="16">
                  <c:v>84.5</c:v>
                </c:pt>
                <c:pt idx="17">
                  <c:v>76.7</c:v>
                </c:pt>
                <c:pt idx="18">
                  <c:v>79</c:v>
                </c:pt>
                <c:pt idx="19">
                  <c:v>74.099999999999994</c:v>
                </c:pt>
                <c:pt idx="20">
                  <c:v>79.400000000000006</c:v>
                </c:pt>
                <c:pt idx="21">
                  <c:v>92.7</c:v>
                </c:pt>
                <c:pt idx="22">
                  <c:v>92.2</c:v>
                </c:pt>
                <c:pt idx="23">
                  <c:v>92.2</c:v>
                </c:pt>
                <c:pt idx="24">
                  <c:v>92.7</c:v>
                </c:pt>
                <c:pt idx="25">
                  <c:v>93.5</c:v>
                </c:pt>
                <c:pt idx="26">
                  <c:v>89.9</c:v>
                </c:pt>
                <c:pt idx="27">
                  <c:v>92.9</c:v>
                </c:pt>
                <c:pt idx="28">
                  <c:v>93.100000000000009</c:v>
                </c:pt>
                <c:pt idx="29">
                  <c:v>91.5</c:v>
                </c:pt>
                <c:pt idx="30">
                  <c:v>99.9</c:v>
                </c:pt>
                <c:pt idx="31">
                  <c:v>99.4</c:v>
                </c:pt>
                <c:pt idx="32">
                  <c:v>89.6</c:v>
                </c:pt>
              </c:numCache>
            </c:numRef>
          </c:val>
          <c:smooth val="0"/>
          <c:extLst>
            <c:ext xmlns:c16="http://schemas.microsoft.com/office/drawing/2014/chart" uri="{C3380CC4-5D6E-409C-BE32-E72D297353CC}">
              <c16:uniqueId val="{00000003-B64A-4067-B6E0-A04F333DFD9C}"/>
            </c:ext>
          </c:extLst>
        </c:ser>
        <c:ser>
          <c:idx val="4"/>
          <c:order val="4"/>
          <c:tx>
            <c:strRef>
              <c:f>'výkonnost odvětví 2'!$A$40</c:f>
              <c:strCache>
                <c:ptCount val="1"/>
                <c:pt idx="0">
                  <c:v>Bariéra růstu: nedostatečná poptávka</c:v>
                </c:pt>
              </c:strCache>
            </c:strRef>
          </c:tx>
          <c:spPr>
            <a:ln w="15875">
              <a:solidFill>
                <a:srgbClr val="8390A7"/>
              </a:solidFill>
              <a:prstDash val="solid"/>
            </a:ln>
          </c:spPr>
          <c:marker>
            <c:symbol val="none"/>
          </c:marker>
          <c:cat>
            <c:multiLvlStrRef>
              <c:f>'výkonnost odvětví 2'!$AD$34:$BJ$35</c:f>
              <c:multiLvlStrCache>
                <c:ptCount val="3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'výkonnost odvětví 2'!$AD$40:$BJ$40</c:f>
              <c:numCache>
                <c:formatCode>#\ ##0.0</c:formatCode>
                <c:ptCount val="33"/>
                <c:pt idx="0">
                  <c:v>35.4</c:v>
                </c:pt>
                <c:pt idx="1">
                  <c:v>36.299999999999997</c:v>
                </c:pt>
                <c:pt idx="2">
                  <c:v>32.4</c:v>
                </c:pt>
                <c:pt idx="3">
                  <c:v>32.9</c:v>
                </c:pt>
                <c:pt idx="4">
                  <c:v>33.799999999999997</c:v>
                </c:pt>
                <c:pt idx="5">
                  <c:v>36.200000000000003</c:v>
                </c:pt>
                <c:pt idx="6">
                  <c:v>41</c:v>
                </c:pt>
                <c:pt idx="7">
                  <c:v>47.1</c:v>
                </c:pt>
                <c:pt idx="8">
                  <c:v>49.8</c:v>
                </c:pt>
                <c:pt idx="9">
                  <c:v>58.8</c:v>
                </c:pt>
                <c:pt idx="10">
                  <c:v>63</c:v>
                </c:pt>
                <c:pt idx="11">
                  <c:v>44.4</c:v>
                </c:pt>
                <c:pt idx="12">
                  <c:v>46.9</c:v>
                </c:pt>
                <c:pt idx="13">
                  <c:v>38.700000000000003</c:v>
                </c:pt>
                <c:pt idx="14">
                  <c:v>25.4</c:v>
                </c:pt>
                <c:pt idx="15">
                  <c:v>27.9</c:v>
                </c:pt>
                <c:pt idx="16">
                  <c:v>29.9</c:v>
                </c:pt>
                <c:pt idx="17">
                  <c:v>21.3</c:v>
                </c:pt>
                <c:pt idx="18">
                  <c:v>18.7</c:v>
                </c:pt>
                <c:pt idx="19">
                  <c:v>29.4</c:v>
                </c:pt>
                <c:pt idx="20">
                  <c:v>42.5</c:v>
                </c:pt>
                <c:pt idx="21">
                  <c:v>42</c:v>
                </c:pt>
                <c:pt idx="22">
                  <c:v>44.3</c:v>
                </c:pt>
                <c:pt idx="23">
                  <c:v>46.2</c:v>
                </c:pt>
                <c:pt idx="24">
                  <c:v>47.5</c:v>
                </c:pt>
                <c:pt idx="25">
                  <c:v>49.8</c:v>
                </c:pt>
                <c:pt idx="26">
                  <c:v>52</c:v>
                </c:pt>
                <c:pt idx="27">
                  <c:v>49</c:v>
                </c:pt>
                <c:pt idx="28">
                  <c:v>63.5</c:v>
                </c:pt>
                <c:pt idx="29">
                  <c:v>51.7</c:v>
                </c:pt>
                <c:pt idx="30">
                  <c:v>52.7</c:v>
                </c:pt>
                <c:pt idx="31">
                  <c:v>54.2</c:v>
                </c:pt>
                <c:pt idx="32">
                  <c:v>53</c:v>
                </c:pt>
              </c:numCache>
            </c:numRef>
          </c:val>
          <c:smooth val="0"/>
          <c:extLst>
            <c:ext xmlns:c16="http://schemas.microsoft.com/office/drawing/2014/chart" uri="{C3380CC4-5D6E-409C-BE32-E72D297353CC}">
              <c16:uniqueId val="{00000004-B64A-4067-B6E0-A04F333DFD9C}"/>
            </c:ext>
          </c:extLst>
        </c:ser>
        <c:ser>
          <c:idx val="5"/>
          <c:order val="5"/>
          <c:tx>
            <c:strRef>
              <c:f>'výkonnost odvětví 2'!$A$41</c:f>
              <c:strCache>
                <c:ptCount val="1"/>
                <c:pt idx="0">
                  <c:v>Bariéra růstu: nedostatek pracovníků</c:v>
                </c:pt>
              </c:strCache>
            </c:strRef>
          </c:tx>
          <c:spPr>
            <a:ln w="15875">
              <a:solidFill>
                <a:srgbClr val="858972"/>
              </a:solidFill>
              <a:prstDash val="sysDash"/>
            </a:ln>
          </c:spPr>
          <c:marker>
            <c:symbol val="none"/>
          </c:marker>
          <c:cat>
            <c:multiLvlStrRef>
              <c:f>'výkonnost odvětví 2'!$AD$34:$BJ$35</c:f>
              <c:multiLvlStrCache>
                <c:ptCount val="3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'výkonnost odvětví 2'!$AD$41:$BJ$41</c:f>
              <c:numCache>
                <c:formatCode>#\ ##0.0</c:formatCode>
                <c:ptCount val="33"/>
                <c:pt idx="0">
                  <c:v>43.5</c:v>
                </c:pt>
                <c:pt idx="1">
                  <c:v>42.3</c:v>
                </c:pt>
                <c:pt idx="2">
                  <c:v>43.2</c:v>
                </c:pt>
                <c:pt idx="3">
                  <c:v>46.3</c:v>
                </c:pt>
                <c:pt idx="4">
                  <c:v>39</c:v>
                </c:pt>
                <c:pt idx="5">
                  <c:v>35.1</c:v>
                </c:pt>
                <c:pt idx="6">
                  <c:v>40.200000000000003</c:v>
                </c:pt>
                <c:pt idx="7">
                  <c:v>39.200000000000003</c:v>
                </c:pt>
                <c:pt idx="8">
                  <c:v>27.7</c:v>
                </c:pt>
                <c:pt idx="9">
                  <c:v>13.5</c:v>
                </c:pt>
                <c:pt idx="10">
                  <c:v>16.7</c:v>
                </c:pt>
                <c:pt idx="11">
                  <c:v>17.600000000000001</c:v>
                </c:pt>
                <c:pt idx="12">
                  <c:v>22</c:v>
                </c:pt>
                <c:pt idx="13">
                  <c:v>18.399999999999999</c:v>
                </c:pt>
                <c:pt idx="14">
                  <c:v>27.6</c:v>
                </c:pt>
                <c:pt idx="15">
                  <c:v>22.6</c:v>
                </c:pt>
                <c:pt idx="16">
                  <c:v>24.9</c:v>
                </c:pt>
                <c:pt idx="17">
                  <c:v>18.600000000000001</c:v>
                </c:pt>
                <c:pt idx="18">
                  <c:v>26.1</c:v>
                </c:pt>
                <c:pt idx="19">
                  <c:v>24.9</c:v>
                </c:pt>
                <c:pt idx="20">
                  <c:v>16.600000000000001</c:v>
                </c:pt>
                <c:pt idx="21">
                  <c:v>20.6</c:v>
                </c:pt>
                <c:pt idx="22">
                  <c:v>18.899999999999999</c:v>
                </c:pt>
                <c:pt idx="23">
                  <c:v>22.5</c:v>
                </c:pt>
                <c:pt idx="24">
                  <c:v>14.6</c:v>
                </c:pt>
                <c:pt idx="25">
                  <c:v>11.8</c:v>
                </c:pt>
                <c:pt idx="26">
                  <c:v>12.8</c:v>
                </c:pt>
                <c:pt idx="27">
                  <c:v>17.8</c:v>
                </c:pt>
                <c:pt idx="28">
                  <c:v>13.2</c:v>
                </c:pt>
                <c:pt idx="29">
                  <c:v>10.6</c:v>
                </c:pt>
                <c:pt idx="30">
                  <c:v>9.6</c:v>
                </c:pt>
                <c:pt idx="31">
                  <c:v>11.8</c:v>
                </c:pt>
                <c:pt idx="32">
                  <c:v>10.7</c:v>
                </c:pt>
              </c:numCache>
            </c:numRef>
          </c:val>
          <c:smooth val="0"/>
          <c:extLst>
            <c:ext xmlns:c16="http://schemas.microsoft.com/office/drawing/2014/chart" uri="{C3380CC4-5D6E-409C-BE32-E72D297353CC}">
              <c16:uniqueId val="{00000005-B64A-4067-B6E0-A04F333DFD9C}"/>
            </c:ext>
          </c:extLst>
        </c:ser>
        <c:ser>
          <c:idx val="6"/>
          <c:order val="6"/>
          <c:tx>
            <c:strRef>
              <c:f>'výkonnost odvětví 2'!$A$42</c:f>
              <c:strCache>
                <c:ptCount val="1"/>
                <c:pt idx="0">
                  <c:v>Bariéra růstu: nedost. materiálu a zařízení</c:v>
                </c:pt>
              </c:strCache>
            </c:strRef>
          </c:tx>
          <c:spPr>
            <a:ln w="15875">
              <a:solidFill>
                <a:srgbClr val="B8BBC0"/>
              </a:solidFill>
              <a:prstDash val="dash"/>
            </a:ln>
          </c:spPr>
          <c:marker>
            <c:symbol val="none"/>
          </c:marker>
          <c:cat>
            <c:multiLvlStrRef>
              <c:f>'výkonnost odvětví 2'!$AD$34:$BJ$35</c:f>
              <c:multiLvlStrCache>
                <c:ptCount val="3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'výkonnost odvětví 2'!$AD$42:$BJ$42</c:f>
              <c:numCache>
                <c:formatCode>#\ ##0.0</c:formatCode>
                <c:ptCount val="33"/>
                <c:pt idx="0">
                  <c:v>11.9</c:v>
                </c:pt>
                <c:pt idx="1">
                  <c:v>11.7</c:v>
                </c:pt>
                <c:pt idx="2">
                  <c:v>13.9</c:v>
                </c:pt>
                <c:pt idx="3">
                  <c:v>23.5</c:v>
                </c:pt>
                <c:pt idx="4">
                  <c:v>26.4</c:v>
                </c:pt>
                <c:pt idx="5">
                  <c:v>24.7</c:v>
                </c:pt>
                <c:pt idx="6">
                  <c:v>22</c:v>
                </c:pt>
                <c:pt idx="7">
                  <c:v>10.5</c:v>
                </c:pt>
                <c:pt idx="8">
                  <c:v>17.899999999999999</c:v>
                </c:pt>
                <c:pt idx="9">
                  <c:v>10.199999999999999</c:v>
                </c:pt>
                <c:pt idx="10">
                  <c:v>6.7</c:v>
                </c:pt>
                <c:pt idx="11">
                  <c:v>10.9</c:v>
                </c:pt>
                <c:pt idx="12">
                  <c:v>23.1</c:v>
                </c:pt>
                <c:pt idx="13">
                  <c:v>32.1</c:v>
                </c:pt>
                <c:pt idx="14">
                  <c:v>45.9</c:v>
                </c:pt>
                <c:pt idx="15">
                  <c:v>41.2</c:v>
                </c:pt>
                <c:pt idx="16">
                  <c:v>39.299999999999997</c:v>
                </c:pt>
                <c:pt idx="17">
                  <c:v>47.8</c:v>
                </c:pt>
                <c:pt idx="18">
                  <c:v>53.4</c:v>
                </c:pt>
                <c:pt idx="19">
                  <c:v>46.4</c:v>
                </c:pt>
                <c:pt idx="20">
                  <c:v>37.4</c:v>
                </c:pt>
                <c:pt idx="21">
                  <c:v>32.5</c:v>
                </c:pt>
                <c:pt idx="22">
                  <c:v>20.6</c:v>
                </c:pt>
                <c:pt idx="23">
                  <c:v>17.100000000000001</c:v>
                </c:pt>
                <c:pt idx="24">
                  <c:v>32.700000000000003</c:v>
                </c:pt>
                <c:pt idx="25">
                  <c:v>28.1</c:v>
                </c:pt>
                <c:pt idx="26">
                  <c:v>13</c:v>
                </c:pt>
                <c:pt idx="27">
                  <c:v>24.7</c:v>
                </c:pt>
                <c:pt idx="28">
                  <c:v>11.9</c:v>
                </c:pt>
                <c:pt idx="29">
                  <c:v>25</c:v>
                </c:pt>
                <c:pt idx="30">
                  <c:v>11</c:v>
                </c:pt>
                <c:pt idx="31">
                  <c:v>11.2</c:v>
                </c:pt>
                <c:pt idx="32">
                  <c:v>11.4</c:v>
                </c:pt>
              </c:numCache>
            </c:numRef>
          </c:val>
          <c:smooth val="0"/>
          <c:extLst>
            <c:ext xmlns:c16="http://schemas.microsoft.com/office/drawing/2014/chart" uri="{C3380CC4-5D6E-409C-BE32-E72D297353CC}">
              <c16:uniqueId val="{00000006-B64A-4067-B6E0-A04F333DFD9C}"/>
            </c:ext>
          </c:extLst>
        </c:ser>
        <c:ser>
          <c:idx val="7"/>
          <c:order val="7"/>
          <c:tx>
            <c:strRef>
              <c:f>'výkonnost odvětví 2'!$A$43</c:f>
              <c:strCache>
                <c:ptCount val="1"/>
                <c:pt idx="0">
                  <c:v>Saldo souhrn. indik. důvěry v průmyslu</c:v>
                </c:pt>
              </c:strCache>
            </c:strRef>
          </c:tx>
          <c:spPr>
            <a:ln w="15875">
              <a:solidFill>
                <a:schemeClr val="bg2">
                  <a:lumMod val="50000"/>
                </a:schemeClr>
              </a:solidFill>
              <a:prstDash val="sysDot"/>
            </a:ln>
          </c:spPr>
          <c:marker>
            <c:symbol val="diamond"/>
            <c:size val="5"/>
            <c:spPr>
              <a:solidFill>
                <a:srgbClr val="E6C45B"/>
              </a:solidFill>
              <a:ln>
                <a:solidFill>
                  <a:srgbClr val="E6C45B"/>
                </a:solidFill>
              </a:ln>
            </c:spPr>
          </c:marker>
          <c:cat>
            <c:multiLvlStrRef>
              <c:f>'výkonnost odvětví 2'!$AD$34:$BJ$35</c:f>
              <c:multiLvlStrCache>
                <c:ptCount val="3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lvl>
                <c:lvl>
                  <c:pt idx="0">
                    <c:v>2018</c:v>
                  </c:pt>
                  <c:pt idx="4">
                    <c:v>2019</c:v>
                  </c:pt>
                  <c:pt idx="8">
                    <c:v>2020</c:v>
                  </c:pt>
                  <c:pt idx="12">
                    <c:v>2021</c:v>
                  </c:pt>
                  <c:pt idx="16">
                    <c:v>2022</c:v>
                  </c:pt>
                  <c:pt idx="20">
                    <c:v>2023</c:v>
                  </c:pt>
                  <c:pt idx="24">
                    <c:v>2024</c:v>
                  </c:pt>
                  <c:pt idx="28">
                    <c:v>2025</c:v>
                  </c:pt>
                  <c:pt idx="32">
                    <c:v>2026</c:v>
                  </c:pt>
                </c:lvl>
              </c:multiLvlStrCache>
            </c:multiLvlStrRef>
          </c:cat>
          <c:val>
            <c:numRef>
              <c:f>'výkonnost odvětví 2'!$AD$43:$BJ$43</c:f>
              <c:numCache>
                <c:formatCode>#\ ##0.0</c:formatCode>
                <c:ptCount val="33"/>
                <c:pt idx="0">
                  <c:v>3.7</c:v>
                </c:pt>
                <c:pt idx="1">
                  <c:v>2</c:v>
                </c:pt>
                <c:pt idx="2">
                  <c:v>2.2999999999999998</c:v>
                </c:pt>
                <c:pt idx="3">
                  <c:v>2.2999999999999998</c:v>
                </c:pt>
                <c:pt idx="4">
                  <c:v>0.3</c:v>
                </c:pt>
                <c:pt idx="5">
                  <c:v>-2</c:v>
                </c:pt>
                <c:pt idx="6">
                  <c:v>-3</c:v>
                </c:pt>
                <c:pt idx="7">
                  <c:v>-6.7</c:v>
                </c:pt>
                <c:pt idx="8">
                  <c:v>-5</c:v>
                </c:pt>
                <c:pt idx="9">
                  <c:v>-25</c:v>
                </c:pt>
                <c:pt idx="10">
                  <c:v>-6.3</c:v>
                </c:pt>
                <c:pt idx="11">
                  <c:v>-10</c:v>
                </c:pt>
                <c:pt idx="12">
                  <c:v>-1.3</c:v>
                </c:pt>
                <c:pt idx="13">
                  <c:v>5.3</c:v>
                </c:pt>
                <c:pt idx="14">
                  <c:v>-1.3</c:v>
                </c:pt>
                <c:pt idx="15">
                  <c:v>-5.3</c:v>
                </c:pt>
                <c:pt idx="16">
                  <c:v>-0.3</c:v>
                </c:pt>
                <c:pt idx="17">
                  <c:v>8.3000000000000007</c:v>
                </c:pt>
                <c:pt idx="18">
                  <c:v>-1.7</c:v>
                </c:pt>
                <c:pt idx="19">
                  <c:v>-8.3000000000000007</c:v>
                </c:pt>
                <c:pt idx="20">
                  <c:v>-10.1</c:v>
                </c:pt>
                <c:pt idx="21">
                  <c:v>-7</c:v>
                </c:pt>
                <c:pt idx="22">
                  <c:v>-7</c:v>
                </c:pt>
                <c:pt idx="23">
                  <c:v>-6</c:v>
                </c:pt>
                <c:pt idx="24">
                  <c:v>-14</c:v>
                </c:pt>
                <c:pt idx="25">
                  <c:v>-8.6999999999999993</c:v>
                </c:pt>
                <c:pt idx="26">
                  <c:v>-7.7</c:v>
                </c:pt>
                <c:pt idx="27">
                  <c:v>-8.3000000000000007</c:v>
                </c:pt>
                <c:pt idx="28">
                  <c:v>-6</c:v>
                </c:pt>
                <c:pt idx="29">
                  <c:v>-5.3</c:v>
                </c:pt>
                <c:pt idx="30">
                  <c:v>-6</c:v>
                </c:pt>
                <c:pt idx="31">
                  <c:v>-6.3</c:v>
                </c:pt>
                <c:pt idx="32">
                  <c:v>-2.2999999999999998</c:v>
                </c:pt>
              </c:numCache>
            </c:numRef>
          </c:val>
          <c:smooth val="0"/>
          <c:extLst>
            <c:ext xmlns:c16="http://schemas.microsoft.com/office/drawing/2014/chart" uri="{C3380CC4-5D6E-409C-BE32-E72D297353CC}">
              <c16:uniqueId val="{00000007-B64A-4067-B6E0-A04F333DFD9C}"/>
            </c:ext>
          </c:extLst>
        </c:ser>
        <c:dLbls>
          <c:showLegendKey val="0"/>
          <c:showVal val="0"/>
          <c:showCatName val="0"/>
          <c:showSerName val="0"/>
          <c:showPercent val="0"/>
          <c:showBubbleSize val="0"/>
        </c:dLbls>
        <c:marker val="1"/>
        <c:smooth val="0"/>
        <c:axId val="1239819375"/>
        <c:axId val="1239826863"/>
      </c:lineChart>
      <c:catAx>
        <c:axId val="112768128"/>
        <c:scaling>
          <c:orientation val="minMax"/>
        </c:scaling>
        <c:delete val="0"/>
        <c:axPos val="b"/>
        <c:numFmt formatCode="General" sourceLinked="1"/>
        <c:majorTickMark val="out"/>
        <c:minorTickMark val="none"/>
        <c:tickLblPos val="low"/>
        <c:crossAx val="112769664"/>
        <c:crosses val="autoZero"/>
        <c:auto val="1"/>
        <c:lblAlgn val="ctr"/>
        <c:lblOffset val="0"/>
        <c:noMultiLvlLbl val="0"/>
      </c:catAx>
      <c:valAx>
        <c:axId val="112769664"/>
        <c:scaling>
          <c:orientation val="minMax"/>
          <c:max val="100"/>
          <c:min val="-30"/>
        </c:scaling>
        <c:delete val="0"/>
        <c:axPos val="l"/>
        <c:majorGridlines>
          <c:spPr>
            <a:ln>
              <a:solidFill>
                <a:srgbClr val="BEBEBE"/>
              </a:solidFill>
            </a:ln>
          </c:spPr>
        </c:majorGridlines>
        <c:title>
          <c:tx>
            <c:rich>
              <a:bodyPr/>
              <a:lstStyle/>
              <a:p>
                <a:pPr>
                  <a:defRPr sz="700" b="0" i="1"/>
                </a:pPr>
                <a:r>
                  <a:rPr lang="cs-CZ" sz="700" b="0" i="1"/>
                  <a:t>Zakázky</a:t>
                </a:r>
              </a:p>
            </c:rich>
          </c:tx>
          <c:overlay val="0"/>
        </c:title>
        <c:numFmt formatCode="0" sourceLinked="0"/>
        <c:majorTickMark val="out"/>
        <c:minorTickMark val="none"/>
        <c:tickLblPos val="nextTo"/>
        <c:crossAx val="112768128"/>
        <c:crosses val="autoZero"/>
        <c:crossBetween val="between"/>
        <c:majorUnit val="10"/>
      </c:valAx>
      <c:valAx>
        <c:axId val="1239826863"/>
        <c:scaling>
          <c:orientation val="minMax"/>
          <c:max val="100"/>
          <c:min val="-30"/>
        </c:scaling>
        <c:delete val="0"/>
        <c:axPos val="r"/>
        <c:title>
          <c:tx>
            <c:rich>
              <a:bodyPr/>
              <a:lstStyle/>
              <a:p>
                <a:pPr marL="0" marR="0" lvl="0" indent="0" algn="ctr" defTabSz="914400" rtl="0" eaLnBrk="1" fontAlgn="auto" latinLnBrk="0" hangingPunct="1">
                  <a:lnSpc>
                    <a:spcPct val="100000"/>
                  </a:lnSpc>
                  <a:spcBef>
                    <a:spcPts val="0"/>
                  </a:spcBef>
                  <a:spcAft>
                    <a:spcPts val="0"/>
                  </a:spcAft>
                  <a:buClrTx/>
                  <a:buSzTx/>
                  <a:buFontTx/>
                  <a:buNone/>
                  <a:tabLst/>
                  <a:defRPr sz="700" b="0" i="1"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cs-CZ" sz="700" b="0" i="1"/>
                  <a:t>Využití výrob.</a:t>
                </a:r>
                <a:r>
                  <a:rPr lang="cs-CZ" sz="700" b="0" i="1" baseline="0"/>
                  <a:t> </a:t>
                </a:r>
                <a:r>
                  <a:rPr lang="cs-CZ" sz="700" b="0" i="1"/>
                  <a:t>kapacit, bariéry růstu, </a:t>
                </a:r>
                <a:r>
                  <a:rPr lang="cs-CZ" sz="700" b="0" i="1" baseline="0">
                    <a:effectLst/>
                  </a:rPr>
                  <a:t>saldo důvěry</a:t>
                </a:r>
                <a:endParaRPr lang="cs-CZ" sz="700" i="1">
                  <a:effectLst/>
                </a:endParaRPr>
              </a:p>
            </c:rich>
          </c:tx>
          <c:overlay val="0"/>
        </c:title>
        <c:numFmt formatCode="#,##0" sourceLinked="0"/>
        <c:majorTickMark val="out"/>
        <c:minorTickMark val="none"/>
        <c:tickLblPos val="nextTo"/>
        <c:crossAx val="1239819375"/>
        <c:crosses val="max"/>
        <c:crossBetween val="between"/>
        <c:majorUnit val="10"/>
      </c:valAx>
      <c:catAx>
        <c:axId val="1239819375"/>
        <c:scaling>
          <c:orientation val="minMax"/>
        </c:scaling>
        <c:delete val="1"/>
        <c:axPos val="b"/>
        <c:numFmt formatCode="General" sourceLinked="1"/>
        <c:majorTickMark val="out"/>
        <c:minorTickMark val="none"/>
        <c:tickLblPos val="nextTo"/>
        <c:crossAx val="1239826863"/>
        <c:crosses val="autoZero"/>
        <c:auto val="1"/>
        <c:lblAlgn val="ctr"/>
        <c:lblOffset val="100"/>
        <c:noMultiLvlLbl val="0"/>
      </c:catAx>
      <c:spPr>
        <a:noFill/>
        <a:ln w="6350">
          <a:solidFill>
            <a:prstClr val="black">
              <a:lumMod val="95000"/>
              <a:lumOff val="5000"/>
            </a:prstClr>
          </a:solidFill>
        </a:ln>
      </c:spPr>
    </c:plotArea>
    <c:legend>
      <c:legendPos val="r"/>
      <c:layout>
        <c:manualLayout>
          <c:xMode val="edge"/>
          <c:yMode val="edge"/>
          <c:x val="0"/>
          <c:y val="0.85237242835695315"/>
          <c:w val="0.9918210452108337"/>
          <c:h val="0.14064337133398228"/>
        </c:manualLayout>
      </c:layout>
      <c:overlay val="0"/>
      <c:spPr>
        <a:ln w="6350">
          <a:solidFill>
            <a:prstClr val="black">
              <a:lumMod val="95000"/>
              <a:lumOff val="5000"/>
            </a:prstClr>
          </a:solidFill>
        </a:ln>
      </c:spPr>
      <c:txPr>
        <a:bodyPr/>
        <a:lstStyle/>
        <a:p>
          <a:pPr>
            <a:defRPr sz="780"/>
          </a:pPr>
          <a:endParaRPr lang="cs-CZ"/>
        </a:p>
      </c:txPr>
    </c:legend>
    <c:plotVisOnly val="1"/>
    <c:dispBlanksAs val="gap"/>
    <c:showDLblsOverMax val="0"/>
  </c:chart>
  <c:spPr>
    <a:ln>
      <a:noFill/>
    </a:ln>
  </c:spPr>
  <c:txPr>
    <a:bodyPr/>
    <a:lstStyle/>
    <a:p>
      <a:pPr>
        <a:defRPr sz="800">
          <a:latin typeface="Arial" panose="020B0604020202020204" pitchFamily="34" charset="0"/>
          <a:cs typeface="Arial" panose="020B0604020202020204" pitchFamily="34" charset="0"/>
        </a:defRPr>
      </a:pPr>
      <a:endParaRPr lang="cs-CZ"/>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3695346289980312E-2"/>
          <c:y val="1.5663550999370279E-2"/>
          <c:w val="0.85237839893753009"/>
          <c:h val="0.75413191483370345"/>
        </c:manualLayout>
      </c:layout>
      <c:barChart>
        <c:barDir val="col"/>
        <c:grouping val="stacked"/>
        <c:varyColors val="0"/>
        <c:ser>
          <c:idx val="1"/>
          <c:order val="1"/>
          <c:tx>
            <c:strRef>
              <c:f>'výkonnost odvětví 3'!$Y$10</c:f>
              <c:strCache>
                <c:ptCount val="1"/>
                <c:pt idx="0">
                  <c:v>Pozemní stavitelství (příspěvek v p. b.)</c:v>
                </c:pt>
              </c:strCache>
            </c:strRef>
          </c:tx>
          <c:spPr>
            <a:solidFill>
              <a:srgbClr val="9FC9D7"/>
            </a:solidFill>
            <a:ln>
              <a:noFill/>
            </a:ln>
          </c:spPr>
          <c:invertIfNegative val="0"/>
          <c:cat>
            <c:multiLvlStrRef>
              <c:f>'výkonnost odvětví 3'!$V$39:$W$75</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'výkonnost odvětví 3'!$Y$39:$Y$75</c:f>
              <c:numCache>
                <c:formatCode>0.0</c:formatCode>
                <c:ptCount val="37"/>
                <c:pt idx="0">
                  <c:v>1.818439140996319</c:v>
                </c:pt>
                <c:pt idx="1">
                  <c:v>9.5161866462127662</c:v>
                </c:pt>
                <c:pt idx="2">
                  <c:v>3.2650480956647083</c:v>
                </c:pt>
                <c:pt idx="3">
                  <c:v>2.30805126241866</c:v>
                </c:pt>
                <c:pt idx="4">
                  <c:v>13.039459362857237</c:v>
                </c:pt>
                <c:pt idx="5">
                  <c:v>5.6850806062932753</c:v>
                </c:pt>
                <c:pt idx="6">
                  <c:v>7.036028465591686</c:v>
                </c:pt>
                <c:pt idx="7">
                  <c:v>2.3869078764089537</c:v>
                </c:pt>
                <c:pt idx="8">
                  <c:v>2.4727635166988868</c:v>
                </c:pt>
                <c:pt idx="9">
                  <c:v>2.9341574628565144</c:v>
                </c:pt>
                <c:pt idx="10">
                  <c:v>-0.67535503037810629</c:v>
                </c:pt>
                <c:pt idx="11">
                  <c:v>1.7116954805541678</c:v>
                </c:pt>
                <c:pt idx="12">
                  <c:v>-0.69584828605035332</c:v>
                </c:pt>
                <c:pt idx="13">
                  <c:v>-7.7523651360071959</c:v>
                </c:pt>
                <c:pt idx="14">
                  <c:v>-7.0746218433619372</c:v>
                </c:pt>
                <c:pt idx="15">
                  <c:v>-7.7412313848499075</c:v>
                </c:pt>
                <c:pt idx="16">
                  <c:v>-5.0660837283894127</c:v>
                </c:pt>
                <c:pt idx="17">
                  <c:v>2.4656819622014705</c:v>
                </c:pt>
                <c:pt idx="18">
                  <c:v>2.7078036992242112</c:v>
                </c:pt>
                <c:pt idx="19">
                  <c:v>5.3885116062898586</c:v>
                </c:pt>
                <c:pt idx="20">
                  <c:v>7.2599370375691361</c:v>
                </c:pt>
                <c:pt idx="21">
                  <c:v>3.5228521802835968</c:v>
                </c:pt>
                <c:pt idx="22">
                  <c:v>-0.76086526249632169</c:v>
                </c:pt>
                <c:pt idx="23">
                  <c:v>-1.4422238162798067</c:v>
                </c:pt>
                <c:pt idx="24">
                  <c:v>2.0785501415796661</c:v>
                </c:pt>
                <c:pt idx="25">
                  <c:v>-1.7940004523509017</c:v>
                </c:pt>
                <c:pt idx="26">
                  <c:v>-0.44420059250800503</c:v>
                </c:pt>
                <c:pt idx="27">
                  <c:v>-2.3463867721548444</c:v>
                </c:pt>
                <c:pt idx="28">
                  <c:v>-5.1543406570414874</c:v>
                </c:pt>
                <c:pt idx="29">
                  <c:v>-3.1463977386870448</c:v>
                </c:pt>
                <c:pt idx="30">
                  <c:v>-1.8872107153037683</c:v>
                </c:pt>
                <c:pt idx="31">
                  <c:v>1.6874158785106754</c:v>
                </c:pt>
                <c:pt idx="32">
                  <c:v>7.1050689620756158</c:v>
                </c:pt>
                <c:pt idx="33">
                  <c:v>7.3083691806545366</c:v>
                </c:pt>
                <c:pt idx="34">
                  <c:v>8.1561639741042313</c:v>
                </c:pt>
                <c:pt idx="35">
                  <c:v>4.934183736192943</c:v>
                </c:pt>
              </c:numCache>
            </c:numRef>
          </c:val>
          <c:extLst>
            <c:ext xmlns:c16="http://schemas.microsoft.com/office/drawing/2014/chart" uri="{C3380CC4-5D6E-409C-BE32-E72D297353CC}">
              <c16:uniqueId val="{00000000-41AE-4D82-9B11-74C60939CA59}"/>
            </c:ext>
          </c:extLst>
        </c:ser>
        <c:ser>
          <c:idx val="2"/>
          <c:order val="2"/>
          <c:tx>
            <c:strRef>
              <c:f>'výkonnost odvětví 3'!$Z$10</c:f>
              <c:strCache>
                <c:ptCount val="1"/>
                <c:pt idx="0">
                  <c:v>Inženýrské stavitelství (příspěvek v p. b.)</c:v>
                </c:pt>
              </c:strCache>
            </c:strRef>
          </c:tx>
          <c:spPr>
            <a:solidFill>
              <a:srgbClr val="009CB5"/>
            </a:solidFill>
            <a:ln>
              <a:noFill/>
            </a:ln>
          </c:spPr>
          <c:invertIfNegative val="0"/>
          <c:cat>
            <c:multiLvlStrRef>
              <c:f>'výkonnost odvětví 3'!$V$39:$W$75</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'výkonnost odvětví 3'!$Z$39:$Z$75</c:f>
              <c:numCache>
                <c:formatCode>0.0</c:formatCode>
                <c:ptCount val="37"/>
                <c:pt idx="0">
                  <c:v>-4.1473356084740605</c:v>
                </c:pt>
                <c:pt idx="1">
                  <c:v>-1.1362269417632547</c:v>
                </c:pt>
                <c:pt idx="2">
                  <c:v>-1.6997694917449739</c:v>
                </c:pt>
                <c:pt idx="3">
                  <c:v>0.18912136047288933</c:v>
                </c:pt>
                <c:pt idx="4">
                  <c:v>2.313855161184069</c:v>
                </c:pt>
                <c:pt idx="5">
                  <c:v>1.4433818342413158</c:v>
                </c:pt>
                <c:pt idx="6">
                  <c:v>5.805340800033207</c:v>
                </c:pt>
                <c:pt idx="7">
                  <c:v>2.0257219814852485</c:v>
                </c:pt>
                <c:pt idx="8">
                  <c:v>2.8832113797347176</c:v>
                </c:pt>
                <c:pt idx="9">
                  <c:v>2.2916559515195796</c:v>
                </c:pt>
                <c:pt idx="10">
                  <c:v>0.1275103650053056</c:v>
                </c:pt>
                <c:pt idx="11">
                  <c:v>0.80716183036284428</c:v>
                </c:pt>
                <c:pt idx="12">
                  <c:v>2.6239701687748576</c:v>
                </c:pt>
                <c:pt idx="13">
                  <c:v>0.26317263154607262</c:v>
                </c:pt>
                <c:pt idx="14">
                  <c:v>-3.3347590514483532</c:v>
                </c:pt>
                <c:pt idx="15">
                  <c:v>-0.42839190612109307</c:v>
                </c:pt>
                <c:pt idx="16">
                  <c:v>-0.39522301308242569</c:v>
                </c:pt>
                <c:pt idx="17">
                  <c:v>1.8600290235434405</c:v>
                </c:pt>
                <c:pt idx="18">
                  <c:v>0.52162218280948758</c:v>
                </c:pt>
                <c:pt idx="19">
                  <c:v>-1.0553579383328437</c:v>
                </c:pt>
                <c:pt idx="20">
                  <c:v>5.3542662490461961</c:v>
                </c:pt>
                <c:pt idx="21">
                  <c:v>1.3478592062038046</c:v>
                </c:pt>
                <c:pt idx="22">
                  <c:v>0.66736359398673328</c:v>
                </c:pt>
                <c:pt idx="23">
                  <c:v>1.4188446024940988</c:v>
                </c:pt>
                <c:pt idx="24">
                  <c:v>-3.8410888445248759</c:v>
                </c:pt>
                <c:pt idx="25">
                  <c:v>-2.3631236527439059</c:v>
                </c:pt>
                <c:pt idx="26">
                  <c:v>-0.13182183197812178</c:v>
                </c:pt>
                <c:pt idx="27">
                  <c:v>-0.56534456319622506</c:v>
                </c:pt>
                <c:pt idx="28">
                  <c:v>1.1608192067090914</c:v>
                </c:pt>
                <c:pt idx="29">
                  <c:v>-1.4573196686113525</c:v>
                </c:pt>
                <c:pt idx="30">
                  <c:v>0.30856458109758472</c:v>
                </c:pt>
                <c:pt idx="31">
                  <c:v>1.5095691516466947</c:v>
                </c:pt>
                <c:pt idx="32">
                  <c:v>2.8429452920484981</c:v>
                </c:pt>
                <c:pt idx="33">
                  <c:v>4.6745610681433529</c:v>
                </c:pt>
                <c:pt idx="34">
                  <c:v>5.5844079848996229</c:v>
                </c:pt>
                <c:pt idx="35">
                  <c:v>2.8341560537560264</c:v>
                </c:pt>
              </c:numCache>
            </c:numRef>
          </c:val>
          <c:extLst>
            <c:ext xmlns:c16="http://schemas.microsoft.com/office/drawing/2014/chart" uri="{C3380CC4-5D6E-409C-BE32-E72D297353CC}">
              <c16:uniqueId val="{00000001-41AE-4D82-9B11-74C60939CA59}"/>
            </c:ext>
          </c:extLst>
        </c:ser>
        <c:dLbls>
          <c:showLegendKey val="0"/>
          <c:showVal val="0"/>
          <c:showCatName val="0"/>
          <c:showSerName val="0"/>
          <c:showPercent val="0"/>
          <c:showBubbleSize val="0"/>
        </c:dLbls>
        <c:gapWidth val="30"/>
        <c:overlap val="100"/>
        <c:axId val="112768128"/>
        <c:axId val="112769664"/>
      </c:barChart>
      <c:lineChart>
        <c:grouping val="standard"/>
        <c:varyColors val="0"/>
        <c:ser>
          <c:idx val="0"/>
          <c:order val="0"/>
          <c:tx>
            <c:strRef>
              <c:f>'výkonnost odvětví 3'!$X$10</c:f>
              <c:strCache>
                <c:ptCount val="1"/>
                <c:pt idx="0">
                  <c:v>Celková stavební produkce</c:v>
                </c:pt>
              </c:strCache>
            </c:strRef>
          </c:tx>
          <c:spPr>
            <a:ln>
              <a:noFill/>
            </a:ln>
          </c:spPr>
          <c:marker>
            <c:symbol val="dash"/>
            <c:size val="5"/>
            <c:spPr>
              <a:solidFill>
                <a:schemeClr val="bg1"/>
              </a:solidFill>
              <a:ln>
                <a:solidFill>
                  <a:schemeClr val="tx1">
                    <a:lumMod val="95000"/>
                    <a:lumOff val="5000"/>
                  </a:schemeClr>
                </a:solidFill>
              </a:ln>
            </c:spPr>
          </c:marker>
          <c:cat>
            <c:multiLvlStrRef>
              <c:f>'výkonnost odvětví 3'!$V$39:$W$75</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'výkonnost odvětví 3'!$X$39:$X$75</c:f>
              <c:numCache>
                <c:formatCode>0.0</c:formatCode>
                <c:ptCount val="37"/>
                <c:pt idx="0">
                  <c:v>-2.3288964674777333</c:v>
                </c:pt>
                <c:pt idx="1">
                  <c:v>8.3799597044495187</c:v>
                </c:pt>
                <c:pt idx="2">
                  <c:v>1.5652786039197082</c:v>
                </c:pt>
                <c:pt idx="3">
                  <c:v>2.4971726228915543</c:v>
                </c:pt>
                <c:pt idx="4">
                  <c:v>15.353314524041323</c:v>
                </c:pt>
                <c:pt idx="5">
                  <c:v>7.1284624405346051</c:v>
                </c:pt>
                <c:pt idx="6">
                  <c:v>12.84136926562492</c:v>
                </c:pt>
                <c:pt idx="7">
                  <c:v>4.4126298578942169</c:v>
                </c:pt>
                <c:pt idx="8">
                  <c:v>5.355974896433608</c:v>
                </c:pt>
                <c:pt idx="9">
                  <c:v>5.2258134143760628</c:v>
                </c:pt>
                <c:pt idx="10">
                  <c:v>-0.54784466537280707</c:v>
                </c:pt>
                <c:pt idx="11">
                  <c:v>2.5188573109169852</c:v>
                </c:pt>
                <c:pt idx="12">
                  <c:v>1.9281218528000039</c:v>
                </c:pt>
                <c:pt idx="13">
                  <c:v>-7.489192773100001</c:v>
                </c:pt>
                <c:pt idx="14">
                  <c:v>-10.409380949899997</c:v>
                </c:pt>
                <c:pt idx="15">
                  <c:v>-8.1696229805999963</c:v>
                </c:pt>
                <c:pt idx="16">
                  <c:v>-5.448363291299998</c:v>
                </c:pt>
                <c:pt idx="17">
                  <c:v>4.340077427500006</c:v>
                </c:pt>
                <c:pt idx="18">
                  <c:v>3.2436634414000025</c:v>
                </c:pt>
                <c:pt idx="19">
                  <c:v>4.3475266303999973</c:v>
                </c:pt>
                <c:pt idx="20">
                  <c:v>12.614194286399993</c:v>
                </c:pt>
                <c:pt idx="21">
                  <c:v>4.8707077411999933</c:v>
                </c:pt>
                <c:pt idx="22">
                  <c:v>-9.3499784900004101E-2</c:v>
                </c:pt>
                <c:pt idx="23">
                  <c:v>-2.3343182600001455E-2</c:v>
                </c:pt>
                <c:pt idx="24">
                  <c:v>-1.7625549866999961</c:v>
                </c:pt>
                <c:pt idx="25">
                  <c:v>-4.1571301672999965</c:v>
                </c:pt>
                <c:pt idx="26">
                  <c:v>-0.57602261179999914</c:v>
                </c:pt>
                <c:pt idx="27">
                  <c:v>-2.9117254235000019</c:v>
                </c:pt>
                <c:pt idx="28">
                  <c:v>-3.993495977799995</c:v>
                </c:pt>
                <c:pt idx="29">
                  <c:v>-4.6037206132999984</c:v>
                </c:pt>
                <c:pt idx="30">
                  <c:v>-1.5786533195999937</c:v>
                </c:pt>
                <c:pt idx="31">
                  <c:v>3.1969845301999982</c:v>
                </c:pt>
                <c:pt idx="32">
                  <c:v>9.9480144370999994</c:v>
                </c:pt>
                <c:pt idx="33">
                  <c:v>11.982931347600001</c:v>
                </c:pt>
                <c:pt idx="34">
                  <c:v>13.740578300300001</c:v>
                </c:pt>
                <c:pt idx="35">
                  <c:v>7.7683406686000041</c:v>
                </c:pt>
              </c:numCache>
            </c:numRef>
          </c:val>
          <c:smooth val="0"/>
          <c:extLst>
            <c:ext xmlns:c16="http://schemas.microsoft.com/office/drawing/2014/chart" uri="{C3380CC4-5D6E-409C-BE32-E72D297353CC}">
              <c16:uniqueId val="{00000002-41AE-4D82-9B11-74C60939CA59}"/>
            </c:ext>
          </c:extLst>
        </c:ser>
        <c:ser>
          <c:idx val="3"/>
          <c:order val="3"/>
          <c:tx>
            <c:strRef>
              <c:f>'výkonnost odvětví 3'!$AA$10</c:f>
              <c:strCache>
                <c:ptCount val="1"/>
                <c:pt idx="0">
                  <c:v>Nové stavební zakázky v tuzemsku</c:v>
                </c:pt>
              </c:strCache>
            </c:strRef>
          </c:tx>
          <c:spPr>
            <a:ln w="9525">
              <a:solidFill>
                <a:schemeClr val="bg2">
                  <a:lumMod val="50000"/>
                </a:schemeClr>
              </a:solidFill>
              <a:prstDash val="sysDot"/>
            </a:ln>
          </c:spPr>
          <c:marker>
            <c:symbol val="circle"/>
            <c:size val="5"/>
            <c:spPr>
              <a:solidFill>
                <a:srgbClr val="85BF5E"/>
              </a:solidFill>
              <a:ln>
                <a:noFill/>
              </a:ln>
            </c:spPr>
          </c:marker>
          <c:cat>
            <c:multiLvlStrRef>
              <c:f>'výkonnost odvětví 3'!$V$39:$W$75</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'výkonnost odvětví 3'!$AA$39:$AA$75</c:f>
              <c:numCache>
                <c:formatCode>0.0</c:formatCode>
                <c:ptCount val="37"/>
                <c:pt idx="0">
                  <c:v>16.173746788552307</c:v>
                </c:pt>
                <c:pt idx="1">
                  <c:v>9.5373244037895972</c:v>
                </c:pt>
                <c:pt idx="2">
                  <c:v>-1.2817324431350698</c:v>
                </c:pt>
                <c:pt idx="3">
                  <c:v>15.620806693503823</c:v>
                </c:pt>
                <c:pt idx="4">
                  <c:v>30.10697387368856</c:v>
                </c:pt>
                <c:pt idx="5">
                  <c:v>32.836878110611963</c:v>
                </c:pt>
                <c:pt idx="6">
                  <c:v>5.2768249907951201</c:v>
                </c:pt>
                <c:pt idx="7">
                  <c:v>1.8944565811032277</c:v>
                </c:pt>
                <c:pt idx="8">
                  <c:v>14.157231796980014</c:v>
                </c:pt>
                <c:pt idx="9">
                  <c:v>-9.3844758149390373</c:v>
                </c:pt>
                <c:pt idx="10">
                  <c:v>17.407475242057217</c:v>
                </c:pt>
                <c:pt idx="11">
                  <c:v>5.8323004254463768</c:v>
                </c:pt>
                <c:pt idx="12">
                  <c:v>-12.441624458376552</c:v>
                </c:pt>
                <c:pt idx="13">
                  <c:v>7.4967780657944729</c:v>
                </c:pt>
                <c:pt idx="14">
                  <c:v>2.0603176860339403</c:v>
                </c:pt>
                <c:pt idx="15">
                  <c:v>7.5507850088630164</c:v>
                </c:pt>
                <c:pt idx="16">
                  <c:v>28.856340981154375</c:v>
                </c:pt>
                <c:pt idx="17">
                  <c:v>22.0478670382426</c:v>
                </c:pt>
                <c:pt idx="18">
                  <c:v>10.015015612184257</c:v>
                </c:pt>
                <c:pt idx="19">
                  <c:v>1.0053213537781147</c:v>
                </c:pt>
                <c:pt idx="20">
                  <c:v>13.067478460417888</c:v>
                </c:pt>
                <c:pt idx="21">
                  <c:v>17.619167772184284</c:v>
                </c:pt>
                <c:pt idx="22">
                  <c:v>12.421954480552543</c:v>
                </c:pt>
                <c:pt idx="23">
                  <c:v>13.031852753748723</c:v>
                </c:pt>
                <c:pt idx="24">
                  <c:v>-10.144501025957553</c:v>
                </c:pt>
                <c:pt idx="25">
                  <c:v>-18.697561390531931</c:v>
                </c:pt>
                <c:pt idx="26">
                  <c:v>27.514816854662854</c:v>
                </c:pt>
                <c:pt idx="27">
                  <c:v>9.3063425617587683</c:v>
                </c:pt>
                <c:pt idx="28">
                  <c:v>30.48574840110382</c:v>
                </c:pt>
                <c:pt idx="29">
                  <c:v>24.810378988741093</c:v>
                </c:pt>
                <c:pt idx="30">
                  <c:v>-2.1445567903011948</c:v>
                </c:pt>
                <c:pt idx="31">
                  <c:v>17.246427278094785</c:v>
                </c:pt>
                <c:pt idx="32">
                  <c:v>14.966548023920552</c:v>
                </c:pt>
                <c:pt idx="33">
                  <c:v>18.397953312123349</c:v>
                </c:pt>
                <c:pt idx="34">
                  <c:v>8.8509967247769197</c:v>
                </c:pt>
                <c:pt idx="35">
                  <c:v>-2.6142731987564503</c:v>
                </c:pt>
              </c:numCache>
            </c:numRef>
          </c:val>
          <c:smooth val="0"/>
          <c:extLst>
            <c:ext xmlns:c16="http://schemas.microsoft.com/office/drawing/2014/chart" uri="{C3380CC4-5D6E-409C-BE32-E72D297353CC}">
              <c16:uniqueId val="{00000003-41AE-4D82-9B11-74C60939CA59}"/>
            </c:ext>
          </c:extLst>
        </c:ser>
        <c:dLbls>
          <c:showLegendKey val="0"/>
          <c:showVal val="0"/>
          <c:showCatName val="0"/>
          <c:showSerName val="0"/>
          <c:showPercent val="0"/>
          <c:showBubbleSize val="0"/>
        </c:dLbls>
        <c:marker val="1"/>
        <c:smooth val="0"/>
        <c:axId val="112768128"/>
        <c:axId val="112769664"/>
      </c:lineChart>
      <c:lineChart>
        <c:grouping val="standard"/>
        <c:varyColors val="0"/>
        <c:ser>
          <c:idx val="4"/>
          <c:order val="4"/>
          <c:tx>
            <c:strRef>
              <c:f>'výkonnost odvětví 3'!$AB$10</c:f>
              <c:strCache>
                <c:ptCount val="1"/>
                <c:pt idx="0">
                  <c:v>Bariéra růstu: nedostatečná poptávka</c:v>
                </c:pt>
              </c:strCache>
            </c:strRef>
          </c:tx>
          <c:spPr>
            <a:ln w="15875">
              <a:solidFill>
                <a:srgbClr val="8390A7"/>
              </a:solidFill>
              <a:prstDash val="solid"/>
            </a:ln>
          </c:spPr>
          <c:marker>
            <c:symbol val="none"/>
          </c:marker>
          <c:cat>
            <c:multiLvlStrRef>
              <c:f>'výkonnost odvětví 3'!$V$39:$W$75</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'výkonnost odvětví 3'!$AB$39:$AB$75</c:f>
              <c:numCache>
                <c:formatCode>0.0</c:formatCode>
                <c:ptCount val="37"/>
                <c:pt idx="0">
                  <c:v>56</c:v>
                </c:pt>
                <c:pt idx="1">
                  <c:v>54</c:v>
                </c:pt>
                <c:pt idx="2">
                  <c:v>49.4</c:v>
                </c:pt>
                <c:pt idx="3">
                  <c:v>46.9</c:v>
                </c:pt>
                <c:pt idx="4">
                  <c:v>40</c:v>
                </c:pt>
                <c:pt idx="5">
                  <c:v>38.299999999999997</c:v>
                </c:pt>
                <c:pt idx="6">
                  <c:v>33.1</c:v>
                </c:pt>
                <c:pt idx="7">
                  <c:v>24.9</c:v>
                </c:pt>
                <c:pt idx="8">
                  <c:v>25.9</c:v>
                </c:pt>
                <c:pt idx="9">
                  <c:v>25.3</c:v>
                </c:pt>
                <c:pt idx="10">
                  <c:v>19.899999999999999</c:v>
                </c:pt>
                <c:pt idx="11">
                  <c:v>20.7</c:v>
                </c:pt>
                <c:pt idx="12">
                  <c:v>29.7</c:v>
                </c:pt>
                <c:pt idx="13">
                  <c:v>30.3</c:v>
                </c:pt>
                <c:pt idx="14">
                  <c:v>37.9</c:v>
                </c:pt>
                <c:pt idx="15">
                  <c:v>38.200000000000003</c:v>
                </c:pt>
                <c:pt idx="16">
                  <c:v>30.4</c:v>
                </c:pt>
                <c:pt idx="17">
                  <c:v>33.5</c:v>
                </c:pt>
                <c:pt idx="18">
                  <c:v>23.7</c:v>
                </c:pt>
                <c:pt idx="19">
                  <c:v>20</c:v>
                </c:pt>
                <c:pt idx="20">
                  <c:v>21.1</c:v>
                </c:pt>
                <c:pt idx="21">
                  <c:v>20.2</c:v>
                </c:pt>
                <c:pt idx="22">
                  <c:v>19.8</c:v>
                </c:pt>
                <c:pt idx="23">
                  <c:v>22.2</c:v>
                </c:pt>
                <c:pt idx="24">
                  <c:v>30.5</c:v>
                </c:pt>
                <c:pt idx="25">
                  <c:v>31.5</c:v>
                </c:pt>
                <c:pt idx="26">
                  <c:v>34.4</c:v>
                </c:pt>
                <c:pt idx="27">
                  <c:v>29.2</c:v>
                </c:pt>
                <c:pt idx="28">
                  <c:v>22.6</c:v>
                </c:pt>
                <c:pt idx="29">
                  <c:v>22.5</c:v>
                </c:pt>
                <c:pt idx="30">
                  <c:v>23.3</c:v>
                </c:pt>
                <c:pt idx="31">
                  <c:v>25.2</c:v>
                </c:pt>
                <c:pt idx="32">
                  <c:v>26</c:v>
                </c:pt>
                <c:pt idx="33">
                  <c:v>34</c:v>
                </c:pt>
                <c:pt idx="34">
                  <c:v>31.6</c:v>
                </c:pt>
                <c:pt idx="35">
                  <c:v>32.9</c:v>
                </c:pt>
                <c:pt idx="36">
                  <c:v>31.5</c:v>
                </c:pt>
              </c:numCache>
            </c:numRef>
          </c:val>
          <c:smooth val="0"/>
          <c:extLst>
            <c:ext xmlns:c16="http://schemas.microsoft.com/office/drawing/2014/chart" uri="{C3380CC4-5D6E-409C-BE32-E72D297353CC}">
              <c16:uniqueId val="{00000004-41AE-4D82-9B11-74C60939CA59}"/>
            </c:ext>
          </c:extLst>
        </c:ser>
        <c:ser>
          <c:idx val="5"/>
          <c:order val="5"/>
          <c:tx>
            <c:strRef>
              <c:f>'výkonnost odvětví 3'!$AC$10</c:f>
              <c:strCache>
                <c:ptCount val="1"/>
                <c:pt idx="0">
                  <c:v>Bariéra růstu: nedostatek pracovníků</c:v>
                </c:pt>
              </c:strCache>
            </c:strRef>
          </c:tx>
          <c:spPr>
            <a:ln w="15875">
              <a:solidFill>
                <a:srgbClr val="858972"/>
              </a:solidFill>
              <a:prstDash val="sysDash"/>
            </a:ln>
          </c:spPr>
          <c:marker>
            <c:symbol val="none"/>
          </c:marker>
          <c:cat>
            <c:multiLvlStrRef>
              <c:f>'výkonnost odvětví 3'!$V$39:$W$75</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'výkonnost odvětví 3'!$AC$39:$AC$75</c:f>
              <c:numCache>
                <c:formatCode>0.0</c:formatCode>
                <c:ptCount val="37"/>
                <c:pt idx="0">
                  <c:v>13.6</c:v>
                </c:pt>
                <c:pt idx="1">
                  <c:v>14.8</c:v>
                </c:pt>
                <c:pt idx="2">
                  <c:v>21.9</c:v>
                </c:pt>
                <c:pt idx="3">
                  <c:v>21.5</c:v>
                </c:pt>
                <c:pt idx="4">
                  <c:v>26.4</c:v>
                </c:pt>
                <c:pt idx="5">
                  <c:v>30.1</c:v>
                </c:pt>
                <c:pt idx="6">
                  <c:v>28.8</c:v>
                </c:pt>
                <c:pt idx="7">
                  <c:v>38.9</c:v>
                </c:pt>
                <c:pt idx="8">
                  <c:v>35.6</c:v>
                </c:pt>
                <c:pt idx="9">
                  <c:v>43.4</c:v>
                </c:pt>
                <c:pt idx="10">
                  <c:v>51</c:v>
                </c:pt>
                <c:pt idx="11">
                  <c:v>47</c:v>
                </c:pt>
                <c:pt idx="12">
                  <c:v>50.5</c:v>
                </c:pt>
                <c:pt idx="13">
                  <c:v>46</c:v>
                </c:pt>
                <c:pt idx="14">
                  <c:v>36.299999999999997</c:v>
                </c:pt>
                <c:pt idx="15">
                  <c:v>32.6</c:v>
                </c:pt>
                <c:pt idx="16">
                  <c:v>46.6</c:v>
                </c:pt>
                <c:pt idx="17">
                  <c:v>31.7</c:v>
                </c:pt>
                <c:pt idx="18">
                  <c:v>41.9</c:v>
                </c:pt>
                <c:pt idx="19">
                  <c:v>43.2</c:v>
                </c:pt>
                <c:pt idx="20">
                  <c:v>55.6</c:v>
                </c:pt>
                <c:pt idx="21">
                  <c:v>44.3</c:v>
                </c:pt>
                <c:pt idx="22">
                  <c:v>40</c:v>
                </c:pt>
                <c:pt idx="23">
                  <c:v>48.1</c:v>
                </c:pt>
                <c:pt idx="24">
                  <c:v>38.4</c:v>
                </c:pt>
                <c:pt idx="25">
                  <c:v>35.5</c:v>
                </c:pt>
                <c:pt idx="26">
                  <c:v>30.8</c:v>
                </c:pt>
                <c:pt idx="27">
                  <c:v>31.5</c:v>
                </c:pt>
                <c:pt idx="28">
                  <c:v>52.8</c:v>
                </c:pt>
                <c:pt idx="29">
                  <c:v>46.7</c:v>
                </c:pt>
                <c:pt idx="30">
                  <c:v>42.8</c:v>
                </c:pt>
                <c:pt idx="31">
                  <c:v>42.6</c:v>
                </c:pt>
                <c:pt idx="32">
                  <c:v>53.7</c:v>
                </c:pt>
                <c:pt idx="33">
                  <c:v>49.3</c:v>
                </c:pt>
                <c:pt idx="34">
                  <c:v>46.7</c:v>
                </c:pt>
                <c:pt idx="35">
                  <c:v>43.8</c:v>
                </c:pt>
                <c:pt idx="36">
                  <c:v>56.6</c:v>
                </c:pt>
              </c:numCache>
            </c:numRef>
          </c:val>
          <c:smooth val="0"/>
          <c:extLst>
            <c:ext xmlns:c16="http://schemas.microsoft.com/office/drawing/2014/chart" uri="{C3380CC4-5D6E-409C-BE32-E72D297353CC}">
              <c16:uniqueId val="{00000005-41AE-4D82-9B11-74C60939CA59}"/>
            </c:ext>
          </c:extLst>
        </c:ser>
        <c:ser>
          <c:idx val="6"/>
          <c:order val="6"/>
          <c:tx>
            <c:strRef>
              <c:f>'výkonnost odvětví 3'!$AD$10</c:f>
              <c:strCache>
                <c:ptCount val="1"/>
                <c:pt idx="0">
                  <c:v>Bariéra růstu: nedost. materiálu a vybavení</c:v>
                </c:pt>
              </c:strCache>
            </c:strRef>
          </c:tx>
          <c:spPr>
            <a:ln w="15875">
              <a:solidFill>
                <a:srgbClr val="B8BBC0"/>
              </a:solidFill>
              <a:prstDash val="dash"/>
            </a:ln>
          </c:spPr>
          <c:marker>
            <c:symbol val="none"/>
          </c:marker>
          <c:cat>
            <c:multiLvlStrRef>
              <c:f>'výkonnost odvětví 3'!$V$39:$W$75</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'výkonnost odvětví 3'!$AD$39:$AD$75</c:f>
              <c:numCache>
                <c:formatCode>0.0</c:formatCode>
                <c:ptCount val="37"/>
                <c:pt idx="0">
                  <c:v>0.8</c:v>
                </c:pt>
                <c:pt idx="1">
                  <c:v>0.3</c:v>
                </c:pt>
                <c:pt idx="2">
                  <c:v>2.8</c:v>
                </c:pt>
                <c:pt idx="3">
                  <c:v>4</c:v>
                </c:pt>
                <c:pt idx="4">
                  <c:v>6</c:v>
                </c:pt>
                <c:pt idx="5">
                  <c:v>1.2</c:v>
                </c:pt>
                <c:pt idx="6">
                  <c:v>6.3</c:v>
                </c:pt>
                <c:pt idx="7">
                  <c:v>3.3</c:v>
                </c:pt>
                <c:pt idx="8">
                  <c:v>4.8</c:v>
                </c:pt>
                <c:pt idx="9">
                  <c:v>5.7</c:v>
                </c:pt>
                <c:pt idx="10">
                  <c:v>4.8</c:v>
                </c:pt>
                <c:pt idx="11">
                  <c:v>3.8</c:v>
                </c:pt>
                <c:pt idx="12">
                  <c:v>2.4</c:v>
                </c:pt>
                <c:pt idx="13">
                  <c:v>3.4</c:v>
                </c:pt>
                <c:pt idx="14">
                  <c:v>0.8</c:v>
                </c:pt>
                <c:pt idx="15">
                  <c:v>0.6</c:v>
                </c:pt>
                <c:pt idx="16">
                  <c:v>1.8</c:v>
                </c:pt>
                <c:pt idx="17">
                  <c:v>4.3</c:v>
                </c:pt>
                <c:pt idx="18">
                  <c:v>15.8</c:v>
                </c:pt>
                <c:pt idx="19">
                  <c:v>22.6</c:v>
                </c:pt>
                <c:pt idx="20">
                  <c:v>25.2</c:v>
                </c:pt>
                <c:pt idx="21">
                  <c:v>41.3</c:v>
                </c:pt>
                <c:pt idx="22">
                  <c:v>38.1</c:v>
                </c:pt>
                <c:pt idx="23">
                  <c:v>23.2</c:v>
                </c:pt>
                <c:pt idx="24">
                  <c:v>20</c:v>
                </c:pt>
                <c:pt idx="25">
                  <c:v>17</c:v>
                </c:pt>
                <c:pt idx="26">
                  <c:v>12.5</c:v>
                </c:pt>
                <c:pt idx="27">
                  <c:v>13.8</c:v>
                </c:pt>
                <c:pt idx="28">
                  <c:v>23</c:v>
                </c:pt>
                <c:pt idx="29">
                  <c:v>22.2</c:v>
                </c:pt>
                <c:pt idx="30">
                  <c:v>21.7</c:v>
                </c:pt>
                <c:pt idx="31">
                  <c:v>17.899999999999999</c:v>
                </c:pt>
                <c:pt idx="32">
                  <c:v>16</c:v>
                </c:pt>
                <c:pt idx="33">
                  <c:v>5.3</c:v>
                </c:pt>
                <c:pt idx="34">
                  <c:v>5.3</c:v>
                </c:pt>
                <c:pt idx="35">
                  <c:v>4.2</c:v>
                </c:pt>
                <c:pt idx="36">
                  <c:v>4.3</c:v>
                </c:pt>
              </c:numCache>
            </c:numRef>
          </c:val>
          <c:smooth val="0"/>
          <c:extLst>
            <c:ext xmlns:c16="http://schemas.microsoft.com/office/drawing/2014/chart" uri="{C3380CC4-5D6E-409C-BE32-E72D297353CC}">
              <c16:uniqueId val="{00000006-41AE-4D82-9B11-74C60939CA59}"/>
            </c:ext>
          </c:extLst>
        </c:ser>
        <c:ser>
          <c:idx val="7"/>
          <c:order val="7"/>
          <c:tx>
            <c:strRef>
              <c:f>'výkonnost odvětví 3'!$AE$10</c:f>
              <c:strCache>
                <c:ptCount val="1"/>
                <c:pt idx="0">
                  <c:v>Saldo indikátoru důvěry ve stavebnictví</c:v>
                </c:pt>
              </c:strCache>
            </c:strRef>
          </c:tx>
          <c:spPr>
            <a:ln w="15875">
              <a:solidFill>
                <a:schemeClr val="bg2">
                  <a:lumMod val="50000"/>
                </a:schemeClr>
              </a:solidFill>
              <a:prstDash val="sysDot"/>
            </a:ln>
          </c:spPr>
          <c:marker>
            <c:symbol val="diamond"/>
            <c:size val="5"/>
            <c:spPr>
              <a:solidFill>
                <a:srgbClr val="E6C45B"/>
              </a:solidFill>
              <a:ln>
                <a:solidFill>
                  <a:srgbClr val="E6C45B"/>
                </a:solidFill>
              </a:ln>
            </c:spPr>
          </c:marker>
          <c:cat>
            <c:multiLvlStrRef>
              <c:f>'výkonnost odvětví 3'!$V$39:$W$75</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'výkonnost odvětví 3'!$AE$39:$AE$75</c:f>
              <c:numCache>
                <c:formatCode>0.0</c:formatCode>
                <c:ptCount val="37"/>
                <c:pt idx="0">
                  <c:v>-22.5</c:v>
                </c:pt>
                <c:pt idx="1">
                  <c:v>-24.5</c:v>
                </c:pt>
                <c:pt idx="2">
                  <c:v>-18.5</c:v>
                </c:pt>
                <c:pt idx="3">
                  <c:v>-15</c:v>
                </c:pt>
                <c:pt idx="4">
                  <c:v>-9</c:v>
                </c:pt>
                <c:pt idx="5">
                  <c:v>-6</c:v>
                </c:pt>
                <c:pt idx="6">
                  <c:v>-2</c:v>
                </c:pt>
                <c:pt idx="7">
                  <c:v>1</c:v>
                </c:pt>
                <c:pt idx="8">
                  <c:v>3.5</c:v>
                </c:pt>
                <c:pt idx="9">
                  <c:v>4</c:v>
                </c:pt>
                <c:pt idx="10">
                  <c:v>-1</c:v>
                </c:pt>
                <c:pt idx="11">
                  <c:v>1</c:v>
                </c:pt>
                <c:pt idx="12">
                  <c:v>-3</c:v>
                </c:pt>
                <c:pt idx="13">
                  <c:v>-15</c:v>
                </c:pt>
                <c:pt idx="14">
                  <c:v>-13</c:v>
                </c:pt>
                <c:pt idx="15">
                  <c:v>-11.5</c:v>
                </c:pt>
                <c:pt idx="16">
                  <c:v>-6</c:v>
                </c:pt>
                <c:pt idx="17">
                  <c:v>-5.5</c:v>
                </c:pt>
                <c:pt idx="18">
                  <c:v>-4.5</c:v>
                </c:pt>
                <c:pt idx="19">
                  <c:v>-6.5</c:v>
                </c:pt>
                <c:pt idx="20">
                  <c:v>6.5</c:v>
                </c:pt>
                <c:pt idx="21">
                  <c:v>-2</c:v>
                </c:pt>
                <c:pt idx="22">
                  <c:v>-9</c:v>
                </c:pt>
                <c:pt idx="23">
                  <c:v>-4.5</c:v>
                </c:pt>
                <c:pt idx="24">
                  <c:v>-11.5</c:v>
                </c:pt>
                <c:pt idx="25">
                  <c:v>-15.5</c:v>
                </c:pt>
                <c:pt idx="26">
                  <c:v>-16.5</c:v>
                </c:pt>
                <c:pt idx="27">
                  <c:v>-11</c:v>
                </c:pt>
                <c:pt idx="28">
                  <c:v>-7</c:v>
                </c:pt>
                <c:pt idx="29">
                  <c:v>-14</c:v>
                </c:pt>
                <c:pt idx="30">
                  <c:v>-12</c:v>
                </c:pt>
                <c:pt idx="31">
                  <c:v>-5</c:v>
                </c:pt>
                <c:pt idx="32">
                  <c:v>-4</c:v>
                </c:pt>
                <c:pt idx="33">
                  <c:v>-4</c:v>
                </c:pt>
                <c:pt idx="34">
                  <c:v>2.5</c:v>
                </c:pt>
                <c:pt idx="35">
                  <c:v>-4.5</c:v>
                </c:pt>
                <c:pt idx="36">
                  <c:v>-2</c:v>
                </c:pt>
              </c:numCache>
            </c:numRef>
          </c:val>
          <c:smooth val="0"/>
          <c:extLst>
            <c:ext xmlns:c16="http://schemas.microsoft.com/office/drawing/2014/chart" uri="{C3380CC4-5D6E-409C-BE32-E72D297353CC}">
              <c16:uniqueId val="{00000007-41AE-4D82-9B11-74C60939CA59}"/>
            </c:ext>
          </c:extLst>
        </c:ser>
        <c:dLbls>
          <c:showLegendKey val="0"/>
          <c:showVal val="0"/>
          <c:showCatName val="0"/>
          <c:showSerName val="0"/>
          <c:showPercent val="0"/>
          <c:showBubbleSize val="0"/>
        </c:dLbls>
        <c:marker val="1"/>
        <c:smooth val="0"/>
        <c:axId val="1118074639"/>
        <c:axId val="1118080463"/>
      </c:lineChart>
      <c:catAx>
        <c:axId val="112768128"/>
        <c:scaling>
          <c:orientation val="minMax"/>
        </c:scaling>
        <c:delete val="0"/>
        <c:axPos val="b"/>
        <c:numFmt formatCode="General" sourceLinked="1"/>
        <c:majorTickMark val="out"/>
        <c:minorTickMark val="none"/>
        <c:tickLblPos val="low"/>
        <c:txPr>
          <a:bodyPr/>
          <a:lstStyle/>
          <a:p>
            <a:pPr>
              <a:defRPr sz="800">
                <a:latin typeface="Arial" pitchFamily="34" charset="0"/>
                <a:cs typeface="Arial" pitchFamily="34" charset="0"/>
              </a:defRPr>
            </a:pPr>
            <a:endParaRPr lang="cs-CZ"/>
          </a:p>
        </c:txPr>
        <c:crossAx val="112769664"/>
        <c:crosses val="autoZero"/>
        <c:auto val="1"/>
        <c:lblAlgn val="ctr"/>
        <c:lblOffset val="0"/>
        <c:noMultiLvlLbl val="0"/>
      </c:catAx>
      <c:valAx>
        <c:axId val="112769664"/>
        <c:scaling>
          <c:orientation val="minMax"/>
          <c:max val="70"/>
          <c:min val="-20"/>
        </c:scaling>
        <c:delete val="0"/>
        <c:axPos val="l"/>
        <c:majorGridlines>
          <c:spPr>
            <a:ln>
              <a:solidFill>
                <a:srgbClr val="BEBEBE"/>
              </a:solidFill>
            </a:ln>
          </c:spPr>
        </c:majorGridlines>
        <c:title>
          <c:tx>
            <c:rich>
              <a:bodyPr/>
              <a:lstStyle/>
              <a:p>
                <a:pPr>
                  <a:defRPr sz="700" b="0" i="1">
                    <a:latin typeface="Arial" panose="020B0604020202020204" pitchFamily="34" charset="0"/>
                    <a:cs typeface="Arial" panose="020B0604020202020204" pitchFamily="34" charset="0"/>
                  </a:defRPr>
                </a:pPr>
                <a:r>
                  <a:rPr lang="cs-CZ" sz="700" b="0" i="1">
                    <a:latin typeface="Arial" panose="020B0604020202020204" pitchFamily="34" charset="0"/>
                    <a:cs typeface="Arial" panose="020B0604020202020204" pitchFamily="34" charset="0"/>
                  </a:rPr>
                  <a:t>Zakázky, příspěvky k změně stavební produkce</a:t>
                </a:r>
              </a:p>
            </c:rich>
          </c:tx>
          <c:overlay val="0"/>
        </c:title>
        <c:numFmt formatCode="0" sourceLinked="0"/>
        <c:majorTickMark val="out"/>
        <c:minorTickMark val="none"/>
        <c:tickLblPos val="nextTo"/>
        <c:txPr>
          <a:bodyPr/>
          <a:lstStyle/>
          <a:p>
            <a:pPr>
              <a:defRPr sz="800">
                <a:latin typeface="Arial" pitchFamily="34" charset="0"/>
                <a:cs typeface="Arial" pitchFamily="34" charset="0"/>
              </a:defRPr>
            </a:pPr>
            <a:endParaRPr lang="cs-CZ"/>
          </a:p>
        </c:txPr>
        <c:crossAx val="112768128"/>
        <c:crosses val="autoZero"/>
        <c:crossBetween val="between"/>
        <c:majorUnit val="10"/>
      </c:valAx>
      <c:valAx>
        <c:axId val="1118080463"/>
        <c:scaling>
          <c:orientation val="minMax"/>
          <c:max val="80"/>
          <c:min val="-100"/>
        </c:scaling>
        <c:delete val="0"/>
        <c:axPos val="r"/>
        <c:title>
          <c:tx>
            <c:rich>
              <a:bodyPr/>
              <a:lstStyle/>
              <a:p>
                <a:pPr>
                  <a:defRPr sz="700" b="0" i="1">
                    <a:latin typeface="Arial" panose="020B0604020202020204" pitchFamily="34" charset="0"/>
                    <a:cs typeface="Arial" panose="020B0604020202020204" pitchFamily="34" charset="0"/>
                  </a:defRPr>
                </a:pPr>
                <a:r>
                  <a:rPr lang="cs-CZ" sz="700" b="0" i="1">
                    <a:latin typeface="Arial" panose="020B0604020202020204" pitchFamily="34" charset="0"/>
                    <a:cs typeface="Arial" panose="020B0604020202020204" pitchFamily="34" charset="0"/>
                  </a:rPr>
                  <a:t>Saldo důvěry, bariéry růstu</a:t>
                </a:r>
              </a:p>
            </c:rich>
          </c:tx>
          <c:overlay val="0"/>
        </c:title>
        <c:numFmt formatCode="0" sourceLinked="0"/>
        <c:majorTickMark val="out"/>
        <c:minorTickMark val="none"/>
        <c:tickLblPos val="nextTo"/>
        <c:txPr>
          <a:bodyPr/>
          <a:lstStyle/>
          <a:p>
            <a:pPr>
              <a:defRPr sz="800">
                <a:latin typeface="Arial" panose="020B0604020202020204" pitchFamily="34" charset="0"/>
                <a:cs typeface="Arial" panose="020B0604020202020204" pitchFamily="34" charset="0"/>
              </a:defRPr>
            </a:pPr>
            <a:endParaRPr lang="cs-CZ"/>
          </a:p>
        </c:txPr>
        <c:crossAx val="1118074639"/>
        <c:crosses val="max"/>
        <c:crossBetween val="between"/>
        <c:majorUnit val="20"/>
      </c:valAx>
      <c:catAx>
        <c:axId val="1118074639"/>
        <c:scaling>
          <c:orientation val="minMax"/>
        </c:scaling>
        <c:delete val="1"/>
        <c:axPos val="b"/>
        <c:numFmt formatCode="General" sourceLinked="1"/>
        <c:majorTickMark val="out"/>
        <c:minorTickMark val="none"/>
        <c:tickLblPos val="nextTo"/>
        <c:crossAx val="1118080463"/>
        <c:crosses val="autoZero"/>
        <c:auto val="1"/>
        <c:lblAlgn val="ctr"/>
        <c:lblOffset val="100"/>
        <c:noMultiLvlLbl val="0"/>
      </c:catAx>
      <c:spPr>
        <a:noFill/>
        <a:ln w="6350">
          <a:solidFill>
            <a:prstClr val="black">
              <a:lumMod val="95000"/>
              <a:lumOff val="5000"/>
            </a:prstClr>
          </a:solidFill>
        </a:ln>
      </c:spPr>
    </c:plotArea>
    <c:legend>
      <c:legendPos val="r"/>
      <c:layout>
        <c:manualLayout>
          <c:xMode val="edge"/>
          <c:yMode val="edge"/>
          <c:x val="7.6126793553942364E-3"/>
          <c:y val="0.85936703322638608"/>
          <c:w val="0.9801437714811797"/>
          <c:h val="0.13362821778942557"/>
        </c:manualLayout>
      </c:layout>
      <c:overlay val="0"/>
      <c:spPr>
        <a:ln w="6350">
          <a:solidFill>
            <a:prstClr val="black">
              <a:lumMod val="95000"/>
              <a:lumOff val="5000"/>
            </a:prstClr>
          </a:solidFill>
        </a:ln>
      </c:spPr>
      <c:txPr>
        <a:bodyPr/>
        <a:lstStyle/>
        <a:p>
          <a:pPr>
            <a:defRPr sz="750">
              <a:latin typeface="Arial" pitchFamily="34" charset="0"/>
              <a:cs typeface="Arial" pitchFamily="34" charset="0"/>
            </a:defRPr>
          </a:pPr>
          <a:endParaRPr lang="cs-CZ"/>
        </a:p>
      </c:txPr>
    </c:legend>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3695346289980312E-2"/>
          <c:y val="1.5663550999370279E-2"/>
          <c:w val="0.85237839893753009"/>
          <c:h val="0.72173975637017407"/>
        </c:manualLayout>
      </c:layout>
      <c:barChart>
        <c:barDir val="col"/>
        <c:grouping val="stacked"/>
        <c:varyColors val="0"/>
        <c:ser>
          <c:idx val="1"/>
          <c:order val="1"/>
          <c:tx>
            <c:strRef>
              <c:f>'Služby-příspěvky k růstu-4'!$D$33</c:f>
              <c:strCache>
                <c:ptCount val="1"/>
                <c:pt idx="0">
                  <c:v>Doprava a skladování (p. b.)</c:v>
                </c:pt>
              </c:strCache>
            </c:strRef>
          </c:tx>
          <c:spPr>
            <a:solidFill>
              <a:srgbClr val="85BF5E"/>
            </a:solidFill>
            <a:ln>
              <a:noFill/>
            </a:ln>
          </c:spPr>
          <c:invertIfNegative val="0"/>
          <c:cat>
            <c:multiLvlStrRef>
              <c:f>'Služby-příspěvky k růstu-4'!$A$54:$B$90</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'Služby-příspěvky k růstu-4'!$D$54:$D$90</c:f>
              <c:numCache>
                <c:formatCode>0.0</c:formatCode>
                <c:ptCount val="37"/>
                <c:pt idx="0">
                  <c:v>1.5263972119400016</c:v>
                </c:pt>
                <c:pt idx="1">
                  <c:v>1.1521454566619995</c:v>
                </c:pt>
                <c:pt idx="2">
                  <c:v>1.0720497862294982</c:v>
                </c:pt>
                <c:pt idx="3">
                  <c:v>0.58918413629500188</c:v>
                </c:pt>
                <c:pt idx="4">
                  <c:v>1.7082299710979987</c:v>
                </c:pt>
                <c:pt idx="5">
                  <c:v>1.8083069263660012</c:v>
                </c:pt>
                <c:pt idx="6">
                  <c:v>1.4974720441600007</c:v>
                </c:pt>
                <c:pt idx="7">
                  <c:v>0.47561421751099942</c:v>
                </c:pt>
                <c:pt idx="8">
                  <c:v>8.7578802067999673E-2</c:v>
                </c:pt>
                <c:pt idx="9">
                  <c:v>-0.12479570965699863</c:v>
                </c:pt>
                <c:pt idx="10">
                  <c:v>-0.33009412391300075</c:v>
                </c:pt>
                <c:pt idx="11">
                  <c:v>-6.4047576908001405E-2</c:v>
                </c:pt>
                <c:pt idx="12">
                  <c:v>-1.5377184525560006</c:v>
                </c:pt>
                <c:pt idx="13">
                  <c:v>-6.3637634696130005</c:v>
                </c:pt>
                <c:pt idx="14">
                  <c:v>-3.934521076104728</c:v>
                </c:pt>
                <c:pt idx="15">
                  <c:v>-1.3585310721215986</c:v>
                </c:pt>
                <c:pt idx="16">
                  <c:v>0.3485705495405001</c:v>
                </c:pt>
                <c:pt idx="17">
                  <c:v>6.4654016349024008</c:v>
                </c:pt>
                <c:pt idx="18">
                  <c:v>3.6945235606700009</c:v>
                </c:pt>
                <c:pt idx="19">
                  <c:v>3.3121137866018078</c:v>
                </c:pt>
                <c:pt idx="20">
                  <c:v>3.941437873437065</c:v>
                </c:pt>
                <c:pt idx="21">
                  <c:v>4.0146538354025321</c:v>
                </c:pt>
                <c:pt idx="22">
                  <c:v>3.2327008007835936</c:v>
                </c:pt>
                <c:pt idx="23">
                  <c:v>0.6986528346455998</c:v>
                </c:pt>
                <c:pt idx="24">
                  <c:v>-1.2205103635839987</c:v>
                </c:pt>
                <c:pt idx="25">
                  <c:v>-3.0846310875990697</c:v>
                </c:pt>
                <c:pt idx="26">
                  <c:v>-3.4620811413295405</c:v>
                </c:pt>
                <c:pt idx="27">
                  <c:v>-2.6102747168486595</c:v>
                </c:pt>
                <c:pt idx="28">
                  <c:v>0.23136625295890914</c:v>
                </c:pt>
                <c:pt idx="29">
                  <c:v>1.1297570185805759</c:v>
                </c:pt>
                <c:pt idx="30">
                  <c:v>1.5852865187527032</c:v>
                </c:pt>
                <c:pt idx="31">
                  <c:v>1.3972952454802492</c:v>
                </c:pt>
                <c:pt idx="32">
                  <c:v>0.80326947943739524</c:v>
                </c:pt>
                <c:pt idx="33">
                  <c:v>0.54008314934182355</c:v>
                </c:pt>
                <c:pt idx="34" formatCode="##0.0">
                  <c:v>-0.18713686208799768</c:v>
                </c:pt>
                <c:pt idx="35" formatCode="##0.0">
                  <c:v>0.33249028954790916</c:v>
                </c:pt>
              </c:numCache>
            </c:numRef>
          </c:val>
          <c:extLst>
            <c:ext xmlns:c16="http://schemas.microsoft.com/office/drawing/2014/chart" uri="{C3380CC4-5D6E-409C-BE32-E72D297353CC}">
              <c16:uniqueId val="{00000000-D5D8-491D-B5AB-1E753B58EAB2}"/>
            </c:ext>
          </c:extLst>
        </c:ser>
        <c:ser>
          <c:idx val="2"/>
          <c:order val="2"/>
          <c:tx>
            <c:strRef>
              <c:f>'Služby-příspěvky k růstu-4'!$E$33</c:f>
              <c:strCache>
                <c:ptCount val="1"/>
                <c:pt idx="0">
                  <c:v>Ubytování, stravování a pohostinství (p. b.)</c:v>
                </c:pt>
              </c:strCache>
            </c:strRef>
          </c:tx>
          <c:spPr>
            <a:solidFill>
              <a:srgbClr val="9FC9D7"/>
            </a:solidFill>
            <a:ln>
              <a:noFill/>
            </a:ln>
          </c:spPr>
          <c:invertIfNegative val="0"/>
          <c:cat>
            <c:multiLvlStrRef>
              <c:f>'Služby-příspěvky k růstu-4'!$A$54:$B$90</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'Služby-příspěvky k růstu-4'!$E$54:$E$90</c:f>
              <c:numCache>
                <c:formatCode>0.0</c:formatCode>
                <c:ptCount val="37"/>
                <c:pt idx="0">
                  <c:v>0.91096663563750013</c:v>
                </c:pt>
                <c:pt idx="1">
                  <c:v>1.2304877458891996</c:v>
                </c:pt>
                <c:pt idx="2">
                  <c:v>0.55493142006040053</c:v>
                </c:pt>
                <c:pt idx="3">
                  <c:v>0.45642475154119982</c:v>
                </c:pt>
                <c:pt idx="4">
                  <c:v>0.20160703635719993</c:v>
                </c:pt>
                <c:pt idx="5">
                  <c:v>5.4186477104800478E-2</c:v>
                </c:pt>
                <c:pt idx="6">
                  <c:v>6.304785530440038E-2</c:v>
                </c:pt>
                <c:pt idx="7">
                  <c:v>-3.5769700815199798E-2</c:v>
                </c:pt>
                <c:pt idx="8">
                  <c:v>-0.36389872223099973</c:v>
                </c:pt>
                <c:pt idx="9">
                  <c:v>-0.67075056773680031</c:v>
                </c:pt>
                <c:pt idx="10">
                  <c:v>0.56238486272900035</c:v>
                </c:pt>
                <c:pt idx="11">
                  <c:v>0.81049357889639961</c:v>
                </c:pt>
                <c:pt idx="12">
                  <c:v>-1.0128920367128378</c:v>
                </c:pt>
                <c:pt idx="13">
                  <c:v>-4.7570396620580002</c:v>
                </c:pt>
                <c:pt idx="14">
                  <c:v>-1.8801498047572016</c:v>
                </c:pt>
                <c:pt idx="15">
                  <c:v>-4.4950874362854814</c:v>
                </c:pt>
                <c:pt idx="16">
                  <c:v>-3.6427251882312501</c:v>
                </c:pt>
                <c:pt idx="17">
                  <c:v>1.4037378448911324</c:v>
                </c:pt>
                <c:pt idx="18">
                  <c:v>0.65956457504429966</c:v>
                </c:pt>
                <c:pt idx="19">
                  <c:v>2.8954177718329572</c:v>
                </c:pt>
                <c:pt idx="20">
                  <c:v>2.8323902906459999</c:v>
                </c:pt>
                <c:pt idx="21">
                  <c:v>2.435136189891193</c:v>
                </c:pt>
                <c:pt idx="22">
                  <c:v>-0.4578613660474572</c:v>
                </c:pt>
                <c:pt idx="23">
                  <c:v>0.56715158973689961</c:v>
                </c:pt>
                <c:pt idx="24">
                  <c:v>0.47226803810000034</c:v>
                </c:pt>
                <c:pt idx="25">
                  <c:v>-2.9181983171386136E-2</c:v>
                </c:pt>
                <c:pt idx="26">
                  <c:v>0.13057911183302909</c:v>
                </c:pt>
                <c:pt idx="27">
                  <c:v>7.6430683538271954E-2</c:v>
                </c:pt>
                <c:pt idx="28">
                  <c:v>0.20156376207540999</c:v>
                </c:pt>
                <c:pt idx="29">
                  <c:v>0.17225875056711848</c:v>
                </c:pt>
                <c:pt idx="30" formatCode="0.00">
                  <c:v>-0.15262614105368355</c:v>
                </c:pt>
                <c:pt idx="31">
                  <c:v>-2.0668311154938869E-3</c:v>
                </c:pt>
                <c:pt idx="32">
                  <c:v>-7.2380596572990313E-2</c:v>
                </c:pt>
                <c:pt idx="33">
                  <c:v>0.1860334381850369</c:v>
                </c:pt>
                <c:pt idx="34" formatCode="##0.0">
                  <c:v>9.6401478361983858E-2</c:v>
                </c:pt>
                <c:pt idx="35" formatCode="##0.0">
                  <c:v>0.10550538006091609</c:v>
                </c:pt>
              </c:numCache>
            </c:numRef>
          </c:val>
          <c:extLst>
            <c:ext xmlns:c16="http://schemas.microsoft.com/office/drawing/2014/chart" uri="{C3380CC4-5D6E-409C-BE32-E72D297353CC}">
              <c16:uniqueId val="{00000001-D5D8-491D-B5AB-1E753B58EAB2}"/>
            </c:ext>
          </c:extLst>
        </c:ser>
        <c:ser>
          <c:idx val="3"/>
          <c:order val="3"/>
          <c:tx>
            <c:strRef>
              <c:f>'Služby-příspěvky k růstu-4'!$F$33</c:f>
              <c:strCache>
                <c:ptCount val="1"/>
                <c:pt idx="0">
                  <c:v>Informační a komunikační činnosti (p. b.)</c:v>
                </c:pt>
              </c:strCache>
            </c:strRef>
          </c:tx>
          <c:spPr>
            <a:solidFill>
              <a:srgbClr val="E6C45B"/>
            </a:solidFill>
            <a:ln w="9525">
              <a:noFill/>
              <a:prstDash val="sysDot"/>
            </a:ln>
          </c:spPr>
          <c:invertIfNegative val="0"/>
          <c:cat>
            <c:multiLvlStrRef>
              <c:f>'Služby-příspěvky k růstu-4'!$A$54:$B$90</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'Služby-příspěvky k růstu-4'!$F$54:$F$90</c:f>
              <c:numCache>
                <c:formatCode>0.0</c:formatCode>
                <c:ptCount val="37"/>
                <c:pt idx="0">
                  <c:v>0.79975113924000141</c:v>
                </c:pt>
                <c:pt idx="1">
                  <c:v>0.86680100254300019</c:v>
                </c:pt>
                <c:pt idx="2">
                  <c:v>0.7085217628999998</c:v>
                </c:pt>
                <c:pt idx="3">
                  <c:v>0.58371605800999971</c:v>
                </c:pt>
                <c:pt idx="4">
                  <c:v>1.4561011044459988</c:v>
                </c:pt>
                <c:pt idx="5">
                  <c:v>0.80755492679599916</c:v>
                </c:pt>
                <c:pt idx="6">
                  <c:v>1.4696943404520006</c:v>
                </c:pt>
                <c:pt idx="7">
                  <c:v>1.0851966136360012</c:v>
                </c:pt>
                <c:pt idx="8">
                  <c:v>0.5897957895590008</c:v>
                </c:pt>
                <c:pt idx="9">
                  <c:v>1.4271581528860011</c:v>
                </c:pt>
                <c:pt idx="10">
                  <c:v>1.6628200479000008</c:v>
                </c:pt>
                <c:pt idx="11">
                  <c:v>0.8045399962857992</c:v>
                </c:pt>
                <c:pt idx="12">
                  <c:v>0.70533263821849879</c:v>
                </c:pt>
                <c:pt idx="13">
                  <c:v>-0.13049924960159906</c:v>
                </c:pt>
                <c:pt idx="14">
                  <c:v>-0.44751399710599854</c:v>
                </c:pt>
                <c:pt idx="15">
                  <c:v>-0.76987000599350008</c:v>
                </c:pt>
                <c:pt idx="16">
                  <c:v>0.73358769341499996</c:v>
                </c:pt>
                <c:pt idx="17">
                  <c:v>1.7119328870655743</c:v>
                </c:pt>
                <c:pt idx="18">
                  <c:v>1.7410146380858</c:v>
                </c:pt>
                <c:pt idx="19">
                  <c:v>2.1117441102410957</c:v>
                </c:pt>
                <c:pt idx="20">
                  <c:v>1.7465138285348005</c:v>
                </c:pt>
                <c:pt idx="21">
                  <c:v>0.98444175225600128</c:v>
                </c:pt>
                <c:pt idx="22">
                  <c:v>0.77334822417096716</c:v>
                </c:pt>
                <c:pt idx="23">
                  <c:v>0.38113921743529455</c:v>
                </c:pt>
                <c:pt idx="24">
                  <c:v>0.58132404699840079</c:v>
                </c:pt>
                <c:pt idx="25">
                  <c:v>-5.2521499900483508E-3</c:v>
                </c:pt>
                <c:pt idx="26">
                  <c:v>-0.79116739152140025</c:v>
                </c:pt>
                <c:pt idx="27">
                  <c:v>-0.79112125742080253</c:v>
                </c:pt>
                <c:pt idx="28">
                  <c:v>0.10721773848414559</c:v>
                </c:pt>
                <c:pt idx="29">
                  <c:v>0.47802774306016416</c:v>
                </c:pt>
                <c:pt idx="30">
                  <c:v>0.83818270799786943</c:v>
                </c:pt>
                <c:pt idx="31">
                  <c:v>0.51256005892858814</c:v>
                </c:pt>
                <c:pt idx="32">
                  <c:v>0.98604614598830598</c:v>
                </c:pt>
                <c:pt idx="33">
                  <c:v>0.74160132433083503</c:v>
                </c:pt>
                <c:pt idx="34" formatCode="##0.0">
                  <c:v>0.1148673537199736</c:v>
                </c:pt>
                <c:pt idx="35" formatCode="##0.0">
                  <c:v>0.67836208923361319</c:v>
                </c:pt>
              </c:numCache>
            </c:numRef>
          </c:val>
          <c:extLst>
            <c:ext xmlns:c16="http://schemas.microsoft.com/office/drawing/2014/chart" uri="{C3380CC4-5D6E-409C-BE32-E72D297353CC}">
              <c16:uniqueId val="{00000002-D5D8-491D-B5AB-1E753B58EAB2}"/>
            </c:ext>
          </c:extLst>
        </c:ser>
        <c:ser>
          <c:idx val="4"/>
          <c:order val="4"/>
          <c:tx>
            <c:strRef>
              <c:f>'Služby-příspěvky k růstu-4'!$G$33</c:f>
              <c:strCache>
                <c:ptCount val="1"/>
                <c:pt idx="0">
                  <c:v>Činnosti v oblasti nemovitostí (p. b.)</c:v>
                </c:pt>
              </c:strCache>
            </c:strRef>
          </c:tx>
          <c:spPr>
            <a:solidFill>
              <a:srgbClr val="8390A7"/>
            </a:solidFill>
            <a:ln w="15875">
              <a:noFill/>
              <a:prstDash val="solid"/>
            </a:ln>
          </c:spPr>
          <c:invertIfNegative val="0"/>
          <c:cat>
            <c:multiLvlStrRef>
              <c:f>'Služby-příspěvky k růstu-4'!$A$54:$B$90</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'Služby-příspěvky k růstu-4'!$G$54:$G$90</c:f>
              <c:numCache>
                <c:formatCode>0.0</c:formatCode>
                <c:ptCount val="37"/>
                <c:pt idx="0">
                  <c:v>0.21404222779400017</c:v>
                </c:pt>
                <c:pt idx="1">
                  <c:v>0.44428056703740071</c:v>
                </c:pt>
                <c:pt idx="2">
                  <c:v>-2.3313403729999609E-2</c:v>
                </c:pt>
                <c:pt idx="3">
                  <c:v>0.1397148328565998</c:v>
                </c:pt>
                <c:pt idx="4">
                  <c:v>2.4371524468799519E-2</c:v>
                </c:pt>
                <c:pt idx="5">
                  <c:v>-0.24750495341219952</c:v>
                </c:pt>
                <c:pt idx="6">
                  <c:v>-0.12632001451980002</c:v>
                </c:pt>
                <c:pt idx="7">
                  <c:v>-0.22280827277219931</c:v>
                </c:pt>
                <c:pt idx="8">
                  <c:v>-0.59230499212500043</c:v>
                </c:pt>
                <c:pt idx="9">
                  <c:v>-0.14963028671039991</c:v>
                </c:pt>
                <c:pt idx="10">
                  <c:v>0.15919844821020035</c:v>
                </c:pt>
                <c:pt idx="11">
                  <c:v>0.41214543758999994</c:v>
                </c:pt>
                <c:pt idx="12">
                  <c:v>0.4376088325236</c:v>
                </c:pt>
                <c:pt idx="13">
                  <c:v>-0.3129705582585004</c:v>
                </c:pt>
                <c:pt idx="14">
                  <c:v>-0.26042458979333294</c:v>
                </c:pt>
                <c:pt idx="15">
                  <c:v>-0.23202769506919951</c:v>
                </c:pt>
                <c:pt idx="16">
                  <c:v>-0.20493642480289984</c:v>
                </c:pt>
                <c:pt idx="17">
                  <c:v>0.49389763410824949</c:v>
                </c:pt>
                <c:pt idx="18">
                  <c:v>-1.3480794651999375E-2</c:v>
                </c:pt>
                <c:pt idx="19">
                  <c:v>0.25760149947839961</c:v>
                </c:pt>
                <c:pt idx="20">
                  <c:v>0.96345448971199943</c:v>
                </c:pt>
                <c:pt idx="21">
                  <c:v>0.47159042328799955</c:v>
                </c:pt>
                <c:pt idx="22">
                  <c:v>0.2185622188815784</c:v>
                </c:pt>
                <c:pt idx="23">
                  <c:v>0.33309446355833333</c:v>
                </c:pt>
                <c:pt idx="24">
                  <c:v>0.16012954609680044</c:v>
                </c:pt>
                <c:pt idx="25">
                  <c:v>-0.18624032886239958</c:v>
                </c:pt>
                <c:pt idx="26">
                  <c:v>-0.27795457738857821</c:v>
                </c:pt>
                <c:pt idx="27">
                  <c:v>-0.2089599685726716</c:v>
                </c:pt>
                <c:pt idx="28">
                  <c:v>-0.20651327563660776</c:v>
                </c:pt>
                <c:pt idx="29">
                  <c:v>0.27793895598753937</c:v>
                </c:pt>
                <c:pt idx="30">
                  <c:v>-0.11784164354918217</c:v>
                </c:pt>
                <c:pt idx="31">
                  <c:v>-4.2577128381585134E-3</c:v>
                </c:pt>
                <c:pt idx="32">
                  <c:v>0.24983684273778797</c:v>
                </c:pt>
                <c:pt idx="33">
                  <c:v>-3.5129585766133953E-2</c:v>
                </c:pt>
                <c:pt idx="34" formatCode="##0.00">
                  <c:v>7.2348490771794213E-2</c:v>
                </c:pt>
                <c:pt idx="35" formatCode="##0.00">
                  <c:v>-2.6007249512033318E-3</c:v>
                </c:pt>
              </c:numCache>
            </c:numRef>
          </c:val>
          <c:extLst>
            <c:ext xmlns:c16="http://schemas.microsoft.com/office/drawing/2014/chart" uri="{C3380CC4-5D6E-409C-BE32-E72D297353CC}">
              <c16:uniqueId val="{00000003-D5D8-491D-B5AB-1E753B58EAB2}"/>
            </c:ext>
          </c:extLst>
        </c:ser>
        <c:ser>
          <c:idx val="5"/>
          <c:order val="5"/>
          <c:tx>
            <c:strRef>
              <c:f>'Služby-příspěvky k růstu-4'!$H$33</c:f>
              <c:strCache>
                <c:ptCount val="1"/>
                <c:pt idx="0">
                  <c:v>Profesní, vědecké a technické činnosti (p. b.)</c:v>
                </c:pt>
              </c:strCache>
            </c:strRef>
          </c:tx>
          <c:spPr>
            <a:solidFill>
              <a:srgbClr val="D8A7B7"/>
            </a:solidFill>
            <a:ln w="15875">
              <a:noFill/>
              <a:prstDash val="sysDash"/>
            </a:ln>
          </c:spPr>
          <c:invertIfNegative val="0"/>
          <c:cat>
            <c:multiLvlStrRef>
              <c:f>'Služby-příspěvky k růstu-4'!$A$54:$B$90</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'Služby-příspěvky k růstu-4'!$H$54:$H$90</c:f>
              <c:numCache>
                <c:formatCode>0.0</c:formatCode>
                <c:ptCount val="37"/>
                <c:pt idx="0">
                  <c:v>0.98301471473999991</c:v>
                </c:pt>
                <c:pt idx="1">
                  <c:v>0.60289217538800066</c:v>
                </c:pt>
                <c:pt idx="2">
                  <c:v>0.29296090665239971</c:v>
                </c:pt>
                <c:pt idx="3">
                  <c:v>0.39545347720550122</c:v>
                </c:pt>
                <c:pt idx="4">
                  <c:v>1.0377388749657004</c:v>
                </c:pt>
                <c:pt idx="5">
                  <c:v>0.52795912771610132</c:v>
                </c:pt>
                <c:pt idx="6">
                  <c:v>0.33128275319889955</c:v>
                </c:pt>
                <c:pt idx="7">
                  <c:v>-0.32335157261830122</c:v>
                </c:pt>
                <c:pt idx="8">
                  <c:v>-0.22442800317910014</c:v>
                </c:pt>
                <c:pt idx="9">
                  <c:v>0.92864418130900139</c:v>
                </c:pt>
                <c:pt idx="10">
                  <c:v>-1.1905556335669008</c:v>
                </c:pt>
                <c:pt idx="11">
                  <c:v>0.12967121395800008</c:v>
                </c:pt>
                <c:pt idx="12">
                  <c:v>-1.2594010229457007</c:v>
                </c:pt>
                <c:pt idx="13">
                  <c:v>-3.4364785420139987</c:v>
                </c:pt>
                <c:pt idx="14">
                  <c:v>-1.730371529016393</c:v>
                </c:pt>
                <c:pt idx="15">
                  <c:v>-1.6762623702279009</c:v>
                </c:pt>
                <c:pt idx="16">
                  <c:v>-1.8460033079172407</c:v>
                </c:pt>
                <c:pt idx="17">
                  <c:v>2.6347487878244005</c:v>
                </c:pt>
                <c:pt idx="18">
                  <c:v>1.7641259138861987</c:v>
                </c:pt>
                <c:pt idx="19">
                  <c:v>2.2229354426597943</c:v>
                </c:pt>
                <c:pt idx="20">
                  <c:v>2.2737358553676001</c:v>
                </c:pt>
                <c:pt idx="21">
                  <c:v>1.3856227896222229</c:v>
                </c:pt>
                <c:pt idx="22">
                  <c:v>0.99391885813043546</c:v>
                </c:pt>
                <c:pt idx="23">
                  <c:v>0.1421335534285707</c:v>
                </c:pt>
                <c:pt idx="24">
                  <c:v>0.81953126781209973</c:v>
                </c:pt>
                <c:pt idx="25">
                  <c:v>0.82106868193752403</c:v>
                </c:pt>
                <c:pt idx="26">
                  <c:v>0.12923231255105044</c:v>
                </c:pt>
                <c:pt idx="27">
                  <c:v>0.83751215536408319</c:v>
                </c:pt>
                <c:pt idx="28">
                  <c:v>0.47506983729129498</c:v>
                </c:pt>
                <c:pt idx="29">
                  <c:v>0.68160503891420543</c:v>
                </c:pt>
                <c:pt idx="30">
                  <c:v>0.2657026600157707</c:v>
                </c:pt>
                <c:pt idx="31">
                  <c:v>5.2509565434282257E-2</c:v>
                </c:pt>
                <c:pt idx="32">
                  <c:v>1.1346911843593392</c:v>
                </c:pt>
                <c:pt idx="33">
                  <c:v>0.78536830321745721</c:v>
                </c:pt>
                <c:pt idx="34" formatCode="##0.0">
                  <c:v>0.42615290836578112</c:v>
                </c:pt>
                <c:pt idx="35" formatCode="##0.0">
                  <c:v>0.81663903189926468</c:v>
                </c:pt>
              </c:numCache>
            </c:numRef>
          </c:val>
          <c:extLst>
            <c:ext xmlns:c16="http://schemas.microsoft.com/office/drawing/2014/chart" uri="{C3380CC4-5D6E-409C-BE32-E72D297353CC}">
              <c16:uniqueId val="{00000004-D5D8-491D-B5AB-1E753B58EAB2}"/>
            </c:ext>
          </c:extLst>
        </c:ser>
        <c:ser>
          <c:idx val="6"/>
          <c:order val="6"/>
          <c:tx>
            <c:strRef>
              <c:f>'Služby-příspěvky k růstu-4'!$I$33</c:f>
              <c:strCache>
                <c:ptCount val="1"/>
                <c:pt idx="0">
                  <c:v>Administr. a podpůrné čin. (příspěvek v p. b.)</c:v>
                </c:pt>
              </c:strCache>
            </c:strRef>
          </c:tx>
          <c:spPr>
            <a:solidFill>
              <a:srgbClr val="BC5B80"/>
            </a:solidFill>
            <a:ln w="15875">
              <a:noFill/>
              <a:prstDash val="dash"/>
            </a:ln>
          </c:spPr>
          <c:invertIfNegative val="0"/>
          <c:cat>
            <c:multiLvlStrRef>
              <c:f>'Služby-příspěvky k růstu-4'!$A$54:$B$90</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'Služby-příspěvky k růstu-4'!$I$54:$I$90</c:f>
              <c:numCache>
                <c:formatCode>0.0</c:formatCode>
                <c:ptCount val="37"/>
                <c:pt idx="0">
                  <c:v>1.2711366665920003</c:v>
                </c:pt>
                <c:pt idx="1">
                  <c:v>1.1146800750025008</c:v>
                </c:pt>
                <c:pt idx="2">
                  <c:v>0.67890344957800031</c:v>
                </c:pt>
                <c:pt idx="3">
                  <c:v>0.27956598839150021</c:v>
                </c:pt>
                <c:pt idx="4">
                  <c:v>0.54934461190249961</c:v>
                </c:pt>
                <c:pt idx="5">
                  <c:v>0.38115955639220078</c:v>
                </c:pt>
                <c:pt idx="6">
                  <c:v>0.39493334022210069</c:v>
                </c:pt>
                <c:pt idx="7">
                  <c:v>-3.4631397924000239E-2</c:v>
                </c:pt>
                <c:pt idx="8">
                  <c:v>-1.2005370156462005</c:v>
                </c:pt>
                <c:pt idx="9">
                  <c:v>0.45407540916639949</c:v>
                </c:pt>
                <c:pt idx="10">
                  <c:v>-0.39889254166379967</c:v>
                </c:pt>
                <c:pt idx="11">
                  <c:v>1.3109329456980003</c:v>
                </c:pt>
                <c:pt idx="12">
                  <c:v>-1.1343690284759997</c:v>
                </c:pt>
                <c:pt idx="13">
                  <c:v>-5.28274232805955</c:v>
                </c:pt>
                <c:pt idx="14">
                  <c:v>-4.9394629012368423</c:v>
                </c:pt>
                <c:pt idx="15">
                  <c:v>-2.9777822451920004</c:v>
                </c:pt>
                <c:pt idx="16">
                  <c:v>-1.4090224874890003</c:v>
                </c:pt>
                <c:pt idx="17">
                  <c:v>2.2489366135893936</c:v>
                </c:pt>
                <c:pt idx="18">
                  <c:v>2.1176111028400002</c:v>
                </c:pt>
                <c:pt idx="19">
                  <c:v>1.4315715582961834</c:v>
                </c:pt>
                <c:pt idx="20">
                  <c:v>1.7141956457703218</c:v>
                </c:pt>
                <c:pt idx="21">
                  <c:v>3.1132718885355142</c:v>
                </c:pt>
                <c:pt idx="22">
                  <c:v>2.2147560104235504</c:v>
                </c:pt>
                <c:pt idx="23">
                  <c:v>0.75873802832519943</c:v>
                </c:pt>
                <c:pt idx="24">
                  <c:v>0.44446992933960033</c:v>
                </c:pt>
                <c:pt idx="25">
                  <c:v>0.17274794169589636</c:v>
                </c:pt>
                <c:pt idx="26">
                  <c:v>-0.14160160109817077</c:v>
                </c:pt>
                <c:pt idx="27">
                  <c:v>-4.4406367348499426E-2</c:v>
                </c:pt>
                <c:pt idx="28">
                  <c:v>0.38639916772040217</c:v>
                </c:pt>
                <c:pt idx="29">
                  <c:v>0.14229025552145014</c:v>
                </c:pt>
                <c:pt idx="30">
                  <c:v>0.42489637821976656</c:v>
                </c:pt>
                <c:pt idx="31">
                  <c:v>0.17528601156412052</c:v>
                </c:pt>
                <c:pt idx="32">
                  <c:v>0.20111254666950251</c:v>
                </c:pt>
                <c:pt idx="33">
                  <c:v>-6.0958086133285773E-2</c:v>
                </c:pt>
                <c:pt idx="34" formatCode="##0.0">
                  <c:v>-0.29810048214742974</c:v>
                </c:pt>
                <c:pt idx="35" formatCode="##0.0">
                  <c:v>0.21792221115991436</c:v>
                </c:pt>
              </c:numCache>
            </c:numRef>
          </c:val>
          <c:extLst>
            <c:ext xmlns:c16="http://schemas.microsoft.com/office/drawing/2014/chart" uri="{C3380CC4-5D6E-409C-BE32-E72D297353CC}">
              <c16:uniqueId val="{00000005-D5D8-491D-B5AB-1E753B58EAB2}"/>
            </c:ext>
          </c:extLst>
        </c:ser>
        <c:dLbls>
          <c:showLegendKey val="0"/>
          <c:showVal val="0"/>
          <c:showCatName val="0"/>
          <c:showSerName val="0"/>
          <c:showPercent val="0"/>
          <c:showBubbleSize val="0"/>
        </c:dLbls>
        <c:gapWidth val="30"/>
        <c:overlap val="100"/>
        <c:axId val="112768128"/>
        <c:axId val="112769664"/>
      </c:barChart>
      <c:lineChart>
        <c:grouping val="standard"/>
        <c:varyColors val="0"/>
        <c:ser>
          <c:idx val="0"/>
          <c:order val="0"/>
          <c:tx>
            <c:strRef>
              <c:f>'Služby-příspěvky k růstu-4'!$C$33</c:f>
              <c:strCache>
                <c:ptCount val="1"/>
                <c:pt idx="0">
                  <c:v>Služby celkem (meziroční růst v %)</c:v>
                </c:pt>
              </c:strCache>
            </c:strRef>
          </c:tx>
          <c:spPr>
            <a:ln>
              <a:noFill/>
            </a:ln>
          </c:spPr>
          <c:marker>
            <c:symbol val="diamond"/>
            <c:size val="4"/>
            <c:spPr>
              <a:solidFill>
                <a:schemeClr val="bg1"/>
              </a:solidFill>
              <a:ln>
                <a:solidFill>
                  <a:schemeClr val="tx1">
                    <a:lumMod val="95000"/>
                    <a:lumOff val="5000"/>
                  </a:schemeClr>
                </a:solidFill>
              </a:ln>
            </c:spPr>
          </c:marker>
          <c:cat>
            <c:multiLvlStrRef>
              <c:f>'Služby-příspěvky k růstu-4'!$A$54:$B$90</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'Služby-příspěvky k růstu-4'!$C$54:$C$90</c:f>
              <c:numCache>
                <c:formatCode>0.0</c:formatCode>
                <c:ptCount val="37"/>
                <c:pt idx="0">
                  <c:v>5.3647828491999974</c:v>
                </c:pt>
                <c:pt idx="1">
                  <c:v>5.5575414804000047</c:v>
                </c:pt>
                <c:pt idx="2">
                  <c:v>3.2904940545000017</c:v>
                </c:pt>
                <c:pt idx="3">
                  <c:v>2.4382592428000009</c:v>
                </c:pt>
                <c:pt idx="4">
                  <c:v>4.8746710973999967</c:v>
                </c:pt>
                <c:pt idx="5">
                  <c:v>3.1480367534999942</c:v>
                </c:pt>
                <c:pt idx="6">
                  <c:v>3.5116979830000048</c:v>
                </c:pt>
                <c:pt idx="7">
                  <c:v>0.966230831499999</c:v>
                </c:pt>
                <c:pt idx="8" formatCode="##0.0">
                  <c:v>-2.0936015643000019</c:v>
                </c:pt>
                <c:pt idx="9" formatCode="##0.0">
                  <c:v>2.0109283859000016</c:v>
                </c:pt>
                <c:pt idx="10" formatCode="##0.0">
                  <c:v>0.48272099109999544</c:v>
                </c:pt>
                <c:pt idx="11" formatCode="##0.0">
                  <c:v>3.681455815700005</c:v>
                </c:pt>
                <c:pt idx="12" formatCode="##0.0">
                  <c:v>-3.665306176200005</c:v>
                </c:pt>
                <c:pt idx="13" formatCode="##0.0">
                  <c:v>-20.479508761800005</c:v>
                </c:pt>
                <c:pt idx="14" formatCode="##0.0">
                  <c:v>-13.814933561800004</c:v>
                </c:pt>
                <c:pt idx="15" formatCode="##0.0">
                  <c:v>-12.688963449699997</c:v>
                </c:pt>
                <c:pt idx="16" formatCode="##0.0">
                  <c:v>-6.4130355653000066</c:v>
                </c:pt>
                <c:pt idx="17" formatCode="##0.0">
                  <c:v>14.468254601799998</c:v>
                </c:pt>
                <c:pt idx="18" formatCode="##0.0">
                  <c:v>9.8317963500000047</c:v>
                </c:pt>
                <c:pt idx="19" formatCode="##0.0">
                  <c:v>12.456771227999994</c:v>
                </c:pt>
                <c:pt idx="20" formatCode="##0.0">
                  <c:v>13.607452187800007</c:v>
                </c:pt>
                <c:pt idx="21" formatCode="##0.0">
                  <c:v>12.572499333099998</c:v>
                </c:pt>
                <c:pt idx="22" formatCode="##0.0">
                  <c:v>6.878984581200001</c:v>
                </c:pt>
                <c:pt idx="23" formatCode="##0.0">
                  <c:v>3.1289116276000044</c:v>
                </c:pt>
                <c:pt idx="24" formatCode="##0.0">
                  <c:v>1.6159037823999967</c:v>
                </c:pt>
                <c:pt idx="25" formatCode="##0.0">
                  <c:v>-1.654671913200005</c:v>
                </c:pt>
                <c:pt idx="26" formatCode="##0.0">
                  <c:v>-3.8568949799000052</c:v>
                </c:pt>
                <c:pt idx="27" formatCode="##0.0">
                  <c:v>-2.1922303097999958</c:v>
                </c:pt>
                <c:pt idx="28" formatCode="##0.0">
                  <c:v>1.1689286468999995</c:v>
                </c:pt>
                <c:pt idx="29" formatCode="##0.0">
                  <c:v>2.8899965786000053</c:v>
                </c:pt>
                <c:pt idx="30" formatCode="##0.0">
                  <c:v>2.8757436141000028</c:v>
                </c:pt>
                <c:pt idx="31" formatCode="##0.0">
                  <c:v>2.1315315078000054</c:v>
                </c:pt>
                <c:pt idx="32" formatCode="##0.0">
                  <c:v>3.3035634542000025</c:v>
                </c:pt>
                <c:pt idx="33" formatCode="##0.0">
                  <c:v>2.1533888090000062</c:v>
                </c:pt>
                <c:pt idx="34" formatCode="##0.0">
                  <c:v>0.23029246989999308</c:v>
                </c:pt>
                <c:pt idx="35" formatCode="##0.0">
                  <c:v>2.1483191355000031</c:v>
                </c:pt>
              </c:numCache>
            </c:numRef>
          </c:val>
          <c:smooth val="0"/>
          <c:extLst>
            <c:ext xmlns:c16="http://schemas.microsoft.com/office/drawing/2014/chart" uri="{C3380CC4-5D6E-409C-BE32-E72D297353CC}">
              <c16:uniqueId val="{00000006-D5D8-491D-B5AB-1E753B58EAB2}"/>
            </c:ext>
          </c:extLst>
        </c:ser>
        <c:dLbls>
          <c:showLegendKey val="0"/>
          <c:showVal val="0"/>
          <c:showCatName val="0"/>
          <c:showSerName val="0"/>
          <c:showPercent val="0"/>
          <c:showBubbleSize val="0"/>
        </c:dLbls>
        <c:marker val="1"/>
        <c:smooth val="0"/>
        <c:axId val="112768128"/>
        <c:axId val="112769664"/>
      </c:lineChart>
      <c:lineChart>
        <c:grouping val="standard"/>
        <c:varyColors val="0"/>
        <c:ser>
          <c:idx val="7"/>
          <c:order val="7"/>
          <c:tx>
            <c:strRef>
              <c:f>'Služby-příspěvky k růstu-4'!$J$33</c:f>
              <c:strCache>
                <c:ptCount val="1"/>
                <c:pt idx="0">
                  <c:v>Saldo indikátoru důvěry ve službách</c:v>
                </c:pt>
              </c:strCache>
            </c:strRef>
          </c:tx>
          <c:spPr>
            <a:ln w="15875">
              <a:solidFill>
                <a:srgbClr val="CC9610"/>
              </a:solidFill>
              <a:prstDash val="sysDot"/>
            </a:ln>
          </c:spPr>
          <c:marker>
            <c:symbol val="diamond"/>
            <c:size val="5"/>
            <c:spPr>
              <a:solidFill>
                <a:srgbClr val="E6C45B"/>
              </a:solidFill>
              <a:ln>
                <a:solidFill>
                  <a:srgbClr val="E6C45B"/>
                </a:solidFill>
              </a:ln>
            </c:spPr>
          </c:marker>
          <c:cat>
            <c:multiLvlStrRef>
              <c:f>'Služby-příspěvky k růstu-4'!$A$54:$B$90</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'Služby-příspěvky k růstu-4'!$J$54:$J$90</c:f>
              <c:numCache>
                <c:formatCode>#\ ##0.0</c:formatCode>
                <c:ptCount val="37"/>
                <c:pt idx="0">
                  <c:v>35.299999999999997</c:v>
                </c:pt>
                <c:pt idx="1">
                  <c:v>37.700000000000003</c:v>
                </c:pt>
                <c:pt idx="2">
                  <c:v>37.299999999999997</c:v>
                </c:pt>
                <c:pt idx="3">
                  <c:v>35.700000000000003</c:v>
                </c:pt>
                <c:pt idx="4">
                  <c:v>38.299999999999997</c:v>
                </c:pt>
                <c:pt idx="5">
                  <c:v>37</c:v>
                </c:pt>
                <c:pt idx="6">
                  <c:v>38.299999999999997</c:v>
                </c:pt>
                <c:pt idx="7">
                  <c:v>40.700000000000003</c:v>
                </c:pt>
                <c:pt idx="8">
                  <c:v>39.299999999999997</c:v>
                </c:pt>
                <c:pt idx="9">
                  <c:v>33.700000000000003</c:v>
                </c:pt>
                <c:pt idx="10">
                  <c:v>35</c:v>
                </c:pt>
                <c:pt idx="11">
                  <c:v>32.700000000000003</c:v>
                </c:pt>
                <c:pt idx="12">
                  <c:v>29</c:v>
                </c:pt>
                <c:pt idx="13">
                  <c:v>-13.3</c:v>
                </c:pt>
                <c:pt idx="14">
                  <c:v>1</c:v>
                </c:pt>
                <c:pt idx="15">
                  <c:v>-5</c:v>
                </c:pt>
                <c:pt idx="16">
                  <c:v>8</c:v>
                </c:pt>
                <c:pt idx="17">
                  <c:v>22.3</c:v>
                </c:pt>
                <c:pt idx="18">
                  <c:v>24.3</c:v>
                </c:pt>
                <c:pt idx="19">
                  <c:v>27</c:v>
                </c:pt>
                <c:pt idx="20">
                  <c:v>31</c:v>
                </c:pt>
                <c:pt idx="21">
                  <c:v>40</c:v>
                </c:pt>
                <c:pt idx="22">
                  <c:v>27.7</c:v>
                </c:pt>
                <c:pt idx="23">
                  <c:v>21.3</c:v>
                </c:pt>
                <c:pt idx="24">
                  <c:v>24</c:v>
                </c:pt>
                <c:pt idx="25" formatCode="0.0">
                  <c:v>28</c:v>
                </c:pt>
                <c:pt idx="26" formatCode="0.0">
                  <c:v>25.7</c:v>
                </c:pt>
                <c:pt idx="27" formatCode="0.0">
                  <c:v>22.7</c:v>
                </c:pt>
                <c:pt idx="28" formatCode="0.0">
                  <c:v>21.3</c:v>
                </c:pt>
                <c:pt idx="29" formatCode="0.0">
                  <c:v>30.1</c:v>
                </c:pt>
                <c:pt idx="30" formatCode="0.0">
                  <c:v>21.7</c:v>
                </c:pt>
                <c:pt idx="31" formatCode="0.0">
                  <c:v>33.700000000000003</c:v>
                </c:pt>
                <c:pt idx="32" formatCode="0.0">
                  <c:v>31.3</c:v>
                </c:pt>
                <c:pt idx="33" formatCode="0.0">
                  <c:v>39.700000000000003</c:v>
                </c:pt>
                <c:pt idx="34" formatCode="0.0">
                  <c:v>41</c:v>
                </c:pt>
                <c:pt idx="35" formatCode="0.0">
                  <c:v>38</c:v>
                </c:pt>
                <c:pt idx="36" formatCode="0.0">
                  <c:v>32</c:v>
                </c:pt>
              </c:numCache>
            </c:numRef>
          </c:val>
          <c:smooth val="0"/>
          <c:extLst>
            <c:ext xmlns:c16="http://schemas.microsoft.com/office/drawing/2014/chart" uri="{C3380CC4-5D6E-409C-BE32-E72D297353CC}">
              <c16:uniqueId val="{00000007-D5D8-491D-B5AB-1E753B58EAB2}"/>
            </c:ext>
          </c:extLst>
        </c:ser>
        <c:ser>
          <c:idx val="8"/>
          <c:order val="8"/>
          <c:tx>
            <c:strRef>
              <c:f>'Služby-příspěvky k růstu-4'!$K$33</c:f>
              <c:strCache>
                <c:ptCount val="1"/>
                <c:pt idx="0">
                  <c:v>Bariéra růstu: nedostatečná poptávka</c:v>
                </c:pt>
              </c:strCache>
            </c:strRef>
          </c:tx>
          <c:spPr>
            <a:ln w="15875">
              <a:solidFill>
                <a:srgbClr val="85BF5E"/>
              </a:solidFill>
            </a:ln>
          </c:spPr>
          <c:marker>
            <c:symbol val="none"/>
          </c:marker>
          <c:cat>
            <c:multiLvlStrRef>
              <c:f>'Služby-příspěvky k růstu-4'!$A$54:$B$90</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'Služby-příspěvky k růstu-4'!$K$54:$K$90</c:f>
              <c:numCache>
                <c:formatCode>#\ ##0.0</c:formatCode>
                <c:ptCount val="37"/>
                <c:pt idx="0">
                  <c:v>25.8</c:v>
                </c:pt>
                <c:pt idx="1">
                  <c:v>20.5</c:v>
                </c:pt>
                <c:pt idx="2">
                  <c:v>18.399999999999999</c:v>
                </c:pt>
                <c:pt idx="3">
                  <c:v>21.6</c:v>
                </c:pt>
                <c:pt idx="4">
                  <c:v>16.899999999999999</c:v>
                </c:pt>
                <c:pt idx="5">
                  <c:v>19.399999999999999</c:v>
                </c:pt>
                <c:pt idx="6">
                  <c:v>17.899999999999999</c:v>
                </c:pt>
                <c:pt idx="7">
                  <c:v>20.7</c:v>
                </c:pt>
                <c:pt idx="8">
                  <c:v>20.6</c:v>
                </c:pt>
                <c:pt idx="9">
                  <c:v>16.899999999999999</c:v>
                </c:pt>
                <c:pt idx="10">
                  <c:v>20.5</c:v>
                </c:pt>
                <c:pt idx="11">
                  <c:v>14.4</c:v>
                </c:pt>
                <c:pt idx="12">
                  <c:v>21.3</c:v>
                </c:pt>
                <c:pt idx="13">
                  <c:v>30.2</c:v>
                </c:pt>
                <c:pt idx="14">
                  <c:v>30.4</c:v>
                </c:pt>
                <c:pt idx="15">
                  <c:v>39.200000000000003</c:v>
                </c:pt>
                <c:pt idx="16">
                  <c:v>34.799999999999997</c:v>
                </c:pt>
                <c:pt idx="17">
                  <c:v>36.799999999999997</c:v>
                </c:pt>
                <c:pt idx="18">
                  <c:v>28.9</c:v>
                </c:pt>
                <c:pt idx="19">
                  <c:v>26.3</c:v>
                </c:pt>
                <c:pt idx="20">
                  <c:v>31.6</c:v>
                </c:pt>
                <c:pt idx="21">
                  <c:v>15</c:v>
                </c:pt>
                <c:pt idx="22">
                  <c:v>30.2</c:v>
                </c:pt>
                <c:pt idx="23">
                  <c:v>17.600000000000001</c:v>
                </c:pt>
                <c:pt idx="24">
                  <c:v>25.4</c:v>
                </c:pt>
                <c:pt idx="25">
                  <c:v>19.100000000000001</c:v>
                </c:pt>
                <c:pt idx="26">
                  <c:v>26</c:v>
                </c:pt>
                <c:pt idx="27">
                  <c:v>23</c:v>
                </c:pt>
                <c:pt idx="28">
                  <c:v>18.5</c:v>
                </c:pt>
                <c:pt idx="29">
                  <c:v>19.2</c:v>
                </c:pt>
                <c:pt idx="30">
                  <c:v>17.8</c:v>
                </c:pt>
                <c:pt idx="31">
                  <c:v>29.6</c:v>
                </c:pt>
                <c:pt idx="32">
                  <c:v>24.4</c:v>
                </c:pt>
                <c:pt idx="33">
                  <c:v>17.5</c:v>
                </c:pt>
                <c:pt idx="34">
                  <c:v>17</c:v>
                </c:pt>
                <c:pt idx="35">
                  <c:v>15</c:v>
                </c:pt>
                <c:pt idx="36">
                  <c:v>16.899999999999999</c:v>
                </c:pt>
              </c:numCache>
            </c:numRef>
          </c:val>
          <c:smooth val="0"/>
          <c:extLst>
            <c:ext xmlns:c16="http://schemas.microsoft.com/office/drawing/2014/chart" uri="{C3380CC4-5D6E-409C-BE32-E72D297353CC}">
              <c16:uniqueId val="{00000008-D5D8-491D-B5AB-1E753B58EAB2}"/>
            </c:ext>
          </c:extLst>
        </c:ser>
        <c:ser>
          <c:idx val="9"/>
          <c:order val="9"/>
          <c:tx>
            <c:strRef>
              <c:f>'Služby-příspěvky k růstu-4'!$L$33</c:f>
              <c:strCache>
                <c:ptCount val="1"/>
                <c:pt idx="0">
                  <c:v>Bariéra růstu: nedostatek pracovníků</c:v>
                </c:pt>
              </c:strCache>
            </c:strRef>
          </c:tx>
          <c:spPr>
            <a:ln w="15875">
              <a:solidFill>
                <a:srgbClr val="85BF5E"/>
              </a:solidFill>
              <a:prstDash val="sysDash"/>
            </a:ln>
          </c:spPr>
          <c:marker>
            <c:symbol val="none"/>
          </c:marker>
          <c:cat>
            <c:multiLvlStrRef>
              <c:f>'Služby-příspěvky k růstu-4'!$A$54:$B$90</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'Služby-příspěvky k růstu-4'!$L$54:$L$90</c:f>
              <c:numCache>
                <c:formatCode>#\ ##0.0</c:formatCode>
                <c:ptCount val="37"/>
                <c:pt idx="0">
                  <c:v>9.4</c:v>
                </c:pt>
                <c:pt idx="1">
                  <c:v>9.6999999999999993</c:v>
                </c:pt>
                <c:pt idx="2">
                  <c:v>9.8000000000000007</c:v>
                </c:pt>
                <c:pt idx="3">
                  <c:v>12.8</c:v>
                </c:pt>
                <c:pt idx="4">
                  <c:v>13.9</c:v>
                </c:pt>
                <c:pt idx="5">
                  <c:v>16.3</c:v>
                </c:pt>
                <c:pt idx="6">
                  <c:v>17.5</c:v>
                </c:pt>
                <c:pt idx="7">
                  <c:v>18.899999999999999</c:v>
                </c:pt>
                <c:pt idx="8">
                  <c:v>19.3</c:v>
                </c:pt>
                <c:pt idx="9">
                  <c:v>15</c:v>
                </c:pt>
                <c:pt idx="10">
                  <c:v>21.5</c:v>
                </c:pt>
                <c:pt idx="11">
                  <c:v>19.8</c:v>
                </c:pt>
                <c:pt idx="12">
                  <c:v>19.5</c:v>
                </c:pt>
                <c:pt idx="13">
                  <c:v>10</c:v>
                </c:pt>
                <c:pt idx="14">
                  <c:v>10</c:v>
                </c:pt>
                <c:pt idx="15">
                  <c:v>12.6</c:v>
                </c:pt>
                <c:pt idx="16">
                  <c:v>12.7</c:v>
                </c:pt>
                <c:pt idx="17">
                  <c:v>8.5</c:v>
                </c:pt>
                <c:pt idx="18">
                  <c:v>17.399999999999999</c:v>
                </c:pt>
                <c:pt idx="19">
                  <c:v>20.6</c:v>
                </c:pt>
                <c:pt idx="20">
                  <c:v>20.2</c:v>
                </c:pt>
                <c:pt idx="21">
                  <c:v>10.9</c:v>
                </c:pt>
                <c:pt idx="22">
                  <c:v>17.899999999999999</c:v>
                </c:pt>
                <c:pt idx="23">
                  <c:v>6.6</c:v>
                </c:pt>
                <c:pt idx="24">
                  <c:v>9.3000000000000007</c:v>
                </c:pt>
                <c:pt idx="25">
                  <c:v>9.7000000000000011</c:v>
                </c:pt>
                <c:pt idx="26">
                  <c:v>9.2000000000000011</c:v>
                </c:pt>
                <c:pt idx="27">
                  <c:v>12.3</c:v>
                </c:pt>
                <c:pt idx="28">
                  <c:v>8.3000000000000007</c:v>
                </c:pt>
                <c:pt idx="29">
                  <c:v>8.1</c:v>
                </c:pt>
                <c:pt idx="30">
                  <c:v>8.3000000000000007</c:v>
                </c:pt>
                <c:pt idx="31">
                  <c:v>15.3</c:v>
                </c:pt>
                <c:pt idx="32">
                  <c:v>12.9</c:v>
                </c:pt>
                <c:pt idx="33">
                  <c:v>10.4</c:v>
                </c:pt>
                <c:pt idx="34">
                  <c:v>11.1</c:v>
                </c:pt>
                <c:pt idx="35">
                  <c:v>12.4</c:v>
                </c:pt>
                <c:pt idx="36">
                  <c:v>15.4</c:v>
                </c:pt>
              </c:numCache>
            </c:numRef>
          </c:val>
          <c:smooth val="0"/>
          <c:extLst>
            <c:ext xmlns:c16="http://schemas.microsoft.com/office/drawing/2014/chart" uri="{C3380CC4-5D6E-409C-BE32-E72D297353CC}">
              <c16:uniqueId val="{00000009-D5D8-491D-B5AB-1E753B58EAB2}"/>
            </c:ext>
          </c:extLst>
        </c:ser>
        <c:ser>
          <c:idx val="10"/>
          <c:order val="10"/>
          <c:tx>
            <c:strRef>
              <c:f>'Služby-příspěvky k růstu-4'!$M$33</c:f>
              <c:strCache>
                <c:ptCount val="1"/>
                <c:pt idx="0">
                  <c:v>Tržby celkem (báze 2021=100, stálé ceny)</c:v>
                </c:pt>
              </c:strCache>
            </c:strRef>
          </c:tx>
          <c:spPr>
            <a:ln w="15875">
              <a:solidFill>
                <a:srgbClr val="8390A7"/>
              </a:solidFill>
            </a:ln>
          </c:spPr>
          <c:marker>
            <c:symbol val="none"/>
          </c:marker>
          <c:cat>
            <c:multiLvlStrRef>
              <c:f>'Služby-příspěvky k růstu-4'!$A$54:$B$90</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'Služby-příspěvky k růstu-4'!$M$54:$M$90</c:f>
              <c:numCache>
                <c:formatCode>0.0</c:formatCode>
                <c:ptCount val="37"/>
                <c:pt idx="0">
                  <c:v>101.3103696867</c:v>
                </c:pt>
                <c:pt idx="1">
                  <c:v>102.4505228467</c:v>
                </c:pt>
                <c:pt idx="2">
                  <c:v>102.19772858669999</c:v>
                </c:pt>
                <c:pt idx="3">
                  <c:v>103.1881377867</c:v>
                </c:pt>
                <c:pt idx="4">
                  <c:v>106.5943521733</c:v>
                </c:pt>
                <c:pt idx="5">
                  <c:v>105.18413051669999</c:v>
                </c:pt>
                <c:pt idx="6">
                  <c:v>105.3944372233</c:v>
                </c:pt>
                <c:pt idx="7">
                  <c:v>103.8500266467</c:v>
                </c:pt>
                <c:pt idx="8">
                  <c:v>104.6467169333</c:v>
                </c:pt>
                <c:pt idx="9">
                  <c:v>106.91058812999999</c:v>
                </c:pt>
                <c:pt idx="10">
                  <c:v>106.2934946667</c:v>
                </c:pt>
                <c:pt idx="11">
                  <c:v>106.28785271</c:v>
                </c:pt>
                <c:pt idx="12">
                  <c:v>100.71959776999999</c:v>
                </c:pt>
                <c:pt idx="13">
                  <c:v>86.421491253300005</c:v>
                </c:pt>
                <c:pt idx="14">
                  <c:v>94.121928769999997</c:v>
                </c:pt>
                <c:pt idx="15">
                  <c:v>92.153521023300002</c:v>
                </c:pt>
                <c:pt idx="16">
                  <c:v>92.740798113300002</c:v>
                </c:pt>
                <c:pt idx="17">
                  <c:v>97.887145360000005</c:v>
                </c:pt>
                <c:pt idx="18">
                  <c:v>102.5861086133</c:v>
                </c:pt>
                <c:pt idx="19">
                  <c:v>104.42462921329999</c:v>
                </c:pt>
                <c:pt idx="20">
                  <c:v>106.2203731467</c:v>
                </c:pt>
                <c:pt idx="21">
                  <c:v>108.82402591</c:v>
                </c:pt>
                <c:pt idx="22">
                  <c:v>109.5375674933</c:v>
                </c:pt>
                <c:pt idx="23">
                  <c:v>108.88972540330001</c:v>
                </c:pt>
                <c:pt idx="24">
                  <c:v>107.89265618330001</c:v>
                </c:pt>
                <c:pt idx="25">
                  <c:v>106.47284000330001</c:v>
                </c:pt>
                <c:pt idx="26">
                  <c:v>106.1452937033</c:v>
                </c:pt>
                <c:pt idx="27">
                  <c:v>106.7300147533</c:v>
                </c:pt>
                <c:pt idx="28">
                  <c:v>108.3666475233</c:v>
                </c:pt>
                <c:pt idx="29">
                  <c:v>109.22856376</c:v>
                </c:pt>
                <c:pt idx="30">
                  <c:v>109.59292566000001</c:v>
                </c:pt>
                <c:pt idx="31">
                  <c:v>109.5619541667</c:v>
                </c:pt>
                <c:pt idx="32">
                  <c:v>111.2442762</c:v>
                </c:pt>
                <c:pt idx="33">
                  <c:v>111.22493681</c:v>
                </c:pt>
                <c:pt idx="34">
                  <c:v>110.81492887</c:v>
                </c:pt>
                <c:pt idx="35">
                  <c:v>112.04138072329999</c:v>
                </c:pt>
              </c:numCache>
            </c:numRef>
          </c:val>
          <c:smooth val="0"/>
          <c:extLst>
            <c:ext xmlns:c16="http://schemas.microsoft.com/office/drawing/2014/chart" uri="{C3380CC4-5D6E-409C-BE32-E72D297353CC}">
              <c16:uniqueId val="{0000000A-D5D8-491D-B5AB-1E753B58EAB2}"/>
            </c:ext>
          </c:extLst>
        </c:ser>
        <c:ser>
          <c:idx val="11"/>
          <c:order val="11"/>
          <c:tx>
            <c:strRef>
              <c:f>'Služby-příspěvky k růstu-4'!$N$33</c:f>
              <c:strCache>
                <c:ptCount val="1"/>
                <c:pt idx="0">
                  <c:v>Tržby celkem (báze 2021=100, běžné ceny)</c:v>
                </c:pt>
              </c:strCache>
            </c:strRef>
          </c:tx>
          <c:spPr>
            <a:ln w="15875">
              <a:solidFill>
                <a:srgbClr val="8390A7"/>
              </a:solidFill>
              <a:prstDash val="sysDash"/>
            </a:ln>
          </c:spPr>
          <c:marker>
            <c:symbol val="none"/>
          </c:marker>
          <c:cat>
            <c:multiLvlStrRef>
              <c:f>'Služby-příspěvky k růstu-4'!$A$54:$B$90</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'Služby-příspěvky k růstu-4'!$N$54:$N$90</c:f>
              <c:numCache>
                <c:formatCode>0.0</c:formatCode>
                <c:ptCount val="37"/>
                <c:pt idx="0">
                  <c:v>92.691732329999994</c:v>
                </c:pt>
                <c:pt idx="1">
                  <c:v>94.115856679999993</c:v>
                </c:pt>
                <c:pt idx="2">
                  <c:v>94.319341730000005</c:v>
                </c:pt>
                <c:pt idx="3">
                  <c:v>95.780285509999999</c:v>
                </c:pt>
                <c:pt idx="4">
                  <c:v>99.270322656700003</c:v>
                </c:pt>
                <c:pt idx="5">
                  <c:v>98.680097553300001</c:v>
                </c:pt>
                <c:pt idx="6">
                  <c:v>99.536279973299997</c:v>
                </c:pt>
                <c:pt idx="7">
                  <c:v>98.766521846700002</c:v>
                </c:pt>
                <c:pt idx="8">
                  <c:v>99.799181393300003</c:v>
                </c:pt>
                <c:pt idx="9">
                  <c:v>103.21380694</c:v>
                </c:pt>
                <c:pt idx="10">
                  <c:v>102.8875462667</c:v>
                </c:pt>
                <c:pt idx="11">
                  <c:v>103.45525177330001</c:v>
                </c:pt>
                <c:pt idx="12">
                  <c:v>98.765138603300002</c:v>
                </c:pt>
                <c:pt idx="13">
                  <c:v>84.855234093299998</c:v>
                </c:pt>
                <c:pt idx="14">
                  <c:v>92.664253926699999</c:v>
                </c:pt>
                <c:pt idx="15">
                  <c:v>91.364765526699998</c:v>
                </c:pt>
                <c:pt idx="16">
                  <c:v>92.099220836699999</c:v>
                </c:pt>
                <c:pt idx="17">
                  <c:v>97.160346033300002</c:v>
                </c:pt>
                <c:pt idx="18">
                  <c:v>102.5062810467</c:v>
                </c:pt>
                <c:pt idx="19">
                  <c:v>105.9317908733</c:v>
                </c:pt>
                <c:pt idx="20">
                  <c:v>109.8347650067</c:v>
                </c:pt>
                <c:pt idx="21">
                  <c:v>114.93434286999999</c:v>
                </c:pt>
                <c:pt idx="22">
                  <c:v>118.01055770000001</c:v>
                </c:pt>
                <c:pt idx="23">
                  <c:v>119.44318436330001</c:v>
                </c:pt>
                <c:pt idx="24">
                  <c:v>120.6354371</c:v>
                </c:pt>
                <c:pt idx="25">
                  <c:v>121.1657712467</c:v>
                </c:pt>
                <c:pt idx="26">
                  <c:v>121.99903937000001</c:v>
                </c:pt>
                <c:pt idx="27">
                  <c:v>124.0312188333</c:v>
                </c:pt>
                <c:pt idx="28">
                  <c:v>126.9093693033</c:v>
                </c:pt>
                <c:pt idx="29">
                  <c:v>128.71997758329999</c:v>
                </c:pt>
                <c:pt idx="30">
                  <c:v>130.21519756999999</c:v>
                </c:pt>
                <c:pt idx="31">
                  <c:v>131.28241823330001</c:v>
                </c:pt>
                <c:pt idx="32">
                  <c:v>133.7936677733</c:v>
                </c:pt>
                <c:pt idx="33">
                  <c:v>134.68375806329999</c:v>
                </c:pt>
                <c:pt idx="34">
                  <c:v>135.19499444670001</c:v>
                </c:pt>
                <c:pt idx="35">
                  <c:v>137.48589445670001</c:v>
                </c:pt>
              </c:numCache>
            </c:numRef>
          </c:val>
          <c:smooth val="0"/>
          <c:extLst>
            <c:ext xmlns:c16="http://schemas.microsoft.com/office/drawing/2014/chart" uri="{C3380CC4-5D6E-409C-BE32-E72D297353CC}">
              <c16:uniqueId val="{0000000B-D5D8-491D-B5AB-1E753B58EAB2}"/>
            </c:ext>
          </c:extLst>
        </c:ser>
        <c:dLbls>
          <c:showLegendKey val="0"/>
          <c:showVal val="0"/>
          <c:showCatName val="0"/>
          <c:showSerName val="0"/>
          <c:showPercent val="0"/>
          <c:showBubbleSize val="0"/>
        </c:dLbls>
        <c:marker val="1"/>
        <c:smooth val="0"/>
        <c:axId val="1118074639"/>
        <c:axId val="1118080463"/>
      </c:lineChart>
      <c:catAx>
        <c:axId val="112768128"/>
        <c:scaling>
          <c:orientation val="minMax"/>
        </c:scaling>
        <c:delete val="0"/>
        <c:axPos val="b"/>
        <c:numFmt formatCode="General" sourceLinked="1"/>
        <c:majorTickMark val="out"/>
        <c:minorTickMark val="none"/>
        <c:tickLblPos val="low"/>
        <c:txPr>
          <a:bodyPr/>
          <a:lstStyle/>
          <a:p>
            <a:pPr>
              <a:defRPr sz="800">
                <a:latin typeface="Arial" pitchFamily="34" charset="0"/>
                <a:cs typeface="Arial" pitchFamily="34" charset="0"/>
              </a:defRPr>
            </a:pPr>
            <a:endParaRPr lang="cs-CZ"/>
          </a:p>
        </c:txPr>
        <c:crossAx val="112769664"/>
        <c:crosses val="autoZero"/>
        <c:auto val="1"/>
        <c:lblAlgn val="ctr"/>
        <c:lblOffset val="0"/>
        <c:noMultiLvlLbl val="0"/>
      </c:catAx>
      <c:valAx>
        <c:axId val="112769664"/>
        <c:scaling>
          <c:orientation val="minMax"/>
          <c:max val="15"/>
          <c:min val="-30"/>
        </c:scaling>
        <c:delete val="0"/>
        <c:axPos val="l"/>
        <c:majorGridlines>
          <c:spPr>
            <a:ln>
              <a:solidFill>
                <a:srgbClr val="BEBEBE"/>
              </a:solidFill>
            </a:ln>
          </c:spPr>
        </c:majorGridlines>
        <c:title>
          <c:tx>
            <c:rich>
              <a:bodyPr/>
              <a:lstStyle/>
              <a:p>
                <a:pPr marL="0" marR="0" lvl="0" indent="0" algn="ctr" defTabSz="914400" rtl="0" eaLnBrk="1" fontAlgn="auto" latinLnBrk="0" hangingPunct="1">
                  <a:lnSpc>
                    <a:spcPct val="100000"/>
                  </a:lnSpc>
                  <a:spcBef>
                    <a:spcPts val="0"/>
                  </a:spcBef>
                  <a:spcAft>
                    <a:spcPts val="0"/>
                  </a:spcAft>
                  <a:buClrTx/>
                  <a:buSzTx/>
                  <a:buFontTx/>
                  <a:buNone/>
                  <a:tabLst/>
                  <a:defRPr sz="700" b="0" i="1"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cs-CZ" sz="700" b="0" i="1" u="none" strike="noStrike" kern="1200" baseline="0">
                    <a:solidFill>
                      <a:sysClr val="windowText" lastClr="000000"/>
                    </a:solidFill>
                    <a:latin typeface="Arial" pitchFamily="34" charset="0"/>
                  </a:rPr>
                  <a:t>Tržby (příspěvky k meziroční změně)</a:t>
                </a:r>
              </a:p>
            </c:rich>
          </c:tx>
          <c:overlay val="0"/>
        </c:title>
        <c:numFmt formatCode="0" sourceLinked="0"/>
        <c:majorTickMark val="out"/>
        <c:minorTickMark val="none"/>
        <c:tickLblPos val="nextTo"/>
        <c:txPr>
          <a:bodyPr/>
          <a:lstStyle/>
          <a:p>
            <a:pPr>
              <a:defRPr sz="800">
                <a:latin typeface="Arial" pitchFamily="34" charset="0"/>
                <a:cs typeface="Arial" pitchFamily="34" charset="0"/>
              </a:defRPr>
            </a:pPr>
            <a:endParaRPr lang="cs-CZ"/>
          </a:p>
        </c:txPr>
        <c:crossAx val="112768128"/>
        <c:crosses val="autoZero"/>
        <c:crossBetween val="between"/>
        <c:majorUnit val="5"/>
      </c:valAx>
      <c:valAx>
        <c:axId val="1118080463"/>
        <c:scaling>
          <c:orientation val="minMax"/>
          <c:max val="150"/>
          <c:min val="-30"/>
        </c:scaling>
        <c:delete val="0"/>
        <c:axPos val="r"/>
        <c:title>
          <c:tx>
            <c:rich>
              <a:bodyPr/>
              <a:lstStyle/>
              <a:p>
                <a:pPr>
                  <a:defRPr sz="700" b="0" i="1">
                    <a:latin typeface="Arial" panose="020B0604020202020204" pitchFamily="34" charset="0"/>
                    <a:cs typeface="Arial" panose="020B0604020202020204" pitchFamily="34" charset="0"/>
                  </a:defRPr>
                </a:pPr>
                <a:r>
                  <a:rPr lang="cs-CZ" sz="700" b="0" i="1" u="none" strike="noStrike" kern="1200" baseline="0">
                    <a:solidFill>
                      <a:sysClr val="windowText" lastClr="000000"/>
                    </a:solidFill>
                    <a:effectLst/>
                    <a:latin typeface="Arial" pitchFamily="34" charset="0"/>
                  </a:rPr>
                  <a:t>Tržby (báze 2021=100)</a:t>
                </a:r>
                <a:r>
                  <a:rPr lang="cs-CZ" sz="700" b="0" i="1" u="none" strike="noStrike" kern="1200" baseline="0">
                    <a:solidFill>
                      <a:sysClr val="windowText" lastClr="000000"/>
                    </a:solidFill>
                    <a:latin typeface="Arial" pitchFamily="34" charset="0"/>
                  </a:rPr>
                  <a:t>, saldo důvěry, bariéry růstu</a:t>
                </a:r>
              </a:p>
            </c:rich>
          </c:tx>
          <c:overlay val="0"/>
        </c:title>
        <c:numFmt formatCode="0" sourceLinked="0"/>
        <c:majorTickMark val="out"/>
        <c:minorTickMark val="none"/>
        <c:tickLblPos val="nextTo"/>
        <c:txPr>
          <a:bodyPr/>
          <a:lstStyle/>
          <a:p>
            <a:pPr>
              <a:defRPr sz="800">
                <a:latin typeface="Arial" panose="020B0604020202020204" pitchFamily="34" charset="0"/>
                <a:cs typeface="Arial" panose="020B0604020202020204" pitchFamily="34" charset="0"/>
              </a:defRPr>
            </a:pPr>
            <a:endParaRPr lang="cs-CZ"/>
          </a:p>
        </c:txPr>
        <c:crossAx val="1118074639"/>
        <c:crosses val="max"/>
        <c:crossBetween val="between"/>
        <c:majorUnit val="20"/>
      </c:valAx>
      <c:catAx>
        <c:axId val="1118074639"/>
        <c:scaling>
          <c:orientation val="minMax"/>
        </c:scaling>
        <c:delete val="1"/>
        <c:axPos val="b"/>
        <c:numFmt formatCode="General" sourceLinked="1"/>
        <c:majorTickMark val="out"/>
        <c:minorTickMark val="none"/>
        <c:tickLblPos val="nextTo"/>
        <c:crossAx val="1118080463"/>
        <c:crosses val="autoZero"/>
        <c:auto val="1"/>
        <c:lblAlgn val="ctr"/>
        <c:lblOffset val="100"/>
        <c:noMultiLvlLbl val="0"/>
      </c:catAx>
      <c:spPr>
        <a:noFill/>
        <a:ln w="6350">
          <a:solidFill>
            <a:prstClr val="black">
              <a:lumMod val="95000"/>
              <a:lumOff val="5000"/>
            </a:prstClr>
          </a:solidFill>
        </a:ln>
      </c:spPr>
    </c:plotArea>
    <c:legend>
      <c:legendPos val="r"/>
      <c:layout>
        <c:manualLayout>
          <c:xMode val="edge"/>
          <c:yMode val="edge"/>
          <c:x val="0"/>
          <c:y val="0.81977661598035723"/>
          <c:w val="0.99257862455218637"/>
          <c:h val="0.17302512701806255"/>
        </c:manualLayout>
      </c:layout>
      <c:overlay val="0"/>
      <c:spPr>
        <a:ln w="6350">
          <a:solidFill>
            <a:prstClr val="black">
              <a:lumMod val="95000"/>
              <a:lumOff val="5000"/>
            </a:prstClr>
          </a:solidFill>
        </a:ln>
      </c:spPr>
      <c:txPr>
        <a:bodyPr/>
        <a:lstStyle/>
        <a:p>
          <a:pPr>
            <a:defRPr sz="750">
              <a:latin typeface="Arial" pitchFamily="34" charset="0"/>
              <a:cs typeface="Arial" pitchFamily="34" charset="0"/>
            </a:defRPr>
          </a:pPr>
          <a:endParaRPr lang="cs-CZ"/>
        </a:p>
      </c:txPr>
    </c:legend>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461666861125732E-2"/>
          <c:y val="1.5803328678987455E-2"/>
          <c:w val="0.85878628700879256"/>
          <c:h val="0.73450553497678983"/>
        </c:manualLayout>
      </c:layout>
      <c:barChart>
        <c:barDir val="col"/>
        <c:grouping val="stacked"/>
        <c:varyColors val="0"/>
        <c:ser>
          <c:idx val="0"/>
          <c:order val="1"/>
          <c:tx>
            <c:strRef>
              <c:f>'výkonnost odvětví 5a'!$E$66</c:f>
              <c:strCache>
                <c:ptCount val="1"/>
                <c:pt idx="0">
                  <c:v>Maloobchod s potravinami (příspěvek)</c:v>
                </c:pt>
              </c:strCache>
            </c:strRef>
          </c:tx>
          <c:spPr>
            <a:solidFill>
              <a:srgbClr val="85BF5E"/>
            </a:solidFill>
            <a:ln w="15875">
              <a:noFill/>
            </a:ln>
          </c:spPr>
          <c:invertIfNegative val="0"/>
          <c:cat>
            <c:multiLvlStrRef>
              <c:f>'výkonnost odvětví 5a'!$B$75:$C$111</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'výkonnost odvětví 5a'!$E$75:$E$111</c:f>
              <c:numCache>
                <c:formatCode>#\ ##0.0</c:formatCode>
                <c:ptCount val="37"/>
                <c:pt idx="0">
                  <c:v>0.80503504339803023</c:v>
                </c:pt>
                <c:pt idx="1">
                  <c:v>1.3226920132878939</c:v>
                </c:pt>
                <c:pt idx="2">
                  <c:v>1.1093879971303187</c:v>
                </c:pt>
                <c:pt idx="3">
                  <c:v>0.91879711672543174</c:v>
                </c:pt>
                <c:pt idx="4">
                  <c:v>1.4408811390667347</c:v>
                </c:pt>
                <c:pt idx="5">
                  <c:v>0.56586951487910242</c:v>
                </c:pt>
                <c:pt idx="6">
                  <c:v>0.91859130788294596</c:v>
                </c:pt>
                <c:pt idx="7">
                  <c:v>0.39031471099013937</c:v>
                </c:pt>
                <c:pt idx="8">
                  <c:v>-0.26042517082700345</c:v>
                </c:pt>
                <c:pt idx="9">
                  <c:v>1.387192807046131</c:v>
                </c:pt>
                <c:pt idx="10">
                  <c:v>0.12221175641062032</c:v>
                </c:pt>
                <c:pt idx="11">
                  <c:v>1.4203949898468426</c:v>
                </c:pt>
                <c:pt idx="12">
                  <c:v>0.68045099807767828</c:v>
                </c:pt>
                <c:pt idx="13">
                  <c:v>-1.8622979821914807</c:v>
                </c:pt>
                <c:pt idx="14">
                  <c:v>-0.62992808617830609</c:v>
                </c:pt>
                <c:pt idx="15">
                  <c:v>-0.29233058819401747</c:v>
                </c:pt>
                <c:pt idx="16">
                  <c:v>-0.60459877221603142</c:v>
                </c:pt>
                <c:pt idx="17">
                  <c:v>0.49323760887485901</c:v>
                </c:pt>
                <c:pt idx="18">
                  <c:v>-0.29141252480594659</c:v>
                </c:pt>
                <c:pt idx="19">
                  <c:v>6.1314084169630878E-3</c:v>
                </c:pt>
                <c:pt idx="20">
                  <c:v>-6.1582310189856965E-2</c:v>
                </c:pt>
                <c:pt idx="21">
                  <c:v>-1.1002096142625197</c:v>
                </c:pt>
                <c:pt idx="22">
                  <c:v>-2.2861265791925276</c:v>
                </c:pt>
                <c:pt idx="23">
                  <c:v>-3.2428703644656567</c:v>
                </c:pt>
                <c:pt idx="24">
                  <c:v>-3.1021139074787172</c:v>
                </c:pt>
                <c:pt idx="25">
                  <c:v>-2.8566724669708714</c:v>
                </c:pt>
                <c:pt idx="26">
                  <c:v>-1.6912288131334752</c:v>
                </c:pt>
                <c:pt idx="27">
                  <c:v>-0.73752339334120764</c:v>
                </c:pt>
                <c:pt idx="28">
                  <c:v>0.86271920525660772</c:v>
                </c:pt>
                <c:pt idx="29">
                  <c:v>1.1155734788058358</c:v>
                </c:pt>
                <c:pt idx="30">
                  <c:v>0.85837007365499784</c:v>
                </c:pt>
                <c:pt idx="31">
                  <c:v>0.65165796895764594</c:v>
                </c:pt>
                <c:pt idx="32">
                  <c:v>0.26555288583920228</c:v>
                </c:pt>
                <c:pt idx="33">
                  <c:v>0.44329749816029373</c:v>
                </c:pt>
                <c:pt idx="34">
                  <c:v>-0.20290194657775004</c:v>
                </c:pt>
                <c:pt idx="35">
                  <c:v>0.15578977489472409</c:v>
                </c:pt>
              </c:numCache>
            </c:numRef>
          </c:val>
          <c:extLst>
            <c:ext xmlns:c16="http://schemas.microsoft.com/office/drawing/2014/chart" uri="{C3380CC4-5D6E-409C-BE32-E72D297353CC}">
              <c16:uniqueId val="{00000000-2782-408F-ACD1-C48AD6CA2AF5}"/>
            </c:ext>
          </c:extLst>
        </c:ser>
        <c:ser>
          <c:idx val="1"/>
          <c:order val="2"/>
          <c:tx>
            <c:strRef>
              <c:f>'výkonnost odvětví 5a'!$F$66</c:f>
              <c:strCache>
                <c:ptCount val="1"/>
                <c:pt idx="0">
                  <c:v>Mal. s nepotravinářským zbož. (příspěvek)</c:v>
                </c:pt>
              </c:strCache>
            </c:strRef>
          </c:tx>
          <c:spPr>
            <a:solidFill>
              <a:srgbClr val="9FC9D7"/>
            </a:solidFill>
            <a:ln w="15875">
              <a:noFill/>
            </a:ln>
          </c:spPr>
          <c:invertIfNegative val="0"/>
          <c:cat>
            <c:multiLvlStrRef>
              <c:f>'výkonnost odvětví 5a'!$B$75:$C$111</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'výkonnost odvětví 5a'!$F$75:$F$111</c:f>
              <c:numCache>
                <c:formatCode>#\ ##0.0</c:formatCode>
                <c:ptCount val="37"/>
                <c:pt idx="0">
                  <c:v>3.5378642331475767</c:v>
                </c:pt>
                <c:pt idx="1">
                  <c:v>4.4102109114000001</c:v>
                </c:pt>
                <c:pt idx="2">
                  <c:v>4.0630860017156882</c:v>
                </c:pt>
                <c:pt idx="3">
                  <c:v>4.5677642987344473</c:v>
                </c:pt>
                <c:pt idx="4">
                  <c:v>3.9514660526469991</c:v>
                </c:pt>
                <c:pt idx="5">
                  <c:v>3.3660973740063671</c:v>
                </c:pt>
                <c:pt idx="6">
                  <c:v>2.5766562177543419</c:v>
                </c:pt>
                <c:pt idx="7">
                  <c:v>3.7137432546421087</c:v>
                </c:pt>
                <c:pt idx="8">
                  <c:v>1.3164914821905218</c:v>
                </c:pt>
                <c:pt idx="9">
                  <c:v>2.4403334275714292</c:v>
                </c:pt>
                <c:pt idx="10">
                  <c:v>4.2880747845793561</c:v>
                </c:pt>
                <c:pt idx="11">
                  <c:v>5.6732186094086785</c:v>
                </c:pt>
                <c:pt idx="12">
                  <c:v>0.37453831110718883</c:v>
                </c:pt>
                <c:pt idx="13">
                  <c:v>-0.33252785160352938</c:v>
                </c:pt>
                <c:pt idx="14">
                  <c:v>1.4214288755441682</c:v>
                </c:pt>
                <c:pt idx="15">
                  <c:v>-1.845799940094685</c:v>
                </c:pt>
                <c:pt idx="16">
                  <c:v>-0.21409474415983107</c:v>
                </c:pt>
                <c:pt idx="17">
                  <c:v>5.5786493935518759</c:v>
                </c:pt>
                <c:pt idx="18">
                  <c:v>3.6268068459923546</c:v>
                </c:pt>
                <c:pt idx="19">
                  <c:v>5.6725803161902153</c:v>
                </c:pt>
                <c:pt idx="20">
                  <c:v>5.9914505475347823</c:v>
                </c:pt>
                <c:pt idx="21">
                  <c:v>-0.95235070609145533</c:v>
                </c:pt>
                <c:pt idx="22">
                  <c:v>-3.9412942318952147</c:v>
                </c:pt>
                <c:pt idx="23">
                  <c:v>-5.6406113675036629</c:v>
                </c:pt>
                <c:pt idx="24">
                  <c:v>-4.7850553749902662</c:v>
                </c:pt>
                <c:pt idx="25">
                  <c:v>-4.490697704925017</c:v>
                </c:pt>
                <c:pt idx="26">
                  <c:v>-2.4590574167395673</c:v>
                </c:pt>
                <c:pt idx="27">
                  <c:v>0.45135939696203864</c:v>
                </c:pt>
                <c:pt idx="28">
                  <c:v>2.7879626008679734</c:v>
                </c:pt>
                <c:pt idx="29">
                  <c:v>2.5926645389599337</c:v>
                </c:pt>
                <c:pt idx="30">
                  <c:v>3.3692227083047981</c:v>
                </c:pt>
                <c:pt idx="31">
                  <c:v>3.5075439569744433</c:v>
                </c:pt>
                <c:pt idx="32">
                  <c:v>2.1099581107723591</c:v>
                </c:pt>
                <c:pt idx="33">
                  <c:v>2.848436864487339</c:v>
                </c:pt>
                <c:pt idx="34">
                  <c:v>1.6087390634926666</c:v>
                </c:pt>
                <c:pt idx="35">
                  <c:v>2.1200938642067571</c:v>
                </c:pt>
              </c:numCache>
            </c:numRef>
          </c:val>
          <c:extLst>
            <c:ext xmlns:c16="http://schemas.microsoft.com/office/drawing/2014/chart" uri="{C3380CC4-5D6E-409C-BE32-E72D297353CC}">
              <c16:uniqueId val="{00000001-2782-408F-ACD1-C48AD6CA2AF5}"/>
            </c:ext>
          </c:extLst>
        </c:ser>
        <c:ser>
          <c:idx val="4"/>
          <c:order val="3"/>
          <c:tx>
            <c:strRef>
              <c:f>'výkonnost odvětví 5a'!$G$66</c:f>
              <c:strCache>
                <c:ptCount val="1"/>
                <c:pt idx="0">
                  <c:v>Maloobchodní prodej PHM (příspěvek)</c:v>
                </c:pt>
              </c:strCache>
            </c:strRef>
          </c:tx>
          <c:spPr>
            <a:solidFill>
              <a:srgbClr val="D8A7B7"/>
            </a:solidFill>
            <a:ln w="15875">
              <a:noFill/>
            </a:ln>
          </c:spPr>
          <c:invertIfNegative val="0"/>
          <c:cat>
            <c:multiLvlStrRef>
              <c:f>'výkonnost odvětví 5a'!$B$75:$C$111</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'výkonnost odvětví 5a'!$G$75:$G$111</c:f>
              <c:numCache>
                <c:formatCode>#\ ##0.0</c:formatCode>
                <c:ptCount val="37"/>
                <c:pt idx="0">
                  <c:v>0.33272608336231924</c:v>
                </c:pt>
                <c:pt idx="1">
                  <c:v>0.75457656335789458</c:v>
                </c:pt>
                <c:pt idx="2">
                  <c:v>0.84343448068247284</c:v>
                </c:pt>
                <c:pt idx="3">
                  <c:v>0.68530271370933171</c:v>
                </c:pt>
                <c:pt idx="4">
                  <c:v>0.66498076739870349</c:v>
                </c:pt>
                <c:pt idx="5">
                  <c:v>0.5949365062021188</c:v>
                </c:pt>
                <c:pt idx="6">
                  <c:v>0.37393648150629555</c:v>
                </c:pt>
                <c:pt idx="7">
                  <c:v>0.43227375511872002</c:v>
                </c:pt>
                <c:pt idx="8">
                  <c:v>0.17780110877268776</c:v>
                </c:pt>
                <c:pt idx="9">
                  <c:v>0.36931457791630756</c:v>
                </c:pt>
                <c:pt idx="10">
                  <c:v>0.27034475786666656</c:v>
                </c:pt>
                <c:pt idx="11">
                  <c:v>0.19682777384424532</c:v>
                </c:pt>
                <c:pt idx="12">
                  <c:v>-0.61213507449246762</c:v>
                </c:pt>
                <c:pt idx="13">
                  <c:v>-1.9736438752214194</c:v>
                </c:pt>
                <c:pt idx="14">
                  <c:v>8.5192850240832507E-2</c:v>
                </c:pt>
                <c:pt idx="15">
                  <c:v>-1.0745172260826921</c:v>
                </c:pt>
                <c:pt idx="16">
                  <c:v>-0.81634971421508096</c:v>
                </c:pt>
                <c:pt idx="17">
                  <c:v>1.0665313424666174</c:v>
                </c:pt>
                <c:pt idx="18">
                  <c:v>0.37055273984166581</c:v>
                </c:pt>
                <c:pt idx="19">
                  <c:v>0.92310461803521004</c:v>
                </c:pt>
                <c:pt idx="20">
                  <c:v>1.2424053535443074</c:v>
                </c:pt>
                <c:pt idx="21">
                  <c:v>-0.71067911894328362</c:v>
                </c:pt>
                <c:pt idx="22">
                  <c:v>-1.4491227214108995</c:v>
                </c:pt>
                <c:pt idx="23">
                  <c:v>-0.43020947746484245</c:v>
                </c:pt>
                <c:pt idx="24">
                  <c:v>9.5887241849914734E-2</c:v>
                </c:pt>
                <c:pt idx="25">
                  <c:v>1.0484499317684191</c:v>
                </c:pt>
                <c:pt idx="26">
                  <c:v>1.0259046084806165</c:v>
                </c:pt>
                <c:pt idx="27">
                  <c:v>0.21056685921275967</c:v>
                </c:pt>
                <c:pt idx="28">
                  <c:v>0.60375654450034388</c:v>
                </c:pt>
                <c:pt idx="29">
                  <c:v>0.24887449874246392</c:v>
                </c:pt>
                <c:pt idx="30">
                  <c:v>0.4324214825082664</c:v>
                </c:pt>
                <c:pt idx="31">
                  <c:v>1.0777257521870729</c:v>
                </c:pt>
                <c:pt idx="32">
                  <c:v>0.84758906664488498</c:v>
                </c:pt>
                <c:pt idx="33">
                  <c:v>1.43335185034885</c:v>
                </c:pt>
                <c:pt idx="34">
                  <c:v>1.1264817396958606</c:v>
                </c:pt>
                <c:pt idx="35">
                  <c:v>0.51031465808389365</c:v>
                </c:pt>
              </c:numCache>
            </c:numRef>
          </c:val>
          <c:extLst>
            <c:ext xmlns:c16="http://schemas.microsoft.com/office/drawing/2014/chart" uri="{C3380CC4-5D6E-409C-BE32-E72D297353CC}">
              <c16:uniqueId val="{00000002-2782-408F-ACD1-C48AD6CA2AF5}"/>
            </c:ext>
          </c:extLst>
        </c:ser>
        <c:dLbls>
          <c:showLegendKey val="0"/>
          <c:showVal val="0"/>
          <c:showCatName val="0"/>
          <c:showSerName val="0"/>
          <c:showPercent val="0"/>
          <c:showBubbleSize val="0"/>
        </c:dLbls>
        <c:gapWidth val="31"/>
        <c:overlap val="100"/>
        <c:axId val="156100864"/>
        <c:axId val="156573696"/>
      </c:barChart>
      <c:lineChart>
        <c:grouping val="standard"/>
        <c:varyColors val="0"/>
        <c:ser>
          <c:idx val="3"/>
          <c:order val="0"/>
          <c:tx>
            <c:strRef>
              <c:f>'výkonnost odvětví 5a'!$D$66</c:f>
              <c:strCache>
                <c:ptCount val="1"/>
                <c:pt idx="0">
                  <c:v>Maloobchod celkem (meziroční růst)</c:v>
                </c:pt>
              </c:strCache>
            </c:strRef>
          </c:tx>
          <c:spPr>
            <a:ln>
              <a:noFill/>
            </a:ln>
          </c:spPr>
          <c:marker>
            <c:symbol val="dash"/>
            <c:size val="6"/>
            <c:spPr>
              <a:solidFill>
                <a:schemeClr val="tx1">
                  <a:lumMod val="85000"/>
                  <a:lumOff val="15000"/>
                </a:schemeClr>
              </a:solidFill>
              <a:ln w="6350">
                <a:solidFill>
                  <a:schemeClr val="tx1">
                    <a:lumMod val="95000"/>
                    <a:lumOff val="5000"/>
                  </a:schemeClr>
                </a:solidFill>
              </a:ln>
            </c:spPr>
          </c:marker>
          <c:cat>
            <c:multiLvlStrRef>
              <c:f>'výkonnost odvětví 5a'!$B$75:$C$111</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'výkonnost odvětví 5a'!$D$75:$D$111</c:f>
              <c:numCache>
                <c:formatCode>#\ ##0.0</c:formatCode>
                <c:ptCount val="37"/>
                <c:pt idx="0">
                  <c:v>4.3620748262000006</c:v>
                </c:pt>
                <c:pt idx="1">
                  <c:v>6.1514795296999978</c:v>
                </c:pt>
                <c:pt idx="2">
                  <c:v>5.695332340899995</c:v>
                </c:pt>
                <c:pt idx="3">
                  <c:v>5.8139714787999992</c:v>
                </c:pt>
                <c:pt idx="4">
                  <c:v>5.9180843605000035</c:v>
                </c:pt>
                <c:pt idx="5">
                  <c:v>4.4338705679000014</c:v>
                </c:pt>
                <c:pt idx="6">
                  <c:v>3.8240798302000059</c:v>
                </c:pt>
                <c:pt idx="7">
                  <c:v>4.3570988037999996</c:v>
                </c:pt>
                <c:pt idx="8">
                  <c:v>1.1507172347999983</c:v>
                </c:pt>
                <c:pt idx="9">
                  <c:v>4.1650200169000016</c:v>
                </c:pt>
                <c:pt idx="10">
                  <c:v>4.4978565960000054</c:v>
                </c:pt>
                <c:pt idx="11">
                  <c:v>7.2188301332000009</c:v>
                </c:pt>
                <c:pt idx="12">
                  <c:v>0.40058883060000028</c:v>
                </c:pt>
                <c:pt idx="13">
                  <c:v>-4.2822479934000057</c:v>
                </c:pt>
                <c:pt idx="14">
                  <c:v>0.836536897000002</c:v>
                </c:pt>
                <c:pt idx="15">
                  <c:v>-3.147863998899993</c:v>
                </c:pt>
                <c:pt idx="16">
                  <c:v>-1.6909872142999944</c:v>
                </c:pt>
                <c:pt idx="17">
                  <c:v>6.9698101226999967</c:v>
                </c:pt>
                <c:pt idx="18">
                  <c:v>3.5903392145000055</c:v>
                </c:pt>
                <c:pt idx="19">
                  <c:v>6.5026074013999988</c:v>
                </c:pt>
                <c:pt idx="20">
                  <c:v>6.7657643783000054</c:v>
                </c:pt>
                <c:pt idx="21">
                  <c:v>-2.8035638672999994</c:v>
                </c:pt>
                <c:pt idx="22">
                  <c:v>-7.6556463837000024</c:v>
                </c:pt>
                <c:pt idx="23">
                  <c:v>-9.3145502957000019</c:v>
                </c:pt>
                <c:pt idx="24">
                  <c:v>-7.7729465094000005</c:v>
                </c:pt>
                <c:pt idx="25">
                  <c:v>-6.285529826100003</c:v>
                </c:pt>
                <c:pt idx="26">
                  <c:v>-3.142215465700005</c:v>
                </c:pt>
                <c:pt idx="27">
                  <c:v>-0.13905421660000172</c:v>
                </c:pt>
                <c:pt idx="28">
                  <c:v>4.2508866608999938</c:v>
                </c:pt>
                <c:pt idx="29">
                  <c:v>3.9576767644000057</c:v>
                </c:pt>
                <c:pt idx="30">
                  <c:v>4.6596597167000056</c:v>
                </c:pt>
                <c:pt idx="31">
                  <c:v>5.2359629954000013</c:v>
                </c:pt>
                <c:pt idx="32">
                  <c:v>3.2222303133000025</c:v>
                </c:pt>
                <c:pt idx="33">
                  <c:v>4.7254126336000013</c:v>
                </c:pt>
                <c:pt idx="34">
                  <c:v>2.5318910023000001</c:v>
                </c:pt>
                <c:pt idx="35">
                  <c:v>2.7870056648999935</c:v>
                </c:pt>
              </c:numCache>
            </c:numRef>
          </c:val>
          <c:smooth val="0"/>
          <c:extLst>
            <c:ext xmlns:c16="http://schemas.microsoft.com/office/drawing/2014/chart" uri="{C3380CC4-5D6E-409C-BE32-E72D297353CC}">
              <c16:uniqueId val="{00000003-2782-408F-ACD1-C48AD6CA2AF5}"/>
            </c:ext>
          </c:extLst>
        </c:ser>
        <c:dLbls>
          <c:showLegendKey val="0"/>
          <c:showVal val="0"/>
          <c:showCatName val="0"/>
          <c:showSerName val="0"/>
          <c:showPercent val="0"/>
          <c:showBubbleSize val="0"/>
        </c:dLbls>
        <c:marker val="1"/>
        <c:smooth val="0"/>
        <c:axId val="156100864"/>
        <c:axId val="156573696"/>
      </c:lineChart>
      <c:lineChart>
        <c:grouping val="standard"/>
        <c:varyColors val="0"/>
        <c:ser>
          <c:idx val="5"/>
          <c:order val="4"/>
          <c:tx>
            <c:strRef>
              <c:f>'výkonnost odvětví 5a'!$H$66</c:f>
              <c:strCache>
                <c:ptCount val="1"/>
                <c:pt idx="0">
                  <c:v>Maloobchod, bez motor. segm. (2021=100)</c:v>
                </c:pt>
              </c:strCache>
            </c:strRef>
          </c:tx>
          <c:spPr>
            <a:ln w="15875">
              <a:solidFill>
                <a:srgbClr val="8390A7"/>
              </a:solidFill>
              <a:prstDash val="solid"/>
            </a:ln>
          </c:spPr>
          <c:marker>
            <c:symbol val="none"/>
          </c:marker>
          <c:cat>
            <c:multiLvlStrRef>
              <c:f>'výkonnost odvětví 5a'!$B$75:$C$111</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'výkonnost odvětví 5a'!$H$75:$H$111</c:f>
              <c:numCache>
                <c:formatCode>#\ ##0.0</c:formatCode>
                <c:ptCount val="37"/>
                <c:pt idx="0">
                  <c:v>87.363961106700003</c:v>
                </c:pt>
                <c:pt idx="1">
                  <c:v>89.101366663299999</c:v>
                </c:pt>
                <c:pt idx="2">
                  <c:v>90.129141573300004</c:v>
                </c:pt>
                <c:pt idx="3">
                  <c:v>90.462224816700001</c:v>
                </c:pt>
                <c:pt idx="4">
                  <c:v>93.00060388</c:v>
                </c:pt>
                <c:pt idx="5">
                  <c:v>93.180065510000006</c:v>
                </c:pt>
                <c:pt idx="6">
                  <c:v>93.466034969999995</c:v>
                </c:pt>
                <c:pt idx="7">
                  <c:v>93.443529976700006</c:v>
                </c:pt>
                <c:pt idx="8">
                  <c:v>94.9061846667</c:v>
                </c:pt>
                <c:pt idx="9">
                  <c:v>97.714283146699998</c:v>
                </c:pt>
                <c:pt idx="10">
                  <c:v>97.4024124667</c:v>
                </c:pt>
                <c:pt idx="11">
                  <c:v>98.790444260000001</c:v>
                </c:pt>
                <c:pt idx="12">
                  <c:v>95.462904703299998</c:v>
                </c:pt>
                <c:pt idx="13">
                  <c:v>94.180640983299995</c:v>
                </c:pt>
                <c:pt idx="14">
                  <c:v>98.312227893300005</c:v>
                </c:pt>
                <c:pt idx="15">
                  <c:v>95.2433243933</c:v>
                </c:pt>
                <c:pt idx="16">
                  <c:v>92.928266769999993</c:v>
                </c:pt>
                <c:pt idx="17">
                  <c:v>100.65021960670001</c:v>
                </c:pt>
                <c:pt idx="18">
                  <c:v>102.09946060670001</c:v>
                </c:pt>
                <c:pt idx="19">
                  <c:v>101.60203237330001</c:v>
                </c:pt>
                <c:pt idx="20">
                  <c:v>99.523359249999999</c:v>
                </c:pt>
                <c:pt idx="21">
                  <c:v>97.741813693300003</c:v>
                </c:pt>
                <c:pt idx="22">
                  <c:v>94.933864310000004</c:v>
                </c:pt>
                <c:pt idx="23">
                  <c:v>92.870258969999995</c:v>
                </c:pt>
                <c:pt idx="24">
                  <c:v>91.574203240000003</c:v>
                </c:pt>
                <c:pt idx="25">
                  <c:v>91.301061406700001</c:v>
                </c:pt>
                <c:pt idx="26">
                  <c:v>91.908352769999993</c:v>
                </c:pt>
                <c:pt idx="27">
                  <c:v>92.815649043299999</c:v>
                </c:pt>
                <c:pt idx="28">
                  <c:v>94.946744010000003</c:v>
                </c:pt>
                <c:pt idx="29">
                  <c:v>95.154560459999999</c:v>
                </c:pt>
                <c:pt idx="30">
                  <c:v>96.613943120000002</c:v>
                </c:pt>
                <c:pt idx="31">
                  <c:v>97.443948553300004</c:v>
                </c:pt>
                <c:pt idx="32">
                  <c:v>97.833670350000006</c:v>
                </c:pt>
                <c:pt idx="33">
                  <c:v>99.341645130000003</c:v>
                </c:pt>
                <c:pt idx="34">
                  <c:v>99.379786460000005</c:v>
                </c:pt>
                <c:pt idx="35">
                  <c:v>100.3924424633</c:v>
                </c:pt>
              </c:numCache>
            </c:numRef>
          </c:val>
          <c:smooth val="0"/>
          <c:extLst>
            <c:ext xmlns:c16="http://schemas.microsoft.com/office/drawing/2014/chart" uri="{C3380CC4-5D6E-409C-BE32-E72D297353CC}">
              <c16:uniqueId val="{00000004-2782-408F-ACD1-C48AD6CA2AF5}"/>
            </c:ext>
          </c:extLst>
        </c:ser>
        <c:ser>
          <c:idx val="2"/>
          <c:order val="5"/>
          <c:tx>
            <c:strRef>
              <c:f>'výkonnost odvětví 5a'!$I$66</c:f>
              <c:strCache>
                <c:ptCount val="1"/>
                <c:pt idx="0">
                  <c:v>z toho: maloobchod.prodej PHM (2021=100)</c:v>
                </c:pt>
              </c:strCache>
            </c:strRef>
          </c:tx>
          <c:spPr>
            <a:ln w="15875">
              <a:solidFill>
                <a:srgbClr val="8390A7"/>
              </a:solidFill>
              <a:prstDash val="sysDash"/>
            </a:ln>
          </c:spPr>
          <c:marker>
            <c:symbol val="none"/>
          </c:marker>
          <c:cat>
            <c:multiLvlStrRef>
              <c:f>'výkonnost odvětví 5a'!$B$75:$C$111</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'výkonnost odvětví 5a'!$I$75:$I$111</c:f>
              <c:numCache>
                <c:formatCode>#\ ##0.0</c:formatCode>
                <c:ptCount val="37"/>
                <c:pt idx="0">
                  <c:v>95.749977333299995</c:v>
                </c:pt>
                <c:pt idx="1">
                  <c:v>97.600769810000003</c:v>
                </c:pt>
                <c:pt idx="2">
                  <c:v>99.127924750000005</c:v>
                </c:pt>
                <c:pt idx="3">
                  <c:v>100.1696827833</c:v>
                </c:pt>
                <c:pt idx="4">
                  <c:v>101.84621694330001</c:v>
                </c:pt>
                <c:pt idx="5">
                  <c:v>102.26597986</c:v>
                </c:pt>
                <c:pt idx="6">
                  <c:v>101.82584908</c:v>
                </c:pt>
                <c:pt idx="7">
                  <c:v>101.7161366</c:v>
                </c:pt>
                <c:pt idx="8">
                  <c:v>105.33320152669999</c:v>
                </c:pt>
                <c:pt idx="9">
                  <c:v>106.8745536667</c:v>
                </c:pt>
                <c:pt idx="10">
                  <c:v>102.3076605733</c:v>
                </c:pt>
                <c:pt idx="11">
                  <c:v>102.47872723330001</c:v>
                </c:pt>
                <c:pt idx="12">
                  <c:v>102.4278461</c:v>
                </c:pt>
                <c:pt idx="13">
                  <c:v>89.424229656700007</c:v>
                </c:pt>
                <c:pt idx="14">
                  <c:v>98.604605936699997</c:v>
                </c:pt>
                <c:pt idx="15">
                  <c:v>92.299073946700005</c:v>
                </c:pt>
                <c:pt idx="16">
                  <c:v>96.109310343299995</c:v>
                </c:pt>
                <c:pt idx="17">
                  <c:v>100.9109553033</c:v>
                </c:pt>
                <c:pt idx="18">
                  <c:v>102.10944587669999</c:v>
                </c:pt>
                <c:pt idx="19">
                  <c:v>100.0442907533</c:v>
                </c:pt>
                <c:pt idx="20">
                  <c:v>100.4837390567</c:v>
                </c:pt>
                <c:pt idx="21">
                  <c:v>95.887619340000001</c:v>
                </c:pt>
                <c:pt idx="22">
                  <c:v>95.207275056699999</c:v>
                </c:pt>
                <c:pt idx="23">
                  <c:v>97.958486166699998</c:v>
                </c:pt>
                <c:pt idx="24">
                  <c:v>98.911290039999997</c:v>
                </c:pt>
                <c:pt idx="25">
                  <c:v>101.93560023329999</c:v>
                </c:pt>
                <c:pt idx="26">
                  <c:v>102.8947768667</c:v>
                </c:pt>
                <c:pt idx="27">
                  <c:v>101.7954757067</c:v>
                </c:pt>
                <c:pt idx="28">
                  <c:v>104.35718131</c:v>
                </c:pt>
                <c:pt idx="29">
                  <c:v>104.54336572</c:v>
                </c:pt>
                <c:pt idx="30">
                  <c:v>107.00663887330001</c:v>
                </c:pt>
                <c:pt idx="31">
                  <c:v>111.0462678633</c:v>
                </c:pt>
                <c:pt idx="32">
                  <c:v>111.9671461033</c:v>
                </c:pt>
                <c:pt idx="33">
                  <c:v>115.0617583967</c:v>
                </c:pt>
                <c:pt idx="34">
                  <c:v>116.44289761</c:v>
                </c:pt>
                <c:pt idx="35">
                  <c:v>117.5486445233</c:v>
                </c:pt>
              </c:numCache>
            </c:numRef>
          </c:val>
          <c:smooth val="0"/>
          <c:extLst>
            <c:ext xmlns:c16="http://schemas.microsoft.com/office/drawing/2014/chart" uri="{C3380CC4-5D6E-409C-BE32-E72D297353CC}">
              <c16:uniqueId val="{00000005-2782-408F-ACD1-C48AD6CA2AF5}"/>
            </c:ext>
          </c:extLst>
        </c:ser>
        <c:ser>
          <c:idx val="6"/>
          <c:order val="6"/>
          <c:tx>
            <c:strRef>
              <c:f>'výkonnost odvětví 5a'!$J$66</c:f>
              <c:strCache>
                <c:ptCount val="1"/>
                <c:pt idx="0">
                  <c:v>Obchod a opravy motor. vozidel (2021=100)</c:v>
                </c:pt>
              </c:strCache>
            </c:strRef>
          </c:tx>
          <c:spPr>
            <a:ln w="15875">
              <a:solidFill>
                <a:srgbClr val="B8BBC0"/>
              </a:solidFill>
              <a:prstDash val="lgDash"/>
            </a:ln>
          </c:spPr>
          <c:marker>
            <c:symbol val="none"/>
          </c:marker>
          <c:cat>
            <c:multiLvlStrRef>
              <c:f>'výkonnost odvětví 5a'!$B$75:$C$111</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'výkonnost odvětví 5a'!$J$75:$J$111</c:f>
              <c:numCache>
                <c:formatCode>#\ ##0.0</c:formatCode>
                <c:ptCount val="37"/>
                <c:pt idx="0">
                  <c:v>109.64916972</c:v>
                </c:pt>
                <c:pt idx="1">
                  <c:v>110.1730534867</c:v>
                </c:pt>
                <c:pt idx="2">
                  <c:v>109.37546021670001</c:v>
                </c:pt>
                <c:pt idx="3">
                  <c:v>110.32722577</c:v>
                </c:pt>
                <c:pt idx="4">
                  <c:v>108.82251635670001</c:v>
                </c:pt>
                <c:pt idx="5">
                  <c:v>108.5589416633</c:v>
                </c:pt>
                <c:pt idx="6">
                  <c:v>108.4297535533</c:v>
                </c:pt>
                <c:pt idx="7">
                  <c:v>106.8586683767</c:v>
                </c:pt>
                <c:pt idx="8">
                  <c:v>108.79305033999999</c:v>
                </c:pt>
                <c:pt idx="9">
                  <c:v>109.2669854267</c:v>
                </c:pt>
                <c:pt idx="10">
                  <c:v>107.42212271</c:v>
                </c:pt>
                <c:pt idx="11">
                  <c:v>107.20196076000001</c:v>
                </c:pt>
                <c:pt idx="12">
                  <c:v>94.998715326699994</c:v>
                </c:pt>
                <c:pt idx="13">
                  <c:v>78.881855509999994</c:v>
                </c:pt>
                <c:pt idx="14">
                  <c:v>99.514476250000001</c:v>
                </c:pt>
                <c:pt idx="15">
                  <c:v>99.432766406699997</c:v>
                </c:pt>
                <c:pt idx="16">
                  <c:v>101.4397472867</c:v>
                </c:pt>
                <c:pt idx="17">
                  <c:v>101.27105395</c:v>
                </c:pt>
                <c:pt idx="18">
                  <c:v>98.638678266699998</c:v>
                </c:pt>
                <c:pt idx="19">
                  <c:v>97.392576509999998</c:v>
                </c:pt>
                <c:pt idx="20">
                  <c:v>96.616950979999999</c:v>
                </c:pt>
                <c:pt idx="21">
                  <c:v>95.576368220000006</c:v>
                </c:pt>
                <c:pt idx="22">
                  <c:v>95.592086106699995</c:v>
                </c:pt>
                <c:pt idx="23">
                  <c:v>96.074211756699995</c:v>
                </c:pt>
                <c:pt idx="24">
                  <c:v>98.817260133299996</c:v>
                </c:pt>
                <c:pt idx="25">
                  <c:v>99.567897636699996</c:v>
                </c:pt>
                <c:pt idx="26">
                  <c:v>100.9640650067</c:v>
                </c:pt>
                <c:pt idx="27">
                  <c:v>101.5145535833</c:v>
                </c:pt>
                <c:pt idx="28">
                  <c:v>101.2981159</c:v>
                </c:pt>
                <c:pt idx="29">
                  <c:v>101.0396875933</c:v>
                </c:pt>
                <c:pt idx="30">
                  <c:v>100.46779127329999</c:v>
                </c:pt>
                <c:pt idx="31">
                  <c:v>101.77873984999999</c:v>
                </c:pt>
                <c:pt idx="32">
                  <c:v>103.2498025133</c:v>
                </c:pt>
                <c:pt idx="33">
                  <c:v>103.11733217</c:v>
                </c:pt>
                <c:pt idx="34">
                  <c:v>103.61647794</c:v>
                </c:pt>
                <c:pt idx="35">
                  <c:v>102.7319377967</c:v>
                </c:pt>
              </c:numCache>
            </c:numRef>
          </c:val>
          <c:smooth val="0"/>
          <c:extLst>
            <c:ext xmlns:c16="http://schemas.microsoft.com/office/drawing/2014/chart" uri="{C3380CC4-5D6E-409C-BE32-E72D297353CC}">
              <c16:uniqueId val="{00000006-2782-408F-ACD1-C48AD6CA2AF5}"/>
            </c:ext>
          </c:extLst>
        </c:ser>
        <c:ser>
          <c:idx val="7"/>
          <c:order val="7"/>
          <c:tx>
            <c:strRef>
              <c:f>'výkonnost odvětví 5a'!$K$66</c:f>
              <c:strCache>
                <c:ptCount val="1"/>
              </c:strCache>
            </c:strRef>
          </c:tx>
          <c:spPr>
            <a:ln w="3175">
              <a:noFill/>
              <a:prstDash val="sysDash"/>
            </a:ln>
          </c:spPr>
          <c:marker>
            <c:symbol val="none"/>
          </c:marker>
          <c:cat>
            <c:multiLvlStrRef>
              <c:f>'výkonnost odvětví 5a'!$B$75:$C$111</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'výkonnost odvětví 5a'!$K$75:$K$111</c:f>
              <c:numCache>
                <c:formatCode>#\ ##0.0</c:formatCode>
                <c:ptCount val="37"/>
                <c:pt idx="0">
                  <c:v>-0.31355053370792552</c:v>
                </c:pt>
                <c:pt idx="1">
                  <c:v>-0.33599995834579033</c:v>
                </c:pt>
                <c:pt idx="2">
                  <c:v>-0.32057613862848477</c:v>
                </c:pt>
                <c:pt idx="3">
                  <c:v>-0.35789265036921147</c:v>
                </c:pt>
                <c:pt idx="4">
                  <c:v>-0.13924359861243329</c:v>
                </c:pt>
                <c:pt idx="5">
                  <c:v>-9.3032827187586653E-2</c:v>
                </c:pt>
                <c:pt idx="6">
                  <c:v>-4.5104176943577601E-2</c:v>
                </c:pt>
                <c:pt idx="7">
                  <c:v>-0.17923291695096844</c:v>
                </c:pt>
                <c:pt idx="8">
                  <c:v>-8.315018533620791E-2</c:v>
                </c:pt>
                <c:pt idx="9">
                  <c:v>-3.182079563386625E-2</c:v>
                </c:pt>
                <c:pt idx="10">
                  <c:v>-0.18277470285663766</c:v>
                </c:pt>
                <c:pt idx="11">
                  <c:v>-7.1611239899765589E-2</c:v>
                </c:pt>
                <c:pt idx="12">
                  <c:v>-4.2265404092399206E-2</c:v>
                </c:pt>
                <c:pt idx="13">
                  <c:v>-0.11377828438357618</c:v>
                </c:pt>
                <c:pt idx="14">
                  <c:v>-4.0156742606692608E-2</c:v>
                </c:pt>
                <c:pt idx="15">
                  <c:v>6.4783755471401694E-2</c:v>
                </c:pt>
                <c:pt idx="16">
                  <c:v>-5.5943983709051071E-2</c:v>
                </c:pt>
                <c:pt idx="17">
                  <c:v>-0.16860822219335536</c:v>
                </c:pt>
                <c:pt idx="18">
                  <c:v>-0.11560784652806844</c:v>
                </c:pt>
                <c:pt idx="19">
                  <c:v>-9.920894124238977E-2</c:v>
                </c:pt>
                <c:pt idx="20">
                  <c:v>-0.4065092125892269</c:v>
                </c:pt>
                <c:pt idx="21">
                  <c:v>-4.032442800274072E-2</c:v>
                </c:pt>
                <c:pt idx="22">
                  <c:v>2.0897148798639797E-2</c:v>
                </c:pt>
                <c:pt idx="23">
                  <c:v>-8.5908626583991454E-4</c:v>
                </c:pt>
                <c:pt idx="24">
                  <c:v>1.8335531219068141E-2</c:v>
                </c:pt>
                <c:pt idx="25">
                  <c:v>1.3390414027466324E-2</c:v>
                </c:pt>
                <c:pt idx="26">
                  <c:v>-1.783384430757895E-2</c:v>
                </c:pt>
                <c:pt idx="27">
                  <c:v>-6.3457079433592384E-2</c:v>
                </c:pt>
                <c:pt idx="28">
                  <c:v>-3.5516897249310286E-3</c:v>
                </c:pt>
                <c:pt idx="29">
                  <c:v>5.6424789177234036E-4</c:v>
                </c:pt>
                <c:pt idx="30">
                  <c:v>-3.5454776805687871E-4</c:v>
                </c:pt>
                <c:pt idx="31">
                  <c:v>-9.6468271916072545E-4</c:v>
                </c:pt>
              </c:numCache>
            </c:numRef>
          </c:val>
          <c:smooth val="0"/>
          <c:extLst>
            <c:ext xmlns:c16="http://schemas.microsoft.com/office/drawing/2014/chart" uri="{C3380CC4-5D6E-409C-BE32-E72D297353CC}">
              <c16:uniqueId val="{00000007-2782-408F-ACD1-C48AD6CA2AF5}"/>
            </c:ext>
          </c:extLst>
        </c:ser>
        <c:ser>
          <c:idx val="8"/>
          <c:order val="8"/>
          <c:tx>
            <c:strRef>
              <c:f>'výkonnost odvětví 5a'!$L$66</c:f>
              <c:strCache>
                <c:ptCount val="1"/>
                <c:pt idx="0">
                  <c:v>Saldo indikátoru důvěry spotřebitelů</c:v>
                </c:pt>
              </c:strCache>
            </c:strRef>
          </c:tx>
          <c:spPr>
            <a:ln w="12700">
              <a:noFill/>
              <a:prstDash val="sysDot"/>
            </a:ln>
          </c:spPr>
          <c:marker>
            <c:symbol val="circle"/>
            <c:size val="5"/>
            <c:spPr>
              <a:solidFill>
                <a:srgbClr val="E6C45B"/>
              </a:solidFill>
              <a:ln>
                <a:solidFill>
                  <a:srgbClr val="E6C45B"/>
                </a:solidFill>
              </a:ln>
            </c:spPr>
          </c:marker>
          <c:cat>
            <c:multiLvlStrRef>
              <c:f>'výkonnost odvětví 5a'!$B$75:$C$111</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'výkonnost odvětví 5a'!$L$75:$L$111</c:f>
              <c:numCache>
                <c:formatCode>0.0</c:formatCode>
                <c:ptCount val="37"/>
                <c:pt idx="0">
                  <c:v>1.25</c:v>
                </c:pt>
                <c:pt idx="1">
                  <c:v>-0.5</c:v>
                </c:pt>
                <c:pt idx="2">
                  <c:v>0.5</c:v>
                </c:pt>
                <c:pt idx="3">
                  <c:v>5</c:v>
                </c:pt>
                <c:pt idx="4">
                  <c:v>3.75</c:v>
                </c:pt>
                <c:pt idx="5">
                  <c:v>6</c:v>
                </c:pt>
                <c:pt idx="6">
                  <c:v>4</c:v>
                </c:pt>
                <c:pt idx="7">
                  <c:v>1</c:v>
                </c:pt>
                <c:pt idx="8">
                  <c:v>3.25</c:v>
                </c:pt>
                <c:pt idx="9">
                  <c:v>0</c:v>
                </c:pt>
                <c:pt idx="10">
                  <c:v>2.25</c:v>
                </c:pt>
                <c:pt idx="11">
                  <c:v>-0.5</c:v>
                </c:pt>
                <c:pt idx="12">
                  <c:v>-1.75</c:v>
                </c:pt>
                <c:pt idx="13">
                  <c:v>-9.25</c:v>
                </c:pt>
                <c:pt idx="14">
                  <c:v>-8.75</c:v>
                </c:pt>
                <c:pt idx="15">
                  <c:v>-18.5</c:v>
                </c:pt>
                <c:pt idx="16">
                  <c:v>-16.25</c:v>
                </c:pt>
                <c:pt idx="17">
                  <c:v>-6.75</c:v>
                </c:pt>
                <c:pt idx="18">
                  <c:v>-4.5</c:v>
                </c:pt>
                <c:pt idx="19">
                  <c:v>-17</c:v>
                </c:pt>
                <c:pt idx="20">
                  <c:v>-16.5</c:v>
                </c:pt>
                <c:pt idx="21">
                  <c:v>-31</c:v>
                </c:pt>
                <c:pt idx="22">
                  <c:v>-29.8</c:v>
                </c:pt>
                <c:pt idx="23">
                  <c:v>-30.8</c:v>
                </c:pt>
                <c:pt idx="24">
                  <c:v>-21</c:v>
                </c:pt>
                <c:pt idx="25">
                  <c:v>-20.3</c:v>
                </c:pt>
                <c:pt idx="26">
                  <c:v>-18</c:v>
                </c:pt>
                <c:pt idx="27">
                  <c:v>-18.3</c:v>
                </c:pt>
                <c:pt idx="28">
                  <c:v>-15.8</c:v>
                </c:pt>
                <c:pt idx="29">
                  <c:v>-9</c:v>
                </c:pt>
                <c:pt idx="30">
                  <c:v>-12.8</c:v>
                </c:pt>
                <c:pt idx="31">
                  <c:v>-9</c:v>
                </c:pt>
                <c:pt idx="32">
                  <c:v>-13.5</c:v>
                </c:pt>
                <c:pt idx="33">
                  <c:v>-9.8000000000000007</c:v>
                </c:pt>
                <c:pt idx="34">
                  <c:v>-11.3</c:v>
                </c:pt>
                <c:pt idx="35">
                  <c:v>0</c:v>
                </c:pt>
                <c:pt idx="36">
                  <c:v>-3.5</c:v>
                </c:pt>
              </c:numCache>
            </c:numRef>
          </c:val>
          <c:smooth val="0"/>
          <c:extLst>
            <c:ext xmlns:c16="http://schemas.microsoft.com/office/drawing/2014/chart" uri="{C3380CC4-5D6E-409C-BE32-E72D297353CC}">
              <c16:uniqueId val="{00000008-2782-408F-ACD1-C48AD6CA2AF5}"/>
            </c:ext>
          </c:extLst>
        </c:ser>
        <c:ser>
          <c:idx val="9"/>
          <c:order val="9"/>
          <c:tx>
            <c:strRef>
              <c:f>'výkonnost odvětví 5a'!$M$66</c:f>
              <c:strCache>
                <c:ptCount val="1"/>
                <c:pt idx="0">
                  <c:v>Saldo indikátoru důvěry obchodníků</c:v>
                </c:pt>
              </c:strCache>
            </c:strRef>
          </c:tx>
          <c:spPr>
            <a:ln w="6350">
              <a:solidFill>
                <a:schemeClr val="bg1">
                  <a:lumMod val="65000"/>
                </a:schemeClr>
              </a:solidFill>
              <a:prstDash val="sysDash"/>
            </a:ln>
          </c:spPr>
          <c:marker>
            <c:symbol val="triangle"/>
            <c:size val="5"/>
            <c:spPr>
              <a:solidFill>
                <a:schemeClr val="bg1"/>
              </a:solidFill>
              <a:ln>
                <a:solidFill>
                  <a:schemeClr val="bg1">
                    <a:lumMod val="50000"/>
                  </a:schemeClr>
                </a:solidFill>
              </a:ln>
            </c:spPr>
          </c:marker>
          <c:cat>
            <c:multiLvlStrRef>
              <c:f>'výkonnost odvětví 5a'!$B$75:$C$111</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2017</c:v>
                  </c:pt>
                  <c:pt idx="4">
                    <c:v>2018</c:v>
                  </c:pt>
                  <c:pt idx="8">
                    <c:v>2019</c:v>
                  </c:pt>
                  <c:pt idx="12">
                    <c:v>2020</c:v>
                  </c:pt>
                  <c:pt idx="16">
                    <c:v>2021</c:v>
                  </c:pt>
                  <c:pt idx="20">
                    <c:v>2022</c:v>
                  </c:pt>
                  <c:pt idx="24">
                    <c:v>2023</c:v>
                  </c:pt>
                  <c:pt idx="28">
                    <c:v>2024</c:v>
                  </c:pt>
                  <c:pt idx="32">
                    <c:v>2025</c:v>
                  </c:pt>
                  <c:pt idx="36">
                    <c:v>2026</c:v>
                  </c:pt>
                </c:lvl>
              </c:multiLvlStrCache>
            </c:multiLvlStrRef>
          </c:cat>
          <c:val>
            <c:numRef>
              <c:f>'výkonnost odvětví 5a'!$M$75:$M$111</c:f>
              <c:numCache>
                <c:formatCode>0.0</c:formatCode>
                <c:ptCount val="37"/>
                <c:pt idx="0">
                  <c:v>24.3</c:v>
                </c:pt>
                <c:pt idx="1">
                  <c:v>17.3</c:v>
                </c:pt>
                <c:pt idx="2">
                  <c:v>22.7</c:v>
                </c:pt>
                <c:pt idx="3">
                  <c:v>21.7</c:v>
                </c:pt>
                <c:pt idx="4">
                  <c:v>23.3</c:v>
                </c:pt>
                <c:pt idx="5">
                  <c:v>17.3</c:v>
                </c:pt>
                <c:pt idx="6">
                  <c:v>15.6</c:v>
                </c:pt>
                <c:pt idx="7">
                  <c:v>15</c:v>
                </c:pt>
                <c:pt idx="8">
                  <c:v>12.7</c:v>
                </c:pt>
                <c:pt idx="9">
                  <c:v>12.3</c:v>
                </c:pt>
                <c:pt idx="10">
                  <c:v>14.7</c:v>
                </c:pt>
                <c:pt idx="11">
                  <c:v>14.7</c:v>
                </c:pt>
                <c:pt idx="12">
                  <c:v>18.7</c:v>
                </c:pt>
                <c:pt idx="13">
                  <c:v>-1</c:v>
                </c:pt>
                <c:pt idx="14">
                  <c:v>12</c:v>
                </c:pt>
                <c:pt idx="15">
                  <c:v>7</c:v>
                </c:pt>
                <c:pt idx="16">
                  <c:v>1.3</c:v>
                </c:pt>
                <c:pt idx="17">
                  <c:v>15</c:v>
                </c:pt>
                <c:pt idx="18">
                  <c:v>18.3</c:v>
                </c:pt>
                <c:pt idx="19">
                  <c:v>21.3</c:v>
                </c:pt>
                <c:pt idx="20">
                  <c:v>19.7</c:v>
                </c:pt>
                <c:pt idx="21">
                  <c:v>19.600000000000001</c:v>
                </c:pt>
                <c:pt idx="22">
                  <c:v>10.3</c:v>
                </c:pt>
                <c:pt idx="23">
                  <c:v>14.7</c:v>
                </c:pt>
                <c:pt idx="24">
                  <c:v>9.3000000000000007</c:v>
                </c:pt>
                <c:pt idx="25">
                  <c:v>13.3</c:v>
                </c:pt>
                <c:pt idx="26">
                  <c:v>5.7</c:v>
                </c:pt>
                <c:pt idx="27">
                  <c:v>3.3</c:v>
                </c:pt>
                <c:pt idx="28">
                  <c:v>1.7</c:v>
                </c:pt>
                <c:pt idx="29">
                  <c:v>11.3</c:v>
                </c:pt>
                <c:pt idx="30">
                  <c:v>9.3000000000000007</c:v>
                </c:pt>
                <c:pt idx="31">
                  <c:v>11.3</c:v>
                </c:pt>
                <c:pt idx="32">
                  <c:v>15</c:v>
                </c:pt>
                <c:pt idx="33">
                  <c:v>13.3</c:v>
                </c:pt>
                <c:pt idx="34">
                  <c:v>13.3</c:v>
                </c:pt>
                <c:pt idx="35">
                  <c:v>11.7</c:v>
                </c:pt>
                <c:pt idx="36">
                  <c:v>11.3</c:v>
                </c:pt>
              </c:numCache>
            </c:numRef>
          </c:val>
          <c:smooth val="0"/>
          <c:extLst>
            <c:ext xmlns:c16="http://schemas.microsoft.com/office/drawing/2014/chart" uri="{C3380CC4-5D6E-409C-BE32-E72D297353CC}">
              <c16:uniqueId val="{00000009-2782-408F-ACD1-C48AD6CA2AF5}"/>
            </c:ext>
          </c:extLst>
        </c:ser>
        <c:dLbls>
          <c:showLegendKey val="0"/>
          <c:showVal val="0"/>
          <c:showCatName val="0"/>
          <c:showSerName val="0"/>
          <c:showPercent val="0"/>
          <c:showBubbleSize val="0"/>
        </c:dLbls>
        <c:marker val="1"/>
        <c:smooth val="0"/>
        <c:axId val="1875570767"/>
        <c:axId val="1875563695"/>
      </c:lineChart>
      <c:catAx>
        <c:axId val="156100864"/>
        <c:scaling>
          <c:orientation val="minMax"/>
        </c:scaling>
        <c:delete val="0"/>
        <c:axPos val="b"/>
        <c:numFmt formatCode="General" sourceLinked="0"/>
        <c:majorTickMark val="out"/>
        <c:minorTickMark val="none"/>
        <c:tickLblPos val="low"/>
        <c:txPr>
          <a:bodyPr/>
          <a:lstStyle/>
          <a:p>
            <a:pPr>
              <a:defRPr sz="800"/>
            </a:pPr>
            <a:endParaRPr lang="cs-CZ"/>
          </a:p>
        </c:txPr>
        <c:crossAx val="156573696"/>
        <c:crosses val="autoZero"/>
        <c:auto val="1"/>
        <c:lblAlgn val="ctr"/>
        <c:lblOffset val="0"/>
        <c:noMultiLvlLbl val="0"/>
      </c:catAx>
      <c:valAx>
        <c:axId val="156573696"/>
        <c:scaling>
          <c:orientation val="minMax"/>
          <c:max val="12"/>
          <c:min val="-10"/>
        </c:scaling>
        <c:delete val="0"/>
        <c:axPos val="l"/>
        <c:majorGridlines>
          <c:spPr>
            <a:ln w="6350">
              <a:solidFill>
                <a:schemeClr val="bg1">
                  <a:lumMod val="75000"/>
                </a:schemeClr>
              </a:solidFill>
            </a:ln>
          </c:spPr>
        </c:majorGridlines>
        <c:title>
          <c:tx>
            <c:rich>
              <a:bodyPr/>
              <a:lstStyle/>
              <a:p>
                <a:pPr>
                  <a:defRPr sz="750" b="0" i="1"/>
                </a:pPr>
                <a:r>
                  <a:rPr lang="cs-CZ" sz="750" b="0" i="1"/>
                  <a:t>Tržby</a:t>
                </a:r>
                <a:r>
                  <a:rPr lang="cs-CZ" sz="750" b="0" i="1" baseline="0"/>
                  <a:t> (příspěvky k meziroč. změně)</a:t>
                </a:r>
                <a:endParaRPr lang="cs-CZ" sz="750" b="0" i="1"/>
              </a:p>
            </c:rich>
          </c:tx>
          <c:layout>
            <c:manualLayout>
              <c:xMode val="edge"/>
              <c:yMode val="edge"/>
              <c:x val="2.6086947381477195E-3"/>
              <c:y val="0.16393316671713359"/>
            </c:manualLayout>
          </c:layout>
          <c:overlay val="0"/>
        </c:title>
        <c:numFmt formatCode="0" sourceLinked="0"/>
        <c:majorTickMark val="out"/>
        <c:minorTickMark val="none"/>
        <c:tickLblPos val="nextTo"/>
        <c:txPr>
          <a:bodyPr/>
          <a:lstStyle/>
          <a:p>
            <a:pPr>
              <a:defRPr sz="800"/>
            </a:pPr>
            <a:endParaRPr lang="cs-CZ"/>
          </a:p>
        </c:txPr>
        <c:crossAx val="156100864"/>
        <c:crosses val="autoZero"/>
        <c:crossBetween val="between"/>
        <c:majorUnit val="2"/>
      </c:valAx>
      <c:valAx>
        <c:axId val="1875563695"/>
        <c:scaling>
          <c:orientation val="minMax"/>
          <c:max val="125"/>
          <c:min val="-40"/>
        </c:scaling>
        <c:delete val="0"/>
        <c:axPos val="r"/>
        <c:title>
          <c:tx>
            <c:rich>
              <a:bodyPr/>
              <a:lstStyle/>
              <a:p>
                <a:pPr>
                  <a:defRPr sz="750" b="0" i="1"/>
                </a:pPr>
                <a:r>
                  <a:rPr lang="cs-CZ" sz="750" b="0" i="1">
                    <a:latin typeface="Arial" panose="020B0604020202020204" pitchFamily="34" charset="0"/>
                    <a:cs typeface="Arial" panose="020B0604020202020204" pitchFamily="34" charset="0"/>
                  </a:rPr>
                  <a:t>Tržby</a:t>
                </a:r>
                <a:r>
                  <a:rPr lang="cs-CZ" sz="750" b="0" i="1" baseline="0">
                    <a:latin typeface="Arial" panose="020B0604020202020204" pitchFamily="34" charset="0"/>
                    <a:cs typeface="Arial" panose="020B0604020202020204" pitchFamily="34" charset="0"/>
                  </a:rPr>
                  <a:t> (rok 2021=100), </a:t>
                </a:r>
                <a:r>
                  <a:rPr lang="cs-CZ" sz="750" b="0" i="1" u="none" strike="noStrike" baseline="0">
                    <a:effectLst/>
                    <a:latin typeface="Arial" panose="020B0604020202020204" pitchFamily="34" charset="0"/>
                    <a:cs typeface="Arial" panose="020B0604020202020204" pitchFamily="34" charset="0"/>
                  </a:rPr>
                  <a:t>saldo důvěry</a:t>
                </a:r>
                <a:endParaRPr lang="cs-CZ" sz="750" b="0" i="1">
                  <a:latin typeface="Arial" panose="020B0604020202020204" pitchFamily="34" charset="0"/>
                  <a:cs typeface="Arial" panose="020B0604020202020204" pitchFamily="34" charset="0"/>
                </a:endParaRPr>
              </a:p>
            </c:rich>
          </c:tx>
          <c:layout>
            <c:manualLayout>
              <c:xMode val="edge"/>
              <c:yMode val="edge"/>
              <c:x val="0.96896265019335537"/>
              <c:y val="0.1743397117509615"/>
            </c:manualLayout>
          </c:layout>
          <c:overlay val="0"/>
        </c:title>
        <c:numFmt formatCode="#,##0" sourceLinked="0"/>
        <c:majorTickMark val="out"/>
        <c:minorTickMark val="none"/>
        <c:tickLblPos val="nextTo"/>
        <c:txPr>
          <a:bodyPr/>
          <a:lstStyle/>
          <a:p>
            <a:pPr>
              <a:defRPr sz="800"/>
            </a:pPr>
            <a:endParaRPr lang="cs-CZ"/>
          </a:p>
        </c:txPr>
        <c:crossAx val="1875570767"/>
        <c:crosses val="max"/>
        <c:crossBetween val="between"/>
        <c:majorUnit val="15"/>
      </c:valAx>
      <c:catAx>
        <c:axId val="1875570767"/>
        <c:scaling>
          <c:orientation val="minMax"/>
        </c:scaling>
        <c:delete val="1"/>
        <c:axPos val="b"/>
        <c:numFmt formatCode="General" sourceLinked="1"/>
        <c:majorTickMark val="out"/>
        <c:minorTickMark val="none"/>
        <c:tickLblPos val="nextTo"/>
        <c:crossAx val="1875563695"/>
        <c:crosses val="autoZero"/>
        <c:auto val="1"/>
        <c:lblAlgn val="ctr"/>
        <c:lblOffset val="100"/>
        <c:noMultiLvlLbl val="0"/>
      </c:catAx>
      <c:spPr>
        <a:ln>
          <a:solidFill>
            <a:schemeClr val="tx1"/>
          </a:solidFill>
        </a:ln>
      </c:spPr>
    </c:plotArea>
    <c:legend>
      <c:legendPos val="r"/>
      <c:layout>
        <c:manualLayout>
          <c:xMode val="edge"/>
          <c:yMode val="edge"/>
          <c:x val="2.468684205823891E-3"/>
          <c:y val="0.83019315530312354"/>
          <c:w val="0.98989464522781667"/>
          <c:h val="0.16278392037883976"/>
        </c:manualLayout>
      </c:layout>
      <c:overlay val="0"/>
      <c:spPr>
        <a:ln w="6350">
          <a:solidFill>
            <a:schemeClr val="tx1"/>
          </a:solidFill>
        </a:ln>
      </c:spPr>
      <c:txPr>
        <a:bodyPr/>
        <a:lstStyle/>
        <a:p>
          <a:pPr>
            <a:defRPr sz="750"/>
          </a:pPr>
          <a:endParaRPr lang="cs-CZ"/>
        </a:p>
      </c:txPr>
    </c:legend>
    <c:plotVisOnly val="1"/>
    <c:dispBlanksAs val="gap"/>
    <c:showDLblsOverMax val="0"/>
  </c:chart>
  <c:spPr>
    <a:ln>
      <a:noFill/>
    </a:ln>
  </c:spPr>
  <c:txPr>
    <a:bodyPr/>
    <a:lstStyle/>
    <a:p>
      <a:pPr>
        <a:defRPr sz="1500" baseline="0">
          <a:latin typeface="Arial" pitchFamily="34" charset="0"/>
        </a:defRPr>
      </a:pPr>
      <a:endParaRPr lang="cs-CZ"/>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3069916774474014E-2"/>
          <c:y val="4.15424531457926E-2"/>
          <c:w val="0.88202003907252513"/>
          <c:h val="0.82832098852603697"/>
        </c:manualLayout>
      </c:layout>
      <c:barChart>
        <c:barDir val="col"/>
        <c:grouping val="clustered"/>
        <c:varyColors val="0"/>
        <c:ser>
          <c:idx val="2"/>
          <c:order val="2"/>
          <c:tx>
            <c:strRef>
              <c:f>'Vnější vztahy_a'!$D$4</c:f>
              <c:strCache>
                <c:ptCount val="1"/>
                <c:pt idx="0">
                  <c:v>Bilance</c:v>
                </c:pt>
              </c:strCache>
            </c:strRef>
          </c:tx>
          <c:spPr>
            <a:solidFill>
              <a:srgbClr val="B8BBC0"/>
            </a:solidFill>
            <a:ln>
              <a:noFill/>
            </a:ln>
            <a:effectLst/>
          </c:spPr>
          <c:invertIfNegative val="0"/>
          <c:cat>
            <c:strRef>
              <c:f>'Vnější vztahy_a'!$A$10:$A$24</c:f>
              <c:strCache>
                <c:ptCount val="15"/>
                <c:pt idx="0">
                  <c:v>2011</c:v>
                </c:pt>
                <c:pt idx="1">
                  <c:v>2012</c:v>
                </c:pt>
                <c:pt idx="2">
                  <c:v>2013</c:v>
                </c:pt>
                <c:pt idx="3">
                  <c:v>2014</c:v>
                </c:pt>
                <c:pt idx="4">
                  <c:v> 2015</c:v>
                </c:pt>
                <c:pt idx="5">
                  <c:v>2016</c:v>
                </c:pt>
                <c:pt idx="6">
                  <c:v>2017</c:v>
                </c:pt>
                <c:pt idx="7">
                  <c:v>2018</c:v>
                </c:pt>
                <c:pt idx="8">
                  <c:v>2019</c:v>
                </c:pt>
                <c:pt idx="9">
                  <c:v>2020</c:v>
                </c:pt>
                <c:pt idx="10">
                  <c:v>2021</c:v>
                </c:pt>
                <c:pt idx="11">
                  <c:v>2022</c:v>
                </c:pt>
                <c:pt idx="12">
                  <c:v>2023</c:v>
                </c:pt>
                <c:pt idx="13">
                  <c:v>2024</c:v>
                </c:pt>
                <c:pt idx="14">
                  <c:v>2025</c:v>
                </c:pt>
              </c:strCache>
            </c:strRef>
          </c:cat>
          <c:val>
            <c:numRef>
              <c:f>'Vnější vztahy_a'!$D$10:$D$24</c:f>
              <c:numCache>
                <c:formatCode>General</c:formatCode>
                <c:ptCount val="15"/>
                <c:pt idx="0">
                  <c:v>11.977</c:v>
                </c:pt>
                <c:pt idx="1">
                  <c:v>64.41</c:v>
                </c:pt>
                <c:pt idx="2">
                  <c:v>106.518</c:v>
                </c:pt>
                <c:pt idx="3">
                  <c:v>146.00899999999999</c:v>
                </c:pt>
                <c:pt idx="4">
                  <c:v>130.97677807700001</c:v>
                </c:pt>
                <c:pt idx="5">
                  <c:v>163.65449183600001</c:v>
                </c:pt>
                <c:pt idx="6">
                  <c:v>163.466347926</c:v>
                </c:pt>
                <c:pt idx="7">
                  <c:v>98.465823833000002</c:v>
                </c:pt>
                <c:pt idx="8">
                  <c:v>145.69471741100003</c:v>
                </c:pt>
                <c:pt idx="9">
                  <c:v>179.640176981</c:v>
                </c:pt>
                <c:pt idx="10">
                  <c:v>-9.2046428370000104</c:v>
                </c:pt>
                <c:pt idx="11">
                  <c:v>-204.81458465799997</c:v>
                </c:pt>
                <c:pt idx="12">
                  <c:v>122.50250792899999</c:v>
                </c:pt>
                <c:pt idx="13">
                  <c:v>220.48893297799998</c:v>
                </c:pt>
                <c:pt idx="14">
                  <c:v>212.849708921</c:v>
                </c:pt>
              </c:numCache>
            </c:numRef>
          </c:val>
          <c:extLst>
            <c:ext xmlns:c16="http://schemas.microsoft.com/office/drawing/2014/chart" uri="{C3380CC4-5D6E-409C-BE32-E72D297353CC}">
              <c16:uniqueId val="{00000000-936B-4422-A1FB-D1056C4D6232}"/>
            </c:ext>
          </c:extLst>
        </c:ser>
        <c:dLbls>
          <c:showLegendKey val="0"/>
          <c:showVal val="0"/>
          <c:showCatName val="0"/>
          <c:showSerName val="0"/>
          <c:showPercent val="0"/>
          <c:showBubbleSize val="0"/>
        </c:dLbls>
        <c:gapWidth val="90"/>
        <c:axId val="1171842912"/>
        <c:axId val="1599917024"/>
      </c:barChart>
      <c:lineChart>
        <c:grouping val="standard"/>
        <c:varyColors val="0"/>
        <c:ser>
          <c:idx val="0"/>
          <c:order val="0"/>
          <c:tx>
            <c:strRef>
              <c:f>'Vnější vztahy_a'!$B$4</c:f>
              <c:strCache>
                <c:ptCount val="1"/>
                <c:pt idx="0">
                  <c:v>Vývoz</c:v>
                </c:pt>
              </c:strCache>
            </c:strRef>
          </c:tx>
          <c:spPr>
            <a:ln w="6350" cap="rnd">
              <a:noFill/>
              <a:prstDash val="sysDot"/>
              <a:round/>
            </a:ln>
            <a:effectLst/>
          </c:spPr>
          <c:marker>
            <c:symbol val="dash"/>
            <c:size val="10"/>
            <c:spPr>
              <a:solidFill>
                <a:srgbClr val="174F70"/>
              </a:solidFill>
              <a:ln w="9525">
                <a:solidFill>
                  <a:schemeClr val="accent1"/>
                </a:solidFill>
              </a:ln>
              <a:effectLst/>
            </c:spPr>
          </c:marker>
          <c:cat>
            <c:strRef>
              <c:f>'Vnější vztahy_a'!$A$10:$A$24</c:f>
              <c:strCache>
                <c:ptCount val="15"/>
                <c:pt idx="0">
                  <c:v>2011</c:v>
                </c:pt>
                <c:pt idx="1">
                  <c:v>2012</c:v>
                </c:pt>
                <c:pt idx="2">
                  <c:v>2013</c:v>
                </c:pt>
                <c:pt idx="3">
                  <c:v>2014</c:v>
                </c:pt>
                <c:pt idx="4">
                  <c:v> 2015</c:v>
                </c:pt>
                <c:pt idx="5">
                  <c:v>2016</c:v>
                </c:pt>
                <c:pt idx="6">
                  <c:v>2017</c:v>
                </c:pt>
                <c:pt idx="7">
                  <c:v>2018</c:v>
                </c:pt>
                <c:pt idx="8">
                  <c:v>2019</c:v>
                </c:pt>
                <c:pt idx="9">
                  <c:v>2020</c:v>
                </c:pt>
                <c:pt idx="10">
                  <c:v>2021</c:v>
                </c:pt>
                <c:pt idx="11">
                  <c:v>2022</c:v>
                </c:pt>
                <c:pt idx="12">
                  <c:v>2023</c:v>
                </c:pt>
                <c:pt idx="13">
                  <c:v>2024</c:v>
                </c:pt>
                <c:pt idx="14">
                  <c:v>2025</c:v>
                </c:pt>
              </c:strCache>
            </c:strRef>
          </c:cat>
          <c:val>
            <c:numRef>
              <c:f>'Vnější vztahy_a'!$B$10:$B$24</c:f>
              <c:numCache>
                <c:formatCode>0.0_ ;[Red]\-0.0\ </c:formatCode>
                <c:ptCount val="15"/>
                <c:pt idx="0">
                  <c:v>10.112037607700053</c:v>
                </c:pt>
                <c:pt idx="1">
                  <c:v>6.0251090942966021</c:v>
                </c:pt>
                <c:pt idx="2">
                  <c:v>2.2153513610284965</c:v>
                </c:pt>
                <c:pt idx="3">
                  <c:v>13.027208809035864</c:v>
                </c:pt>
                <c:pt idx="4">
                  <c:v>3.612768163576892</c:v>
                </c:pt>
                <c:pt idx="5">
                  <c:v>1.1074296541764621</c:v>
                </c:pt>
                <c:pt idx="6">
                  <c:v>6.4802705295808352</c:v>
                </c:pt>
                <c:pt idx="7">
                  <c:v>2.9418083571864679</c:v>
                </c:pt>
                <c:pt idx="8">
                  <c:v>2.0884439685547518</c:v>
                </c:pt>
                <c:pt idx="9">
                  <c:v>-7.0747075448299643</c:v>
                </c:pt>
                <c:pt idx="10">
                  <c:v>13.140723420675538</c:v>
                </c:pt>
                <c:pt idx="11">
                  <c:v>13.550170704130682</c:v>
                </c:pt>
                <c:pt idx="12">
                  <c:v>0.79694469771656307</c:v>
                </c:pt>
                <c:pt idx="13">
                  <c:v>4.9690195136451756</c:v>
                </c:pt>
                <c:pt idx="14">
                  <c:v>2.7096717287192265</c:v>
                </c:pt>
              </c:numCache>
            </c:numRef>
          </c:val>
          <c:smooth val="0"/>
          <c:extLst>
            <c:ext xmlns:c16="http://schemas.microsoft.com/office/drawing/2014/chart" uri="{C3380CC4-5D6E-409C-BE32-E72D297353CC}">
              <c16:uniqueId val="{00000001-936B-4422-A1FB-D1056C4D6232}"/>
            </c:ext>
          </c:extLst>
        </c:ser>
        <c:ser>
          <c:idx val="1"/>
          <c:order val="1"/>
          <c:tx>
            <c:strRef>
              <c:f>'Vnější vztahy_a'!$C$4</c:f>
              <c:strCache>
                <c:ptCount val="1"/>
                <c:pt idx="0">
                  <c:v>Dovoz</c:v>
                </c:pt>
              </c:strCache>
            </c:strRef>
          </c:tx>
          <c:spPr>
            <a:ln w="6350" cap="rnd">
              <a:noFill/>
              <a:prstDash val="sysDot"/>
              <a:round/>
            </a:ln>
            <a:effectLst/>
          </c:spPr>
          <c:marker>
            <c:symbol val="dash"/>
            <c:size val="10"/>
            <c:spPr>
              <a:solidFill>
                <a:srgbClr val="BC5B80"/>
              </a:solidFill>
              <a:ln w="9525">
                <a:solidFill>
                  <a:schemeClr val="accent2"/>
                </a:solidFill>
              </a:ln>
              <a:effectLst/>
            </c:spPr>
          </c:marker>
          <c:cat>
            <c:strRef>
              <c:f>'Vnější vztahy_a'!$A$10:$A$24</c:f>
              <c:strCache>
                <c:ptCount val="15"/>
                <c:pt idx="0">
                  <c:v>2011</c:v>
                </c:pt>
                <c:pt idx="1">
                  <c:v>2012</c:v>
                </c:pt>
                <c:pt idx="2">
                  <c:v>2013</c:v>
                </c:pt>
                <c:pt idx="3">
                  <c:v>2014</c:v>
                </c:pt>
                <c:pt idx="4">
                  <c:v> 2015</c:v>
                </c:pt>
                <c:pt idx="5">
                  <c:v>2016</c:v>
                </c:pt>
                <c:pt idx="6">
                  <c:v>2017</c:v>
                </c:pt>
                <c:pt idx="7">
                  <c:v>2018</c:v>
                </c:pt>
                <c:pt idx="8">
                  <c:v>2019</c:v>
                </c:pt>
                <c:pt idx="9">
                  <c:v>2020</c:v>
                </c:pt>
                <c:pt idx="10">
                  <c:v>2021</c:v>
                </c:pt>
                <c:pt idx="11">
                  <c:v>2022</c:v>
                </c:pt>
                <c:pt idx="12">
                  <c:v>2023</c:v>
                </c:pt>
                <c:pt idx="13">
                  <c:v>2024</c:v>
                </c:pt>
                <c:pt idx="14">
                  <c:v>2025</c:v>
                </c:pt>
              </c:strCache>
            </c:strRef>
          </c:cat>
          <c:val>
            <c:numRef>
              <c:f>'Vnější vztahy_a'!$C$10:$C$24</c:f>
              <c:numCache>
                <c:formatCode>0.0_ ;[Red]\-0.0\ </c:formatCode>
                <c:ptCount val="15"/>
                <c:pt idx="0">
                  <c:v>8.6415161627225725</c:v>
                </c:pt>
                <c:pt idx="1">
                  <c:v>4.0042767307394715</c:v>
                </c:pt>
                <c:pt idx="2">
                  <c:v>0.68681070942259659</c:v>
                </c:pt>
                <c:pt idx="3">
                  <c:v>12.071376353644107</c:v>
                </c:pt>
                <c:pt idx="4">
                  <c:v>4.2889556626306211</c:v>
                </c:pt>
                <c:pt idx="5">
                  <c:v>0.11038963287046219</c:v>
                </c:pt>
                <c:pt idx="6">
                  <c:v>6.8245079237178157</c:v>
                </c:pt>
                <c:pt idx="7">
                  <c:v>5.0260247733996914</c:v>
                </c:pt>
                <c:pt idx="8">
                  <c:v>0.80432261722676923</c:v>
                </c:pt>
                <c:pt idx="9">
                  <c:v>-8.3226511448622933</c:v>
                </c:pt>
                <c:pt idx="10">
                  <c:v>19.675778990593603</c:v>
                </c:pt>
                <c:pt idx="11">
                  <c:v>18.545883799731584</c:v>
                </c:pt>
                <c:pt idx="12">
                  <c:v>-6.3353146664739706</c:v>
                </c:pt>
                <c:pt idx="13">
                  <c:v>2.8416928227328686</c:v>
                </c:pt>
                <c:pt idx="14">
                  <c:v>3.0161013750529522</c:v>
                </c:pt>
              </c:numCache>
            </c:numRef>
          </c:val>
          <c:smooth val="0"/>
          <c:extLst>
            <c:ext xmlns:c16="http://schemas.microsoft.com/office/drawing/2014/chart" uri="{C3380CC4-5D6E-409C-BE32-E72D297353CC}">
              <c16:uniqueId val="{00000002-936B-4422-A1FB-D1056C4D6232}"/>
            </c:ext>
          </c:extLst>
        </c:ser>
        <c:dLbls>
          <c:showLegendKey val="0"/>
          <c:showVal val="0"/>
          <c:showCatName val="0"/>
          <c:showSerName val="0"/>
          <c:showPercent val="0"/>
          <c:showBubbleSize val="0"/>
        </c:dLbls>
        <c:marker val="1"/>
        <c:smooth val="0"/>
        <c:axId val="1603910352"/>
        <c:axId val="1603910768"/>
      </c:lineChart>
      <c:catAx>
        <c:axId val="1603910352"/>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mn-cs"/>
              </a:defRPr>
            </a:pPr>
            <a:endParaRPr lang="cs-CZ"/>
          </a:p>
        </c:txPr>
        <c:crossAx val="1603910768"/>
        <c:crosses val="autoZero"/>
        <c:auto val="1"/>
        <c:lblAlgn val="ctr"/>
        <c:lblOffset val="100"/>
        <c:noMultiLvlLbl val="0"/>
      </c:catAx>
      <c:valAx>
        <c:axId val="1603910768"/>
        <c:scaling>
          <c:orientation val="minMax"/>
          <c:max val="21"/>
          <c:min val="-15"/>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mn-cs"/>
              </a:defRPr>
            </a:pPr>
            <a:endParaRPr lang="cs-CZ"/>
          </a:p>
        </c:txPr>
        <c:crossAx val="1603910352"/>
        <c:crosses val="autoZero"/>
        <c:crossBetween val="between"/>
        <c:majorUnit val="3"/>
      </c:valAx>
      <c:valAx>
        <c:axId val="1599917024"/>
        <c:scaling>
          <c:orientation val="minMax"/>
          <c:max val="240"/>
          <c:min val="-240"/>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mn-cs"/>
              </a:defRPr>
            </a:pPr>
            <a:endParaRPr lang="cs-CZ"/>
          </a:p>
        </c:txPr>
        <c:crossAx val="1171842912"/>
        <c:crosses val="max"/>
        <c:crossBetween val="between"/>
        <c:majorUnit val="40"/>
      </c:valAx>
      <c:catAx>
        <c:axId val="1171842912"/>
        <c:scaling>
          <c:orientation val="minMax"/>
        </c:scaling>
        <c:delete val="1"/>
        <c:axPos val="b"/>
        <c:numFmt formatCode="General" sourceLinked="1"/>
        <c:majorTickMark val="out"/>
        <c:minorTickMark val="none"/>
        <c:tickLblPos val="nextTo"/>
        <c:crossAx val="1599917024"/>
        <c:crosses val="autoZero"/>
        <c:auto val="1"/>
        <c:lblAlgn val="ctr"/>
        <c:lblOffset val="100"/>
        <c:noMultiLvlLbl val="0"/>
      </c:catAx>
      <c:spPr>
        <a:noFill/>
        <a:ln>
          <a:noFill/>
        </a:ln>
        <a:effectLst/>
      </c:spPr>
    </c:plotArea>
    <c:legend>
      <c:legendPos val="b"/>
      <c:layout>
        <c:manualLayout>
          <c:xMode val="edge"/>
          <c:yMode val="edge"/>
          <c:x val="5.1326213683763958E-2"/>
          <c:y val="0.92486185348631933"/>
          <c:w val="0.92928082460835815"/>
          <c:h val="5.6065659081278391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baseline="0">
          <a:solidFill>
            <a:sysClr val="windowText" lastClr="000000"/>
          </a:solidFill>
          <a:latin typeface="Arial" panose="020B0604020202020204" pitchFamily="34" charset="0"/>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83CEA5EB905EA4A80C471566B3EA34E" ma:contentTypeVersion="4" ma:contentTypeDescription="Vytvoří nový dokument" ma:contentTypeScope="" ma:versionID="665595f58a29ebd0fb50f52fd1a3fb16">
  <xsd:schema xmlns:xsd="http://www.w3.org/2001/XMLSchema" xmlns:xs="http://www.w3.org/2001/XMLSchema" xmlns:p="http://schemas.microsoft.com/office/2006/metadata/properties" xmlns:ns2="7af72279-59da-4f02-a702-8316938752d7" targetNamespace="http://schemas.microsoft.com/office/2006/metadata/properties" ma:root="true" ma:fieldsID="8b23c26673a00a9a43ab51476a2e445e" ns2:_="">
    <xsd:import namespace="7af72279-59da-4f02-a702-8316938752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72279-59da-4f02-a702-8316938752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7681AD-41B0-431A-9D34-CF6700A12F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CC6C72-FE0A-4006-8736-F1547CB67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f72279-59da-4f02-a702-8316938752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508513-78FC-4939-82F8-E0A4971F101B}">
  <ds:schemaRefs>
    <ds:schemaRef ds:uri="http://schemas.openxmlformats.org/officeDocument/2006/bibliography"/>
  </ds:schemaRefs>
</ds:datastoreItem>
</file>

<file path=customXml/itemProps4.xml><?xml version="1.0" encoding="utf-8"?>
<ds:datastoreItem xmlns:ds="http://schemas.openxmlformats.org/officeDocument/2006/customXml" ds:itemID="{DFA8A1E1-1E99-4B4F-B9B5-70567730AA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56</Pages>
  <Words>22250</Words>
  <Characters>131276</Characters>
  <Application>Microsoft Office Word</Application>
  <DocSecurity>0</DocSecurity>
  <Lines>1093</Lines>
  <Paragraphs>306</Paragraphs>
  <ScaleCrop>false</ScaleCrop>
  <HeadingPairs>
    <vt:vector size="2" baseType="variant">
      <vt:variant>
        <vt:lpstr>Název</vt:lpstr>
      </vt:variant>
      <vt:variant>
        <vt:i4>1</vt:i4>
      </vt:variant>
    </vt:vector>
  </HeadingPairs>
  <TitlesOfParts>
    <vt:vector size="1" baseType="lpstr">
      <vt:lpstr/>
    </vt:vector>
  </TitlesOfParts>
  <Company>CSU</Company>
  <LinksUpToDate>false</LinksUpToDate>
  <CharactersWithSpaces>153220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Kučerová Jana</dc:creator>
  <cp:keywords/>
  <cp:lastModifiedBy>Zábojníková Karolína</cp:lastModifiedBy>
  <cp:revision>5</cp:revision>
  <cp:lastPrinted>2014-07-17T14:07:00Z</cp:lastPrinted>
  <dcterms:created xsi:type="dcterms:W3CDTF">2026-03-20T11:45:00Z</dcterms:created>
  <dcterms:modified xsi:type="dcterms:W3CDTF">2026-03-20T11:53:00Z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0x010100A83CEA5EB905EA4A80C471566B3EA34E</vt:lpwstr>
  </property>
  <property fmtid="{D5CDD505-2E9C-101B-9397-08002B2CF9AE}" pid="3" name="Názevformuláře">
    <vt:lpwstr>Publikace CZ barevné - vícetematické analýzy
</vt:lpwstr>
  </property>
  <property fmtid="{D5CDD505-2E9C-101B-9397-08002B2CF9AE}" pid="4" name="Vazbanaprocesnídoménu">
    <vt:lpwstr>;#4. Komunikace a propagace;#</vt:lpwstr>
  </property>
  <property fmtid="{D5CDD505-2E9C-101B-9397-08002B2CF9AE}" pid="5" name="Vazbanadefiničnípředpis">
    <vt:lpwstr>Manuál ke zveřejňování produktů ČSÚ
</vt:lpwstr>
  </property>
  <property fmtid="{D5CDD505-2E9C-101B-9397-08002B2CF9AE}" pid="6" name="Ustanovení">
    <vt:lpwstr>část první čl. 2, odst. 3b,c; část pátá; příloha 1
</vt:lpwstr>
  </property>
  <property fmtid="{D5CDD505-2E9C-101B-9397-08002B2CF9AE}" pid="7" name="Účinnostod">
    <vt:filetime>2018-04-17T07:00:00Z</vt:filetime>
  </property>
  <property fmtid="{D5CDD505-2E9C-101B-9397-08002B2CF9AE}" pid="8" name="Označení">
    <vt:lpwstr>Form_c444</vt:lpwstr>
  </property>
  <property fmtid="{D5CDD505-2E9C-101B-9397-08002B2CF9AE}" pid="9" name="MediaServiceImageTags">
    <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ies>
</file>