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D3AFB" w14:textId="1549EB4E" w:rsidR="004E7C6B" w:rsidRPr="00532E62" w:rsidRDefault="1C7F89FF" w:rsidP="001224E5">
      <w:pPr>
        <w:pStyle w:val="Nadpis1"/>
      </w:pPr>
      <w:bookmarkStart w:id="0" w:name="_Toc137233031"/>
      <w:bookmarkStart w:id="1" w:name="_Toc169258116"/>
      <w:bookmarkStart w:id="2" w:name="_Toc153531176"/>
      <w:bookmarkStart w:id="3" w:name="_Toc176767107"/>
      <w:bookmarkStart w:id="4" w:name="_Toc161914427"/>
      <w:bookmarkStart w:id="5" w:name="_Toc193366674"/>
      <w:r>
        <w:t>3. Výkonnost odvětví</w:t>
      </w:r>
      <w:bookmarkEnd w:id="5"/>
    </w:p>
    <w:tbl>
      <w:tblPr>
        <w:tblW w:w="9639" w:type="dxa"/>
        <w:tblInd w:w="-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14"/>
        <w:gridCol w:w="229"/>
        <w:gridCol w:w="7596"/>
      </w:tblGrid>
      <w:tr w:rsidR="00213E46" w:rsidRPr="006B6ECC" w14:paraId="29015C5F" w14:textId="77777777" w:rsidTr="00496812">
        <w:trPr>
          <w:trHeight w:val="145"/>
        </w:trPr>
        <w:tc>
          <w:tcPr>
            <w:tcW w:w="1814" w:type="dxa"/>
            <w:shd w:val="clear" w:color="auto" w:fill="auto"/>
            <w:tcMar>
              <w:left w:w="0" w:type="dxa"/>
            </w:tcMar>
          </w:tcPr>
          <w:bookmarkEnd w:id="1"/>
          <w:bookmarkEnd w:id="2"/>
          <w:p w14:paraId="79B7FB59" w14:textId="77777777" w:rsidR="00213E46" w:rsidRDefault="00213E46" w:rsidP="00496812">
            <w:pPr>
              <w:pStyle w:val="Marginlie"/>
            </w:pPr>
            <w:r>
              <w:t>Mezikvartální růst HPH se během loňského roku postupně mírně zvyšoval a ve 3. čtvrtletí již prostupoval skoro všemi klíčovými odvětvími.</w:t>
            </w: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22327EA5" w14:textId="77777777" w:rsidR="00213E46" w:rsidRPr="003B1401" w:rsidRDefault="00213E46" w:rsidP="00496812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0631366B" w14:textId="02785612" w:rsidR="00213E46" w:rsidRPr="006B6ECC" w:rsidRDefault="00213E46" w:rsidP="00496812">
            <w:pPr>
              <w:spacing w:after="200"/>
            </w:pPr>
            <w:r>
              <w:t>V průběhu loňského roku docházelo k postupnému zotavování ekonomiky z předchozí mírné recese. Zatímco v 1. čtvrtletí 2024 se v</w:t>
            </w:r>
            <w:r>
              <w:rPr>
                <w:color w:val="0D0D0D" w:themeColor="text1" w:themeTint="F2"/>
                <w:spacing w:val="-4"/>
              </w:rPr>
              <w:t>ýkon všech odvětví národního hospodářství zachycený pomocí ukazatele hrubé přidané hodnoty (HPH)</w:t>
            </w:r>
            <w:r w:rsidRPr="003D1D6D">
              <w:rPr>
                <w:rStyle w:val="Znakapoznpodarou"/>
                <w:color w:val="0D0D0D" w:themeColor="text1" w:themeTint="F2"/>
                <w:spacing w:val="-5"/>
              </w:rPr>
              <w:t xml:space="preserve"> </w:t>
            </w:r>
            <w:r w:rsidRPr="003D1D6D">
              <w:rPr>
                <w:rStyle w:val="Znakapoznpodarou"/>
                <w:color w:val="0D0D0D" w:themeColor="text1" w:themeTint="F2"/>
                <w:spacing w:val="-5"/>
              </w:rPr>
              <w:footnoteReference w:id="1"/>
            </w:r>
            <w:r>
              <w:t xml:space="preserve"> ještě mezikvartálně nepatrně snížil (</w:t>
            </w:r>
            <w:r w:rsidR="003A2B5E">
              <w:rPr>
                <w:color w:val="0D0D0D" w:themeColor="text1" w:themeTint="F2"/>
                <w:spacing w:val="-4"/>
              </w:rPr>
              <w:t>−</w:t>
            </w:r>
            <w:r>
              <w:t>0,1 %), v následující části roku byl patrný mírný růst tažený většinou hlavních odvětví služeb. Ve 4. čtvrtletí se tak celkový výkon odvětví nacházel o necelá 2 % nad shodným obdobím konjunkturního roku 2019, výhradně ovšem zásluhou služeb (zejména zásluhou ICT a finančnictví)</w:t>
            </w:r>
            <w:r>
              <w:rPr>
                <w:rStyle w:val="Znakapoznpodarou"/>
              </w:rPr>
              <w:footnoteReference w:id="2"/>
            </w:r>
            <w:r>
              <w:t xml:space="preserve">. </w:t>
            </w:r>
          </w:p>
        </w:tc>
      </w:tr>
      <w:tr w:rsidR="00213E46" w:rsidRPr="006B6ECC" w14:paraId="285F9753" w14:textId="77777777" w:rsidTr="00496812">
        <w:trPr>
          <w:trHeight w:val="145"/>
        </w:trPr>
        <w:tc>
          <w:tcPr>
            <w:tcW w:w="1814" w:type="dxa"/>
            <w:shd w:val="clear" w:color="auto" w:fill="auto"/>
            <w:tcMar>
              <w:left w:w="0" w:type="dxa"/>
            </w:tcMar>
          </w:tcPr>
          <w:p w14:paraId="34417683" w14:textId="77777777" w:rsidR="00213E46" w:rsidRDefault="00213E46" w:rsidP="00496812">
            <w:pPr>
              <w:pStyle w:val="Marginlie"/>
            </w:pPr>
            <w:r>
              <w:t xml:space="preserve">Meziroční růst HPH se loni ztenčil na 0,3 %. Recese průmyslu pokračovala. Mírně ožilo stavebnictví. </w:t>
            </w:r>
            <w:r>
              <w:rPr>
                <w:color w:val="0D0D0D" w:themeColor="text1" w:themeTint="F2"/>
                <w:spacing w:val="-4"/>
              </w:rPr>
              <w:t xml:space="preserve">Dařilo se službám – zejména finančnictví, obchodu </w:t>
            </w:r>
            <w:r>
              <w:rPr>
                <w:color w:val="0D0D0D" w:themeColor="text1" w:themeTint="F2"/>
                <w:spacing w:val="-4"/>
              </w:rPr>
              <w:br/>
              <w:t>a aktivitám spojeným s cestovním ruchem.</w:t>
            </w: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4E6C5CCD" w14:textId="77777777" w:rsidR="00213E46" w:rsidRPr="003B1401" w:rsidRDefault="00213E46" w:rsidP="00496812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2E30FCD1" w14:textId="558F93EB" w:rsidR="00213E46" w:rsidRPr="006B6ECC" w:rsidRDefault="00213E46" w:rsidP="00496812">
            <w:pPr>
              <w:spacing w:after="200"/>
            </w:pPr>
            <w:r>
              <w:t>V úhrnu za celý rok 2024 se HPH zvýšila jen 0,3 %</w:t>
            </w:r>
            <w:r>
              <w:rPr>
                <w:rStyle w:val="Znakapoznpodarou"/>
              </w:rPr>
              <w:footnoteReference w:id="3"/>
            </w:r>
            <w:r>
              <w:t xml:space="preserve"> (nejméně za poslední čtyři roky). Druhý rok v řadě totiž pokračovala recese v průmyslu, který tak loni působil významně proti růstu ekonomiky (</w:t>
            </w:r>
            <w:r w:rsidR="003A2B5E">
              <w:rPr>
                <w:color w:val="0D0D0D" w:themeColor="text1" w:themeTint="F2"/>
                <w:spacing w:val="-4"/>
              </w:rPr>
              <w:t>−</w:t>
            </w:r>
            <w:r>
              <w:t>0,5 p. b.). Slabší zahraniční poptávka utlumila výkon zpracovatelského průmyslu, jenž poklesl o 1,3 %. Odhlédneme-li od pandemického roku 2020, šlo o nejhorší výsledek po roce 2012. Nedařilo se ani ostatní části průmyslu (zahrnující hlavně těžbu a energetiku), kde se HPH snížila třetí rok v řadě (loni o více než 4 %). V lehkém útlumu se nacházel i primární sektor ekonomiky, kde se promítala slabší loňská sklizeň klíčových plodin</w:t>
            </w:r>
            <w:r>
              <w:rPr>
                <w:rStyle w:val="Znakapoznpodarou"/>
              </w:rPr>
              <w:footnoteReference w:id="4"/>
            </w:r>
            <w:r>
              <w:t xml:space="preserve"> i doznívající pokles těžby dřeva. Živočišná výroba se vyrovnávala s cenovými výkyvy, ale situace z hlediska produkce zde byla loni stabilizovaná</w:t>
            </w:r>
            <w:r>
              <w:rPr>
                <w:rStyle w:val="Znakapoznpodarou"/>
              </w:rPr>
              <w:footnoteReference w:id="5"/>
            </w:r>
            <w:r>
              <w:t xml:space="preserve">. Ve stavebnictví se díky příznivému počasí i solidní poptávce od veřejných zadavatelů HPH zvýšila poprvé po roce 2018 (+0,4 %). V sektoru služeb se loni výkon zvýšil o1,2 % a k růstu HPH v celé ekonomice přispěl 0,8 p. b. Přestože </w:t>
            </w:r>
            <w:r>
              <w:br/>
              <w:t xml:space="preserve">z růstu poptávky profitovala téměř všechna hlavní odvětví, výrazněji vzrostl výkon pouze v peněžnictví a pojišťovnictví (+4,7 %). </w:t>
            </w:r>
          </w:p>
        </w:tc>
      </w:tr>
      <w:tr w:rsidR="00213E46" w:rsidRPr="00C957C8" w14:paraId="1DDCEAF1" w14:textId="77777777" w:rsidTr="00496812">
        <w:trPr>
          <w:trHeight w:val="145"/>
        </w:trPr>
        <w:tc>
          <w:tcPr>
            <w:tcW w:w="1814" w:type="dxa"/>
            <w:shd w:val="clear" w:color="auto" w:fill="auto"/>
            <w:tcMar>
              <w:left w:w="0" w:type="dxa"/>
            </w:tcMar>
          </w:tcPr>
          <w:p w14:paraId="763D03DF" w14:textId="77777777" w:rsidR="00213E46" w:rsidRDefault="00213E46" w:rsidP="00496812">
            <w:pPr>
              <w:pStyle w:val="Marginlie"/>
              <w:spacing w:after="24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Průmysl loni procházel recesí. Projevovala se slabá zahraniční poptávka i doznívající efekt zvýšených výrobních nákladů z období energetické krize.</w:t>
            </w: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1DCA6F1C" w14:textId="77777777" w:rsidR="00213E46" w:rsidRDefault="00213E46" w:rsidP="00496812">
            <w:pPr>
              <w:pStyle w:val="Textpoznpodarou"/>
              <w:spacing w:after="240"/>
              <w:jc w:val="both"/>
              <w:rPr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7A154AA1" w14:textId="347D9A36" w:rsidR="00213E46" w:rsidRPr="00C957C8" w:rsidRDefault="00213E46" w:rsidP="00496812">
            <w:pPr>
              <w:spacing w:after="200"/>
              <w:rPr>
                <w:color w:val="0D0D0D" w:themeColor="text1" w:themeTint="F2"/>
                <w:spacing w:val="-5"/>
              </w:rPr>
            </w:pPr>
            <w:r w:rsidRPr="00C957C8">
              <w:rPr>
                <w:color w:val="0D0D0D" w:themeColor="text1" w:themeTint="F2"/>
                <w:spacing w:val="-5"/>
              </w:rPr>
              <w:t xml:space="preserve">Tuzemský průmysl byl od počátku loňského roku zasažen recesí, jež pramenila primárně </w:t>
            </w:r>
            <w:r>
              <w:rPr>
                <w:color w:val="0D0D0D" w:themeColor="text1" w:themeTint="F2"/>
                <w:spacing w:val="-5"/>
              </w:rPr>
              <w:t>z</w:t>
            </w:r>
            <w:r w:rsidRPr="00C957C8">
              <w:rPr>
                <w:color w:val="0D0D0D" w:themeColor="text1" w:themeTint="F2"/>
                <w:spacing w:val="-5"/>
              </w:rPr>
              <w:t> přetrvávající slabé zahraniční poptávky. Nejen Německo, ale i řada dalších klíčových obchodních partnerů Česka v eurozóně se potýkal</w:t>
            </w:r>
            <w:r>
              <w:rPr>
                <w:color w:val="0D0D0D" w:themeColor="text1" w:themeTint="F2"/>
                <w:spacing w:val="-5"/>
              </w:rPr>
              <w:t>a</w:t>
            </w:r>
            <w:r w:rsidRPr="00C957C8">
              <w:rPr>
                <w:color w:val="0D0D0D" w:themeColor="text1" w:themeTint="F2"/>
                <w:spacing w:val="-5"/>
              </w:rPr>
              <w:t xml:space="preserve"> s aktuálními cyklickými</w:t>
            </w:r>
            <w:r>
              <w:rPr>
                <w:color w:val="0D0D0D" w:themeColor="text1" w:themeTint="F2"/>
                <w:spacing w:val="-5"/>
              </w:rPr>
              <w:t xml:space="preserve"> či</w:t>
            </w:r>
            <w:r w:rsidRPr="00C957C8">
              <w:rPr>
                <w:color w:val="0D0D0D" w:themeColor="text1" w:themeTint="F2"/>
                <w:spacing w:val="-5"/>
              </w:rPr>
              <w:t xml:space="preserve"> dlouhodobějšími strukturálními problémy. Jejich stopy jsou zřetelné také v tuzemsku. Zejména energeticky náročné průmyslové obory se stále obtížně vyrovnávaly s dopady zvýšených cen vstupů. Vedle toho byl rozvoj řady dalších nosných exportních oborů limitován pokračující slabší investiční aktivitou v ekonomice související s utlumenou podnikatelskou i spotřebitelskou důvěrou umocněnou přetrvávajícími ztíženými možnostmi úvěrového financování investic. Po krátkodobém oživení na konci roku 2023, za nímž stáli převážně výrobci dopravních prostředků (vč. jejich subdodavatelů), se průmyslová </w:t>
            </w:r>
            <w:r w:rsidRPr="00C957C8">
              <w:rPr>
                <w:color w:val="0D0D0D" w:themeColor="text1" w:themeTint="F2"/>
                <w:spacing w:val="-5"/>
              </w:rPr>
              <w:lastRenderedPageBreak/>
              <w:t>produkce</w:t>
            </w:r>
            <w:r w:rsidRPr="00C957C8">
              <w:rPr>
                <w:rStyle w:val="Znakapoznpodarou"/>
                <w:color w:val="0D0D0D" w:themeColor="text1" w:themeTint="F2"/>
                <w:spacing w:val="-5"/>
              </w:rPr>
              <w:footnoteReference w:id="6"/>
            </w:r>
            <w:r w:rsidRPr="00C957C8">
              <w:rPr>
                <w:color w:val="0D0D0D" w:themeColor="text1" w:themeTint="F2"/>
                <w:spacing w:val="-5"/>
              </w:rPr>
              <w:t xml:space="preserve"> v Česku v 1. čtvrtletí 2024 </w:t>
            </w:r>
            <w:r>
              <w:rPr>
                <w:color w:val="0D0D0D" w:themeColor="text1" w:themeTint="F2"/>
                <w:spacing w:val="-5"/>
              </w:rPr>
              <w:t>mezikvartálně opět snížila (</w:t>
            </w:r>
            <w:r w:rsidR="003A2B5E">
              <w:rPr>
                <w:color w:val="0D0D0D" w:themeColor="text1" w:themeTint="F2"/>
                <w:spacing w:val="-5"/>
              </w:rPr>
              <w:t>−</w:t>
            </w:r>
            <w:r>
              <w:rPr>
                <w:color w:val="0D0D0D" w:themeColor="text1" w:themeTint="F2"/>
                <w:spacing w:val="-5"/>
              </w:rPr>
              <w:t>0,5</w:t>
            </w:r>
            <w:r w:rsidRPr="00C957C8">
              <w:rPr>
                <w:color w:val="0D0D0D" w:themeColor="text1" w:themeTint="F2"/>
                <w:spacing w:val="-5"/>
              </w:rPr>
              <w:t xml:space="preserve"> %) a </w:t>
            </w:r>
            <w:r>
              <w:rPr>
                <w:color w:val="0D0D0D" w:themeColor="text1" w:themeTint="F2"/>
                <w:spacing w:val="-5"/>
              </w:rPr>
              <w:t xml:space="preserve">v </w:t>
            </w:r>
            <w:r w:rsidRPr="00C957C8">
              <w:rPr>
                <w:color w:val="0D0D0D" w:themeColor="text1" w:themeTint="F2"/>
                <w:spacing w:val="-5"/>
              </w:rPr>
              <w:t>podobných tendencích pokračovala po celý loňský rok, neboť klíčové investičně zaměřené obory (</w:t>
            </w:r>
            <w:r>
              <w:rPr>
                <w:color w:val="0D0D0D" w:themeColor="text1" w:themeTint="F2"/>
                <w:spacing w:val="-5"/>
              </w:rPr>
              <w:t xml:space="preserve">především </w:t>
            </w:r>
            <w:r w:rsidRPr="00C957C8">
              <w:rPr>
                <w:color w:val="0D0D0D" w:themeColor="text1" w:themeTint="F2"/>
                <w:spacing w:val="-5"/>
              </w:rPr>
              <w:t>výr</w:t>
            </w:r>
            <w:r>
              <w:rPr>
                <w:color w:val="0D0D0D" w:themeColor="text1" w:themeTint="F2"/>
                <w:spacing w:val="-5"/>
              </w:rPr>
              <w:t>oba motorových vozidel a</w:t>
            </w:r>
            <w:r w:rsidRPr="00C957C8">
              <w:rPr>
                <w:color w:val="0D0D0D" w:themeColor="text1" w:themeTint="F2"/>
                <w:spacing w:val="-5"/>
              </w:rPr>
              <w:t xml:space="preserve"> strojírenství) </w:t>
            </w:r>
            <w:r>
              <w:rPr>
                <w:color w:val="0D0D0D" w:themeColor="text1" w:themeTint="F2"/>
                <w:spacing w:val="-5"/>
              </w:rPr>
              <w:t xml:space="preserve">nepřinesly </w:t>
            </w:r>
            <w:r w:rsidRPr="00C957C8">
              <w:rPr>
                <w:color w:val="0D0D0D" w:themeColor="text1" w:themeTint="F2"/>
                <w:spacing w:val="-5"/>
              </w:rPr>
              <w:t xml:space="preserve">potřebný růstový impuls průmyslu. Celková průmyslová produkce tak na konci </w:t>
            </w:r>
            <w:r>
              <w:rPr>
                <w:color w:val="0D0D0D" w:themeColor="text1" w:themeTint="F2"/>
                <w:spacing w:val="-5"/>
              </w:rPr>
              <w:t xml:space="preserve">loňského </w:t>
            </w:r>
            <w:r w:rsidRPr="00C957C8">
              <w:rPr>
                <w:color w:val="0D0D0D" w:themeColor="text1" w:themeTint="F2"/>
                <w:spacing w:val="-5"/>
              </w:rPr>
              <w:t>roku za svým vrcholem z období předpandemické konjunktury (2. čtvrtletí 2019) mírně zaostala (o</w:t>
            </w:r>
            <w:r w:rsidRPr="00C957C8">
              <w:rPr>
                <w:spacing w:val="-5"/>
              </w:rPr>
              <w:t> </w:t>
            </w:r>
            <w:r>
              <w:rPr>
                <w:color w:val="0D0D0D" w:themeColor="text1" w:themeTint="F2"/>
                <w:spacing w:val="-5"/>
              </w:rPr>
              <w:t>2,9</w:t>
            </w:r>
            <w:r w:rsidRPr="00C957C8">
              <w:rPr>
                <w:color w:val="0D0D0D" w:themeColor="text1" w:themeTint="F2"/>
                <w:spacing w:val="-5"/>
              </w:rPr>
              <w:t xml:space="preserve"> %)</w:t>
            </w:r>
            <w:r w:rsidRPr="00C957C8">
              <w:rPr>
                <w:rStyle w:val="Znakapoznpodarou"/>
                <w:color w:val="0D0D0D" w:themeColor="text1" w:themeTint="F2"/>
                <w:spacing w:val="-5"/>
              </w:rPr>
              <w:footnoteReference w:id="7"/>
            </w:r>
            <w:r w:rsidRPr="00C957C8">
              <w:rPr>
                <w:color w:val="0D0D0D" w:themeColor="text1" w:themeTint="F2"/>
                <w:spacing w:val="-5"/>
              </w:rPr>
              <w:t>.</w:t>
            </w:r>
          </w:p>
        </w:tc>
      </w:tr>
      <w:tr w:rsidR="00213E46" w:rsidRPr="004D4FDB" w14:paraId="05E6A8A4" w14:textId="77777777" w:rsidTr="00496812">
        <w:trPr>
          <w:trHeight w:val="145"/>
        </w:trPr>
        <w:tc>
          <w:tcPr>
            <w:tcW w:w="1814" w:type="dxa"/>
            <w:shd w:val="clear" w:color="auto" w:fill="auto"/>
            <w:tcMar>
              <w:left w:w="0" w:type="dxa"/>
            </w:tcMar>
          </w:tcPr>
          <w:p w14:paraId="3F2DDB1F" w14:textId="77777777" w:rsidR="00213E46" w:rsidRDefault="00213E46" w:rsidP="00496812">
            <w:pPr>
              <w:pStyle w:val="Marginlie"/>
              <w:spacing w:after="24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lastRenderedPageBreak/>
              <w:t>Meziroční pokles průmyslové produkce se loni mírně prohloubil. Celé odvětví táhlo dolů nejvíce strojírenství, jehož výkon propadl téměř o desetinu.</w:t>
            </w: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5D3BF73F" w14:textId="77777777" w:rsidR="00213E46" w:rsidRDefault="00213E46" w:rsidP="00496812">
            <w:pPr>
              <w:pStyle w:val="Textpoznpodarou"/>
              <w:spacing w:after="240"/>
              <w:jc w:val="both"/>
              <w:rPr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6089148F" w14:textId="77777777" w:rsidR="00213E46" w:rsidRPr="004D4FDB" w:rsidRDefault="00213E46" w:rsidP="00496812">
            <w:pPr>
              <w:spacing w:after="20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Ve 4. čtvrtletí 2024 se průmyslová produkce meziročně snížila o 2,2 %, v první řadě kvůli útlumu oborů zaměřených na investiční výrobu. Za celý loňský rok se výkon průmyslu snížil o 0,9 % a recese započatá v předchozím roce se tak nepatrně prohloubila. K poklesu došlo i</w:t>
            </w:r>
            <w:r w:rsidRPr="004D4FDB">
              <w:rPr>
                <w:color w:val="0D0D0D" w:themeColor="text1" w:themeTint="F2"/>
                <w:spacing w:val="-4"/>
              </w:rPr>
              <w:t> </w:t>
            </w:r>
            <w:r>
              <w:rPr>
                <w:color w:val="0D0D0D" w:themeColor="text1" w:themeTint="F2"/>
                <w:spacing w:val="-4"/>
              </w:rPr>
              <w:t>přesto, že se produkce alespoň nepatrně zvýšila v mírně nadpoloviční části všech průmyslových oborů. Dominantní vliv však měl hlubší útlum některých váhově významných exportních oborů. Šlo zejména o strojírenství, jehož výkon loni propadl o</w:t>
            </w:r>
            <w:r w:rsidRPr="00C957C8">
              <w:rPr>
                <w:color w:val="0D0D0D" w:themeColor="text1" w:themeTint="F2"/>
                <w:spacing w:val="-5"/>
              </w:rPr>
              <w:t> </w:t>
            </w:r>
            <w:r>
              <w:rPr>
                <w:color w:val="0D0D0D" w:themeColor="text1" w:themeTint="F2"/>
                <w:spacing w:val="-4"/>
              </w:rPr>
              <w:t>8,4</w:t>
            </w:r>
            <w:r w:rsidRPr="00C957C8">
              <w:rPr>
                <w:color w:val="0D0D0D" w:themeColor="text1" w:themeTint="F2"/>
                <w:spacing w:val="-5"/>
              </w:rPr>
              <w:t> </w:t>
            </w:r>
            <w:r>
              <w:rPr>
                <w:color w:val="0D0D0D" w:themeColor="text1" w:themeTint="F2"/>
                <w:spacing w:val="-4"/>
              </w:rPr>
              <w:t>%, nejvíce ze všech zpracovatelských oborů, a k poklesu celého průmyslu přispěl 0,7 p. b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8"/>
            </w:r>
            <w:r>
              <w:rPr>
                <w:color w:val="0D0D0D" w:themeColor="text1" w:themeTint="F2"/>
                <w:spacing w:val="-4"/>
              </w:rPr>
              <w:t>. Projevila se zde slabá poptávka, zejména z tuzemska. Útlum se týkal např. výroby</w:t>
            </w:r>
            <w:r w:rsidRPr="002D27D0">
              <w:rPr>
                <w:color w:val="0D0D0D" w:themeColor="text1" w:themeTint="F2"/>
                <w:spacing w:val="-4"/>
              </w:rPr>
              <w:t xml:space="preserve"> čerpadel, zemědělských nebo kovoobráběcích strojů</w:t>
            </w:r>
            <w:r>
              <w:rPr>
                <w:color w:val="0D0D0D" w:themeColor="text1" w:themeTint="F2"/>
                <w:spacing w:val="-4"/>
              </w:rPr>
              <w:t xml:space="preserve">, nižší produkci šlo však v tomto jinak dost diverzifikovaném oboru během roku vystopovat v zásadě napříč celým jeho spektrem. </w:t>
            </w:r>
          </w:p>
        </w:tc>
      </w:tr>
      <w:tr w:rsidR="00213E46" w:rsidRPr="00EC434A" w14:paraId="15CC6B45" w14:textId="77777777" w:rsidTr="00496812">
        <w:trPr>
          <w:trHeight w:val="145"/>
        </w:trPr>
        <w:tc>
          <w:tcPr>
            <w:tcW w:w="1814" w:type="dxa"/>
            <w:shd w:val="clear" w:color="auto" w:fill="auto"/>
            <w:tcMar>
              <w:left w:w="0" w:type="dxa"/>
            </w:tcMar>
          </w:tcPr>
          <w:p w14:paraId="7CE04443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Dynamický rozvoj výroby motorových vozidel se loni zastavil. Slabší domácí i zahraniční poptávka se podepsala na poklesu výkonu jeho přímých subdodavatelů v oblasti automotive.</w:t>
            </w:r>
          </w:p>
          <w:p w14:paraId="42A7B062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362664C3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79F4596A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2E1729C6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49AA6AEB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 xml:space="preserve">Oslabení poptávky výrobců automobilů pocítily i některé navazující obory, zejména elektrotechnika. </w:t>
            </w:r>
          </w:p>
          <w:p w14:paraId="29D498FB" w14:textId="77777777" w:rsidR="00213E46" w:rsidRDefault="00213E46" w:rsidP="00496812">
            <w:pPr>
              <w:pStyle w:val="Marginlie"/>
              <w:spacing w:after="240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5BFDA654" w14:textId="77777777" w:rsidR="00213E46" w:rsidRDefault="00213E46" w:rsidP="00496812">
            <w:pPr>
              <w:pStyle w:val="Textpoznpodarou"/>
              <w:spacing w:after="240"/>
              <w:jc w:val="both"/>
              <w:rPr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2CE2D9DB" w14:textId="7C092DA7" w:rsidR="00213E46" w:rsidRPr="00EC434A" w:rsidRDefault="00213E46" w:rsidP="00496812">
            <w:pPr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 xml:space="preserve">K </w:t>
            </w:r>
            <w:r w:rsidRPr="003C4FE2">
              <w:rPr>
                <w:color w:val="0D0D0D" w:themeColor="text1" w:themeTint="F2"/>
                <w:spacing w:val="-4"/>
              </w:rPr>
              <w:t>loňskému poklesu průmyslu přispěl i klíčový obor</w:t>
            </w:r>
            <w:r>
              <w:rPr>
                <w:color w:val="0D0D0D" w:themeColor="text1" w:themeTint="F2"/>
                <w:spacing w:val="-4"/>
              </w:rPr>
              <w:t xml:space="preserve"> výroby motorových vozidel (</w:t>
            </w:r>
            <w:r w:rsidR="003A2B5E">
              <w:rPr>
                <w:color w:val="0D0D0D" w:themeColor="text1" w:themeTint="F2"/>
                <w:spacing w:val="-4"/>
              </w:rPr>
              <w:t>−</w:t>
            </w:r>
            <w:r>
              <w:rPr>
                <w:color w:val="0D0D0D" w:themeColor="text1" w:themeTint="F2"/>
                <w:spacing w:val="-4"/>
              </w:rPr>
              <w:t>0,3</w:t>
            </w:r>
            <w:r w:rsidRPr="003C4FE2">
              <w:rPr>
                <w:color w:val="0D0D0D" w:themeColor="text1" w:themeTint="F2"/>
                <w:spacing w:val="-4"/>
              </w:rPr>
              <w:t xml:space="preserve"> p. b.), jehož produkce se po dvouciferném růstu v </w:t>
            </w:r>
            <w:r>
              <w:rPr>
                <w:color w:val="0D0D0D" w:themeColor="text1" w:themeTint="F2"/>
                <w:spacing w:val="-4"/>
                <w:szCs w:val="20"/>
              </w:rPr>
              <w:t>letech 2022 i 2023 snížila o 1</w:t>
            </w:r>
            <w:r w:rsidRPr="003C4FE2">
              <w:rPr>
                <w:color w:val="0D0D0D" w:themeColor="text1" w:themeTint="F2"/>
                <w:spacing w:val="-4"/>
                <w:szCs w:val="20"/>
              </w:rPr>
              <w:t>,3 %. Na tento výsledek měla patrně vliv zhoršená pozice některých přímých tuzemských subdodavatelů (v rámci odvětví automobilového průmyslu), neboť samotná finální fyzická výroba vozidel rostla</w:t>
            </w:r>
            <w:r w:rsidRPr="003C4FE2">
              <w:rPr>
                <w:rStyle w:val="Znakapoznpodarou"/>
                <w:color w:val="0D0D0D" w:themeColor="text1" w:themeTint="F2"/>
                <w:spacing w:val="-4"/>
              </w:rPr>
              <w:footnoteReference w:id="9"/>
            </w:r>
            <w:r w:rsidRPr="003C4FE2">
              <w:rPr>
                <w:color w:val="0D0D0D" w:themeColor="text1" w:themeTint="F2"/>
                <w:spacing w:val="-4"/>
              </w:rPr>
              <w:t>. Aktuální dynamika tohoto oboru je přitom v Česku, podobně jako ve většině novějších členských států, oproti jádrovým zemím EU relativně příznivější</w:t>
            </w:r>
            <w:r w:rsidRPr="003C4FE2">
              <w:rPr>
                <w:rStyle w:val="Znakapoznpodarou"/>
                <w:color w:val="0D0D0D" w:themeColor="text1" w:themeTint="F2"/>
                <w:spacing w:val="-4"/>
              </w:rPr>
              <w:footnoteReference w:id="10"/>
            </w:r>
            <w:r w:rsidRPr="003C4FE2">
              <w:rPr>
                <w:color w:val="0D0D0D" w:themeColor="text1" w:themeTint="F2"/>
                <w:spacing w:val="-4"/>
              </w:rPr>
              <w:t>. Vedle nižších pracovních nákladů zde hraje roli i dosud menší zastoupení elektrických a hybridních vozů v produkci (jejich odbyt se potýká s problémy kvůli narůstající asijské konkurenci i nižší dotační podpoře v zemích Unie).</w:t>
            </w:r>
            <w:r>
              <w:rPr>
                <w:color w:val="0D0D0D" w:themeColor="text1" w:themeTint="F2"/>
                <w:spacing w:val="-4"/>
              </w:rPr>
              <w:t xml:space="preserve"> Kromě automobilového průmyslu postihl loni pokles produkce i výrobce ostatních (především kolejových) dopravních prostředků (</w:t>
            </w:r>
            <w:r w:rsidR="003A2B5E">
              <w:rPr>
                <w:color w:val="0D0D0D" w:themeColor="text1" w:themeTint="F2"/>
                <w:spacing w:val="-4"/>
              </w:rPr>
              <w:t>−</w:t>
            </w:r>
            <w:r>
              <w:rPr>
                <w:color w:val="0D0D0D" w:themeColor="text1" w:themeTint="F2"/>
                <w:spacing w:val="-4"/>
              </w:rPr>
              <w:t xml:space="preserve">4,6 %), hlavně vlivem slabšího výkonu ve 4. čtvrtletí 2024. Produkce v tomto relativně malém oboru má však tradičně volatilní charakter. Na základě předstihových ukazatelů (zejména svižného růstu nových tuzemských zakázek) lze soudit, že nejbližší vyhlídky oboru nejsou nepříznivé. Odbytové problémy v automobilovém průmyslu vedly loni k poklesu produkce </w:t>
            </w:r>
            <w:r>
              <w:rPr>
                <w:color w:val="0D0D0D" w:themeColor="text1" w:themeTint="F2"/>
                <w:spacing w:val="-4"/>
              </w:rPr>
              <w:br/>
              <w:t>i v navazujícím oboru</w:t>
            </w:r>
            <w:r>
              <w:rPr>
                <w:color w:val="0D0D0D" w:themeColor="text1" w:themeTint="F2"/>
                <w:spacing w:val="-6"/>
              </w:rPr>
              <w:t xml:space="preserve"> </w:t>
            </w:r>
            <w:r>
              <w:rPr>
                <w:color w:val="0D0D0D" w:themeColor="text1" w:themeTint="F2"/>
                <w:spacing w:val="-4"/>
              </w:rPr>
              <w:t>výroby elektrických zařízení (</w:t>
            </w:r>
            <w:r w:rsidR="003A2B5E">
              <w:rPr>
                <w:color w:val="0D0D0D" w:themeColor="text1" w:themeTint="F2"/>
                <w:spacing w:val="-4"/>
              </w:rPr>
              <w:t>−</w:t>
            </w:r>
            <w:r>
              <w:rPr>
                <w:color w:val="0D0D0D" w:themeColor="text1" w:themeTint="F2"/>
                <w:spacing w:val="-4"/>
              </w:rPr>
              <w:t>2,1 %), který limitovala zejména slabší zahraniční poptávka. Naopak gumárenství a plastikářství, které patří k energeticky náročnějším oborům, postihl útlum již v letech 2022 a 2023 a loni jeho výkon díky lehkému oživení poptávky z tuzemska mírně vzrostl (+0,6 %).</w:t>
            </w:r>
          </w:p>
        </w:tc>
      </w:tr>
      <w:tr w:rsidR="00213E46" w14:paraId="24A807D2" w14:textId="77777777" w:rsidTr="00496812">
        <w:trPr>
          <w:trHeight w:val="145"/>
        </w:trPr>
        <w:tc>
          <w:tcPr>
            <w:tcW w:w="1814" w:type="dxa"/>
            <w:shd w:val="clear" w:color="auto" w:fill="auto"/>
            <w:tcMar>
              <w:left w:w="0" w:type="dxa"/>
            </w:tcMar>
          </w:tcPr>
          <w:p w14:paraId="5E3BFF32" w14:textId="77777777" w:rsidR="00213E46" w:rsidRDefault="00213E46" w:rsidP="00496812">
            <w:pPr>
              <w:pStyle w:val="Marginlie"/>
              <w:spacing w:after="24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 xml:space="preserve">Energeticky nejnáročnější obory hutnictví či těžby </w:t>
            </w:r>
            <w:r>
              <w:rPr>
                <w:color w:val="0D0D0D" w:themeColor="text1" w:themeTint="F2"/>
                <w:spacing w:val="-4"/>
              </w:rPr>
              <w:br/>
              <w:t>a dobývání loni pokračovaly v hlubokém útlumu.</w:t>
            </w:r>
          </w:p>
          <w:p w14:paraId="3EBA05CB" w14:textId="77777777" w:rsidR="00213E46" w:rsidRDefault="00213E46" w:rsidP="00496812">
            <w:pPr>
              <w:pStyle w:val="Marginlie"/>
              <w:spacing w:after="24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lastRenderedPageBreak/>
              <w:t>Propad výkonu energetiky se loni razantně zmírnil. Pokles celkové spotřeby elektřiny i plynu se takřka zastavil, z toho v podnicích dokonce mírně vzrostl.</w:t>
            </w: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017D146B" w14:textId="77777777" w:rsidR="00213E46" w:rsidRDefault="00213E46" w:rsidP="00496812">
            <w:pPr>
              <w:pStyle w:val="Textpoznpodarou"/>
              <w:spacing w:after="240"/>
              <w:jc w:val="both"/>
              <w:rPr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3684EDEA" w14:textId="77777777" w:rsidR="00213E46" w:rsidRDefault="00213E46" w:rsidP="00496812">
            <w:pPr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 xml:space="preserve">Energeticky nejnáročnější průmyslové obory byly nadále v hlubokém útlumu. V hutnictví </w:t>
            </w:r>
            <w:r>
              <w:rPr>
                <w:color w:val="0D0D0D" w:themeColor="text1" w:themeTint="F2"/>
                <w:spacing w:val="-4"/>
              </w:rPr>
              <w:br/>
              <w:t>a slévárenství se loni produkce propadla o 7,0 % (za poslední tři roky dokonce o 26,7 %). Přetrvávala slabá domácí i zahraniční poptávka po oceli (hlavně ve stavebnictví, automobilovém průmyslu či</w:t>
            </w:r>
            <w:r w:rsidRPr="0071776E">
              <w:rPr>
                <w:color w:val="0D0D0D" w:themeColor="text1" w:themeTint="F2"/>
                <w:spacing w:val="-4"/>
              </w:rPr>
              <w:t xml:space="preserve"> strojírenství</w:t>
            </w:r>
            <w:r>
              <w:rPr>
                <w:color w:val="0D0D0D" w:themeColor="text1" w:themeTint="F2"/>
                <w:spacing w:val="-4"/>
              </w:rPr>
              <w:t xml:space="preserve">) a ani hlavní předstihové ukazatele zatím nenaznačovaly pozitivní obrat. V dlouhodobě útlumovém oboru těžby a dobývání sice </w:t>
            </w:r>
            <w:r>
              <w:rPr>
                <w:color w:val="0D0D0D" w:themeColor="text1" w:themeTint="F2"/>
                <w:spacing w:val="-4"/>
              </w:rPr>
              <w:lastRenderedPageBreak/>
              <w:t>tempo propadu ve srovnání s rokem 2023 loni zmírnilo, i tak však dosáhlo 7,4 %. Stál za tím dosud klíčový segment těžby uhlí, kde produkce klesla o 11,8 % (nejvíce ze všech průmyslových oborů). Naopak těžba stavebních materiálů ožila (+0,4 %), a to díky rostoucí poptávce v tuzemském stavebnictví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11"/>
            </w:r>
            <w:r>
              <w:rPr>
                <w:color w:val="0D0D0D" w:themeColor="text1" w:themeTint="F2"/>
                <w:spacing w:val="-4"/>
              </w:rPr>
              <w:t>. V odvětví energetiky se pokles produkce zmírnil, když za celý loňský rok dosáhl 1,5 % (v úhrnu za poslední tři roky však činil 14,5 %). Projevil se mírný pokles výroby elektřiny související s pokračujícím poklesem využití uhlí v parních elektrárnách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12"/>
            </w:r>
            <w:r>
              <w:rPr>
                <w:color w:val="0D0D0D" w:themeColor="text1" w:themeTint="F2"/>
                <w:spacing w:val="-4"/>
              </w:rPr>
              <w:t>. Současně se však fakticky zastavil pokles spotřeby elektřiny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13"/>
            </w:r>
            <w:r>
              <w:rPr>
                <w:color w:val="0D0D0D" w:themeColor="text1" w:themeTint="F2"/>
                <w:spacing w:val="-4"/>
              </w:rPr>
              <w:t xml:space="preserve"> i plynu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14"/>
            </w:r>
            <w:r>
              <w:rPr>
                <w:color w:val="0D0D0D" w:themeColor="text1" w:themeTint="F2"/>
                <w:spacing w:val="-4"/>
              </w:rPr>
              <w:t xml:space="preserve"> vlivem relativně chladnějšího počasí v poslední třetině roku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15"/>
            </w:r>
            <w:r>
              <w:rPr>
                <w:color w:val="0D0D0D" w:themeColor="text1" w:themeTint="F2"/>
                <w:spacing w:val="-4"/>
              </w:rPr>
              <w:t xml:space="preserve">. Rovněž efekt </w:t>
            </w:r>
            <w:r>
              <w:rPr>
                <w:color w:val="0D0D0D" w:themeColor="text1" w:themeTint="F2"/>
                <w:spacing w:val="-6"/>
              </w:rPr>
              <w:t xml:space="preserve">úsporných opatření na straně spotřeby ve firmách a domácnostech nebyl zdaleka tak průkazný jako v předchozích dvou letech, což bylo dané také tím, že se stabilizovaly ceny energií pro konečné spotřebitele. </w:t>
            </w:r>
            <w:r>
              <w:rPr>
                <w:color w:val="0D0D0D" w:themeColor="text1" w:themeTint="F2"/>
                <w:spacing w:val="-4"/>
              </w:rPr>
              <w:t xml:space="preserve"> </w:t>
            </w:r>
          </w:p>
        </w:tc>
      </w:tr>
      <w:tr w:rsidR="00213E46" w14:paraId="43FF3491" w14:textId="77777777" w:rsidTr="00496812">
        <w:trPr>
          <w:trHeight w:val="145"/>
        </w:trPr>
        <w:tc>
          <w:tcPr>
            <w:tcW w:w="1814" w:type="dxa"/>
            <w:shd w:val="clear" w:color="auto" w:fill="auto"/>
            <w:tcMar>
              <w:left w:w="0" w:type="dxa"/>
            </w:tcMar>
          </w:tcPr>
          <w:p w14:paraId="5D40D21D" w14:textId="77777777" w:rsidR="00213E46" w:rsidRDefault="00213E46" w:rsidP="00496812">
            <w:pPr>
              <w:pStyle w:val="Marginlie"/>
              <w:spacing w:after="24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lastRenderedPageBreak/>
              <w:t>Proti hlubšímu útlumu průmyslu působilo hlavně potravinářství a většina dalších oborů vyrábějících produkty krátkodobé spotřeby.</w:t>
            </w:r>
          </w:p>
          <w:p w14:paraId="1AC97FAC" w14:textId="77777777" w:rsidR="00213E46" w:rsidRDefault="00213E46" w:rsidP="00496812">
            <w:pPr>
              <w:pStyle w:val="Marginlie"/>
              <w:spacing w:after="240"/>
              <w:rPr>
                <w:color w:val="0D0D0D" w:themeColor="text1" w:themeTint="F2"/>
                <w:spacing w:val="-4"/>
              </w:rPr>
            </w:pPr>
          </w:p>
          <w:p w14:paraId="3F33BADB" w14:textId="77777777" w:rsidR="00213E46" w:rsidRDefault="00213E46" w:rsidP="00496812">
            <w:pPr>
              <w:pStyle w:val="Marginlie"/>
              <w:spacing w:after="240"/>
              <w:rPr>
                <w:color w:val="0D0D0D" w:themeColor="text1" w:themeTint="F2"/>
                <w:spacing w:val="-4"/>
              </w:rPr>
            </w:pPr>
          </w:p>
          <w:p w14:paraId="3E944770" w14:textId="77777777" w:rsidR="00213E46" w:rsidRDefault="00213E46" w:rsidP="00496812">
            <w:pPr>
              <w:pStyle w:val="Marginlie"/>
              <w:spacing w:after="240"/>
              <w:rPr>
                <w:color w:val="0D0D0D" w:themeColor="text1" w:themeTint="F2"/>
                <w:spacing w:val="-4"/>
              </w:rPr>
            </w:pPr>
          </w:p>
          <w:p w14:paraId="59857265" w14:textId="77777777" w:rsidR="00213E46" w:rsidRDefault="00213E46" w:rsidP="00496812">
            <w:pPr>
              <w:pStyle w:val="Marginlie"/>
              <w:spacing w:after="24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Nákupy některých předmětů středně- i dlouhodobé spotřeby domácnosti nadále spíše odkládaly.</w:t>
            </w: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6F827D4E" w14:textId="77777777" w:rsidR="00213E46" w:rsidRDefault="00213E46" w:rsidP="00496812">
            <w:pPr>
              <w:pStyle w:val="Textpoznpodarou"/>
              <w:spacing w:after="240"/>
              <w:jc w:val="both"/>
              <w:rPr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7C0E19C2" w14:textId="77777777" w:rsidR="00213E46" w:rsidRDefault="00213E46" w:rsidP="00496812">
            <w:pPr>
              <w:rPr>
                <w:color w:val="0D0D0D" w:themeColor="text1" w:themeTint="F2"/>
                <w:spacing w:val="-4"/>
              </w:rPr>
            </w:pPr>
            <w:r w:rsidRPr="00C12F81">
              <w:rPr>
                <w:color w:val="0D0D0D" w:themeColor="text1" w:themeTint="F2"/>
                <w:spacing w:val="-4"/>
              </w:rPr>
              <w:t>Proti hlubšímu poklesu výkonu průmyslu působily loni zejména obory zaměřené na produkci zboží krátkodobé spotřeby. V </w:t>
            </w:r>
            <w:r>
              <w:rPr>
                <w:color w:val="0D0D0D" w:themeColor="text1" w:themeTint="F2"/>
                <w:spacing w:val="-4"/>
              </w:rPr>
              <w:t>potravinářství se produkce meziročně zvýšila poprvé za poslední tři roky (+4,0 %, příspěvek k růstu celého průmyslu +0,2 p. b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16"/>
            </w:r>
            <w:r>
              <w:rPr>
                <w:color w:val="0D0D0D" w:themeColor="text1" w:themeTint="F2"/>
                <w:spacing w:val="-4"/>
              </w:rPr>
              <w:t xml:space="preserve">.). Z obnoveného růstu kupní síly tuzemských domácností i rozvíjejícího turismu těžili také výrobci nápojů (+4,0 %), na rozdíl od potravinářství však jejich produkce ještě nepřekonala vrchol z období poslední předpandemické konjunktury. To platí i pro oděvnictví, jehož výkon se vinou oslabující tuzemské poptávky (zejména ve 2. pololetí 2024) za celý rok ztenčil (+0,6 %). Dařilo se naopak nejmenšímu zpracovatelskému oboru, kožedělnictví </w:t>
            </w:r>
            <w:r>
              <w:rPr>
                <w:color w:val="0D0D0D" w:themeColor="text1" w:themeTint="F2"/>
                <w:spacing w:val="-4"/>
              </w:rPr>
              <w:br/>
              <w:t xml:space="preserve">a obuvnictví, jehož výkon vzrostl čtvrtým rokem v řadě. Loni se zvýšil o 8,4 % (nejvíce ze všech průmyslových oborů), hlavně díky zotavení tuzemské poptávky. V dlouhodobě rozvíjejícím se a výrazně proexportním farmaceutickém průmyslu se loni navzdory solidní </w:t>
            </w:r>
            <w:r w:rsidRPr="009A54B7">
              <w:rPr>
                <w:color w:val="0D0D0D" w:themeColor="text1" w:themeTint="F2"/>
                <w:spacing w:val="-6"/>
              </w:rPr>
              <w:t>p</w:t>
            </w:r>
            <w:r>
              <w:rPr>
                <w:color w:val="0D0D0D" w:themeColor="text1" w:themeTint="F2"/>
                <w:spacing w:val="-6"/>
              </w:rPr>
              <w:t>optávce zvýšila produkce jen o 2,5</w:t>
            </w:r>
            <w:r w:rsidRPr="009A54B7">
              <w:rPr>
                <w:color w:val="0D0D0D" w:themeColor="text1" w:themeTint="F2"/>
                <w:spacing w:val="-6"/>
              </w:rPr>
              <w:t xml:space="preserve"> </w:t>
            </w:r>
            <w:r>
              <w:rPr>
                <w:color w:val="0D0D0D" w:themeColor="text1" w:themeTint="F2"/>
                <w:spacing w:val="-6"/>
              </w:rPr>
              <w:t xml:space="preserve">% (nejméně za posledních deset let). </w:t>
            </w:r>
            <w:r w:rsidRPr="009A54B7">
              <w:rPr>
                <w:color w:val="0D0D0D" w:themeColor="text1" w:themeTint="F2"/>
                <w:spacing w:val="-6"/>
              </w:rPr>
              <w:t>K prosperujícím</w:t>
            </w:r>
            <w:r>
              <w:rPr>
                <w:color w:val="0D0D0D" w:themeColor="text1" w:themeTint="F2"/>
                <w:spacing w:val="-4"/>
              </w:rPr>
              <w:t xml:space="preserve"> oborům, k jejichž útlumu nedošlo ani za pandemie, náleží i ostatní zpracovatelský průmysl (zahrnující mj. i výrobu sportovních potřeb, her a hraček). Jeho výkon díky vyšší poptávce z tuzemska i zahraničí meziročně vzrostl o 5,7 %. Naopak u některých produktů dlouhodobější spotřeby (např. nábytek) domácnosti nákupy nadále spíše odkládaly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17"/>
            </w:r>
            <w:r>
              <w:rPr>
                <w:color w:val="0D0D0D" w:themeColor="text1" w:themeTint="F2"/>
                <w:spacing w:val="-4"/>
              </w:rPr>
              <w:t>.</w:t>
            </w:r>
          </w:p>
        </w:tc>
      </w:tr>
      <w:tr w:rsidR="00213E46" w:rsidRPr="0077701B" w14:paraId="3E3EF2C0" w14:textId="77777777" w:rsidTr="00496812">
        <w:trPr>
          <w:trHeight w:val="145"/>
        </w:trPr>
        <w:tc>
          <w:tcPr>
            <w:tcW w:w="1814" w:type="dxa"/>
            <w:shd w:val="clear" w:color="auto" w:fill="auto"/>
            <w:tcMar>
              <w:left w:w="0" w:type="dxa"/>
            </w:tcMar>
          </w:tcPr>
          <w:p w14:paraId="309079B7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 xml:space="preserve">Některé energeticky náročnější obory zaměřené na výrobu meziproduktů loni ožily. </w:t>
            </w:r>
          </w:p>
          <w:p w14:paraId="319A2F8F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031F3EC5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60B7B96C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03514460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5FB8BCB6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lastRenderedPageBreak/>
              <w:t>Mírný, ale stabilní růst elektronického průmyslu pokračoval díky domácí i zahraniční poptávce.</w:t>
            </w: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4D2C87E8" w14:textId="77777777" w:rsidR="00213E46" w:rsidRDefault="00213E46" w:rsidP="00496812">
            <w:pPr>
              <w:pStyle w:val="Textpoznpodarou"/>
              <w:spacing w:after="240"/>
              <w:jc w:val="both"/>
              <w:rPr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4066AE71" w14:textId="77777777" w:rsidR="00213E46" w:rsidRPr="0077701B" w:rsidRDefault="00213E46" w:rsidP="00496812">
            <w:pPr>
              <w:rPr>
                <w:color w:val="0D0D0D" w:themeColor="text1" w:themeTint="F2"/>
                <w:spacing w:val="-6"/>
              </w:rPr>
            </w:pPr>
            <w:r>
              <w:rPr>
                <w:color w:val="0D0D0D" w:themeColor="text1" w:themeTint="F2"/>
                <w:spacing w:val="-4"/>
              </w:rPr>
              <w:t xml:space="preserve">Po propadu v roce 2023 došlo loni k oživení některých energeticky náročnějších oborů zaměřených na </w:t>
            </w:r>
            <w:r w:rsidRPr="000D33C7">
              <w:rPr>
                <w:color w:val="0D0D0D" w:themeColor="text1" w:themeTint="F2"/>
                <w:spacing w:val="-4"/>
              </w:rPr>
              <w:t>výrobu meziproduktů.</w:t>
            </w:r>
            <w:r>
              <w:rPr>
                <w:color w:val="0D0D0D" w:themeColor="text1" w:themeTint="F2"/>
                <w:spacing w:val="-4"/>
              </w:rPr>
              <w:t xml:space="preserve"> Produkce chemického průmyslu poprvé za poslední tři roky vzrostla (+1,0 %), výhradně díky zotavení domácí poptávky. Ještě výraznější posun nastal ve </w:t>
            </w:r>
            <w:r>
              <w:rPr>
                <w:color w:val="0D0D0D" w:themeColor="text1" w:themeTint="F2"/>
                <w:spacing w:val="-6"/>
              </w:rPr>
              <w:t xml:space="preserve">výrobě nekovových minerálních produktů, kde po 17% předloňském propadu (nejhlubším po roce 2009) výkon meziročně klesl jen o necelé 1 %, a to vlivem lepšící se poptávky ze strany tuzemského stavebnictví. Mírným 1% tempem loni vzrostla produkce ve významném odvětví kovodělného průmyslu. Pozitivně se projevilo hlavně posílení zahraniční </w:t>
            </w:r>
            <w:r>
              <w:rPr>
                <w:color w:val="0D0D0D" w:themeColor="text1" w:themeTint="F2"/>
                <w:spacing w:val="-6"/>
              </w:rPr>
              <w:lastRenderedPageBreak/>
              <w:t xml:space="preserve">poptávky, té domácí pak pomáhalo posilování zbrojní výroby. Dařilo se i oborům, jež se relativně více opírají o tuzemskou poptávku – v </w:t>
            </w:r>
            <w:r>
              <w:rPr>
                <w:color w:val="0D0D0D" w:themeColor="text1" w:themeTint="F2"/>
                <w:spacing w:val="-4"/>
              </w:rPr>
              <w:t>dřevozpracujícím průmyslu produkce vzrostla o 3,1 % (nejvíce za posledních šest let)., v papírenském o 4,2 %. Z oborů vyrábějících převážně produkty investiční povahy loni posílila pouze výroba</w:t>
            </w:r>
            <w:r w:rsidRPr="00FF4693">
              <w:rPr>
                <w:color w:val="0D0D0D" w:themeColor="text1" w:themeTint="F2"/>
                <w:spacing w:val="-4"/>
              </w:rPr>
              <w:t xml:space="preserve"> počítačů, elektronických a optických přístrojů a zařízení</w:t>
            </w:r>
            <w:r>
              <w:rPr>
                <w:color w:val="0D0D0D" w:themeColor="text1" w:themeTint="F2"/>
                <w:spacing w:val="-4"/>
              </w:rPr>
              <w:t xml:space="preserve"> (+4,7 %), kde mírný růst výkon přetrvával čtvrtým rokem v řadě. Tomuto dovozně náročnému a současně také výrazně exportně orientovanému high-tech oboru v posledních letech pomáhá i posilující domácí poptávka spojená i s rozvojem fotovoltaiky.</w:t>
            </w:r>
          </w:p>
        </w:tc>
      </w:tr>
      <w:tr w:rsidR="00213E46" w:rsidRPr="00884AAD" w14:paraId="4707D910" w14:textId="77777777" w:rsidTr="00496812">
        <w:trPr>
          <w:trHeight w:val="170"/>
        </w:trPr>
        <w:tc>
          <w:tcPr>
            <w:tcW w:w="1814" w:type="dxa"/>
            <w:vMerge w:val="restart"/>
            <w:shd w:val="clear" w:color="auto" w:fill="auto"/>
            <w:tcMar>
              <w:left w:w="0" w:type="dxa"/>
            </w:tcMar>
          </w:tcPr>
          <w:p w14:paraId="0FF39774" w14:textId="77777777" w:rsidR="00213E46" w:rsidRDefault="00213E46" w:rsidP="00496812">
            <w:pPr>
              <w:pStyle w:val="Marginlie"/>
            </w:pPr>
          </w:p>
        </w:tc>
        <w:tc>
          <w:tcPr>
            <w:tcW w:w="229" w:type="dxa"/>
            <w:vMerge w:val="restart"/>
            <w:shd w:val="clear" w:color="auto" w:fill="auto"/>
            <w:tcMar>
              <w:left w:w="0" w:type="dxa"/>
            </w:tcMar>
          </w:tcPr>
          <w:p w14:paraId="0F05FF9B" w14:textId="77777777" w:rsidR="00213E46" w:rsidRDefault="00213E46" w:rsidP="00496812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742B9534" w14:textId="77777777" w:rsidR="00213E46" w:rsidRPr="00884AAD" w:rsidRDefault="00213E46" w:rsidP="00496812">
            <w:pPr>
              <w:spacing w:after="0"/>
              <w:rPr>
                <w:spacing w:val="-2"/>
              </w:rPr>
            </w:pPr>
            <w:r w:rsidRPr="00884AAD">
              <w:rPr>
                <w:rFonts w:cs="Arial"/>
                <w:b/>
                <w:bCs/>
                <w:color w:val="000000"/>
                <w:spacing w:val="-2"/>
                <w:szCs w:val="20"/>
              </w:rPr>
              <w:t xml:space="preserve">Graf č. 4 </w:t>
            </w:r>
            <w:r w:rsidRPr="00884AAD">
              <w:rPr>
                <w:b/>
                <w:spacing w:val="-2"/>
              </w:rPr>
              <w:t xml:space="preserve">Příspěvky dílčích odvětví k meziroční změně průmyslové produkce v ČR </w:t>
            </w:r>
            <w:r w:rsidRPr="00884AAD">
              <w:rPr>
                <w:spacing w:val="-2"/>
              </w:rPr>
              <w:t xml:space="preserve">(očištěno o kalendářní vlivy, reálně, v p. b.) </w:t>
            </w:r>
            <w:r w:rsidRPr="00884AAD">
              <w:rPr>
                <w:b/>
                <w:spacing w:val="-2"/>
              </w:rPr>
              <w:t xml:space="preserve">a produkce v celém průmyslu v ČR, Německu a EU27 </w:t>
            </w:r>
            <w:r w:rsidRPr="00884AAD">
              <w:rPr>
                <w:spacing w:val="-2"/>
              </w:rPr>
              <w:t>(se</w:t>
            </w:r>
            <w:r>
              <w:rPr>
                <w:spacing w:val="-2"/>
              </w:rPr>
              <w:t>zónně očištěno, úroveň roku 2021</w:t>
            </w:r>
            <w:r w:rsidRPr="00884AAD">
              <w:rPr>
                <w:spacing w:val="-2"/>
              </w:rPr>
              <w:t>=100, pravá osa)</w:t>
            </w:r>
          </w:p>
        </w:tc>
      </w:tr>
      <w:tr w:rsidR="00213E46" w:rsidRPr="0067514E" w14:paraId="0C8056C6" w14:textId="77777777" w:rsidTr="00496812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14" w:type="dxa"/>
            <w:vMerge/>
            <w:shd w:val="clear" w:color="auto" w:fill="auto"/>
          </w:tcPr>
          <w:p w14:paraId="131F0751" w14:textId="77777777" w:rsidR="00213E46" w:rsidRDefault="00213E46" w:rsidP="00496812">
            <w:pPr>
              <w:pStyle w:val="Marginlie"/>
            </w:pPr>
          </w:p>
        </w:tc>
        <w:tc>
          <w:tcPr>
            <w:tcW w:w="229" w:type="dxa"/>
            <w:vMerge/>
            <w:shd w:val="clear" w:color="auto" w:fill="auto"/>
          </w:tcPr>
          <w:p w14:paraId="2868735D" w14:textId="77777777" w:rsidR="00213E46" w:rsidRDefault="00213E46" w:rsidP="00496812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96" w:type="dxa"/>
            <w:shd w:val="clear" w:color="auto" w:fill="auto"/>
          </w:tcPr>
          <w:p w14:paraId="4A1E6E75" w14:textId="77777777" w:rsidR="00213E46" w:rsidRPr="0067514E" w:rsidRDefault="00213E46" w:rsidP="00496812">
            <w:pPr>
              <w:spacing w:after="0"/>
              <w:rPr>
                <w:spacing w:val="-6"/>
              </w:rPr>
            </w:pPr>
            <w:r>
              <w:rPr>
                <w:noProof/>
              </w:rPr>
              <w:drawing>
                <wp:inline distT="0" distB="0" distL="0" distR="0" wp14:anchorId="79DF2946" wp14:editId="013F6B41">
                  <wp:extent cx="4734560" cy="3613150"/>
                  <wp:effectExtent l="0" t="0" r="8890" b="8890"/>
                  <wp:docPr id="27" name="Graf 2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213E46" w:rsidRPr="00E52D45" w14:paraId="247DC150" w14:textId="77777777" w:rsidTr="00496812">
        <w:trPr>
          <w:trHeight w:val="170"/>
        </w:trPr>
        <w:tc>
          <w:tcPr>
            <w:tcW w:w="1814" w:type="dxa"/>
            <w:vMerge/>
            <w:shd w:val="clear" w:color="auto" w:fill="auto"/>
            <w:tcMar>
              <w:left w:w="0" w:type="dxa"/>
            </w:tcMar>
          </w:tcPr>
          <w:p w14:paraId="328D9C5C" w14:textId="77777777" w:rsidR="00213E46" w:rsidRDefault="00213E46" w:rsidP="00496812">
            <w:pPr>
              <w:pStyle w:val="Marginlie"/>
            </w:pPr>
          </w:p>
        </w:tc>
        <w:tc>
          <w:tcPr>
            <w:tcW w:w="229" w:type="dxa"/>
            <w:vMerge/>
            <w:shd w:val="clear" w:color="auto" w:fill="auto"/>
            <w:tcMar>
              <w:left w:w="0" w:type="dxa"/>
            </w:tcMar>
          </w:tcPr>
          <w:p w14:paraId="7DB43243" w14:textId="77777777" w:rsidR="00213E46" w:rsidRDefault="00213E46" w:rsidP="00496812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04F92111" w14:textId="77777777" w:rsidR="00213E46" w:rsidRPr="00E0413D" w:rsidRDefault="00213E46" w:rsidP="00496812">
            <w:pPr>
              <w:tabs>
                <w:tab w:val="right" w:pos="7683"/>
              </w:tabs>
              <w:spacing w:after="0" w:line="240" w:lineRule="auto"/>
              <w:jc w:val="left"/>
              <w:rPr>
                <w:rFonts w:cs="Arial"/>
                <w:sz w:val="14"/>
                <w:szCs w:val="14"/>
              </w:rPr>
            </w:pPr>
            <w:r w:rsidRPr="0057119D">
              <w:rPr>
                <w:rFonts w:cs="Arial"/>
                <w:spacing w:val="-2"/>
                <w:sz w:val="14"/>
                <w:szCs w:val="14"/>
              </w:rPr>
              <w:t xml:space="preserve">*Příspěvek zbývajícího zpracovatelského průmyslu zahrnuje i vliv celkové metodické diskrepance pramenící </w:t>
            </w:r>
            <w:r>
              <w:rPr>
                <w:rFonts w:cs="Arial"/>
                <w:spacing w:val="-2"/>
                <w:sz w:val="14"/>
                <w:szCs w:val="14"/>
              </w:rPr>
              <w:t>z</w:t>
            </w:r>
            <w:r w:rsidRPr="0057119D">
              <w:rPr>
                <w:rFonts w:cs="Arial"/>
                <w:spacing w:val="-2"/>
                <w:sz w:val="14"/>
                <w:szCs w:val="14"/>
              </w:rPr>
              <w:t>e změn</w:t>
            </w:r>
            <w:r>
              <w:rPr>
                <w:rFonts w:cs="Arial"/>
                <w:spacing w:val="-2"/>
                <w:sz w:val="14"/>
                <w:szCs w:val="14"/>
              </w:rPr>
              <w:t>y</w:t>
            </w:r>
            <w:r w:rsidRPr="0057119D">
              <w:rPr>
                <w:rFonts w:cs="Arial"/>
                <w:spacing w:val="-2"/>
                <w:sz w:val="14"/>
                <w:szCs w:val="14"/>
              </w:rPr>
              <w:t xml:space="preserve"> vah.</w:t>
            </w:r>
          </w:p>
          <w:p w14:paraId="64762BDE" w14:textId="77777777" w:rsidR="00213E46" w:rsidRPr="00E52D45" w:rsidRDefault="00213E46" w:rsidP="00496812">
            <w:pPr>
              <w:tabs>
                <w:tab w:val="right" w:pos="7683"/>
              </w:tabs>
              <w:spacing w:after="200" w:line="240" w:lineRule="auto"/>
              <w:jc w:val="left"/>
              <w:rPr>
                <w:spacing w:val="-2"/>
                <w:sz w:val="14"/>
                <w:szCs w:val="14"/>
              </w:rPr>
            </w:pPr>
            <w:r w:rsidRPr="00883202">
              <w:rPr>
                <w:rFonts w:cs="Arial"/>
                <w:sz w:val="14"/>
                <w:szCs w:val="14"/>
              </w:rPr>
              <w:t>Zdroj: ČSÚ</w:t>
            </w:r>
            <w:r>
              <w:rPr>
                <w:rFonts w:cs="Arial"/>
                <w:sz w:val="14"/>
                <w:szCs w:val="14"/>
              </w:rPr>
              <w:t>, Eurostat</w:t>
            </w:r>
          </w:p>
        </w:tc>
      </w:tr>
      <w:tr w:rsidR="00213E46" w:rsidRPr="009658AC" w14:paraId="7A643490" w14:textId="77777777" w:rsidTr="00496812">
        <w:trPr>
          <w:trHeight w:val="134"/>
        </w:trPr>
        <w:tc>
          <w:tcPr>
            <w:tcW w:w="1814" w:type="dxa"/>
            <w:shd w:val="clear" w:color="auto" w:fill="auto"/>
            <w:tcMar>
              <w:left w:w="0" w:type="dxa"/>
            </w:tcMar>
          </w:tcPr>
          <w:p w14:paraId="076DCF7D" w14:textId="77777777" w:rsidR="00213E46" w:rsidRDefault="00213E46" w:rsidP="00496812">
            <w:pPr>
              <w:pStyle w:val="Marginlie"/>
            </w:pPr>
            <w:r>
              <w:t xml:space="preserve">Pokles průmyslové produkce v EU se loni mírně prohloubil. Recese tohoto odvětví tak postihla dvě třetiny členských států. Útlum výkonu průmyslu v Německu pokračoval třetí rok v řadě a loni byl mezi členskými státy třetí nejhlubší.  </w:t>
            </w: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1ABDB572" w14:textId="77777777" w:rsidR="00213E46" w:rsidRDefault="00213E46" w:rsidP="00496812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7AE69161" w14:textId="1E65CDD1" w:rsidR="00213E46" w:rsidRPr="009658AC" w:rsidRDefault="00213E46" w:rsidP="00496812">
            <w:pPr>
              <w:spacing w:after="220"/>
              <w:rPr>
                <w:color w:val="0D0D0D" w:themeColor="text1" w:themeTint="F2"/>
                <w:spacing w:val="-4"/>
              </w:rPr>
            </w:pPr>
            <w:r w:rsidRPr="009658AC">
              <w:rPr>
                <w:color w:val="0D0D0D" w:themeColor="text1" w:themeTint="F2"/>
                <w:spacing w:val="-4"/>
              </w:rPr>
              <w:t xml:space="preserve">Aktuální potíže průmyslu v Česku z velké </w:t>
            </w:r>
            <w:r>
              <w:rPr>
                <w:color w:val="0D0D0D" w:themeColor="text1" w:themeTint="F2"/>
                <w:spacing w:val="-4"/>
              </w:rPr>
              <w:t xml:space="preserve">části </w:t>
            </w:r>
            <w:r w:rsidRPr="009658AC">
              <w:rPr>
                <w:color w:val="0D0D0D" w:themeColor="text1" w:themeTint="F2"/>
                <w:spacing w:val="-4"/>
              </w:rPr>
              <w:t xml:space="preserve">souvisí s nepříznivým vývojem tohoto odvětví ve většině států Evropy. V samotné eurozóně se průmyslová produkce ve </w:t>
            </w:r>
            <w:r>
              <w:rPr>
                <w:color w:val="0D0D0D" w:themeColor="text1" w:themeTint="F2"/>
                <w:spacing w:val="-4"/>
              </w:rPr>
              <w:br/>
            </w:r>
            <w:r w:rsidRPr="009658AC">
              <w:rPr>
                <w:color w:val="0D0D0D" w:themeColor="text1" w:themeTint="F2"/>
                <w:spacing w:val="-4"/>
              </w:rPr>
              <w:t xml:space="preserve">4. čtvrtletí </w:t>
            </w:r>
            <w:r>
              <w:rPr>
                <w:color w:val="0D0D0D" w:themeColor="text1" w:themeTint="F2"/>
                <w:spacing w:val="-4"/>
              </w:rPr>
              <w:t>2024 mezikvartálně snížila o 0,3</w:t>
            </w:r>
            <w:r w:rsidRPr="009658AC">
              <w:rPr>
                <w:color w:val="0D0D0D" w:themeColor="text1" w:themeTint="F2"/>
                <w:spacing w:val="-4"/>
              </w:rPr>
              <w:t xml:space="preserve"> % a klesa</w:t>
            </w:r>
            <w:r>
              <w:rPr>
                <w:color w:val="0D0D0D" w:themeColor="text1" w:themeTint="F2"/>
                <w:spacing w:val="-4"/>
              </w:rPr>
              <w:t>la již sedmý kvartál</w:t>
            </w:r>
            <w:r w:rsidRPr="009658AC">
              <w:rPr>
                <w:color w:val="0D0D0D" w:themeColor="text1" w:themeTint="F2"/>
                <w:spacing w:val="-4"/>
              </w:rPr>
              <w:t xml:space="preserve"> v řadě</w:t>
            </w:r>
            <w:r>
              <w:rPr>
                <w:color w:val="0D0D0D" w:themeColor="text1" w:themeTint="F2"/>
                <w:spacing w:val="-4"/>
              </w:rPr>
              <w:t>. Stejnou dobu přetrvává i</w:t>
            </w:r>
            <w:r w:rsidRPr="009658AC">
              <w:rPr>
                <w:color w:val="0D0D0D" w:themeColor="text1" w:themeTint="F2"/>
                <w:spacing w:val="-4"/>
              </w:rPr>
              <w:t> pokles výkonu</w:t>
            </w:r>
            <w:r>
              <w:rPr>
                <w:color w:val="0D0D0D" w:themeColor="text1" w:themeTint="F2"/>
                <w:spacing w:val="-4"/>
              </w:rPr>
              <w:t xml:space="preserve"> v meziročním pohledu</w:t>
            </w:r>
            <w:r w:rsidRPr="009658AC">
              <w:rPr>
                <w:color w:val="0D0D0D" w:themeColor="text1" w:themeTint="F2"/>
                <w:spacing w:val="-4"/>
              </w:rPr>
              <w:t xml:space="preserve">. Za celý loňský rok se </w:t>
            </w:r>
            <w:r>
              <w:rPr>
                <w:color w:val="0D0D0D" w:themeColor="text1" w:themeTint="F2"/>
                <w:spacing w:val="-4"/>
              </w:rPr>
              <w:t xml:space="preserve">průmyslová produkce </w:t>
            </w:r>
            <w:r w:rsidRPr="009658AC">
              <w:rPr>
                <w:color w:val="0D0D0D" w:themeColor="text1" w:themeTint="F2"/>
                <w:spacing w:val="-4"/>
              </w:rPr>
              <w:t xml:space="preserve">v EU </w:t>
            </w:r>
            <w:r>
              <w:rPr>
                <w:color w:val="0D0D0D" w:themeColor="text1" w:themeTint="F2"/>
                <w:spacing w:val="-4"/>
              </w:rPr>
              <w:t>snížila o 2,4</w:t>
            </w:r>
            <w:r w:rsidRPr="009658AC">
              <w:rPr>
                <w:color w:val="0D0D0D" w:themeColor="text1" w:themeTint="F2"/>
                <w:spacing w:val="-4"/>
              </w:rPr>
              <w:t xml:space="preserve"> % a její objem byl srovnatelný s rokem 2019. Za loňským poklesem stál, </w:t>
            </w:r>
            <w:r w:rsidRPr="00CC44AC">
              <w:rPr>
                <w:color w:val="0D0D0D" w:themeColor="text1" w:themeTint="F2"/>
                <w:spacing w:val="-6"/>
              </w:rPr>
              <w:t>obdobně jako v Česku, hlavně nižší výkon i</w:t>
            </w:r>
            <w:r>
              <w:rPr>
                <w:color w:val="0D0D0D" w:themeColor="text1" w:themeTint="F2"/>
                <w:spacing w:val="-6"/>
              </w:rPr>
              <w:t xml:space="preserve">nvestičně zaměřených oborů </w:t>
            </w:r>
            <w:r>
              <w:rPr>
                <w:color w:val="0D0D0D" w:themeColor="text1" w:themeTint="F2"/>
                <w:spacing w:val="-6"/>
              </w:rPr>
              <w:br/>
              <w:t>(</w:t>
            </w:r>
            <w:r w:rsidR="003A2B5E">
              <w:rPr>
                <w:color w:val="0D0D0D" w:themeColor="text1" w:themeTint="F2"/>
                <w:spacing w:val="-6"/>
              </w:rPr>
              <w:t>−</w:t>
            </w:r>
            <w:r>
              <w:rPr>
                <w:color w:val="0D0D0D" w:themeColor="text1" w:themeTint="F2"/>
                <w:spacing w:val="-6"/>
              </w:rPr>
              <w:t>4,5</w:t>
            </w:r>
            <w:r w:rsidRPr="00CC44AC">
              <w:rPr>
                <w:color w:val="0D0D0D" w:themeColor="text1" w:themeTint="F2"/>
                <w:spacing w:val="-6"/>
              </w:rPr>
              <w:t xml:space="preserve"> %, především</w:t>
            </w:r>
            <w:r w:rsidRPr="009658AC">
              <w:rPr>
                <w:color w:val="0D0D0D" w:themeColor="text1" w:themeTint="F2"/>
                <w:spacing w:val="-4"/>
              </w:rPr>
              <w:t xml:space="preserve"> výroba </w:t>
            </w:r>
            <w:r w:rsidRPr="00C957C8">
              <w:rPr>
                <w:color w:val="0D0D0D" w:themeColor="text1" w:themeTint="F2"/>
                <w:spacing w:val="-2"/>
              </w:rPr>
              <w:t>motorových vozidel a strojírenství</w:t>
            </w:r>
            <w:r>
              <w:rPr>
                <w:color w:val="0D0D0D" w:themeColor="text1" w:themeTint="F2"/>
                <w:spacing w:val="-2"/>
              </w:rPr>
              <w:t>). Citelný útlum postihl také</w:t>
            </w:r>
            <w:r w:rsidRPr="00C957C8">
              <w:rPr>
                <w:color w:val="0D0D0D" w:themeColor="text1" w:themeTint="F2"/>
                <w:spacing w:val="-2"/>
              </w:rPr>
              <w:t xml:space="preserve"> obo</w:t>
            </w:r>
            <w:r>
              <w:rPr>
                <w:color w:val="0D0D0D" w:themeColor="text1" w:themeTint="F2"/>
                <w:spacing w:val="-2"/>
              </w:rPr>
              <w:t>ry vyrábějící meziprodukty (</w:t>
            </w:r>
            <w:r w:rsidR="003A2B5E">
              <w:rPr>
                <w:color w:val="0D0D0D" w:themeColor="text1" w:themeTint="F2"/>
                <w:spacing w:val="-2"/>
              </w:rPr>
              <w:t>−</w:t>
            </w:r>
            <w:r>
              <w:rPr>
                <w:color w:val="0D0D0D" w:themeColor="text1" w:themeTint="F2"/>
                <w:spacing w:val="-2"/>
              </w:rPr>
              <w:t>3,4</w:t>
            </w:r>
            <w:r w:rsidRPr="00C957C8">
              <w:rPr>
                <w:color w:val="0D0D0D" w:themeColor="text1" w:themeTint="F2"/>
                <w:spacing w:val="-2"/>
              </w:rPr>
              <w:t> %,</w:t>
            </w:r>
            <w:r w:rsidRPr="009658AC">
              <w:rPr>
                <w:color w:val="0D0D0D" w:themeColor="text1" w:themeTint="F2"/>
                <w:spacing w:val="-6"/>
              </w:rPr>
              <w:t xml:space="preserve"> </w:t>
            </w:r>
            <w:r w:rsidRPr="009658AC">
              <w:rPr>
                <w:color w:val="0D0D0D" w:themeColor="text1" w:themeTint="F2"/>
                <w:spacing w:val="-4"/>
              </w:rPr>
              <w:t>hlavně elektrotechnický, textilní a kovodělný průmysl) či pr</w:t>
            </w:r>
            <w:r>
              <w:rPr>
                <w:color w:val="0D0D0D" w:themeColor="text1" w:themeTint="F2"/>
                <w:spacing w:val="-4"/>
              </w:rPr>
              <w:t>odukty dlouhodobé spotřeby (</w:t>
            </w:r>
            <w:r w:rsidR="003A2B5E">
              <w:rPr>
                <w:color w:val="0D0D0D" w:themeColor="text1" w:themeTint="F2"/>
                <w:spacing w:val="-4"/>
              </w:rPr>
              <w:t>−</w:t>
            </w:r>
            <w:r>
              <w:rPr>
                <w:color w:val="0D0D0D" w:themeColor="text1" w:themeTint="F2"/>
                <w:spacing w:val="-4"/>
              </w:rPr>
              <w:t>3,3</w:t>
            </w:r>
            <w:r w:rsidRPr="009658AC">
              <w:rPr>
                <w:color w:val="0D0D0D" w:themeColor="text1" w:themeTint="F2"/>
                <w:spacing w:val="-4"/>
              </w:rPr>
              <w:t xml:space="preserve"> %, primárně nábytkářství), naopak recese se vyhnula oborům zaměřený</w:t>
            </w:r>
            <w:r>
              <w:rPr>
                <w:color w:val="0D0D0D" w:themeColor="text1" w:themeTint="F2"/>
                <w:spacing w:val="-4"/>
              </w:rPr>
              <w:t>m</w:t>
            </w:r>
            <w:r w:rsidRPr="009658AC">
              <w:rPr>
                <w:color w:val="0D0D0D" w:themeColor="text1" w:themeTint="F2"/>
                <w:spacing w:val="-4"/>
              </w:rPr>
              <w:t xml:space="preserve"> na krátkodobou spotřebu (+1,8 %, zejména potravinářství, farmacie a tabákový průmysl), kde produkce posilovala čtvrtým rokem v řadě a proti maximu z období před pandemií byla vyšší o 15 %. Z pohledu členských států se loni celková průmyslová</w:t>
            </w:r>
            <w:r>
              <w:rPr>
                <w:color w:val="0D0D0D" w:themeColor="text1" w:themeTint="F2"/>
                <w:spacing w:val="-4"/>
              </w:rPr>
              <w:t xml:space="preserve"> produkce snížila nejvíce v Rakousk</w:t>
            </w:r>
            <w:r w:rsidRPr="009658AC">
              <w:rPr>
                <w:color w:val="0D0D0D" w:themeColor="text1" w:themeTint="F2"/>
                <w:spacing w:val="-4"/>
              </w:rPr>
              <w:t>u (−5,1 %)</w:t>
            </w:r>
            <w:r>
              <w:rPr>
                <w:color w:val="0D0D0D" w:themeColor="text1" w:themeTint="F2"/>
                <w:spacing w:val="-4"/>
              </w:rPr>
              <w:t xml:space="preserve"> a Irsku (</w:t>
            </w:r>
            <w:r w:rsidRPr="009658AC">
              <w:rPr>
                <w:color w:val="0D0D0D" w:themeColor="text1" w:themeTint="F2"/>
                <w:spacing w:val="-4"/>
              </w:rPr>
              <w:t>−</w:t>
            </w:r>
            <w:r>
              <w:rPr>
                <w:color w:val="0D0D0D" w:themeColor="text1" w:themeTint="F2"/>
                <w:spacing w:val="-4"/>
              </w:rPr>
              <w:t>5,0 %)</w:t>
            </w:r>
            <w:r w:rsidRPr="009658AC">
              <w:rPr>
                <w:color w:val="0D0D0D" w:themeColor="text1" w:themeTint="F2"/>
                <w:spacing w:val="-4"/>
              </w:rPr>
              <w:t>, z klíčových producentů pak v Německu (−4,6 %</w:t>
            </w:r>
            <w:r>
              <w:rPr>
                <w:color w:val="0D0D0D" w:themeColor="text1" w:themeTint="F2"/>
                <w:spacing w:val="-4"/>
              </w:rPr>
              <w:t xml:space="preserve">, za poslední tři roky o 6,7 %) a v Itálii </w:t>
            </w:r>
            <w:r>
              <w:rPr>
                <w:color w:val="0D0D0D" w:themeColor="text1" w:themeTint="F2"/>
                <w:spacing w:val="-4"/>
              </w:rPr>
              <w:br/>
              <w:t>(−4,0</w:t>
            </w:r>
            <w:r w:rsidRPr="009658AC">
              <w:rPr>
                <w:color w:val="0D0D0D" w:themeColor="text1" w:themeTint="F2"/>
                <w:spacing w:val="-4"/>
              </w:rPr>
              <w:t xml:space="preserve"> %). Kromě Polska (+0,5 %) </w:t>
            </w:r>
            <w:r>
              <w:rPr>
                <w:color w:val="0D0D0D" w:themeColor="text1" w:themeTint="F2"/>
                <w:spacing w:val="-4"/>
              </w:rPr>
              <w:t xml:space="preserve">a Slovenska (+0,3 %) </w:t>
            </w:r>
            <w:r w:rsidRPr="009658AC">
              <w:rPr>
                <w:color w:val="0D0D0D" w:themeColor="text1" w:themeTint="F2"/>
                <w:spacing w:val="-4"/>
              </w:rPr>
              <w:t>klesl výkon průmyslu ve všech středoevropských s</w:t>
            </w:r>
            <w:r>
              <w:rPr>
                <w:color w:val="0D0D0D" w:themeColor="text1" w:themeTint="F2"/>
                <w:spacing w:val="-4"/>
              </w:rPr>
              <w:t xml:space="preserve">tátech. Jeho růst nastal jen v necelé třetině čtvrtině členských států </w:t>
            </w:r>
            <w:r w:rsidRPr="009658AC">
              <w:rPr>
                <w:color w:val="0D0D0D" w:themeColor="text1" w:themeTint="F2"/>
                <w:spacing w:val="-4"/>
              </w:rPr>
              <w:t xml:space="preserve">Unie </w:t>
            </w:r>
            <w:r w:rsidRPr="009658AC">
              <w:rPr>
                <w:color w:val="0D0D0D" w:themeColor="text1" w:themeTint="F2"/>
                <w:spacing w:val="-4"/>
              </w:rPr>
              <w:lastRenderedPageBreak/>
              <w:t>– především v Dánsku (+8</w:t>
            </w:r>
            <w:r>
              <w:rPr>
                <w:color w:val="0D0D0D" w:themeColor="text1" w:themeTint="F2"/>
                <w:spacing w:val="-4"/>
              </w:rPr>
              <w:t>,3</w:t>
            </w:r>
            <w:r w:rsidRPr="009658AC">
              <w:rPr>
                <w:color w:val="0D0D0D" w:themeColor="text1" w:themeTint="F2"/>
                <w:spacing w:val="-4"/>
              </w:rPr>
              <w:t xml:space="preserve"> %) a Řecku (+5,2 %), z klíčových ekonomik ovšem jen ve Španělsku (+0,5 %). </w:t>
            </w:r>
          </w:p>
        </w:tc>
      </w:tr>
      <w:tr w:rsidR="00213E46" w:rsidRPr="00EC434A" w14:paraId="0137E4F7" w14:textId="77777777" w:rsidTr="00496812">
        <w:trPr>
          <w:trHeight w:val="134"/>
        </w:trPr>
        <w:tc>
          <w:tcPr>
            <w:tcW w:w="1814" w:type="dxa"/>
            <w:shd w:val="clear" w:color="auto" w:fill="auto"/>
            <w:tcMar>
              <w:left w:w="0" w:type="dxa"/>
            </w:tcMar>
          </w:tcPr>
          <w:p w14:paraId="7141821A" w14:textId="77777777" w:rsidR="00213E46" w:rsidRDefault="00213E46" w:rsidP="00496812">
            <w:pPr>
              <w:pStyle w:val="Marginlie"/>
            </w:pPr>
            <w:r>
              <w:lastRenderedPageBreak/>
              <w:t xml:space="preserve">Růst hodnoty zakázek v průmyslu během loňska postupně slábl a ve </w:t>
            </w:r>
            <w:r>
              <w:br/>
              <w:t>4. čtvrtletí se téměř zastavil.</w:t>
            </w:r>
          </w:p>
          <w:p w14:paraId="79292125" w14:textId="77777777" w:rsidR="00213E46" w:rsidRDefault="00213E46" w:rsidP="00496812">
            <w:pPr>
              <w:pStyle w:val="Marginlie"/>
            </w:pPr>
          </w:p>
          <w:p w14:paraId="39E97277" w14:textId="77777777" w:rsidR="00213E46" w:rsidRDefault="00213E46" w:rsidP="00496812">
            <w:pPr>
              <w:pStyle w:val="Marginlie"/>
            </w:pPr>
          </w:p>
          <w:p w14:paraId="4BD919F8" w14:textId="77777777" w:rsidR="00213E46" w:rsidRDefault="00213E46" w:rsidP="00496812">
            <w:pPr>
              <w:pStyle w:val="Marginlie"/>
            </w:pPr>
          </w:p>
          <w:p w14:paraId="62C617A8" w14:textId="77777777" w:rsidR="00213E46" w:rsidRDefault="00213E46" w:rsidP="00496812">
            <w:pPr>
              <w:pStyle w:val="Marginlie"/>
            </w:pPr>
          </w:p>
          <w:p w14:paraId="64867CB1" w14:textId="77777777" w:rsidR="00213E46" w:rsidRDefault="00213E46" w:rsidP="00496812">
            <w:pPr>
              <w:pStyle w:val="Marginlie"/>
            </w:pPr>
          </w:p>
          <w:p w14:paraId="166A8B63" w14:textId="77777777" w:rsidR="00213E46" w:rsidRDefault="00213E46" w:rsidP="00496812">
            <w:pPr>
              <w:pStyle w:val="Marginlie"/>
            </w:pPr>
          </w:p>
          <w:p w14:paraId="10721CD3" w14:textId="77777777" w:rsidR="00213E46" w:rsidRDefault="00213E46" w:rsidP="00496812">
            <w:pPr>
              <w:pStyle w:val="Marginlie"/>
            </w:pPr>
            <w:r>
              <w:t xml:space="preserve">K mírnému oživení došlo v chemickém </w:t>
            </w:r>
            <w:r>
              <w:br/>
              <w:t>a kovodělném průmyslu. V hutnictví i strojírenství ovšem přetrvávala slabá poptávka.</w:t>
            </w: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04C8858D" w14:textId="77777777" w:rsidR="00213E46" w:rsidRDefault="00213E46" w:rsidP="00496812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1BB81CDC" w14:textId="77777777" w:rsidR="00213E46" w:rsidRPr="00EC434A" w:rsidRDefault="00213E46" w:rsidP="00496812">
            <w:pPr>
              <w:spacing w:after="2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 xml:space="preserve">Z počátku </w:t>
            </w:r>
            <w:r w:rsidRPr="004A4976">
              <w:rPr>
                <w:color w:val="0D0D0D" w:themeColor="text1" w:themeTint="F2"/>
                <w:spacing w:val="-4"/>
              </w:rPr>
              <w:t>loňského roku sice dynamika nových průmyslových zakázek naznačovala mírné oživení</w:t>
            </w:r>
            <w:r>
              <w:rPr>
                <w:color w:val="0D0D0D" w:themeColor="text1" w:themeTint="F2"/>
                <w:spacing w:val="-4"/>
              </w:rPr>
              <w:t xml:space="preserve">, to ale postupně vyprchávalo. Ve 4. čtvrtletí 2024 se meziroční růst nominální hodnoty zakázek </w:t>
            </w:r>
            <w:r w:rsidRPr="00EC434A">
              <w:rPr>
                <w:color w:val="0D0D0D" w:themeColor="text1" w:themeTint="F2"/>
                <w:spacing w:val="-4"/>
              </w:rPr>
              <w:t>ve sledovaných průmyslových oborech</w:t>
            </w:r>
            <w:r w:rsidRPr="00EC434A">
              <w:rPr>
                <w:rStyle w:val="Znakapoznpodarou"/>
                <w:color w:val="0D0D0D" w:themeColor="text1" w:themeTint="F2"/>
                <w:spacing w:val="-4"/>
              </w:rPr>
              <w:footnoteReference w:id="18"/>
            </w:r>
            <w:r>
              <w:rPr>
                <w:color w:val="0D0D0D" w:themeColor="text1" w:themeTint="F2"/>
                <w:spacing w:val="-4"/>
              </w:rPr>
              <w:t xml:space="preserve"> fakticky zastavil (+1,2 %), což v zásadě platilo pro poptávku z tuzemska i zahraničí. Ani mezikvartální tempa ve druhé polovině loňského roku nenaznačovala blízký pozitivní obrat. Na úrovni hlavních odvětví byly výjimkou pouze elektronický průmysl, kde meziroční růst zakázek ve 4. čtvrtletí dosáhl 13,2 % (za celý rok 9,9 %) a výroba ostatních dopravních prostředků, kde poptávka rostla o třetinu (celoročně o čtvrtinu).</w:t>
            </w:r>
            <w:r>
              <w:rPr>
                <w:color w:val="0D0D0D" w:themeColor="text1" w:themeTint="F2"/>
                <w:spacing w:val="-4"/>
                <w:sz w:val="16"/>
                <w:szCs w:val="16"/>
              </w:rPr>
              <w:t xml:space="preserve"> </w:t>
            </w:r>
            <w:r>
              <w:rPr>
                <w:color w:val="0D0D0D" w:themeColor="text1" w:themeTint="F2"/>
                <w:spacing w:val="-4"/>
              </w:rPr>
              <w:t xml:space="preserve">Dobré vyhlídky zde </w:t>
            </w:r>
            <w:r w:rsidRPr="00A83F83">
              <w:rPr>
                <w:color w:val="0D0D0D" w:themeColor="text1" w:themeTint="F2"/>
                <w:spacing w:val="-4"/>
              </w:rPr>
              <w:t xml:space="preserve">opírají o silnou domácí poptávku </w:t>
            </w:r>
            <w:r w:rsidRPr="00AE6A3D">
              <w:rPr>
                <w:color w:val="0D0D0D" w:themeColor="text1" w:themeTint="F2"/>
                <w:spacing w:val="-6"/>
              </w:rPr>
              <w:t>spojenou s rozvojem dopravní infrastruktury i modernizací armády. Mírný růst si v celoročním</w:t>
            </w:r>
            <w:r>
              <w:rPr>
                <w:color w:val="0D0D0D" w:themeColor="text1" w:themeTint="F2"/>
                <w:spacing w:val="-4"/>
              </w:rPr>
              <w:t xml:space="preserve"> pohledu udržela i výroba motorových vozidel (+6,1 %), ale ve 4. čtvrtletí se objem zakázek meziročně snížil o 1,5 % (poprvé za bezmála tři roky). Podobně na tom byl i návazný obor elektrotechniky. Naopak ve strojírenství pokračoval pokles druhým rokem v řadě a za celý rok 2024 činil 1,3 %. Podobné trendy panují v hutnictví, kde byl ovšem propad poptávky řádově hlubší. Pozitivní bylo, že v některých důležitých oborech chemického i</w:t>
            </w:r>
            <w:r w:rsidRPr="004D4FDB">
              <w:rPr>
                <w:color w:val="0D0D0D" w:themeColor="text1" w:themeTint="F2"/>
                <w:spacing w:val="-4"/>
              </w:rPr>
              <w:t> </w:t>
            </w:r>
            <w:r>
              <w:rPr>
                <w:color w:val="0D0D0D" w:themeColor="text1" w:themeTint="F2"/>
                <w:spacing w:val="-4"/>
              </w:rPr>
              <w:t xml:space="preserve">kovodělného průmyslu poptávka mírně ožila, a to jak ve 4. čtvrtletí, tak i v celoročním pohledu. </w:t>
            </w:r>
          </w:p>
        </w:tc>
      </w:tr>
      <w:tr w:rsidR="00213E46" w:rsidRPr="00705C3E" w14:paraId="77C544F8" w14:textId="77777777" w:rsidTr="00496812">
        <w:trPr>
          <w:trHeight w:val="134"/>
        </w:trPr>
        <w:tc>
          <w:tcPr>
            <w:tcW w:w="1814" w:type="dxa"/>
            <w:vMerge w:val="restart"/>
            <w:shd w:val="clear" w:color="auto" w:fill="auto"/>
            <w:tcMar>
              <w:left w:w="0" w:type="dxa"/>
            </w:tcMar>
          </w:tcPr>
          <w:p w14:paraId="58577E51" w14:textId="77777777" w:rsidR="00213E46" w:rsidRDefault="00213E46" w:rsidP="00496812">
            <w:pPr>
              <w:pStyle w:val="Marginlie"/>
            </w:pPr>
          </w:p>
        </w:tc>
        <w:tc>
          <w:tcPr>
            <w:tcW w:w="229" w:type="dxa"/>
            <w:vMerge w:val="restart"/>
            <w:shd w:val="clear" w:color="auto" w:fill="auto"/>
            <w:tcMar>
              <w:left w:w="0" w:type="dxa"/>
            </w:tcMar>
          </w:tcPr>
          <w:p w14:paraId="2F95D82C" w14:textId="77777777" w:rsidR="00213E46" w:rsidRDefault="00213E46" w:rsidP="00496812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2292E0C2" w14:textId="125B0EEC" w:rsidR="00213E46" w:rsidRPr="00705C3E" w:rsidRDefault="00213E46" w:rsidP="00496812">
            <w:pPr>
              <w:spacing w:after="0"/>
              <w:rPr>
                <w:color w:val="0D0D0D" w:themeColor="text1" w:themeTint="F2"/>
                <w:spacing w:val="-5"/>
              </w:rPr>
            </w:pPr>
            <w:r w:rsidRPr="00760356">
              <w:rPr>
                <w:b/>
                <w:spacing w:val="-2"/>
              </w:rPr>
              <w:t xml:space="preserve">Graf </w:t>
            </w:r>
            <w:r w:rsidR="003A2B5E" w:rsidRPr="00760356">
              <w:rPr>
                <w:b/>
                <w:spacing w:val="-2"/>
              </w:rPr>
              <w:t>č. 5</w:t>
            </w:r>
            <w:r w:rsidR="003A2B5E">
              <w:rPr>
                <w:b/>
                <w:spacing w:val="-2"/>
              </w:rPr>
              <w:t xml:space="preserve"> Nové</w:t>
            </w:r>
            <w:r>
              <w:rPr>
                <w:b/>
                <w:spacing w:val="-2"/>
              </w:rPr>
              <w:t xml:space="preserve"> zakázky v </w:t>
            </w:r>
            <w:r w:rsidRPr="00760356">
              <w:rPr>
                <w:b/>
                <w:spacing w:val="-2"/>
              </w:rPr>
              <w:t xml:space="preserve">průmyslu </w:t>
            </w:r>
            <w:r w:rsidRPr="00760356">
              <w:rPr>
                <w:bCs/>
                <w:spacing w:val="-2"/>
              </w:rPr>
              <w:t>(</w:t>
            </w:r>
            <w:r>
              <w:rPr>
                <w:bCs/>
                <w:spacing w:val="-2"/>
              </w:rPr>
              <w:t>nominálně</w:t>
            </w:r>
            <w:r w:rsidRPr="00760356">
              <w:rPr>
                <w:bCs/>
                <w:spacing w:val="-2"/>
              </w:rPr>
              <w:t xml:space="preserve">, </w:t>
            </w:r>
            <w:r w:rsidRPr="00760356">
              <w:rPr>
                <w:spacing w:val="-2"/>
              </w:rPr>
              <w:t>meziročně</w:t>
            </w:r>
            <w:r>
              <w:rPr>
                <w:spacing w:val="-2"/>
              </w:rPr>
              <w:t>,</w:t>
            </w:r>
            <w:r w:rsidRPr="00760356">
              <w:rPr>
                <w:bCs/>
                <w:spacing w:val="-2"/>
              </w:rPr>
              <w:t xml:space="preserve"> v %)</w:t>
            </w:r>
            <w:r>
              <w:rPr>
                <w:b/>
                <w:spacing w:val="-2"/>
              </w:rPr>
              <w:t xml:space="preserve">, </w:t>
            </w:r>
            <w:r w:rsidRPr="00760356">
              <w:rPr>
                <w:b/>
                <w:spacing w:val="-2"/>
              </w:rPr>
              <w:t>využi</w:t>
            </w:r>
            <w:r>
              <w:rPr>
                <w:b/>
                <w:spacing w:val="-2"/>
              </w:rPr>
              <w:t xml:space="preserve">tí výrobních kapacit v průmyslu, </w:t>
            </w:r>
            <w:r w:rsidRPr="00760356">
              <w:rPr>
                <w:b/>
                <w:spacing w:val="-2"/>
              </w:rPr>
              <w:t>vybrané bariéry růst</w:t>
            </w:r>
            <w:r w:rsidRPr="006E759E">
              <w:rPr>
                <w:b/>
                <w:spacing w:val="-2"/>
              </w:rPr>
              <w:t>u</w:t>
            </w:r>
            <w:r w:rsidRPr="006E759E">
              <w:rPr>
                <w:spacing w:val="-2"/>
              </w:rPr>
              <w:t xml:space="preserve">* (v %, pravá osa) </w:t>
            </w:r>
            <w:r w:rsidRPr="006E759E">
              <w:rPr>
                <w:b/>
                <w:spacing w:val="-2"/>
              </w:rPr>
              <w:t>a </w:t>
            </w:r>
            <w:r>
              <w:rPr>
                <w:b/>
              </w:rPr>
              <w:t>saldo</w:t>
            </w:r>
            <w:r w:rsidRPr="006E759E">
              <w:rPr>
                <w:b/>
              </w:rPr>
              <w:t xml:space="preserve"> důvěry</w:t>
            </w:r>
            <w:r w:rsidRPr="00883202">
              <w:rPr>
                <w:b/>
              </w:rPr>
              <w:t xml:space="preserve"> </w:t>
            </w:r>
            <w:r>
              <w:rPr>
                <w:b/>
              </w:rPr>
              <w:t xml:space="preserve">podnikatelů </w:t>
            </w:r>
            <w:r w:rsidRPr="00883202">
              <w:rPr>
                <w:b/>
              </w:rPr>
              <w:t xml:space="preserve">v průmyslu* </w:t>
            </w:r>
            <w:r>
              <w:t xml:space="preserve">(v p. b., pravá </w:t>
            </w:r>
            <w:r w:rsidRPr="00883202">
              <w:t>osa)</w:t>
            </w:r>
          </w:p>
        </w:tc>
      </w:tr>
      <w:tr w:rsidR="00213E46" w:rsidRPr="00705C3E" w14:paraId="0B29C1AB" w14:textId="77777777" w:rsidTr="00496812">
        <w:tblPrEx>
          <w:tblCellMar>
            <w:left w:w="70" w:type="dxa"/>
            <w:right w:w="70" w:type="dxa"/>
          </w:tblCellMar>
        </w:tblPrEx>
        <w:trPr>
          <w:trHeight w:val="133"/>
        </w:trPr>
        <w:tc>
          <w:tcPr>
            <w:tcW w:w="1814" w:type="dxa"/>
            <w:vMerge/>
            <w:shd w:val="clear" w:color="auto" w:fill="auto"/>
          </w:tcPr>
          <w:p w14:paraId="65F3DDC5" w14:textId="77777777" w:rsidR="00213E46" w:rsidRDefault="00213E46" w:rsidP="00496812">
            <w:pPr>
              <w:pStyle w:val="Marginlie"/>
            </w:pPr>
          </w:p>
        </w:tc>
        <w:tc>
          <w:tcPr>
            <w:tcW w:w="229" w:type="dxa"/>
            <w:vMerge/>
            <w:shd w:val="clear" w:color="auto" w:fill="auto"/>
          </w:tcPr>
          <w:p w14:paraId="578FBC2F" w14:textId="77777777" w:rsidR="00213E46" w:rsidRDefault="00213E46" w:rsidP="00496812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96" w:type="dxa"/>
            <w:shd w:val="clear" w:color="auto" w:fill="auto"/>
          </w:tcPr>
          <w:p w14:paraId="40334D50" w14:textId="77777777" w:rsidR="00213E46" w:rsidRPr="00705C3E" w:rsidRDefault="00213E46" w:rsidP="00496812">
            <w:pPr>
              <w:spacing w:after="0"/>
              <w:rPr>
                <w:color w:val="0D0D0D" w:themeColor="text1" w:themeTint="F2"/>
                <w:spacing w:val="-5"/>
              </w:rPr>
            </w:pPr>
            <w:r>
              <w:rPr>
                <w:noProof/>
              </w:rPr>
              <w:drawing>
                <wp:inline distT="0" distB="0" distL="0" distR="0" wp14:anchorId="790243CC" wp14:editId="66EFE93C">
                  <wp:extent cx="4734560" cy="3427012"/>
                  <wp:effectExtent l="0" t="0" r="8890" b="2540"/>
                  <wp:docPr id="28" name="Graf 2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213E46" w:rsidRPr="00705C3E" w14:paraId="3D1D232E" w14:textId="77777777" w:rsidTr="00496812">
        <w:trPr>
          <w:trHeight w:val="133"/>
        </w:trPr>
        <w:tc>
          <w:tcPr>
            <w:tcW w:w="1814" w:type="dxa"/>
            <w:vMerge/>
            <w:shd w:val="clear" w:color="auto" w:fill="auto"/>
            <w:tcMar>
              <w:left w:w="0" w:type="dxa"/>
            </w:tcMar>
          </w:tcPr>
          <w:p w14:paraId="5BF77B29" w14:textId="77777777" w:rsidR="00213E46" w:rsidRDefault="00213E46" w:rsidP="00496812">
            <w:pPr>
              <w:pStyle w:val="Marginlie"/>
            </w:pPr>
          </w:p>
        </w:tc>
        <w:tc>
          <w:tcPr>
            <w:tcW w:w="229" w:type="dxa"/>
            <w:vMerge/>
            <w:shd w:val="clear" w:color="auto" w:fill="auto"/>
            <w:tcMar>
              <w:left w:w="0" w:type="dxa"/>
            </w:tcMar>
          </w:tcPr>
          <w:p w14:paraId="403CBD05" w14:textId="77777777" w:rsidR="00213E46" w:rsidRDefault="00213E46" w:rsidP="00496812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752C3C95" w14:textId="77777777" w:rsidR="00213E46" w:rsidRPr="00705C3E" w:rsidRDefault="00213E46" w:rsidP="00496812">
            <w:pPr>
              <w:spacing w:after="200" w:line="240" w:lineRule="auto"/>
              <w:rPr>
                <w:color w:val="0D0D0D" w:themeColor="text1" w:themeTint="F2"/>
                <w:spacing w:val="-5"/>
              </w:rPr>
            </w:pPr>
            <w:r w:rsidRPr="008B3FE9">
              <w:rPr>
                <w:color w:val="0D0D0D" w:themeColor="text1" w:themeTint="F2"/>
                <w:spacing w:val="-5"/>
                <w:sz w:val="14"/>
                <w:szCs w:val="14"/>
              </w:rPr>
              <w:t>*</w:t>
            </w:r>
            <w:r w:rsidRPr="008B3FE9">
              <w:rPr>
                <w:rFonts w:cs="Arial"/>
                <w:sz w:val="14"/>
                <w:szCs w:val="14"/>
              </w:rPr>
              <w:t>Vyu</w:t>
            </w:r>
            <w:r w:rsidRPr="00883202">
              <w:rPr>
                <w:rFonts w:cs="Arial"/>
                <w:sz w:val="14"/>
                <w:szCs w:val="14"/>
              </w:rPr>
              <w:t>žití průmys</w:t>
            </w:r>
            <w:r>
              <w:rPr>
                <w:rFonts w:cs="Arial"/>
                <w:sz w:val="14"/>
                <w:szCs w:val="14"/>
              </w:rPr>
              <w:t xml:space="preserve">lových kapacit i bariéry růstu vyjadřují stav v prvním měsíci daného čtvrtletí, </w:t>
            </w:r>
            <w:r w:rsidRPr="006E759E">
              <w:rPr>
                <w:rFonts w:cs="Arial"/>
                <w:sz w:val="14"/>
                <w:szCs w:val="14"/>
              </w:rPr>
              <w:t>saldo důvěry</w:t>
            </w:r>
            <w:r>
              <w:rPr>
                <w:rFonts w:cs="Arial"/>
                <w:sz w:val="14"/>
                <w:szCs w:val="14"/>
              </w:rPr>
              <w:t xml:space="preserve"> podnikatelů je vztaženo k</w:t>
            </w:r>
            <w:r w:rsidRPr="00883202">
              <w:rPr>
                <w:rFonts w:cs="Arial"/>
                <w:sz w:val="14"/>
                <w:szCs w:val="14"/>
              </w:rPr>
              <w:t xml:space="preserve">e </w:t>
            </w:r>
            <w:r>
              <w:rPr>
                <w:rFonts w:cs="Arial"/>
                <w:sz w:val="14"/>
                <w:szCs w:val="14"/>
              </w:rPr>
              <w:t xml:space="preserve">druhému měsíci čtvrtletí. Zakázky jsou očištěny o kalendářní vlivy, ostatní ukazatele jsou </w:t>
            </w:r>
            <w:r w:rsidRPr="00883202">
              <w:rPr>
                <w:rFonts w:cs="Arial"/>
                <w:spacing w:val="-2"/>
                <w:sz w:val="14"/>
                <w:szCs w:val="14"/>
              </w:rPr>
              <w:t>sezónně očištěny</w:t>
            </w:r>
            <w:r>
              <w:rPr>
                <w:rFonts w:cs="Arial"/>
                <w:spacing w:val="-2"/>
                <w:sz w:val="14"/>
                <w:szCs w:val="14"/>
              </w:rPr>
              <w:t>.</w:t>
            </w:r>
            <w:r w:rsidRPr="00883202">
              <w:rPr>
                <w:rFonts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 xml:space="preserve">Podniky mohly uvést více hlavních růstových bariér současně.                                                                   </w:t>
            </w:r>
            <w:r w:rsidRPr="00883202">
              <w:rPr>
                <w:rFonts w:cs="Arial"/>
                <w:sz w:val="14"/>
                <w:szCs w:val="14"/>
              </w:rPr>
              <w:t>Zdroj: ČSÚ</w:t>
            </w:r>
            <w:r>
              <w:rPr>
                <w:rFonts w:cs="Arial"/>
                <w:sz w:val="14"/>
                <w:szCs w:val="14"/>
              </w:rPr>
              <w:t>, Eurostat</w:t>
            </w:r>
          </w:p>
        </w:tc>
      </w:tr>
      <w:tr w:rsidR="00213E46" w:rsidRPr="00710F53" w14:paraId="68AB727D" w14:textId="77777777" w:rsidTr="00496812">
        <w:trPr>
          <w:trHeight w:val="170"/>
        </w:trPr>
        <w:tc>
          <w:tcPr>
            <w:tcW w:w="1814" w:type="dxa"/>
            <w:shd w:val="clear" w:color="auto" w:fill="auto"/>
            <w:tcMar>
              <w:left w:w="0" w:type="dxa"/>
            </w:tcMar>
          </w:tcPr>
          <w:p w14:paraId="21DB69B7" w14:textId="77777777" w:rsidR="00213E46" w:rsidRPr="00FB1628" w:rsidRDefault="00213E46" w:rsidP="00496812">
            <w:pPr>
              <w:pStyle w:val="Marginlie"/>
              <w:rPr>
                <w:color w:val="0D0D0D" w:themeColor="text1" w:themeTint="F2"/>
              </w:rPr>
            </w:pPr>
            <w:r w:rsidRPr="00FB1628">
              <w:rPr>
                <w:color w:val="0D0D0D" w:themeColor="text1" w:themeTint="F2"/>
              </w:rPr>
              <w:t xml:space="preserve">Důvěra podniků v průmyslu byla nadále nízká. </w:t>
            </w:r>
            <w:r>
              <w:rPr>
                <w:color w:val="0D0D0D" w:themeColor="text1" w:themeTint="F2"/>
              </w:rPr>
              <w:t>Již kolem 60 % firem trápila</w:t>
            </w:r>
            <w:r w:rsidRPr="00FB1628">
              <w:rPr>
                <w:color w:val="0D0D0D" w:themeColor="text1" w:themeTint="F2"/>
              </w:rPr>
              <w:t xml:space="preserve"> nedostatečná poptávka</w:t>
            </w:r>
            <w:r>
              <w:rPr>
                <w:color w:val="0D0D0D" w:themeColor="text1" w:themeTint="F2"/>
              </w:rPr>
              <w:t>. Aktuální i</w:t>
            </w:r>
            <w:r w:rsidRPr="00FB1628">
              <w:rPr>
                <w:color w:val="0D0D0D" w:themeColor="text1" w:themeTint="F2"/>
              </w:rPr>
              <w:t> očekávaný vývoj zaměstnanosti zůstává nepříznivý.</w:t>
            </w:r>
          </w:p>
          <w:p w14:paraId="79734853" w14:textId="77777777" w:rsidR="00213E46" w:rsidRDefault="00213E46" w:rsidP="00496812">
            <w:pPr>
              <w:pStyle w:val="Marginlie"/>
              <w:rPr>
                <w:color w:val="0D0D0D" w:themeColor="text1" w:themeTint="F2"/>
              </w:rPr>
            </w:pPr>
          </w:p>
          <w:p w14:paraId="56AA96DB" w14:textId="77777777" w:rsidR="00213E46" w:rsidRDefault="00213E46" w:rsidP="00496812">
            <w:pPr>
              <w:pStyle w:val="Marginlie"/>
              <w:rPr>
                <w:color w:val="0D0D0D" w:themeColor="text1" w:themeTint="F2"/>
              </w:rPr>
            </w:pPr>
          </w:p>
          <w:p w14:paraId="696A2F64" w14:textId="77777777" w:rsidR="00213E46" w:rsidRDefault="00213E46" w:rsidP="00496812">
            <w:pPr>
              <w:pStyle w:val="Marginlie"/>
              <w:rPr>
                <w:color w:val="0D0D0D" w:themeColor="text1" w:themeTint="F2"/>
              </w:rPr>
            </w:pPr>
          </w:p>
          <w:p w14:paraId="29A8F562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</w:rPr>
              <w:t>Využití výrobních kapacit průmyslu se meziročně nepatrně snížilo a mírně zaostávalo i za úrovní období let 2015 až 2019.</w:t>
            </w: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51DA7336" w14:textId="77777777" w:rsidR="00213E46" w:rsidRPr="00784EC8" w:rsidRDefault="00213E46" w:rsidP="00496812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4482CAD0" w14:textId="77777777" w:rsidR="00213E46" w:rsidRPr="00710F53" w:rsidRDefault="00213E46" w:rsidP="00496812">
            <w:pPr>
              <w:spacing w:after="200"/>
              <w:rPr>
                <w:color w:val="0D0D0D" w:themeColor="text1" w:themeTint="F2"/>
                <w:spacing w:val="-6"/>
              </w:rPr>
            </w:pPr>
            <w:r w:rsidRPr="005535CE">
              <w:rPr>
                <w:color w:val="0D0D0D" w:themeColor="text1" w:themeTint="F2"/>
                <w:spacing w:val="-3"/>
              </w:rPr>
              <w:t>Důvěra podnikatelů v průmyslu setrvávala v</w:t>
            </w:r>
            <w:r>
              <w:rPr>
                <w:color w:val="0D0D0D" w:themeColor="text1" w:themeTint="F2"/>
                <w:spacing w:val="-3"/>
              </w:rPr>
              <w:t xml:space="preserve"> mírně </w:t>
            </w:r>
            <w:r w:rsidRPr="005535CE">
              <w:rPr>
                <w:color w:val="0D0D0D" w:themeColor="text1" w:themeTint="F2"/>
                <w:spacing w:val="-3"/>
              </w:rPr>
              <w:t xml:space="preserve">negativním pásmu. Během 1. pololetí 2024 se </w:t>
            </w:r>
            <w:r>
              <w:rPr>
                <w:color w:val="0D0D0D" w:themeColor="text1" w:themeTint="F2"/>
                <w:spacing w:val="-3"/>
              </w:rPr>
              <w:t>lehce</w:t>
            </w:r>
            <w:r w:rsidRPr="005535CE">
              <w:rPr>
                <w:color w:val="0D0D0D" w:themeColor="text1" w:themeTint="F2"/>
                <w:spacing w:val="-3"/>
              </w:rPr>
              <w:t xml:space="preserve"> zlepšovala, následně spíše kolísala. </w:t>
            </w:r>
            <w:r>
              <w:rPr>
                <w:color w:val="0D0D0D" w:themeColor="text1" w:themeTint="F2"/>
                <w:spacing w:val="-3"/>
              </w:rPr>
              <w:t>V únoru 2025 hodnotila současnou poptávku nepříznivě pětina firem, jako jednu z růstových bariér ji dokonce označilo již více než 60</w:t>
            </w:r>
            <w:r w:rsidRPr="00A83F83">
              <w:rPr>
                <w:color w:val="0D0D0D" w:themeColor="text1" w:themeTint="F2"/>
                <w:spacing w:val="-4"/>
              </w:rPr>
              <w:t> </w:t>
            </w:r>
            <w:r>
              <w:rPr>
                <w:color w:val="0D0D0D" w:themeColor="text1" w:themeTint="F2"/>
                <w:spacing w:val="-3"/>
              </w:rPr>
              <w:t xml:space="preserve">% podniků (srovnatelně jako v pandemickém roce 2020 či v roce 2013). Oproti </w:t>
            </w:r>
            <w:r>
              <w:rPr>
                <w:color w:val="0D0D0D" w:themeColor="text1" w:themeTint="F2"/>
                <w:spacing w:val="-3"/>
              </w:rPr>
              <w:lastRenderedPageBreak/>
              <w:t>tomu nedostatek pracovníků</w:t>
            </w:r>
            <w:r>
              <w:rPr>
                <w:rStyle w:val="Znakapoznpodarou"/>
                <w:color w:val="0D0D0D" w:themeColor="text1" w:themeTint="F2"/>
                <w:spacing w:val="-3"/>
              </w:rPr>
              <w:footnoteReference w:id="19"/>
            </w:r>
            <w:r>
              <w:rPr>
                <w:color w:val="0D0D0D" w:themeColor="text1" w:themeTint="F2"/>
                <w:spacing w:val="-3"/>
              </w:rPr>
              <w:t xml:space="preserve"> či materiálu a zařízení limitoval jen desetinu firem</w:t>
            </w:r>
            <w:r>
              <w:rPr>
                <w:rStyle w:val="Znakapoznpodarou"/>
                <w:color w:val="0D0D0D" w:themeColor="text1" w:themeTint="F2"/>
                <w:spacing w:val="-3"/>
              </w:rPr>
              <w:footnoteReference w:id="20"/>
            </w:r>
            <w:r>
              <w:rPr>
                <w:color w:val="0D0D0D" w:themeColor="text1" w:themeTint="F2"/>
                <w:spacing w:val="-3"/>
              </w:rPr>
              <w:t>. Za pozitivní lze označit stabilizaci nákladových tlaků</w:t>
            </w:r>
            <w:r>
              <w:rPr>
                <w:rStyle w:val="Znakapoznpodarou"/>
                <w:color w:val="0D0D0D" w:themeColor="text1" w:themeTint="F2"/>
                <w:spacing w:val="-3"/>
              </w:rPr>
              <w:footnoteReference w:id="21"/>
            </w:r>
            <w:r>
              <w:rPr>
                <w:color w:val="0D0D0D" w:themeColor="text1" w:themeTint="F2"/>
                <w:spacing w:val="-3"/>
              </w:rPr>
              <w:t xml:space="preserve"> i mírně optimistické výhledy výroby</w:t>
            </w:r>
            <w:r>
              <w:rPr>
                <w:rStyle w:val="Znakapoznpodarou"/>
                <w:color w:val="0D0D0D" w:themeColor="text1" w:themeTint="F2"/>
                <w:spacing w:val="-3"/>
              </w:rPr>
              <w:footnoteReference w:id="22"/>
            </w:r>
            <w:r>
              <w:rPr>
                <w:color w:val="0D0D0D" w:themeColor="text1" w:themeTint="F2"/>
                <w:spacing w:val="-3"/>
              </w:rPr>
              <w:t>. I přesto jsou očekávání zaměstnanosti negativní</w:t>
            </w:r>
            <w:r>
              <w:rPr>
                <w:rStyle w:val="Znakapoznpodarou"/>
                <w:color w:val="0D0D0D" w:themeColor="text1" w:themeTint="F2"/>
                <w:spacing w:val="-3"/>
              </w:rPr>
              <w:footnoteReference w:id="23"/>
            </w:r>
            <w:r>
              <w:rPr>
                <w:color w:val="0D0D0D" w:themeColor="text1" w:themeTint="F2"/>
                <w:spacing w:val="-3"/>
              </w:rPr>
              <w:t xml:space="preserve"> a ve srovnání s loňským rokem se tato navíc mírně zhoršila. To souzní i s reálným vývojem v posledních měsících (evidenční počet zaměstnanců v průmyslu se v 1. až 3. čtvrtletí 2024 meziročně snížil o 1,6</w:t>
            </w:r>
            <w:r>
              <w:rPr>
                <w:color w:val="0D0D0D" w:themeColor="text1" w:themeTint="F2"/>
                <w:spacing w:val="-4"/>
              </w:rPr>
              <w:t> </w:t>
            </w:r>
            <w:r>
              <w:rPr>
                <w:color w:val="0D0D0D" w:themeColor="text1" w:themeTint="F2"/>
                <w:spacing w:val="-3"/>
              </w:rPr>
              <w:t xml:space="preserve">%, v těžbě, elektrotechnice či strojírenství bylo tempo poklesu více než dvojnásobné). </w:t>
            </w:r>
            <w:r>
              <w:rPr>
                <w:color w:val="0D0D0D" w:themeColor="text1" w:themeTint="F2"/>
                <w:spacing w:val="-4"/>
              </w:rPr>
              <w:t xml:space="preserve">Využití výrobních kapacit v celém průmyslu dosahovalo 82,7 % (meziročně se nepatrně snížilo </w:t>
            </w:r>
            <w:r>
              <w:rPr>
                <w:color w:val="0D0D0D" w:themeColor="text1" w:themeTint="F2"/>
                <w:spacing w:val="-4"/>
              </w:rPr>
              <w:br/>
              <w:t>a oproti průměru za konjunkturní období 2015 až 2019 bylo nižší o 2 p. b.). V samotném automobilovém průmyslu byla však situace vcelku příznivá (93,1 %), aktuální využití zde dokonce převyšovalo úroveň z období poslední konjunktury.</w:t>
            </w:r>
          </w:p>
        </w:tc>
      </w:tr>
      <w:tr w:rsidR="00213E46" w14:paraId="283AAD67" w14:textId="77777777" w:rsidTr="00496812">
        <w:trPr>
          <w:trHeight w:val="170"/>
        </w:trPr>
        <w:tc>
          <w:tcPr>
            <w:tcW w:w="1814" w:type="dxa"/>
            <w:shd w:val="clear" w:color="auto" w:fill="auto"/>
            <w:tcMar>
              <w:left w:w="0" w:type="dxa"/>
            </w:tcMar>
          </w:tcPr>
          <w:p w14:paraId="145418F4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lastRenderedPageBreak/>
              <w:t xml:space="preserve">Výkon stavebnictví stále ovlivňovaly významné nákladové tlaky i slabší investiční aktivita v soukromé i veřejné sféře. </w:t>
            </w: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794DFF8F" w14:textId="77777777" w:rsidR="00213E46" w:rsidRPr="00784EC8" w:rsidRDefault="00213E46" w:rsidP="00496812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4052169F" w14:textId="77777777" w:rsidR="00213E46" w:rsidRDefault="00213E46" w:rsidP="00496812">
            <w:pPr>
              <w:spacing w:after="200"/>
              <w:rPr>
                <w:color w:val="0D0D0D" w:themeColor="text1" w:themeTint="F2"/>
                <w:spacing w:val="-6"/>
              </w:rPr>
            </w:pPr>
            <w:r w:rsidRPr="00710F53">
              <w:rPr>
                <w:color w:val="0D0D0D" w:themeColor="text1" w:themeTint="F2"/>
                <w:spacing w:val="-6"/>
              </w:rPr>
              <w:t xml:space="preserve">Stavebnictví sužovala </w:t>
            </w:r>
            <w:r>
              <w:rPr>
                <w:color w:val="0D0D0D" w:themeColor="text1" w:themeTint="F2"/>
                <w:spacing w:val="-6"/>
              </w:rPr>
              <w:t xml:space="preserve">po část loňského roku pokračující recese. Negativně působily </w:t>
            </w:r>
            <w:r w:rsidRPr="00D3179A">
              <w:rPr>
                <w:color w:val="0D0D0D" w:themeColor="text1" w:themeTint="F2"/>
                <w:spacing w:val="-6"/>
              </w:rPr>
              <w:t>přetrvávající slabá poptávka i cenové tlaky</w:t>
            </w:r>
            <w:r>
              <w:rPr>
                <w:color w:val="0D0D0D" w:themeColor="text1" w:themeTint="F2"/>
                <w:spacing w:val="-6"/>
              </w:rPr>
              <w:t xml:space="preserve">. Ačkoliv ceny stavebních materiálů začaly po tříletém zvyšování od podzimu 2023 meziročně mírně klesat, snižování realizovaných i očekávaných cen stavební výroby bránil svižný růst nákladů práce ovlivněný </w:t>
            </w:r>
            <w:r w:rsidRPr="00710F53">
              <w:rPr>
                <w:color w:val="0D0D0D" w:themeColor="text1" w:themeTint="F2"/>
                <w:spacing w:val="-7"/>
              </w:rPr>
              <w:t>chronickým nedostatkem zejména kvalifikované pracovní síly. Stále se projevovala i utlumená</w:t>
            </w:r>
            <w:r>
              <w:rPr>
                <w:color w:val="0D0D0D" w:themeColor="text1" w:themeTint="F2"/>
                <w:spacing w:val="-6"/>
              </w:rPr>
              <w:t xml:space="preserve"> investiční aktivita v soukromé sféře související se slabší důvěrou podniků i domácností v ekonomiku a</w:t>
            </w:r>
            <w:r w:rsidRPr="004D4FDB">
              <w:rPr>
                <w:color w:val="0D0D0D" w:themeColor="text1" w:themeTint="F2"/>
                <w:spacing w:val="-4"/>
              </w:rPr>
              <w:t> </w:t>
            </w:r>
            <w:r>
              <w:rPr>
                <w:color w:val="0D0D0D" w:themeColor="text1" w:themeTint="F2"/>
                <w:spacing w:val="-6"/>
              </w:rPr>
              <w:t>ztíženými možnostmi financování investic. K tomu přistoupil i očekávaný pokles veřejných investic související s přechodem na nové programové období EU</w:t>
            </w:r>
            <w:r>
              <w:rPr>
                <w:rStyle w:val="Znakapoznpodarou"/>
                <w:color w:val="0D0D0D" w:themeColor="text1" w:themeTint="F2"/>
                <w:spacing w:val="-6"/>
              </w:rPr>
              <w:footnoteReference w:id="24"/>
            </w:r>
            <w:r>
              <w:rPr>
                <w:color w:val="0D0D0D" w:themeColor="text1" w:themeTint="F2"/>
                <w:spacing w:val="-6"/>
              </w:rPr>
              <w:t>.</w:t>
            </w:r>
          </w:p>
        </w:tc>
      </w:tr>
      <w:tr w:rsidR="00213E46" w:rsidRPr="002A5653" w14:paraId="263A9A39" w14:textId="77777777" w:rsidTr="00496812">
        <w:trPr>
          <w:trHeight w:val="170"/>
        </w:trPr>
        <w:tc>
          <w:tcPr>
            <w:tcW w:w="1814" w:type="dxa"/>
            <w:shd w:val="clear" w:color="auto" w:fill="auto"/>
            <w:tcMar>
              <w:left w:w="0" w:type="dxa"/>
            </w:tcMar>
          </w:tcPr>
          <w:p w14:paraId="6E1B0183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 xml:space="preserve">Meziroční pokles stavební produkce loni pokračoval druhým rokem. Ve </w:t>
            </w:r>
            <w:r>
              <w:rPr>
                <w:color w:val="0D0D0D" w:themeColor="text1" w:themeTint="F2"/>
                <w:spacing w:val="-4"/>
              </w:rPr>
              <w:br/>
              <w:t xml:space="preserve">4. čtvrtletí ale výkon vzrostl, zejména díky oživení ve výstavbě budov. </w:t>
            </w:r>
          </w:p>
          <w:p w14:paraId="1D15E82B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6C786A8C" w14:textId="77777777" w:rsidR="00213E46" w:rsidRPr="00784EC8" w:rsidRDefault="00213E46" w:rsidP="00496812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629C6E26" w14:textId="77777777" w:rsidR="00213E46" w:rsidRPr="002A5653" w:rsidRDefault="00213E46" w:rsidP="00496812">
            <w:pPr>
              <w:rPr>
                <w:rStyle w:val="normaltextrun"/>
                <w:color w:val="0D0D0D" w:themeColor="text1" w:themeTint="F2"/>
                <w:spacing w:val="-5"/>
              </w:rPr>
            </w:pPr>
            <w:r w:rsidRPr="003C50AD">
              <w:rPr>
                <w:color w:val="0D0D0D" w:themeColor="text1" w:themeTint="F2"/>
                <w:spacing w:val="-5"/>
              </w:rPr>
              <w:t>Stavební produkce</w:t>
            </w:r>
            <w:r w:rsidRPr="003C50AD">
              <w:rPr>
                <w:rStyle w:val="Znakapoznpodarou"/>
                <w:color w:val="0D0D0D" w:themeColor="text1" w:themeTint="F2"/>
                <w:spacing w:val="-5"/>
              </w:rPr>
              <w:footnoteReference w:id="25"/>
            </w:r>
            <w:r>
              <w:rPr>
                <w:color w:val="0D0D0D" w:themeColor="text1" w:themeTint="F2"/>
                <w:spacing w:val="-5"/>
              </w:rPr>
              <w:t xml:space="preserve"> </w:t>
            </w:r>
            <w:r w:rsidRPr="003C50AD">
              <w:rPr>
                <w:color w:val="0D0D0D" w:themeColor="text1" w:themeTint="F2"/>
                <w:spacing w:val="-5"/>
              </w:rPr>
              <w:t xml:space="preserve">na počátku </w:t>
            </w:r>
            <w:r w:rsidRPr="002A5653">
              <w:rPr>
                <w:color w:val="0D0D0D" w:themeColor="text1" w:themeTint="F2"/>
                <w:spacing w:val="-5"/>
              </w:rPr>
              <w:t xml:space="preserve">roku 2024 </w:t>
            </w:r>
            <w:r>
              <w:rPr>
                <w:color w:val="0D0D0D" w:themeColor="text1" w:themeTint="F2"/>
                <w:spacing w:val="-5"/>
              </w:rPr>
              <w:t>primárně díky příznivému počasí mezikvartálně vzrostla o 0,6</w:t>
            </w:r>
            <w:r w:rsidRPr="002A5653">
              <w:rPr>
                <w:color w:val="0D0D0D" w:themeColor="text1" w:themeTint="F2"/>
                <w:spacing w:val="-5"/>
              </w:rPr>
              <w:t xml:space="preserve"> % </w:t>
            </w:r>
            <w:r>
              <w:rPr>
                <w:color w:val="0D0D0D" w:themeColor="text1" w:themeTint="F2"/>
                <w:spacing w:val="-5"/>
              </w:rPr>
              <w:t>(a zastavila nepříznivý vývoj</w:t>
            </w:r>
            <w:r w:rsidRPr="002A5653">
              <w:rPr>
                <w:color w:val="0D0D0D" w:themeColor="text1" w:themeTint="F2"/>
                <w:spacing w:val="-5"/>
              </w:rPr>
              <w:t>, jenž v</w:t>
            </w:r>
            <w:r>
              <w:rPr>
                <w:color w:val="0D0D0D" w:themeColor="text1" w:themeTint="F2"/>
                <w:spacing w:val="-5"/>
              </w:rPr>
              <w:t>yplnil většinu předloňského roku), ale během 2. čtvrtletí klesla o 1,6</w:t>
            </w:r>
            <w:r w:rsidRPr="002A5653">
              <w:rPr>
                <w:color w:val="0D0D0D" w:themeColor="text1" w:themeTint="F2"/>
                <w:spacing w:val="-5"/>
              </w:rPr>
              <w:t xml:space="preserve"> %, </w:t>
            </w:r>
            <w:r>
              <w:rPr>
                <w:color w:val="0D0D0D" w:themeColor="text1" w:themeTint="F2"/>
                <w:spacing w:val="-5"/>
              </w:rPr>
              <w:t>především vlivem inženýrského stavitelství</w:t>
            </w:r>
            <w:r w:rsidRPr="002A5653">
              <w:rPr>
                <w:color w:val="0D0D0D" w:themeColor="text1" w:themeTint="F2"/>
                <w:spacing w:val="-5"/>
              </w:rPr>
              <w:t xml:space="preserve">. </w:t>
            </w:r>
            <w:r>
              <w:rPr>
                <w:color w:val="0D0D0D" w:themeColor="text1" w:themeTint="F2"/>
                <w:spacing w:val="-5"/>
              </w:rPr>
              <w:t xml:space="preserve">Ve zbylé části roku došlo ovšem k oživení, což bylo nejvíce patrné v posledním čtvrtletí (+2,8 %, nejvíce za posledních jedenáct kvartálů). Za celý loňský rok se výkon stavebnictví meziročně snížil </w:t>
            </w:r>
            <w:r w:rsidRPr="0063271B">
              <w:rPr>
                <w:color w:val="0D0D0D" w:themeColor="text1" w:themeTint="F2"/>
                <w:spacing w:val="-6"/>
              </w:rPr>
              <w:t xml:space="preserve">o 1,4 % (a </w:t>
            </w:r>
            <w:r>
              <w:rPr>
                <w:color w:val="0D0D0D" w:themeColor="text1" w:themeTint="F2"/>
                <w:spacing w:val="-6"/>
              </w:rPr>
              <w:t xml:space="preserve">lehce </w:t>
            </w:r>
            <w:r w:rsidRPr="0063271B">
              <w:rPr>
                <w:color w:val="0D0D0D" w:themeColor="text1" w:themeTint="F2"/>
                <w:spacing w:val="-6"/>
              </w:rPr>
              <w:t>zmírnil útlum z roku 2023). Ve 4. čtvrtletí však produkce vzrostla (+3,2 %,</w:t>
            </w:r>
            <w:r>
              <w:rPr>
                <w:color w:val="0D0D0D" w:themeColor="text1" w:themeTint="F2"/>
                <w:spacing w:val="-5"/>
              </w:rPr>
              <w:t xml:space="preserve"> zčásti vlivem slabší srovnávací základny). Oživení bylo patrné zejména ve výstavbě budov (+6,6</w:t>
            </w:r>
            <w:r w:rsidRPr="007A24BF">
              <w:rPr>
                <w:rStyle w:val="normaltextrun"/>
                <w:rFonts w:eastAsia="MS Gothic" w:cs="Arial"/>
                <w:color w:val="000000"/>
                <w:spacing w:val="-5"/>
                <w:szCs w:val="20"/>
                <w:shd w:val="clear" w:color="auto" w:fill="FFFFFF"/>
              </w:rPr>
              <w:t> </w:t>
            </w:r>
            <w:r>
              <w:rPr>
                <w:color w:val="0D0D0D" w:themeColor="text1" w:themeTint="F2"/>
                <w:spacing w:val="-5"/>
              </w:rPr>
              <w:t xml:space="preserve">%), v menší míře i v inženýrském stavitelství. Naopak v segmentu </w:t>
            </w:r>
            <w:r>
              <w:rPr>
                <w:rStyle w:val="normaltextrun"/>
                <w:rFonts w:eastAsia="MS Gothic" w:cs="Arial"/>
                <w:szCs w:val="20"/>
              </w:rPr>
              <w:t>specializovaných stavebních činností nedošlo ke zřetelnějšímu oživení (za celý loňský rok činil pokles 1,6 %)</w:t>
            </w:r>
            <w:r>
              <w:rPr>
                <w:rStyle w:val="Znakapoznpodarou"/>
                <w:color w:val="0D0D0D" w:themeColor="text1" w:themeTint="F2"/>
                <w:spacing w:val="-5"/>
              </w:rPr>
              <w:footnoteReference w:id="26"/>
            </w:r>
            <w:r>
              <w:rPr>
                <w:rStyle w:val="normaltextrun"/>
                <w:rFonts w:eastAsia="MS Gothic" w:cs="Arial"/>
                <w:szCs w:val="20"/>
              </w:rPr>
              <w:t>.</w:t>
            </w:r>
          </w:p>
        </w:tc>
      </w:tr>
      <w:tr w:rsidR="00213E46" w:rsidRPr="007A24BF" w14:paraId="5D757A6F" w14:textId="77777777" w:rsidTr="00496812">
        <w:trPr>
          <w:trHeight w:val="170"/>
        </w:trPr>
        <w:tc>
          <w:tcPr>
            <w:tcW w:w="1814" w:type="dxa"/>
            <w:shd w:val="clear" w:color="auto" w:fill="auto"/>
            <w:tcMar>
              <w:left w:w="0" w:type="dxa"/>
            </w:tcMar>
          </w:tcPr>
          <w:p w14:paraId="313B3E32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Bytová výstavba byla celkově stále utlumená, k oživení ale došlo v Praze.</w:t>
            </w: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48CDD490" w14:textId="77777777" w:rsidR="00213E46" w:rsidRPr="00784EC8" w:rsidRDefault="00213E46" w:rsidP="00496812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1B606E55" w14:textId="573195FE" w:rsidR="00213E46" w:rsidRPr="007A24BF" w:rsidRDefault="00213E46" w:rsidP="00496812">
            <w:pPr>
              <w:rPr>
                <w:color w:val="0D0D0D" w:themeColor="text1" w:themeTint="F2"/>
                <w:spacing w:val="-5"/>
              </w:rPr>
            </w:pPr>
            <w:r w:rsidRPr="007A24BF">
              <w:rPr>
                <w:color w:val="0D0D0D" w:themeColor="text1" w:themeTint="F2"/>
                <w:spacing w:val="-5"/>
              </w:rPr>
              <w:t>Po dvouletém přerušení došlo loni k dílčímu zotavení zahajované bytové výstavby. Objem vý</w:t>
            </w:r>
            <w:r>
              <w:rPr>
                <w:color w:val="0D0D0D" w:themeColor="text1" w:themeTint="F2"/>
                <w:spacing w:val="-5"/>
              </w:rPr>
              <w:t>stavby byl meziročně vyšší o 2,5</w:t>
            </w:r>
            <w:r w:rsidRPr="007A24BF">
              <w:rPr>
                <w:color w:val="0D0D0D" w:themeColor="text1" w:themeTint="F2"/>
                <w:spacing w:val="-5"/>
              </w:rPr>
              <w:t xml:space="preserve"> % (za vrcholem z roku 2021 ale zaostával skoro o</w:t>
            </w:r>
            <w:r w:rsidRPr="007A24BF">
              <w:rPr>
                <w:rStyle w:val="normaltextrun"/>
                <w:rFonts w:eastAsia="MS Gothic" w:cs="Arial"/>
                <w:spacing w:val="-5"/>
                <w:szCs w:val="20"/>
              </w:rPr>
              <w:t> </w:t>
            </w:r>
            <w:r w:rsidRPr="007A24BF">
              <w:rPr>
                <w:color w:val="0D0D0D" w:themeColor="text1" w:themeTint="F2"/>
                <w:spacing w:val="-5"/>
              </w:rPr>
              <w:t xml:space="preserve">pětinu). </w:t>
            </w:r>
            <w:r w:rsidRPr="007A24BF">
              <w:rPr>
                <w:rStyle w:val="normaltextrun"/>
                <w:rFonts w:eastAsia="MS Gothic" w:cs="Arial"/>
                <w:spacing w:val="-5"/>
                <w:szCs w:val="20"/>
              </w:rPr>
              <w:t>K růstu přispěla ovšem jen výstavba bytů v bytových domech, zejména v Praze</w:t>
            </w:r>
            <w:r>
              <w:rPr>
                <w:rStyle w:val="normaltextrun"/>
                <w:rFonts w:eastAsia="MS Gothic" w:cs="Arial"/>
                <w:spacing w:val="-5"/>
                <w:szCs w:val="20"/>
              </w:rPr>
              <w:t xml:space="preserve"> (ta celorepublikově dosáhla 17,1</w:t>
            </w:r>
            <w:r w:rsidRPr="007A24BF">
              <w:rPr>
                <w:rStyle w:val="normaltextrun"/>
                <w:rFonts w:eastAsia="MS Gothic" w:cs="Arial"/>
                <w:spacing w:val="-5"/>
                <w:szCs w:val="20"/>
              </w:rPr>
              <w:t xml:space="preserve"> tis. bytů, spolu s rokem 2021 byla nejvyšší </w:t>
            </w:r>
            <w:r>
              <w:rPr>
                <w:rStyle w:val="normaltextrun"/>
                <w:rFonts w:eastAsia="MS Gothic" w:cs="Arial"/>
                <w:spacing w:val="-5"/>
                <w:szCs w:val="20"/>
              </w:rPr>
              <w:t xml:space="preserve">v </w:t>
            </w:r>
            <w:r w:rsidRPr="007A24BF">
              <w:rPr>
                <w:rStyle w:val="normaltextrun"/>
                <w:rFonts w:eastAsia="MS Gothic" w:cs="Arial"/>
                <w:spacing w:val="-5"/>
                <w:szCs w:val="20"/>
              </w:rPr>
              <w:t>novodobé historii Česka), naopak bytů v rodinných domech vzniklo v tuzemsku jen 13,1 tis. (10leté minimum). Pokles počtu všech dokončených b</w:t>
            </w:r>
            <w:r>
              <w:rPr>
                <w:rStyle w:val="normaltextrun"/>
                <w:rFonts w:eastAsia="MS Gothic" w:cs="Arial"/>
                <w:spacing w:val="-5"/>
                <w:szCs w:val="20"/>
              </w:rPr>
              <w:t xml:space="preserve">ytů se loni prohloubil (na </w:t>
            </w:r>
            <w:r w:rsidR="003A2B5E">
              <w:rPr>
                <w:rStyle w:val="normaltextrun"/>
                <w:rFonts w:eastAsia="MS Gothic" w:cs="Arial"/>
                <w:spacing w:val="-5"/>
                <w:szCs w:val="20"/>
              </w:rPr>
              <w:t>−</w:t>
            </w:r>
            <w:r>
              <w:rPr>
                <w:rStyle w:val="normaltextrun"/>
                <w:rFonts w:eastAsia="MS Gothic" w:cs="Arial"/>
                <w:spacing w:val="-5"/>
                <w:szCs w:val="20"/>
              </w:rPr>
              <w:t>20,5</w:t>
            </w:r>
            <w:r w:rsidRPr="007A24BF">
              <w:rPr>
                <w:rStyle w:val="normaltextrun"/>
                <w:rFonts w:eastAsia="MS Gothic" w:cs="Arial"/>
                <w:spacing w:val="-5"/>
                <w:szCs w:val="20"/>
              </w:rPr>
              <w:t xml:space="preserve"> %, spolu s rokem 2011</w:t>
            </w:r>
            <w:r>
              <w:rPr>
                <w:rStyle w:val="normaltextrun"/>
                <w:rFonts w:eastAsia="MS Gothic" w:cs="Arial"/>
                <w:spacing w:val="-5"/>
                <w:szCs w:val="20"/>
              </w:rPr>
              <w:t xml:space="preserve"> jde o nejvýraznější propad</w:t>
            </w:r>
            <w:r w:rsidRPr="007A24BF">
              <w:rPr>
                <w:rStyle w:val="normaltextrun"/>
                <w:rFonts w:eastAsia="MS Gothic" w:cs="Arial"/>
                <w:spacing w:val="-5"/>
                <w:szCs w:val="20"/>
              </w:rPr>
              <w:t xml:space="preserve"> v so</w:t>
            </w:r>
            <w:r>
              <w:rPr>
                <w:rStyle w:val="normaltextrun"/>
                <w:rFonts w:eastAsia="MS Gothic" w:cs="Arial"/>
                <w:spacing w:val="-5"/>
                <w:szCs w:val="20"/>
              </w:rPr>
              <w:t>učasném miléniu). Znatelný</w:t>
            </w:r>
            <w:r w:rsidRPr="007A24BF">
              <w:rPr>
                <w:rStyle w:val="normaltextrun"/>
                <w:rFonts w:eastAsia="MS Gothic" w:cs="Arial"/>
                <w:spacing w:val="-5"/>
                <w:szCs w:val="20"/>
              </w:rPr>
              <w:t xml:space="preserve"> útlum nastal ve všech formách výstavby. </w:t>
            </w:r>
            <w:r w:rsidRPr="007A24BF">
              <w:rPr>
                <w:rStyle w:val="normaltextrun"/>
                <w:rFonts w:eastAsia="MS Gothic" w:cs="Arial"/>
                <w:color w:val="000000"/>
                <w:spacing w:val="-5"/>
                <w:szCs w:val="20"/>
                <w:shd w:val="clear" w:color="auto" w:fill="FFFFFF"/>
              </w:rPr>
              <w:t>Celkem se dokončilo jen 30,3 tis. bytů, nejméně za posledních sedm</w:t>
            </w:r>
            <w:r>
              <w:rPr>
                <w:rStyle w:val="normaltextrun"/>
                <w:rFonts w:eastAsia="MS Gothic" w:cs="Arial"/>
                <w:color w:val="000000"/>
                <w:spacing w:val="-5"/>
                <w:szCs w:val="20"/>
                <w:shd w:val="clear" w:color="auto" w:fill="FFFFFF"/>
              </w:rPr>
              <w:t xml:space="preserve"> let. K</w:t>
            </w:r>
            <w:r w:rsidRPr="007A24BF">
              <w:rPr>
                <w:rStyle w:val="normaltextrun"/>
                <w:rFonts w:eastAsia="MS Gothic" w:cs="Arial"/>
                <w:color w:val="000000"/>
                <w:spacing w:val="-5"/>
                <w:szCs w:val="20"/>
                <w:shd w:val="clear" w:color="auto" w:fill="FFFFFF"/>
              </w:rPr>
              <w:t xml:space="preserve"> poklesu </w:t>
            </w:r>
            <w:r>
              <w:rPr>
                <w:rStyle w:val="normaltextrun"/>
                <w:rFonts w:eastAsia="MS Gothic" w:cs="Arial"/>
                <w:color w:val="000000"/>
                <w:spacing w:val="-5"/>
                <w:szCs w:val="20"/>
                <w:shd w:val="clear" w:color="auto" w:fill="FFFFFF"/>
              </w:rPr>
              <w:t>došlo</w:t>
            </w:r>
            <w:r w:rsidRPr="007A24BF">
              <w:rPr>
                <w:rStyle w:val="normaltextrun"/>
                <w:rFonts w:eastAsia="MS Gothic" w:cs="Arial"/>
                <w:color w:val="000000"/>
                <w:spacing w:val="-5"/>
                <w:szCs w:val="20"/>
                <w:shd w:val="clear" w:color="auto" w:fill="FFFFFF"/>
              </w:rPr>
              <w:t xml:space="preserve"> ve všech krajích </w:t>
            </w:r>
            <w:r>
              <w:rPr>
                <w:rStyle w:val="normaltextrun"/>
                <w:rFonts w:eastAsia="MS Gothic" w:cs="Arial"/>
                <w:color w:val="000000"/>
                <w:spacing w:val="-5"/>
                <w:szCs w:val="20"/>
                <w:shd w:val="clear" w:color="auto" w:fill="FFFFFF"/>
              </w:rPr>
              <w:t>v</w:t>
            </w:r>
            <w:r w:rsidRPr="007A24BF">
              <w:rPr>
                <w:rStyle w:val="normaltextrun"/>
                <w:rFonts w:eastAsia="MS Gothic" w:cs="Arial"/>
                <w:color w:val="000000"/>
                <w:spacing w:val="-5"/>
                <w:szCs w:val="20"/>
                <w:shd w:val="clear" w:color="auto" w:fill="FFFFFF"/>
              </w:rPr>
              <w:t>yjma Prahy, kde výstavba nepatrně posílila.</w:t>
            </w:r>
          </w:p>
        </w:tc>
      </w:tr>
      <w:tr w:rsidR="00213E46" w:rsidRPr="003E0927" w14:paraId="4215EFCC" w14:textId="77777777" w:rsidTr="00496812">
        <w:trPr>
          <w:trHeight w:val="170"/>
        </w:trPr>
        <w:tc>
          <w:tcPr>
            <w:tcW w:w="1814" w:type="dxa"/>
            <w:shd w:val="clear" w:color="auto" w:fill="auto"/>
            <w:tcMar>
              <w:left w:w="0" w:type="dxa"/>
            </w:tcMar>
          </w:tcPr>
          <w:p w14:paraId="7EE6E011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lastRenderedPageBreak/>
              <w:t>Hodnota nově uzavřených zakázek po většinu loňského roku svižně rostla. Vlivem vyšší rozestavěnosti se udržovala i vysoká celková zásoba práce od soukromých i veřejných zadavatelů.</w:t>
            </w:r>
          </w:p>
          <w:p w14:paraId="7A2EF404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765449CA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1A9FD2D4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0067E004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2C09BA7E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0C4440BB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Hodnota povolených staveb se snižovala, zejména u dopravní infrastruktury. K oživení naopak došlo u nové bytové výstavby.</w:t>
            </w: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3173F657" w14:textId="77777777" w:rsidR="00213E46" w:rsidRPr="00784EC8" w:rsidRDefault="00213E46" w:rsidP="00496812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48BE281E" w14:textId="77777777" w:rsidR="00213E46" w:rsidRPr="003E0927" w:rsidRDefault="00213E46" w:rsidP="00496812">
            <w:pPr>
              <w:rPr>
                <w:rFonts w:eastAsia="MS Gothic" w:cs="Arial"/>
                <w:spacing w:val="-4"/>
                <w:szCs w:val="20"/>
              </w:rPr>
            </w:pPr>
            <w:r>
              <w:rPr>
                <w:rStyle w:val="normaltextrun"/>
                <w:rFonts w:eastAsia="MS Gothic" w:cs="Arial"/>
                <w:spacing w:val="-4"/>
                <w:szCs w:val="20"/>
              </w:rPr>
              <w:t>Z různých</w:t>
            </w:r>
            <w:r w:rsidRPr="003E0927">
              <w:rPr>
                <w:rStyle w:val="normaltextrun"/>
                <w:rFonts w:eastAsia="MS Gothic" w:cs="Arial"/>
                <w:spacing w:val="-4"/>
                <w:szCs w:val="20"/>
              </w:rPr>
              <w:t xml:space="preserve"> předstihových ukazatelů vychází pro stavebnictví </w:t>
            </w:r>
            <w:r>
              <w:rPr>
                <w:rStyle w:val="normaltextrun"/>
                <w:rFonts w:eastAsia="MS Gothic" w:cs="Arial"/>
                <w:spacing w:val="-4"/>
                <w:szCs w:val="20"/>
              </w:rPr>
              <w:t>aktuálně</w:t>
            </w:r>
            <w:r w:rsidRPr="003E0927">
              <w:rPr>
                <w:rStyle w:val="normaltextrun"/>
                <w:rFonts w:eastAsia="MS Gothic" w:cs="Arial"/>
                <w:spacing w:val="-4"/>
                <w:szCs w:val="20"/>
              </w:rPr>
              <w:t xml:space="preserve"> nejlépe nové tuzemské zakázky </w:t>
            </w:r>
            <w:r w:rsidRPr="003E0927">
              <w:rPr>
                <w:rStyle w:val="normaltextrun"/>
                <w:rFonts w:eastAsia="MS Gothic" w:cs="Arial"/>
                <w:color w:val="000000"/>
                <w:spacing w:val="-4"/>
                <w:szCs w:val="20"/>
              </w:rPr>
              <w:t>(uzavřen</w:t>
            </w:r>
            <w:r>
              <w:rPr>
                <w:rStyle w:val="normaltextrun"/>
                <w:rFonts w:eastAsia="MS Gothic" w:cs="Arial"/>
                <w:color w:val="000000"/>
                <w:spacing w:val="-4"/>
                <w:szCs w:val="20"/>
              </w:rPr>
              <w:t>é</w:t>
            </w:r>
            <w:r w:rsidRPr="003E0927">
              <w:rPr>
                <w:rStyle w:val="normaltextrun"/>
                <w:rFonts w:eastAsia="MS Gothic" w:cs="Arial"/>
                <w:color w:val="000000"/>
                <w:spacing w:val="-4"/>
                <w:szCs w:val="20"/>
              </w:rPr>
              <w:t xml:space="preserve"> </w:t>
            </w:r>
            <w:r w:rsidRPr="003E0927">
              <w:rPr>
                <w:color w:val="0D0D0D" w:themeColor="text1" w:themeTint="F2"/>
                <w:spacing w:val="-4"/>
              </w:rPr>
              <w:t>podniky nad 50 zaměstnanců)</w:t>
            </w:r>
            <w:r w:rsidRPr="003E0927">
              <w:rPr>
                <w:rStyle w:val="normaltextrun"/>
                <w:rFonts w:eastAsia="MS Gothic" w:cs="Arial"/>
                <w:spacing w:val="-4"/>
                <w:szCs w:val="20"/>
              </w:rPr>
              <w:t xml:space="preserve">. Jejich nominální hodnota </w:t>
            </w:r>
            <w:r w:rsidRPr="002F467B">
              <w:rPr>
                <w:rStyle w:val="normaltextrun"/>
                <w:rFonts w:eastAsia="MS Gothic" w:cs="Arial"/>
                <w:spacing w:val="-5"/>
                <w:szCs w:val="20"/>
              </w:rPr>
              <w:t>se ve 4. čtvrtletí meziročně zvýšila o 17,2 % (podobně vzrostla i za celý loňský rok), výhradně</w:t>
            </w:r>
            <w:r w:rsidRPr="003E0927">
              <w:rPr>
                <w:rStyle w:val="normaltextrun"/>
                <w:rFonts w:eastAsia="MS Gothic" w:cs="Arial"/>
                <w:spacing w:val="-4"/>
                <w:szCs w:val="20"/>
              </w:rPr>
              <w:t xml:space="preserve"> </w:t>
            </w:r>
            <w:r w:rsidRPr="007A24BF">
              <w:rPr>
                <w:rStyle w:val="normaltextrun"/>
                <w:rFonts w:eastAsia="MS Gothic" w:cs="Arial"/>
                <w:spacing w:val="-5"/>
                <w:szCs w:val="20"/>
              </w:rPr>
              <w:t xml:space="preserve">zásluhou inženýrského stavitelství, v němž vystoupala hodnota nových kontraktů na </w:t>
            </w:r>
            <w:r>
              <w:rPr>
                <w:rStyle w:val="normaltextrun"/>
                <w:rFonts w:eastAsia="MS Gothic" w:cs="Arial"/>
                <w:spacing w:val="-5"/>
                <w:szCs w:val="20"/>
              </w:rPr>
              <w:br/>
            </w:r>
            <w:r w:rsidRPr="007A24BF">
              <w:rPr>
                <w:rStyle w:val="normaltextrun"/>
                <w:rFonts w:eastAsia="MS Gothic" w:cs="Arial"/>
                <w:spacing w:val="-5"/>
                <w:szCs w:val="20"/>
              </w:rPr>
              <w:t>60 mld. korun</w:t>
            </w:r>
            <w:r w:rsidRPr="003E0927">
              <w:rPr>
                <w:rStyle w:val="normaltextrun"/>
                <w:rFonts w:eastAsia="MS Gothic" w:cs="Arial"/>
                <w:spacing w:val="-4"/>
                <w:szCs w:val="20"/>
              </w:rPr>
              <w:t xml:space="preserve"> (v rámci shodného období roku nejvíce v historii). Celková zásoba práce, zachycená stavem veškerých </w:t>
            </w:r>
            <w:r>
              <w:rPr>
                <w:rStyle w:val="normaltextrun"/>
                <w:rFonts w:eastAsia="MS Gothic" w:cs="Arial"/>
                <w:spacing w:val="-4"/>
                <w:szCs w:val="20"/>
              </w:rPr>
              <w:t xml:space="preserve">dosud nerealizovaných </w:t>
            </w:r>
            <w:r w:rsidRPr="003E0927">
              <w:rPr>
                <w:rStyle w:val="normaltextrun"/>
                <w:rFonts w:eastAsia="MS Gothic" w:cs="Arial"/>
                <w:spacing w:val="-4"/>
                <w:szCs w:val="20"/>
              </w:rPr>
              <w:t>zakázek</w:t>
            </w:r>
            <w:r>
              <w:rPr>
                <w:rStyle w:val="normaltextrun"/>
                <w:rFonts w:eastAsia="MS Gothic" w:cs="Arial"/>
                <w:spacing w:val="-4"/>
                <w:szCs w:val="20"/>
              </w:rPr>
              <w:t>, se na sklonku roku 2024</w:t>
            </w:r>
            <w:r w:rsidRPr="003E0927">
              <w:rPr>
                <w:rStyle w:val="normaltextrun"/>
                <w:rFonts w:eastAsia="MS Gothic" w:cs="Arial"/>
                <w:spacing w:val="-4"/>
                <w:szCs w:val="20"/>
              </w:rPr>
              <w:t xml:space="preserve"> meziročně navýšila o 25</w:t>
            </w:r>
            <w:r>
              <w:rPr>
                <w:rStyle w:val="normaltextrun"/>
                <w:rFonts w:eastAsia="MS Gothic" w:cs="Arial"/>
                <w:spacing w:val="-4"/>
                <w:szCs w:val="20"/>
              </w:rPr>
              <w:t>,9</w:t>
            </w:r>
            <w:r w:rsidRPr="003E0927">
              <w:rPr>
                <w:rStyle w:val="normaltextrun"/>
                <w:rFonts w:eastAsia="MS Gothic" w:cs="Arial"/>
                <w:spacing w:val="-4"/>
                <w:szCs w:val="20"/>
              </w:rPr>
              <w:t xml:space="preserve"> %. Přispěly k tomu hlavně veřejné zakázky (</w:t>
            </w:r>
            <w:r>
              <w:rPr>
                <w:rStyle w:val="normaltextrun"/>
                <w:rFonts w:eastAsia="MS Gothic" w:cs="Arial"/>
                <w:spacing w:val="-4"/>
                <w:szCs w:val="20"/>
              </w:rPr>
              <w:t>ty</w:t>
            </w:r>
            <w:r w:rsidRPr="003E0927">
              <w:rPr>
                <w:rStyle w:val="normaltextrun"/>
                <w:rFonts w:eastAsia="MS Gothic" w:cs="Arial"/>
                <w:spacing w:val="-4"/>
                <w:szCs w:val="20"/>
              </w:rPr>
              <w:t xml:space="preserve"> v posledních </w:t>
            </w:r>
            <w:r>
              <w:rPr>
                <w:rStyle w:val="normaltextrun"/>
                <w:rFonts w:eastAsia="MS Gothic" w:cs="Arial"/>
                <w:spacing w:val="-4"/>
                <w:szCs w:val="20"/>
              </w:rPr>
              <w:br/>
            </w:r>
            <w:r w:rsidRPr="003E0927">
              <w:rPr>
                <w:rStyle w:val="normaltextrun"/>
                <w:rFonts w:eastAsia="MS Gothic" w:cs="Arial"/>
                <w:spacing w:val="-4"/>
                <w:szCs w:val="20"/>
              </w:rPr>
              <w:t>2 letech tvoří zhruba dv</w:t>
            </w:r>
            <w:r>
              <w:rPr>
                <w:rStyle w:val="normaltextrun"/>
                <w:rFonts w:eastAsia="MS Gothic" w:cs="Arial"/>
                <w:spacing w:val="-4"/>
                <w:szCs w:val="20"/>
              </w:rPr>
              <w:t>ě třetiny celkové zásoby prací). P</w:t>
            </w:r>
            <w:r w:rsidRPr="003E0927">
              <w:rPr>
                <w:rStyle w:val="normaltextrun"/>
                <w:rFonts w:eastAsia="MS Gothic" w:cs="Arial"/>
                <w:spacing w:val="-4"/>
                <w:szCs w:val="20"/>
              </w:rPr>
              <w:t xml:space="preserve">o celý loňský rok ale rostla </w:t>
            </w:r>
            <w:r>
              <w:rPr>
                <w:rStyle w:val="normaltextrun"/>
                <w:rFonts w:eastAsia="MS Gothic" w:cs="Arial"/>
                <w:spacing w:val="-4"/>
                <w:szCs w:val="20"/>
              </w:rPr>
              <w:br/>
            </w:r>
            <w:r w:rsidRPr="003E0927">
              <w:rPr>
                <w:rStyle w:val="normaltextrun"/>
                <w:rFonts w:eastAsia="MS Gothic" w:cs="Arial"/>
                <w:spacing w:val="-4"/>
                <w:szCs w:val="20"/>
              </w:rPr>
              <w:t xml:space="preserve">i soukromá tuzemská poptávka (na </w:t>
            </w:r>
            <w:r>
              <w:rPr>
                <w:rStyle w:val="normaltextrun"/>
                <w:rFonts w:eastAsia="MS Gothic" w:cs="Arial"/>
                <w:spacing w:val="-4"/>
                <w:szCs w:val="20"/>
              </w:rPr>
              <w:t>konci roku byla meziročně vyšší o 31,6</w:t>
            </w:r>
            <w:r w:rsidRPr="003E0927">
              <w:rPr>
                <w:rStyle w:val="normaltextrun"/>
                <w:rFonts w:eastAsia="MS Gothic" w:cs="Arial"/>
                <w:spacing w:val="-4"/>
                <w:szCs w:val="20"/>
              </w:rPr>
              <w:t xml:space="preserve"> %). Naopak třetím rokem </w:t>
            </w:r>
            <w:r>
              <w:rPr>
                <w:rStyle w:val="normaltextrun"/>
                <w:rFonts w:eastAsia="MS Gothic" w:cs="Arial"/>
                <w:spacing w:val="-4"/>
                <w:szCs w:val="20"/>
              </w:rPr>
              <w:t xml:space="preserve">v </w:t>
            </w:r>
            <w:r w:rsidRPr="003E0927">
              <w:rPr>
                <w:rStyle w:val="normaltextrun"/>
                <w:rFonts w:eastAsia="MS Gothic" w:cs="Arial"/>
                <w:spacing w:val="-4"/>
                <w:szCs w:val="20"/>
              </w:rPr>
              <w:t xml:space="preserve">řadě se snižoval objem zahraničních zakázek, ty však hrají v celkové zásobě práce ve stavebnictví okrajovou roli. Méně příznivé vyhlídky pro tuzemské stavebnictví naznačuje orientační hodnota povolených staveb. Její </w:t>
            </w:r>
            <w:r w:rsidRPr="003E0927">
              <w:rPr>
                <w:color w:val="0D0D0D" w:themeColor="text1" w:themeTint="F2"/>
                <w:spacing w:val="-4"/>
              </w:rPr>
              <w:t xml:space="preserve">meziroční růst, trvající pět kvartálů v řadě, se ve 2. čtvrtletí 2024 zastavil, když ubylo hlavně velkých staveb (nad 1 mld. korun). Ani v následujícím období ke zlepšení nedošlo. Za celý rok se </w:t>
            </w:r>
            <w:r>
              <w:rPr>
                <w:color w:val="0D0D0D" w:themeColor="text1" w:themeTint="F2"/>
                <w:spacing w:val="-4"/>
              </w:rPr>
              <w:t xml:space="preserve">tak snížila </w:t>
            </w:r>
            <w:r>
              <w:rPr>
                <w:color w:val="0D0D0D" w:themeColor="text1" w:themeTint="F2"/>
                <w:spacing w:val="-4"/>
              </w:rPr>
              <w:br/>
              <w:t>o 3,5</w:t>
            </w:r>
            <w:r w:rsidRPr="003E0927">
              <w:rPr>
                <w:color w:val="0D0D0D" w:themeColor="text1" w:themeTint="F2"/>
                <w:spacing w:val="-4"/>
              </w:rPr>
              <w:t xml:space="preserve"> %, primárně kvůli </w:t>
            </w:r>
            <w:r>
              <w:rPr>
                <w:rStyle w:val="normaltextrun"/>
                <w:rFonts w:eastAsia="MS Gothic" w:cs="Arial"/>
                <w:color w:val="000000"/>
                <w:spacing w:val="-4"/>
                <w:szCs w:val="20"/>
              </w:rPr>
              <w:t>dopravní infrastruktuře</w:t>
            </w:r>
            <w:r w:rsidRPr="003E0927">
              <w:rPr>
                <w:rStyle w:val="normaltextrun"/>
                <w:rFonts w:eastAsia="MS Gothic" w:cs="Arial"/>
                <w:color w:val="000000"/>
                <w:spacing w:val="-4"/>
                <w:szCs w:val="20"/>
              </w:rPr>
              <w:t xml:space="preserve"> (</w:t>
            </w:r>
            <w:r w:rsidRPr="003E0927">
              <w:rPr>
                <w:color w:val="0D0D0D" w:themeColor="text1" w:themeTint="F2"/>
                <w:spacing w:val="-4"/>
              </w:rPr>
              <w:t>nové výstavbě</w:t>
            </w:r>
            <w:r>
              <w:rPr>
                <w:color w:val="0D0D0D" w:themeColor="text1" w:themeTint="F2"/>
                <w:spacing w:val="-4"/>
              </w:rPr>
              <w:t>, rekonstrukcím</w:t>
            </w:r>
            <w:r w:rsidRPr="003E0927">
              <w:rPr>
                <w:color w:val="0D0D0D" w:themeColor="text1" w:themeTint="F2"/>
                <w:spacing w:val="-4"/>
              </w:rPr>
              <w:t xml:space="preserve"> </w:t>
            </w:r>
            <w:r>
              <w:rPr>
                <w:color w:val="0D0D0D" w:themeColor="text1" w:themeTint="F2"/>
                <w:spacing w:val="-4"/>
              </w:rPr>
              <w:br/>
            </w:r>
            <w:r w:rsidRPr="003E0927">
              <w:rPr>
                <w:color w:val="0D0D0D" w:themeColor="text1" w:themeTint="F2"/>
                <w:spacing w:val="-4"/>
              </w:rPr>
              <w:t xml:space="preserve">i </w:t>
            </w:r>
            <w:r w:rsidRPr="003E0927">
              <w:rPr>
                <w:rStyle w:val="normaltextrun"/>
                <w:rFonts w:eastAsia="MS Gothic" w:cs="Arial"/>
                <w:color w:val="000000"/>
                <w:spacing w:val="-4"/>
                <w:szCs w:val="20"/>
              </w:rPr>
              <w:t>moder</w:t>
            </w:r>
            <w:r>
              <w:rPr>
                <w:rStyle w:val="normaltextrun"/>
                <w:rFonts w:eastAsia="MS Gothic" w:cs="Arial"/>
                <w:color w:val="000000"/>
                <w:spacing w:val="-4"/>
                <w:szCs w:val="20"/>
              </w:rPr>
              <w:t>nizacím) a též vlivem poklesu u</w:t>
            </w:r>
            <w:r>
              <w:rPr>
                <w:rStyle w:val="normaltextrun"/>
                <w:rFonts w:eastAsia="MS Gothic" w:cs="Arial"/>
                <w:spacing w:val="-4"/>
                <w:szCs w:val="20"/>
              </w:rPr>
              <w:t> </w:t>
            </w:r>
            <w:r w:rsidRPr="003E0927">
              <w:rPr>
                <w:rStyle w:val="normaltextrun"/>
                <w:rFonts w:eastAsia="MS Gothic" w:cs="Arial"/>
                <w:color w:val="000000"/>
                <w:spacing w:val="-4"/>
                <w:szCs w:val="20"/>
              </w:rPr>
              <w:t>nebytových budov. Naopak objem povolení na novou výstavbu by</w:t>
            </w:r>
            <w:r>
              <w:rPr>
                <w:rStyle w:val="normaltextrun"/>
                <w:rFonts w:eastAsia="MS Gothic" w:cs="Arial"/>
                <w:color w:val="000000"/>
                <w:spacing w:val="-4"/>
                <w:szCs w:val="20"/>
              </w:rPr>
              <w:t>tových budov mírně přibyl (+6,7 %) a ta</w:t>
            </w:r>
            <w:r w:rsidRPr="003E0927">
              <w:rPr>
                <w:rStyle w:val="normaltextrun"/>
                <w:rFonts w:eastAsia="MS Gothic" w:cs="Arial"/>
                <w:color w:val="000000"/>
                <w:spacing w:val="-4"/>
                <w:szCs w:val="20"/>
              </w:rPr>
              <w:t xml:space="preserve"> se loni na celkové hodnotě po</w:t>
            </w:r>
            <w:r>
              <w:rPr>
                <w:rStyle w:val="normaltextrun"/>
                <w:rFonts w:eastAsia="MS Gothic" w:cs="Arial"/>
                <w:color w:val="000000"/>
                <w:spacing w:val="-4"/>
                <w:szCs w:val="20"/>
              </w:rPr>
              <w:t>volení (580 mld. korun) podílela</w:t>
            </w:r>
            <w:r w:rsidRPr="003E0927">
              <w:rPr>
                <w:rStyle w:val="normaltextrun"/>
                <w:rFonts w:eastAsia="MS Gothic" w:cs="Arial"/>
                <w:color w:val="000000"/>
                <w:spacing w:val="-4"/>
                <w:szCs w:val="20"/>
              </w:rPr>
              <w:t xml:space="preserve"> čtvrtinou.</w:t>
            </w:r>
          </w:p>
        </w:tc>
      </w:tr>
      <w:tr w:rsidR="00213E46" w:rsidRPr="00D232BB" w14:paraId="4405ED2B" w14:textId="77777777" w:rsidTr="00496812">
        <w:trPr>
          <w:trHeight w:val="170"/>
        </w:trPr>
        <w:tc>
          <w:tcPr>
            <w:tcW w:w="1814" w:type="dxa"/>
            <w:vMerge w:val="restart"/>
            <w:shd w:val="clear" w:color="auto" w:fill="auto"/>
            <w:tcMar>
              <w:left w:w="0" w:type="dxa"/>
            </w:tcMar>
          </w:tcPr>
          <w:p w14:paraId="5E9D4A56" w14:textId="77777777" w:rsidR="00213E46" w:rsidRDefault="00213E46" w:rsidP="00496812">
            <w:pPr>
              <w:pStyle w:val="Marginlie"/>
            </w:pPr>
          </w:p>
        </w:tc>
        <w:tc>
          <w:tcPr>
            <w:tcW w:w="229" w:type="dxa"/>
            <w:vMerge w:val="restart"/>
            <w:shd w:val="clear" w:color="auto" w:fill="auto"/>
            <w:tcMar>
              <w:left w:w="0" w:type="dxa"/>
            </w:tcMar>
          </w:tcPr>
          <w:p w14:paraId="5339AE4A" w14:textId="77777777" w:rsidR="00213E46" w:rsidRDefault="00213E46" w:rsidP="00496812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66E0400C" w14:textId="77777777" w:rsidR="00213E46" w:rsidRPr="00D232BB" w:rsidRDefault="00213E46" w:rsidP="00496812">
            <w:pPr>
              <w:spacing w:after="20"/>
              <w:rPr>
                <w:rFonts w:cs="Arial"/>
                <w:bCs/>
              </w:rPr>
            </w:pPr>
            <w:r w:rsidRPr="006E759E">
              <w:rPr>
                <w:b/>
                <w:spacing w:val="-5"/>
              </w:rPr>
              <w:t xml:space="preserve">Graf č. 6 Příspěvky odvětví k meziroční změně stavební produkce </w:t>
            </w:r>
            <w:r w:rsidRPr="006E759E">
              <w:rPr>
                <w:spacing w:val="-5"/>
              </w:rPr>
              <w:t>(reálně, v p. b.)</w:t>
            </w:r>
            <w:r w:rsidRPr="006E759E">
              <w:rPr>
                <w:b/>
                <w:bCs/>
                <w:spacing w:val="-5"/>
              </w:rPr>
              <w:t>,</w:t>
            </w:r>
            <w:r w:rsidRPr="006E759E">
              <w:rPr>
                <w:b/>
                <w:bCs/>
                <w:spacing w:val="-5"/>
              </w:rPr>
              <w:br/>
            </w:r>
            <w:r w:rsidRPr="006E759E">
              <w:rPr>
                <w:b/>
                <w:spacing w:val="-5"/>
              </w:rPr>
              <w:t xml:space="preserve">nové stavební zakázky </w:t>
            </w:r>
            <w:r w:rsidRPr="006E759E">
              <w:rPr>
                <w:spacing w:val="-5"/>
              </w:rPr>
              <w:t>(</w:t>
            </w:r>
            <w:r w:rsidRPr="006E759E">
              <w:rPr>
                <w:bCs/>
                <w:spacing w:val="-5"/>
              </w:rPr>
              <w:t xml:space="preserve">nominálně, </w:t>
            </w:r>
            <w:r w:rsidRPr="006E759E">
              <w:rPr>
                <w:spacing w:val="-5"/>
              </w:rPr>
              <w:t>meziročně,</w:t>
            </w:r>
            <w:r w:rsidRPr="006E759E">
              <w:rPr>
                <w:bCs/>
                <w:spacing w:val="-5"/>
              </w:rPr>
              <w:t xml:space="preserve"> v %)</w:t>
            </w:r>
            <w:r w:rsidRPr="006E759E">
              <w:rPr>
                <w:b/>
                <w:spacing w:val="-5"/>
              </w:rPr>
              <w:t>, saldo důvěry podnikatelů ve stavebnictví*</w:t>
            </w:r>
            <w:r w:rsidRPr="006E759E">
              <w:rPr>
                <w:spacing w:val="-5"/>
              </w:rPr>
              <w:t xml:space="preserve"> (v p. b., pravá osa) </w:t>
            </w:r>
            <w:r w:rsidRPr="006E759E">
              <w:rPr>
                <w:b/>
                <w:spacing w:val="-5"/>
              </w:rPr>
              <w:t>a vybrané bariéry růstu</w:t>
            </w:r>
            <w:r w:rsidRPr="006E759E">
              <w:rPr>
                <w:spacing w:val="-5"/>
              </w:rPr>
              <w:t>* (v %, pravá osa)</w:t>
            </w:r>
          </w:p>
        </w:tc>
      </w:tr>
      <w:tr w:rsidR="00213E46" w:rsidRPr="0067514E" w14:paraId="191200A7" w14:textId="77777777" w:rsidTr="00496812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14" w:type="dxa"/>
            <w:vMerge/>
            <w:shd w:val="clear" w:color="auto" w:fill="auto"/>
          </w:tcPr>
          <w:p w14:paraId="3268582C" w14:textId="77777777" w:rsidR="00213E46" w:rsidRDefault="00213E46" w:rsidP="00496812">
            <w:pPr>
              <w:pStyle w:val="Marginlie"/>
            </w:pPr>
          </w:p>
        </w:tc>
        <w:tc>
          <w:tcPr>
            <w:tcW w:w="229" w:type="dxa"/>
            <w:vMerge/>
            <w:shd w:val="clear" w:color="auto" w:fill="auto"/>
          </w:tcPr>
          <w:p w14:paraId="680B69BF" w14:textId="77777777" w:rsidR="00213E46" w:rsidRDefault="00213E46" w:rsidP="00496812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96" w:type="dxa"/>
            <w:shd w:val="clear" w:color="auto" w:fill="auto"/>
          </w:tcPr>
          <w:p w14:paraId="18E4B575" w14:textId="77777777" w:rsidR="00213E46" w:rsidRPr="0067514E" w:rsidRDefault="00213E46" w:rsidP="00496812">
            <w:pPr>
              <w:spacing w:after="0"/>
              <w:rPr>
                <w:spacing w:val="-6"/>
              </w:rPr>
            </w:pPr>
            <w:r>
              <w:rPr>
                <w:noProof/>
              </w:rPr>
              <w:drawing>
                <wp:inline distT="0" distB="0" distL="0" distR="0" wp14:anchorId="1CD39F68" wp14:editId="7D970EE0">
                  <wp:extent cx="4734560" cy="3355450"/>
                  <wp:effectExtent l="0" t="0" r="8890" b="0"/>
                  <wp:docPr id="40" name="Graf 4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213E46" w:rsidRPr="00EC434A" w14:paraId="51F84BCA" w14:textId="77777777" w:rsidTr="00496812">
        <w:trPr>
          <w:trHeight w:val="170"/>
        </w:trPr>
        <w:tc>
          <w:tcPr>
            <w:tcW w:w="1814" w:type="dxa"/>
            <w:vMerge/>
            <w:shd w:val="clear" w:color="auto" w:fill="auto"/>
            <w:tcMar>
              <w:left w:w="0" w:type="dxa"/>
            </w:tcMar>
          </w:tcPr>
          <w:p w14:paraId="62AFD484" w14:textId="77777777" w:rsidR="00213E46" w:rsidRDefault="00213E46" w:rsidP="00496812">
            <w:pPr>
              <w:pStyle w:val="Marginlie"/>
            </w:pPr>
          </w:p>
        </w:tc>
        <w:tc>
          <w:tcPr>
            <w:tcW w:w="229" w:type="dxa"/>
            <w:vMerge/>
            <w:shd w:val="clear" w:color="auto" w:fill="auto"/>
            <w:tcMar>
              <w:left w:w="0" w:type="dxa"/>
            </w:tcMar>
          </w:tcPr>
          <w:p w14:paraId="0E78C198" w14:textId="77777777" w:rsidR="00213E46" w:rsidRDefault="00213E46" w:rsidP="00496812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49A79E70" w14:textId="77777777" w:rsidR="00213E46" w:rsidRPr="00883202" w:rsidRDefault="00213E46" w:rsidP="00496812">
            <w:pPr>
              <w:spacing w:after="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Poznámka: </w:t>
            </w:r>
            <w:r w:rsidRPr="00883202">
              <w:rPr>
                <w:rFonts w:cs="Arial"/>
                <w:sz w:val="14"/>
                <w:szCs w:val="14"/>
              </w:rPr>
              <w:t>Údaje o stavební produkci jsou očištěny o kalendářní vlivy.</w:t>
            </w:r>
          </w:p>
          <w:p w14:paraId="3E760DB2" w14:textId="77777777" w:rsidR="00213E46" w:rsidRPr="00EC434A" w:rsidRDefault="00213E46" w:rsidP="00496812">
            <w:pPr>
              <w:pStyle w:val="Textpoznpodarou"/>
              <w:spacing w:after="200"/>
              <w:jc w:val="both"/>
              <w:rPr>
                <w:rFonts w:cs="Arial"/>
                <w:sz w:val="14"/>
                <w:szCs w:val="14"/>
              </w:rPr>
            </w:pPr>
            <w:r w:rsidRPr="00883202">
              <w:rPr>
                <w:rFonts w:cs="Arial"/>
                <w:sz w:val="14"/>
                <w:szCs w:val="14"/>
              </w:rPr>
              <w:t>*</w:t>
            </w:r>
            <w:r w:rsidRPr="006E759E">
              <w:rPr>
                <w:rFonts w:cs="Arial"/>
                <w:spacing w:val="-2"/>
                <w:sz w:val="14"/>
                <w:szCs w:val="14"/>
              </w:rPr>
              <w:t>Saldo důvěry podnikatelů i bariéry</w:t>
            </w:r>
            <w:r w:rsidRPr="00883202">
              <w:rPr>
                <w:rFonts w:cs="Arial"/>
                <w:spacing w:val="-2"/>
                <w:sz w:val="14"/>
                <w:szCs w:val="14"/>
              </w:rPr>
              <w:t xml:space="preserve"> růstu jsou sezónně očištěny a vyjadřují stav ve druhém měsíci daného čtvrtletí</w:t>
            </w:r>
            <w:r w:rsidRPr="00883202">
              <w:rPr>
                <w:rFonts w:cs="Arial"/>
                <w:sz w:val="14"/>
                <w:szCs w:val="14"/>
              </w:rPr>
              <w:t>.</w:t>
            </w:r>
            <w:r>
              <w:rPr>
                <w:rFonts w:cs="Arial"/>
                <w:sz w:val="14"/>
                <w:szCs w:val="14"/>
              </w:rPr>
              <w:t xml:space="preserve"> Podniky mohly uvést více hlavních bariér současně.                                                                                                 </w:t>
            </w:r>
            <w:r w:rsidRPr="00883202">
              <w:rPr>
                <w:rFonts w:cs="Arial"/>
                <w:sz w:val="14"/>
                <w:szCs w:val="14"/>
              </w:rPr>
              <w:t>Zdroj: ČSÚ</w:t>
            </w:r>
            <w:r>
              <w:rPr>
                <w:rFonts w:cs="Arial"/>
                <w:sz w:val="14"/>
                <w:szCs w:val="14"/>
              </w:rPr>
              <w:t>, Eurostat</w:t>
            </w:r>
          </w:p>
        </w:tc>
      </w:tr>
      <w:tr w:rsidR="00213E46" w:rsidRPr="002B3418" w14:paraId="357B7D7E" w14:textId="77777777" w:rsidTr="00496812">
        <w:trPr>
          <w:trHeight w:val="170"/>
        </w:trPr>
        <w:tc>
          <w:tcPr>
            <w:tcW w:w="1814" w:type="dxa"/>
            <w:shd w:val="clear" w:color="auto" w:fill="auto"/>
            <w:tcMar>
              <w:left w:w="0" w:type="dxa"/>
            </w:tcMar>
          </w:tcPr>
          <w:p w14:paraId="3D807453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Důvěra podnikatelů ve stavebnictví vystoupala letos v únoru nejvýše za poslední dva a půl roku.</w:t>
            </w:r>
          </w:p>
          <w:p w14:paraId="03FB7C3B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61D9A25F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75370687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5B025816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</w:p>
          <w:p w14:paraId="03FA2554" w14:textId="77777777" w:rsidR="00213E46" w:rsidRDefault="00213E46" w:rsidP="00496812">
            <w:pPr>
              <w:pStyle w:val="Marginlie"/>
            </w:pPr>
          </w:p>
          <w:p w14:paraId="2E76B91F" w14:textId="77777777" w:rsidR="00213E46" w:rsidRDefault="00213E46" w:rsidP="00496812">
            <w:pPr>
              <w:pStyle w:val="Marginlie"/>
            </w:pPr>
            <w:r>
              <w:t>Rozvoj poloviny stavebních firem je limitován nedostatkem pracovníků.</w:t>
            </w: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1BA8972E" w14:textId="77777777" w:rsidR="00213E46" w:rsidRDefault="00213E46" w:rsidP="00496812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2DBC8D0A" w14:textId="77777777" w:rsidR="00213E46" w:rsidRPr="002B3418" w:rsidRDefault="00213E46" w:rsidP="00496812">
            <w:pPr>
              <w:spacing w:after="220"/>
              <w:rPr>
                <w:rFonts w:cs="Arial"/>
                <w:szCs w:val="20"/>
              </w:rPr>
            </w:pPr>
            <w:r w:rsidRPr="00224C0C">
              <w:rPr>
                <w:color w:val="0D0D0D" w:themeColor="text1" w:themeTint="F2"/>
                <w:spacing w:val="-4"/>
              </w:rPr>
              <w:t>P</w:t>
            </w:r>
            <w:r w:rsidRPr="00224C0C">
              <w:rPr>
                <w:rStyle w:val="normaltextrun"/>
                <w:rFonts w:eastAsiaTheme="majorEastAsia" w:cs="Arial"/>
                <w:spacing w:val="-4"/>
                <w:szCs w:val="20"/>
              </w:rPr>
              <w:t>esimismus podnikatelů ve stavebnictví se od konce loňského léta zmírňoval. V </w:t>
            </w:r>
            <w:r>
              <w:rPr>
                <w:rStyle w:val="normaltextrun"/>
                <w:rFonts w:eastAsiaTheme="majorEastAsia" w:cs="Arial"/>
                <w:spacing w:val="-4"/>
                <w:szCs w:val="20"/>
              </w:rPr>
              <w:t>únoru</w:t>
            </w:r>
            <w:r w:rsidRPr="00224C0C">
              <w:rPr>
                <w:rStyle w:val="normaltextrun"/>
                <w:rFonts w:eastAsiaTheme="majorEastAsia" w:cs="Arial"/>
                <w:spacing w:val="-4"/>
                <w:szCs w:val="20"/>
              </w:rPr>
              <w:t xml:space="preserve"> </w:t>
            </w:r>
            <w:r w:rsidRPr="00224C0C">
              <w:rPr>
                <w:rStyle w:val="normaltextrun"/>
                <w:rFonts w:eastAsiaTheme="majorEastAsia" w:cs="Arial"/>
                <w:spacing w:val="-5"/>
                <w:szCs w:val="20"/>
              </w:rPr>
              <w:t xml:space="preserve">2025 vystoupala jejich důvěra na nejvyšší úroveň za poslední dva a půl roku </w:t>
            </w:r>
            <w:r>
              <w:rPr>
                <w:rStyle w:val="normaltextrun"/>
                <w:rFonts w:eastAsiaTheme="majorEastAsia" w:cs="Arial"/>
                <w:spacing w:val="-5"/>
                <w:szCs w:val="20"/>
              </w:rPr>
              <w:t>(saldo důvěry aktuálně činilo</w:t>
            </w:r>
            <w:r w:rsidRPr="00224C0C">
              <w:rPr>
                <w:rStyle w:val="normaltextrun"/>
                <w:rFonts w:eastAsiaTheme="majorEastAsia" w:cs="Arial"/>
                <w:spacing w:val="-5"/>
                <w:szCs w:val="20"/>
              </w:rPr>
              <w:t xml:space="preserve"> </w:t>
            </w:r>
            <w:r w:rsidRPr="00224C0C">
              <w:rPr>
                <w:color w:val="0D0D0D" w:themeColor="text1" w:themeTint="F2"/>
                <w:spacing w:val="-5"/>
              </w:rPr>
              <w:t>−</w:t>
            </w:r>
            <w:r w:rsidRPr="00224C0C">
              <w:rPr>
                <w:rStyle w:val="normaltextrun"/>
                <w:rFonts w:eastAsiaTheme="majorEastAsia" w:cs="Arial"/>
                <w:spacing w:val="-5"/>
                <w:szCs w:val="20"/>
              </w:rPr>
              <w:t>4 body).</w:t>
            </w:r>
            <w:r w:rsidRPr="00224C0C">
              <w:rPr>
                <w:rStyle w:val="normaltextrun"/>
                <w:rFonts w:eastAsiaTheme="majorEastAsia" w:cs="Arial"/>
                <w:spacing w:val="-4"/>
                <w:szCs w:val="20"/>
              </w:rPr>
              <w:t xml:space="preserve"> Stálo za tím </w:t>
            </w:r>
            <w:r>
              <w:rPr>
                <w:rStyle w:val="normaltextrun"/>
                <w:rFonts w:eastAsiaTheme="majorEastAsia" w:cs="Arial"/>
                <w:spacing w:val="-4"/>
                <w:szCs w:val="20"/>
              </w:rPr>
              <w:t xml:space="preserve">hlavně </w:t>
            </w:r>
            <w:r w:rsidRPr="00224C0C">
              <w:rPr>
                <w:rStyle w:val="normaltextrun"/>
                <w:rFonts w:eastAsiaTheme="majorEastAsia" w:cs="Arial"/>
                <w:spacing w:val="-4"/>
                <w:szCs w:val="20"/>
              </w:rPr>
              <w:t>zlepšení očekávání zaměstnanosti (ubylo firem plánujících propouštění</w:t>
            </w:r>
            <w:r w:rsidRPr="00224C0C">
              <w:rPr>
                <w:rStyle w:val="Znakapoznpodarou"/>
                <w:rFonts w:eastAsiaTheme="majorEastAsia"/>
                <w:spacing w:val="-4"/>
                <w:szCs w:val="20"/>
              </w:rPr>
              <w:footnoteReference w:id="27"/>
            </w:r>
            <w:r w:rsidRPr="00224C0C">
              <w:rPr>
                <w:rStyle w:val="normaltextrun"/>
                <w:rFonts w:eastAsiaTheme="majorEastAsia" w:cs="Arial"/>
                <w:spacing w:val="-4"/>
                <w:szCs w:val="20"/>
              </w:rPr>
              <w:t xml:space="preserve">) umožněné mírně pozitivním očekáváním </w:t>
            </w:r>
            <w:r>
              <w:rPr>
                <w:rStyle w:val="normaltextrun"/>
                <w:rFonts w:eastAsiaTheme="majorEastAsia" w:cs="Arial"/>
                <w:spacing w:val="-4"/>
                <w:szCs w:val="20"/>
              </w:rPr>
              <w:t>poptávky i</w:t>
            </w:r>
            <w:r w:rsidRPr="00224C0C">
              <w:rPr>
                <w:rStyle w:val="normaltextrun"/>
                <w:rFonts w:eastAsiaTheme="majorEastAsia" w:cs="Arial"/>
                <w:spacing w:val="-4"/>
                <w:szCs w:val="20"/>
              </w:rPr>
              <w:t xml:space="preserve"> výroby (i po zohlednění sezónnosti)</w:t>
            </w:r>
            <w:r>
              <w:rPr>
                <w:rStyle w:val="normaltextrun"/>
                <w:rFonts w:eastAsiaTheme="majorEastAsia" w:cs="Arial"/>
                <w:spacing w:val="-4"/>
                <w:szCs w:val="20"/>
              </w:rPr>
              <w:t xml:space="preserve">. </w:t>
            </w:r>
            <w:r>
              <w:rPr>
                <w:rStyle w:val="normaltextrun"/>
                <w:rFonts w:eastAsiaTheme="majorEastAsia" w:cs="Arial"/>
                <w:szCs w:val="20"/>
              </w:rPr>
              <w:t>To se promítá i do očekávání celkové ekonomické situace firem, jež je aktuálně ve stavebnictví</w:t>
            </w:r>
            <w:r>
              <w:rPr>
                <w:rStyle w:val="Znakapoznpodarou"/>
                <w:rFonts w:eastAsiaTheme="majorEastAsia"/>
                <w:szCs w:val="20"/>
              </w:rPr>
              <w:footnoteReference w:id="28"/>
            </w:r>
            <w:r>
              <w:rPr>
                <w:rStyle w:val="normaltextrun"/>
                <w:rFonts w:eastAsiaTheme="majorEastAsia" w:cs="Arial"/>
                <w:szCs w:val="20"/>
              </w:rPr>
              <w:t xml:space="preserve"> příznivější než v průmyslu.</w:t>
            </w:r>
            <w:r>
              <w:rPr>
                <w:rStyle w:val="eop"/>
                <w:rFonts w:cs="Arial"/>
                <w:szCs w:val="20"/>
              </w:rPr>
              <w:t xml:space="preserve"> </w:t>
            </w:r>
            <w:r>
              <w:rPr>
                <w:rStyle w:val="normaltextrun"/>
                <w:rFonts w:eastAsia="MS Gothic" w:cs="Arial"/>
                <w:szCs w:val="20"/>
              </w:rPr>
              <w:t xml:space="preserve">Hodnocení aktuální </w:t>
            </w:r>
            <w:r>
              <w:rPr>
                <w:rStyle w:val="normaltextrun"/>
                <w:rFonts w:eastAsia="MS Gothic" w:cs="Arial"/>
                <w:szCs w:val="20"/>
              </w:rPr>
              <w:lastRenderedPageBreak/>
              <w:t>poptávky (s</w:t>
            </w:r>
            <w:r w:rsidRPr="00A145EB">
              <w:rPr>
                <w:color w:val="0D0D0D" w:themeColor="text1" w:themeTint="F2"/>
                <w:spacing w:val="-5"/>
              </w:rPr>
              <w:t> </w:t>
            </w:r>
            <w:r>
              <w:rPr>
                <w:rStyle w:val="normaltextrun"/>
                <w:rFonts w:eastAsia="MS Gothic" w:cs="Arial"/>
                <w:szCs w:val="20"/>
              </w:rPr>
              <w:t xml:space="preserve">ohledem na sezónnost) bylo letos v únoru nejlepší za posledních dvacet měsíců. Navzdory tomu ji stále 23 % firem vnímalo jako nedostatečnou (pozitivně naopak jen 11 %, což však bylo více než v předchozích měsících). </w:t>
            </w:r>
            <w:r>
              <w:rPr>
                <w:rStyle w:val="normaltextrun"/>
                <w:rFonts w:eastAsiaTheme="majorEastAsia" w:cs="Arial"/>
                <w:szCs w:val="20"/>
              </w:rPr>
              <w:t>Klíčovou bariérou růstu odvětví ale s výrazným předstihem zůstává nedostatek (zejména kvalifikovaných) pracovníků (jako jednu z bariér ji uvedlo 54 % firem, nejvíce je trápila v segmentu výstavby budov). Role této bariéry, stejně jako dalších, se meziročně významně nezměnila</w:t>
            </w:r>
            <w:r>
              <w:rPr>
                <w:rStyle w:val="Znakapoznpodarou"/>
                <w:rFonts w:eastAsiaTheme="majorEastAsia"/>
                <w:szCs w:val="20"/>
              </w:rPr>
              <w:footnoteReference w:id="29"/>
            </w:r>
            <w:r>
              <w:rPr>
                <w:rStyle w:val="normaltextrun"/>
                <w:rFonts w:eastAsiaTheme="majorEastAsia" w:cs="Arial"/>
                <w:szCs w:val="20"/>
              </w:rPr>
              <w:t xml:space="preserve">. </w:t>
            </w:r>
          </w:p>
        </w:tc>
      </w:tr>
      <w:tr w:rsidR="00213E46" w:rsidRPr="00A145EB" w14:paraId="25DA032B" w14:textId="77777777" w:rsidTr="00496812">
        <w:trPr>
          <w:trHeight w:val="170"/>
        </w:trPr>
        <w:tc>
          <w:tcPr>
            <w:tcW w:w="1814" w:type="dxa"/>
            <w:shd w:val="clear" w:color="auto" w:fill="auto"/>
            <w:tcMar>
              <w:left w:w="0" w:type="dxa"/>
            </w:tcMar>
          </w:tcPr>
          <w:p w14:paraId="5D8A21D7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lastRenderedPageBreak/>
              <w:t>Recese loni postihla stavebnictví ve většině států EU. Meziroční dynamika stavební produkce v Česku byla podobná jako v Unii.</w:t>
            </w: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1741117F" w14:textId="77777777" w:rsidR="00213E46" w:rsidRDefault="00213E46" w:rsidP="00496812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3648E731" w14:textId="77777777" w:rsidR="00213E46" w:rsidRPr="00A145EB" w:rsidRDefault="00213E46" w:rsidP="00496812">
            <w:pPr>
              <w:spacing w:after="220"/>
              <w:rPr>
                <w:color w:val="0D0D0D" w:themeColor="text1" w:themeTint="F2"/>
                <w:spacing w:val="-5"/>
              </w:rPr>
            </w:pPr>
            <w:r w:rsidRPr="00A145EB">
              <w:rPr>
                <w:color w:val="0D0D0D" w:themeColor="text1" w:themeTint="F2"/>
                <w:spacing w:val="-5"/>
              </w:rPr>
              <w:t xml:space="preserve">Za loňský rok produkce ve stavebnictví </w:t>
            </w:r>
            <w:r>
              <w:rPr>
                <w:color w:val="0D0D0D" w:themeColor="text1" w:themeTint="F2"/>
                <w:spacing w:val="-5"/>
              </w:rPr>
              <w:t>v EU klesla o 1,4</w:t>
            </w:r>
            <w:r w:rsidRPr="00A145EB">
              <w:rPr>
                <w:color w:val="0D0D0D" w:themeColor="text1" w:themeTint="F2"/>
                <w:spacing w:val="-5"/>
              </w:rPr>
              <w:t xml:space="preserve"> %</w:t>
            </w:r>
            <w:r>
              <w:rPr>
                <w:rStyle w:val="Znakapoznpodarou"/>
                <w:color w:val="0D0D0D" w:themeColor="text1" w:themeTint="F2"/>
                <w:spacing w:val="-5"/>
              </w:rPr>
              <w:footnoteReference w:id="30"/>
            </w:r>
            <w:r w:rsidRPr="00A145EB">
              <w:rPr>
                <w:color w:val="0D0D0D" w:themeColor="text1" w:themeTint="F2"/>
                <w:spacing w:val="-5"/>
              </w:rPr>
              <w:t xml:space="preserve"> (snížila se po tříletém růstu). K poklesu přispěla nejvíce výstavba budov, v níž se výkon sn</w:t>
            </w:r>
            <w:r>
              <w:rPr>
                <w:color w:val="0D0D0D" w:themeColor="text1" w:themeTint="F2"/>
                <w:spacing w:val="-5"/>
              </w:rPr>
              <w:t>ížil podruhé v řadě (loni o 3,2</w:t>
            </w:r>
            <w:r w:rsidRPr="00A145EB">
              <w:rPr>
                <w:rStyle w:val="normaltextrun"/>
                <w:rFonts w:eastAsia="MS Gothic" w:cs="Arial"/>
                <w:spacing w:val="-5"/>
                <w:szCs w:val="20"/>
              </w:rPr>
              <w:t> </w:t>
            </w:r>
            <w:r w:rsidRPr="00A145EB">
              <w:rPr>
                <w:color w:val="0D0D0D" w:themeColor="text1" w:themeTint="F2"/>
                <w:spacing w:val="-5"/>
              </w:rPr>
              <w:t>%), současně ale pokračovalo zotavování inženýr</w:t>
            </w:r>
            <w:r>
              <w:rPr>
                <w:color w:val="0D0D0D" w:themeColor="text1" w:themeTint="F2"/>
                <w:spacing w:val="-5"/>
              </w:rPr>
              <w:t>ského stavitelství (+0,4 %), byť</w:t>
            </w:r>
            <w:r w:rsidRPr="00A145EB">
              <w:rPr>
                <w:color w:val="0D0D0D" w:themeColor="text1" w:themeTint="F2"/>
                <w:spacing w:val="-5"/>
              </w:rPr>
              <w:t xml:space="preserve"> pomaleji než v předchozích třec</w:t>
            </w:r>
            <w:r>
              <w:rPr>
                <w:color w:val="0D0D0D" w:themeColor="text1" w:themeTint="F2"/>
                <w:spacing w:val="-5"/>
              </w:rPr>
              <w:t>h letech. L</w:t>
            </w:r>
            <w:r w:rsidRPr="00A145EB">
              <w:rPr>
                <w:color w:val="0D0D0D" w:themeColor="text1" w:themeTint="F2"/>
                <w:spacing w:val="-5"/>
              </w:rPr>
              <w:t>oňský pokles tuzemského stave</w:t>
            </w:r>
            <w:r>
              <w:rPr>
                <w:color w:val="0D0D0D" w:themeColor="text1" w:themeTint="F2"/>
                <w:spacing w:val="-5"/>
              </w:rPr>
              <w:t>bnictví byl podobný jako v Unií</w:t>
            </w:r>
            <w:r w:rsidRPr="00A145EB">
              <w:rPr>
                <w:color w:val="0D0D0D" w:themeColor="text1" w:themeTint="F2"/>
                <w:spacing w:val="-5"/>
              </w:rPr>
              <w:t>, v pořadí členských států patřilo Česku k průměru. Ve významných ekonomikách totiž bylo stavebni</w:t>
            </w:r>
            <w:r>
              <w:rPr>
                <w:color w:val="0D0D0D" w:themeColor="text1" w:themeTint="F2"/>
                <w:spacing w:val="-5"/>
              </w:rPr>
              <w:t>ctví v hlubší recesi: Německo (</w:t>
            </w:r>
            <w:r w:rsidRPr="00224C0C">
              <w:rPr>
                <w:color w:val="0D0D0D" w:themeColor="text1" w:themeTint="F2"/>
                <w:spacing w:val="-5"/>
              </w:rPr>
              <w:t>−</w:t>
            </w:r>
            <w:r>
              <w:rPr>
                <w:color w:val="0D0D0D" w:themeColor="text1" w:themeTint="F2"/>
                <w:spacing w:val="-5"/>
              </w:rPr>
              <w:t>3,1 %), Francie (</w:t>
            </w:r>
            <w:r w:rsidRPr="00224C0C">
              <w:rPr>
                <w:color w:val="0D0D0D" w:themeColor="text1" w:themeTint="F2"/>
                <w:spacing w:val="-5"/>
              </w:rPr>
              <w:t>−</w:t>
            </w:r>
            <w:r>
              <w:rPr>
                <w:color w:val="0D0D0D" w:themeColor="text1" w:themeTint="F2"/>
                <w:spacing w:val="-5"/>
              </w:rPr>
              <w:t>3,4</w:t>
            </w:r>
            <w:r w:rsidRPr="00A145EB">
              <w:rPr>
                <w:color w:val="0D0D0D" w:themeColor="text1" w:themeTint="F2"/>
                <w:spacing w:val="-5"/>
              </w:rPr>
              <w:t xml:space="preserve"> %), Pols</w:t>
            </w:r>
            <w:r>
              <w:rPr>
                <w:color w:val="0D0D0D" w:themeColor="text1" w:themeTint="F2"/>
                <w:spacing w:val="-5"/>
              </w:rPr>
              <w:t>ko (</w:t>
            </w:r>
            <w:r w:rsidRPr="00224C0C">
              <w:rPr>
                <w:color w:val="0D0D0D" w:themeColor="text1" w:themeTint="F2"/>
                <w:spacing w:val="-5"/>
              </w:rPr>
              <w:t>−</w:t>
            </w:r>
            <w:r>
              <w:rPr>
                <w:color w:val="0D0D0D" w:themeColor="text1" w:themeTint="F2"/>
                <w:spacing w:val="-5"/>
              </w:rPr>
              <w:t>7,7</w:t>
            </w:r>
            <w:r w:rsidRPr="00A145EB">
              <w:rPr>
                <w:color w:val="0D0D0D" w:themeColor="text1" w:themeTint="F2"/>
                <w:spacing w:val="-5"/>
              </w:rPr>
              <w:t xml:space="preserve"> %). Nejv</w:t>
            </w:r>
            <w:r>
              <w:rPr>
                <w:color w:val="0D0D0D" w:themeColor="text1" w:themeTint="F2"/>
                <w:spacing w:val="-5"/>
              </w:rPr>
              <w:t>yšší propad postihl Slovinsko (</w:t>
            </w:r>
            <w:r w:rsidRPr="00224C0C">
              <w:rPr>
                <w:color w:val="0D0D0D" w:themeColor="text1" w:themeTint="F2"/>
                <w:spacing w:val="-5"/>
              </w:rPr>
              <w:t>−</w:t>
            </w:r>
            <w:r>
              <w:rPr>
                <w:color w:val="0D0D0D" w:themeColor="text1" w:themeTint="F2"/>
                <w:spacing w:val="-5"/>
              </w:rPr>
              <w:t>9,3</w:t>
            </w:r>
            <w:r w:rsidRPr="00A145EB">
              <w:rPr>
                <w:color w:val="0D0D0D" w:themeColor="text1" w:themeTint="F2"/>
                <w:spacing w:val="-5"/>
              </w:rPr>
              <w:t xml:space="preserve"> %) a dále i řadu novějších členských států (Rumunsk</w:t>
            </w:r>
            <w:r>
              <w:rPr>
                <w:color w:val="0D0D0D" w:themeColor="text1" w:themeTint="F2"/>
                <w:spacing w:val="-5"/>
              </w:rPr>
              <w:t>o, Slovensko, Maďarsko</w:t>
            </w:r>
            <w:r w:rsidRPr="00A145EB">
              <w:rPr>
                <w:color w:val="0D0D0D" w:themeColor="text1" w:themeTint="F2"/>
                <w:spacing w:val="-5"/>
              </w:rPr>
              <w:t>), u nichž se projevil dopad cyklu čerpání eurofondů na dopravní infrastrukturu (</w:t>
            </w:r>
            <w:r>
              <w:rPr>
                <w:color w:val="0D0D0D" w:themeColor="text1" w:themeTint="F2"/>
                <w:spacing w:val="-5"/>
              </w:rPr>
              <w:t xml:space="preserve">zpomalení při </w:t>
            </w:r>
            <w:r w:rsidRPr="00A145EB">
              <w:rPr>
                <w:color w:val="0D0D0D" w:themeColor="text1" w:themeTint="F2"/>
                <w:spacing w:val="-5"/>
              </w:rPr>
              <w:t>přechod</w:t>
            </w:r>
            <w:r>
              <w:rPr>
                <w:color w:val="0D0D0D" w:themeColor="text1" w:themeTint="F2"/>
                <w:spacing w:val="-5"/>
              </w:rPr>
              <w:t>u</w:t>
            </w:r>
            <w:r w:rsidRPr="00A145EB">
              <w:rPr>
                <w:color w:val="0D0D0D" w:themeColor="text1" w:themeTint="F2"/>
                <w:spacing w:val="-5"/>
              </w:rPr>
              <w:t xml:space="preserve"> na nové programové období).</w:t>
            </w:r>
            <w:r>
              <w:rPr>
                <w:color w:val="0D0D0D" w:themeColor="text1" w:themeTint="F2"/>
                <w:spacing w:val="-5"/>
              </w:rPr>
              <w:t xml:space="preserve"> Naopak nejvyšší oživení zažily</w:t>
            </w:r>
            <w:r w:rsidRPr="00A145EB">
              <w:rPr>
                <w:color w:val="0D0D0D" w:themeColor="text1" w:themeTint="F2"/>
                <w:spacing w:val="-5"/>
              </w:rPr>
              <w:t xml:space="preserve"> některé jihoevropské státy, kde se projevil efekt solidní</w:t>
            </w:r>
            <w:r>
              <w:rPr>
                <w:color w:val="0D0D0D" w:themeColor="text1" w:themeTint="F2"/>
                <w:spacing w:val="-5"/>
              </w:rPr>
              <w:t>ho</w:t>
            </w:r>
            <w:r w:rsidRPr="00A145EB">
              <w:rPr>
                <w:color w:val="0D0D0D" w:themeColor="text1" w:themeTint="F2"/>
                <w:spacing w:val="-5"/>
              </w:rPr>
              <w:t xml:space="preserve"> růstu celé ekonomiky. Stavební produkce tak vzrostla v Itálii </w:t>
            </w:r>
            <w:r>
              <w:rPr>
                <w:color w:val="0D0D0D" w:themeColor="text1" w:themeTint="F2"/>
                <w:spacing w:val="-5"/>
              </w:rPr>
              <w:t>o 3,9</w:t>
            </w:r>
            <w:r w:rsidRPr="00A145EB">
              <w:rPr>
                <w:color w:val="0D0D0D" w:themeColor="text1" w:themeTint="F2"/>
                <w:spacing w:val="-5"/>
              </w:rPr>
              <w:t xml:space="preserve"> %, ve Španěls</w:t>
            </w:r>
            <w:r>
              <w:rPr>
                <w:color w:val="0D0D0D" w:themeColor="text1" w:themeTint="F2"/>
                <w:spacing w:val="-5"/>
              </w:rPr>
              <w:t>ku o 3,6 % a v Portugalsku o 3,1</w:t>
            </w:r>
            <w:r w:rsidRPr="00A145EB">
              <w:rPr>
                <w:color w:val="0D0D0D" w:themeColor="text1" w:themeTint="F2"/>
                <w:spacing w:val="-5"/>
              </w:rPr>
              <w:t xml:space="preserve"> %.</w:t>
            </w:r>
          </w:p>
        </w:tc>
      </w:tr>
      <w:tr w:rsidR="00213E46" w:rsidRPr="0097184D" w14:paraId="41CDA321" w14:textId="77777777" w:rsidTr="00496812">
        <w:trPr>
          <w:trHeight w:val="170"/>
        </w:trPr>
        <w:tc>
          <w:tcPr>
            <w:tcW w:w="1814" w:type="dxa"/>
            <w:shd w:val="clear" w:color="auto" w:fill="auto"/>
            <w:tcMar>
              <w:left w:w="0" w:type="dxa"/>
            </w:tcMar>
          </w:tcPr>
          <w:p w14:paraId="37B83D39" w14:textId="77777777" w:rsidR="00213E46" w:rsidRDefault="00213E46" w:rsidP="00496812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rFonts w:cs="Arial"/>
                <w:color w:val="0D0D0D" w:themeColor="text1" w:themeTint="F2"/>
                <w:spacing w:val="-4"/>
              </w:rPr>
              <w:t>Poptávka po službách na počátku roku 2024 mezikvartálně výrazně ožila.</w:t>
            </w: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32117AD1" w14:textId="77777777" w:rsidR="00213E46" w:rsidRDefault="00213E46" w:rsidP="00496812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63A165DC" w14:textId="77777777" w:rsidR="00213E46" w:rsidRPr="0097184D" w:rsidRDefault="00213E46" w:rsidP="00496812">
            <w:pPr>
              <w:spacing w:after="220"/>
              <w:rPr>
                <w:rFonts w:cs="Arial"/>
                <w:color w:val="0D0D0D" w:themeColor="text1" w:themeTint="F2"/>
                <w:spacing w:val="-6"/>
              </w:rPr>
            </w:pPr>
            <w:r w:rsidRPr="006D5758">
              <w:rPr>
                <w:color w:val="0D0D0D" w:themeColor="text1" w:themeTint="F2"/>
                <w:spacing w:val="-6"/>
              </w:rPr>
              <w:t xml:space="preserve">Na přelomu let 2023 a 2024 </w:t>
            </w:r>
            <w:r>
              <w:rPr>
                <w:color w:val="0D0D0D" w:themeColor="text1" w:themeTint="F2"/>
                <w:spacing w:val="-6"/>
              </w:rPr>
              <w:t xml:space="preserve">nastal pozitivní obrat poptávky po službách. </w:t>
            </w:r>
            <w:r>
              <w:rPr>
                <w:color w:val="0D0D0D" w:themeColor="text1" w:themeTint="F2"/>
                <w:spacing w:val="-4"/>
              </w:rPr>
              <w:t xml:space="preserve">Stabilizace hladiny spotřebitelských cen pomohla po delší době nastartovat růst reálných mezd zaměstnanců, což se odrazilo v příznivější finanční situaci domácností a následně stimulovalo jejich spotřebu. Na služby působila loni pozitivně i mírně rostoucí podniková poptávka, jež byla po většinu předcházejícího roku ještě </w:t>
            </w:r>
            <w:r w:rsidRPr="005D1599">
              <w:rPr>
                <w:color w:val="0D0D0D" w:themeColor="text1" w:themeTint="F2"/>
                <w:spacing w:val="-6"/>
              </w:rPr>
              <w:t>dosti utlumená.</w:t>
            </w:r>
            <w:r>
              <w:rPr>
                <w:color w:val="0D0D0D" w:themeColor="text1" w:themeTint="F2"/>
                <w:spacing w:val="-6"/>
              </w:rPr>
              <w:t xml:space="preserve"> </w:t>
            </w:r>
            <w:r w:rsidRPr="005D1599">
              <w:rPr>
                <w:rFonts w:cs="Arial"/>
                <w:color w:val="0D0D0D" w:themeColor="text1" w:themeTint="F2"/>
                <w:spacing w:val="-6"/>
              </w:rPr>
              <w:t>Tržby ve službách</w:t>
            </w:r>
            <w:r w:rsidRPr="005D1599">
              <w:rPr>
                <w:color w:val="0D0D0D" w:themeColor="text1" w:themeTint="F2"/>
                <w:spacing w:val="-6"/>
                <w:vertAlign w:val="superscript"/>
              </w:rPr>
              <w:footnoteReference w:id="31"/>
            </w:r>
            <w:r w:rsidRPr="005D1599">
              <w:rPr>
                <w:rFonts w:cs="Arial"/>
                <w:color w:val="0D0D0D" w:themeColor="text1" w:themeTint="F2"/>
                <w:spacing w:val="-6"/>
              </w:rPr>
              <w:t xml:space="preserve"> </w:t>
            </w:r>
            <w:r>
              <w:rPr>
                <w:rFonts w:cs="Arial"/>
                <w:color w:val="0D0D0D" w:themeColor="text1" w:themeTint="F2"/>
                <w:spacing w:val="-6"/>
              </w:rPr>
              <w:t xml:space="preserve">na počátku roku 2024 </w:t>
            </w:r>
            <w:r>
              <w:rPr>
                <w:rFonts w:cs="Arial"/>
                <w:color w:val="0D0D0D" w:themeColor="text1" w:themeTint="F2"/>
                <w:spacing w:val="-4"/>
              </w:rPr>
              <w:t>mezikvartálně posílily o rovná 2 %, což znamenalo nejsilnější oživení za poslední bezmála dva roky, na němž se podílely především doprava a skladování. Po většinu zbývající části roku si služby celkově udržely mírnější růst. Ty se tak na jeho konci nacházel</w:t>
            </w:r>
            <w:r w:rsidRPr="00C8516F">
              <w:rPr>
                <w:rFonts w:cs="Arial"/>
                <w:color w:val="0D0D0D" w:themeColor="text1" w:themeTint="F2"/>
                <w:spacing w:val="-4"/>
              </w:rPr>
              <w:t xml:space="preserve">y </w:t>
            </w:r>
            <w:r>
              <w:rPr>
                <w:rFonts w:cs="Arial"/>
                <w:color w:val="0D0D0D" w:themeColor="text1" w:themeTint="F2"/>
                <w:spacing w:val="-4"/>
              </w:rPr>
              <w:t>lehce nad úrovní z vrcholu poslední konjunktury v předpandemickém období (oproti 2.</w:t>
            </w:r>
            <w:r w:rsidRPr="00C8516F">
              <w:rPr>
                <w:rFonts w:cs="Arial"/>
                <w:color w:val="0D0D0D" w:themeColor="text1" w:themeTint="F2"/>
                <w:spacing w:val="-4"/>
              </w:rPr>
              <w:t xml:space="preserve"> č</w:t>
            </w:r>
            <w:r>
              <w:rPr>
                <w:rFonts w:cs="Arial"/>
                <w:color w:val="0D0D0D" w:themeColor="text1" w:themeTint="F2"/>
                <w:spacing w:val="-4"/>
              </w:rPr>
              <w:t>tvrtletí 2019 byly vyšší o 2,1 %</w:t>
            </w:r>
            <w:r w:rsidRPr="00C8516F">
              <w:rPr>
                <w:rFonts w:cs="Arial"/>
                <w:color w:val="0D0D0D" w:themeColor="text1" w:themeTint="F2"/>
                <w:spacing w:val="-4"/>
              </w:rPr>
              <w:t>)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32"/>
            </w:r>
            <w:r w:rsidRPr="00C8516F">
              <w:rPr>
                <w:rFonts w:cs="Arial"/>
                <w:color w:val="0D0D0D" w:themeColor="text1" w:themeTint="F2"/>
                <w:spacing w:val="-4"/>
              </w:rPr>
              <w:t>.</w:t>
            </w:r>
          </w:p>
        </w:tc>
      </w:tr>
      <w:tr w:rsidR="00213E46" w14:paraId="3A03F44E" w14:textId="77777777" w:rsidTr="00496812">
        <w:trPr>
          <w:trHeight w:val="170"/>
        </w:trPr>
        <w:tc>
          <w:tcPr>
            <w:tcW w:w="1814" w:type="dxa"/>
            <w:shd w:val="clear" w:color="auto" w:fill="auto"/>
            <w:tcMar>
              <w:left w:w="0" w:type="dxa"/>
            </w:tcMar>
          </w:tcPr>
          <w:p w14:paraId="08F80CA6" w14:textId="77777777" w:rsidR="00213E46" w:rsidRDefault="00213E46" w:rsidP="00496812">
            <w:pPr>
              <w:pStyle w:val="Marginlie"/>
              <w:rPr>
                <w:rFonts w:cs="Arial"/>
                <w:color w:val="0D0D0D" w:themeColor="text1" w:themeTint="F2"/>
                <w:spacing w:val="-4"/>
              </w:rPr>
            </w:pPr>
            <w:r w:rsidRPr="008104DB">
              <w:rPr>
                <w:rFonts w:cs="Arial"/>
                <w:color w:val="0D0D0D" w:themeColor="text1" w:themeTint="F2"/>
                <w:spacing w:val="-4"/>
              </w:rPr>
              <w:t xml:space="preserve">Meziroční růst tržeb nastal 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loni </w:t>
            </w:r>
            <w:r w:rsidRPr="008104DB">
              <w:rPr>
                <w:rFonts w:cs="Arial"/>
                <w:color w:val="0D0D0D" w:themeColor="text1" w:themeTint="F2"/>
                <w:spacing w:val="-4"/>
              </w:rPr>
              <w:t>ve všech druzích dopravy. Pokračoval svižný růst letecké dopravy, kde pop</w:t>
            </w:r>
            <w:r>
              <w:rPr>
                <w:rFonts w:cs="Arial"/>
                <w:color w:val="0D0D0D" w:themeColor="text1" w:themeTint="F2"/>
                <w:spacing w:val="-4"/>
              </w:rPr>
              <w:t>távka poprvé překonala úroveň z</w:t>
            </w:r>
            <w:r>
              <w:rPr>
                <w:color w:val="0D0D0D" w:themeColor="text1" w:themeTint="F2"/>
                <w:spacing w:val="-6"/>
              </w:rPr>
              <w:t> </w:t>
            </w:r>
            <w:r w:rsidRPr="008104DB">
              <w:rPr>
                <w:rFonts w:cs="Arial"/>
                <w:color w:val="0D0D0D" w:themeColor="text1" w:themeTint="F2"/>
                <w:spacing w:val="-4"/>
              </w:rPr>
              <w:t>roku 2019.</w:t>
            </w: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2F09DFBF" w14:textId="77777777" w:rsidR="00213E46" w:rsidRPr="00D87405" w:rsidRDefault="00213E46" w:rsidP="00496812">
            <w:pPr>
              <w:pStyle w:val="Textpoznpodarou"/>
              <w:jc w:val="both"/>
              <w:rPr>
                <w:rFonts w:eastAsia="Times New Roman" w:cs="Arial"/>
                <w:color w:val="0D0D0D" w:themeColor="text1" w:themeTint="F2"/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28D97901" w14:textId="77777777" w:rsidR="00213E46" w:rsidRDefault="00213E46" w:rsidP="00496812">
            <w:pPr>
              <w:spacing w:after="220"/>
              <w:rPr>
                <w:color w:val="0D0D0D" w:themeColor="text1" w:themeTint="F2"/>
                <w:spacing w:val="-6"/>
              </w:rPr>
            </w:pPr>
            <w:r>
              <w:rPr>
                <w:color w:val="0D0D0D" w:themeColor="text1" w:themeTint="F2"/>
                <w:spacing w:val="-6"/>
              </w:rPr>
              <w:t xml:space="preserve">Loni se celkové tržby ve službách zvedly meziročně o 2,3 % a kompenzovaly slabší výkon z předešlého roku. 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Na tomto výsledku se bezmála z poloviny podílelo odvětví dopravy </w:t>
            </w:r>
            <w:r>
              <w:rPr>
                <w:rFonts w:cs="Arial"/>
                <w:color w:val="0D0D0D" w:themeColor="text1" w:themeTint="F2"/>
                <w:spacing w:val="-4"/>
              </w:rPr>
              <w:br/>
              <w:t>a skladování, v němž se tržby po výrazně slabém roce 2023 loni zvýšily o 4,6 %. Dynamiku tohoto odvětví i přes skromnější růst určovala primárně pozemní a potrubní doprava (+3,1</w:t>
            </w:r>
            <w:r>
              <w:rPr>
                <w:color w:val="0D0D0D" w:themeColor="text1" w:themeTint="F2"/>
                <w:spacing w:val="-6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%) 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33"/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. </w:t>
            </w:r>
            <w:r>
              <w:rPr>
                <w:color w:val="0D0D0D" w:themeColor="text1" w:themeTint="F2"/>
                <w:spacing w:val="-4"/>
              </w:rPr>
              <w:t>Mírně rostly výkony silniční dopravy, jež kompenzovaly pokračující pokles v železniční nákladní dopravě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34"/>
            </w:r>
            <w:r>
              <w:rPr>
                <w:color w:val="0D0D0D" w:themeColor="text1" w:themeTint="F2"/>
                <w:spacing w:val="-4"/>
              </w:rPr>
              <w:t xml:space="preserve">. Zvyšovala se poptávka po skladování a vedlejších činnostech v dopravě, kde se tržby zvýšily o 5,2 % a ve srovnání s rokem 2019 byly vyšší přibližně o sedminu. Podobně na tom byly i poštovní a kurýrní činnosti, jejichž tržby se po </w:t>
            </w:r>
            <w:r>
              <w:rPr>
                <w:color w:val="0D0D0D" w:themeColor="text1" w:themeTint="F2"/>
                <w:spacing w:val="-4"/>
              </w:rPr>
              <w:lastRenderedPageBreak/>
              <w:t>poklesu v letech 2022 i 2023 mírně zvýšily (+2,6 %), z velké části díky oživení u internetových prodejů. Dařilo se i tuzemským leteckým přepravcům, kteří vykázali růst o 21,9 % a tržby se u nich poprvé dorovnaly předcovidové úrovni.</w:t>
            </w:r>
          </w:p>
        </w:tc>
      </w:tr>
      <w:tr w:rsidR="00295A5D" w14:paraId="77107D70" w14:textId="77777777" w:rsidTr="00496812">
        <w:trPr>
          <w:trHeight w:val="170"/>
        </w:trPr>
        <w:tc>
          <w:tcPr>
            <w:tcW w:w="1814" w:type="dxa"/>
            <w:shd w:val="clear" w:color="auto" w:fill="auto"/>
            <w:tcMar>
              <w:left w:w="0" w:type="dxa"/>
            </w:tcMar>
          </w:tcPr>
          <w:p w14:paraId="10E71432" w14:textId="3C0BAC0E" w:rsidR="00295A5D" w:rsidRPr="008104DB" w:rsidRDefault="00295A5D" w:rsidP="00295A5D">
            <w:pPr>
              <w:pStyle w:val="Marginlie"/>
              <w:rPr>
                <w:rFonts w:cs="Arial"/>
                <w:color w:val="0D0D0D" w:themeColor="text1" w:themeTint="F2"/>
                <w:spacing w:val="-4"/>
              </w:rPr>
            </w:pPr>
            <w:r w:rsidRPr="00BA4612">
              <w:rPr>
                <w:rFonts w:cs="Arial"/>
                <w:color w:val="0D0D0D" w:themeColor="text1" w:themeTint="F2"/>
                <w:spacing w:val="-4"/>
              </w:rPr>
              <w:lastRenderedPageBreak/>
              <w:t xml:space="preserve">Růst poptávky v ubytování, stravování </w:t>
            </w:r>
            <w:r>
              <w:rPr>
                <w:rFonts w:cs="Arial"/>
                <w:color w:val="0D0D0D" w:themeColor="text1" w:themeTint="F2"/>
                <w:spacing w:val="-4"/>
              </w:rPr>
              <w:br/>
            </w:r>
            <w:r w:rsidRPr="00BA4612">
              <w:rPr>
                <w:rFonts w:cs="Arial"/>
                <w:color w:val="0D0D0D" w:themeColor="text1" w:themeTint="F2"/>
                <w:spacing w:val="-4"/>
              </w:rPr>
              <w:t>a pohostinství byl loni velmi mírný.</w:t>
            </w:r>
            <w:r>
              <w:rPr>
                <w:color w:val="0D0D0D" w:themeColor="text1" w:themeTint="F2"/>
                <w:spacing w:val="-6"/>
              </w:rPr>
              <w:t xml:space="preserve"> Příjezdový cestovní ruch zažil slabší letní sezónu, avšak závěr roku výsledky zlepšil.</w:t>
            </w: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0BFE800F" w14:textId="77777777" w:rsidR="00295A5D" w:rsidRPr="00D87405" w:rsidRDefault="00295A5D" w:rsidP="00295A5D">
            <w:pPr>
              <w:pStyle w:val="Textpoznpodarou"/>
              <w:jc w:val="both"/>
              <w:rPr>
                <w:rFonts w:eastAsia="Times New Roman" w:cs="Arial"/>
                <w:color w:val="0D0D0D" w:themeColor="text1" w:themeTint="F2"/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3D837446" w14:textId="6A077B22" w:rsidR="00295A5D" w:rsidRDefault="00295A5D" w:rsidP="00295A5D">
            <w:pPr>
              <w:spacing w:after="220"/>
              <w:rPr>
                <w:color w:val="0D0D0D" w:themeColor="text1" w:themeTint="F2"/>
                <w:spacing w:val="-6"/>
              </w:rPr>
            </w:pPr>
            <w:r>
              <w:rPr>
                <w:rFonts w:cs="Arial"/>
                <w:color w:val="0D0D0D" w:themeColor="text1" w:themeTint="F2"/>
                <w:spacing w:val="-4"/>
              </w:rPr>
              <w:t xml:space="preserve">V odvětví ubytování, stravování a pohostinství se loni tržby meziročně zvýšily pouze </w:t>
            </w:r>
            <w:r>
              <w:rPr>
                <w:rFonts w:cs="Arial"/>
                <w:color w:val="0D0D0D" w:themeColor="text1" w:themeTint="F2"/>
                <w:spacing w:val="-4"/>
              </w:rPr>
              <w:br/>
              <w:t>o 0,7 %, nejméně za poslední čtyři roky. Zčásti šlo o důsledek slabší letní sezóny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35"/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</w:t>
            </w:r>
            <w:r>
              <w:rPr>
                <w:rFonts w:cs="Arial"/>
                <w:color w:val="0D0D0D" w:themeColor="text1" w:themeTint="F2"/>
                <w:spacing w:val="-4"/>
              </w:rPr>
              <w:br/>
              <w:t>a zejména jejího konce, který byl ve všech segmentech odvětví poznamenán zářijovými povodněmi. Vedle toho mohl po celý rok působit i efekt pokračujícího svižného růstu cen v této oblasti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36"/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, což mohlo spolu se </w:t>
            </w:r>
            <w:r w:rsidRPr="00D51812">
              <w:rPr>
                <w:color w:val="0D0D0D" w:themeColor="text1" w:themeTint="F2"/>
                <w:spacing w:val="-4"/>
              </w:rPr>
              <w:t>zhoršenou finanční situací části domácností (vlivem slabého růstu ekonomiky a poklesu reál</w:t>
            </w:r>
            <w:r>
              <w:rPr>
                <w:color w:val="0D0D0D" w:themeColor="text1" w:themeTint="F2"/>
                <w:spacing w:val="-4"/>
              </w:rPr>
              <w:t xml:space="preserve">ných mezd v předchozích letech) vést k částečnému omezení tuzemské poptávky. Mírný růst tržeb za loňský rok nastal jen ve </w:t>
            </w:r>
            <w:r w:rsidRPr="004C3380">
              <w:rPr>
                <w:rFonts w:cs="Arial"/>
                <w:color w:val="0D0D0D" w:themeColor="text1" w:themeTint="F2"/>
                <w:spacing w:val="-2"/>
              </w:rPr>
              <w:t>stravování a pohostinství</w:t>
            </w:r>
            <w:r>
              <w:rPr>
                <w:rFonts w:cs="Arial"/>
                <w:color w:val="0D0D0D" w:themeColor="text1" w:themeTint="F2"/>
                <w:spacing w:val="-2"/>
              </w:rPr>
              <w:t xml:space="preserve"> (+1,5 %),</w:t>
            </w:r>
            <w:r w:rsidRPr="004C3380">
              <w:rPr>
                <w:rFonts w:cs="Arial"/>
                <w:color w:val="0D0D0D" w:themeColor="text1" w:themeTint="F2"/>
                <w:spacing w:val="-2"/>
              </w:rPr>
              <w:t xml:space="preserve"> </w:t>
            </w:r>
            <w:r>
              <w:rPr>
                <w:rFonts w:cs="Arial"/>
                <w:color w:val="0D0D0D" w:themeColor="text1" w:themeTint="F2"/>
                <w:spacing w:val="-2"/>
              </w:rPr>
              <w:t xml:space="preserve">v </w:t>
            </w:r>
            <w:r w:rsidRPr="004C3380">
              <w:rPr>
                <w:rFonts w:cs="Arial"/>
                <w:color w:val="0D0D0D" w:themeColor="text1" w:themeTint="F2"/>
                <w:spacing w:val="-2"/>
              </w:rPr>
              <w:t>ubytování</w:t>
            </w:r>
            <w:r>
              <w:rPr>
                <w:rFonts w:cs="Arial"/>
                <w:color w:val="0D0D0D" w:themeColor="text1" w:themeTint="F2"/>
                <w:spacing w:val="-2"/>
              </w:rPr>
              <w:t xml:space="preserve"> se tržby s podobnou intenzitou snížily. Naturální ukazatele v oblasti příjezdového cestovního ruchu poskytují za celý loňský rok mírně lepší výsledky</w:t>
            </w:r>
            <w:r>
              <w:rPr>
                <w:rStyle w:val="Znakapoznpodarou"/>
                <w:color w:val="0D0D0D" w:themeColor="text1" w:themeTint="F2"/>
                <w:spacing w:val="-2"/>
              </w:rPr>
              <w:footnoteReference w:id="37"/>
            </w:r>
            <w:r>
              <w:rPr>
                <w:rFonts w:cs="Arial"/>
                <w:color w:val="0D0D0D" w:themeColor="text1" w:themeTint="F2"/>
                <w:spacing w:val="-2"/>
              </w:rPr>
              <w:t>, slabší letní sezónu zde vykompenzoval relativně silný závěr roku</w:t>
            </w:r>
            <w:r>
              <w:rPr>
                <w:rStyle w:val="Znakapoznpodarou"/>
                <w:color w:val="0D0D0D" w:themeColor="text1" w:themeTint="F2"/>
                <w:spacing w:val="-2"/>
              </w:rPr>
              <w:footnoteReference w:id="38"/>
            </w:r>
            <w:r>
              <w:rPr>
                <w:rFonts w:cs="Arial"/>
                <w:color w:val="0D0D0D" w:themeColor="text1" w:themeTint="F2"/>
                <w:spacing w:val="-2"/>
              </w:rPr>
              <w:t>.</w:t>
            </w:r>
          </w:p>
        </w:tc>
      </w:tr>
      <w:tr w:rsidR="00295A5D" w14:paraId="19E76E08" w14:textId="77777777" w:rsidTr="00496812">
        <w:trPr>
          <w:trHeight w:val="170"/>
        </w:trPr>
        <w:tc>
          <w:tcPr>
            <w:tcW w:w="1814" w:type="dxa"/>
            <w:shd w:val="clear" w:color="auto" w:fill="auto"/>
            <w:tcMar>
              <w:left w:w="0" w:type="dxa"/>
            </w:tcMar>
          </w:tcPr>
          <w:p w14:paraId="7F1ED6FE" w14:textId="79EC7F74" w:rsidR="00295A5D" w:rsidRDefault="00295A5D" w:rsidP="00295A5D">
            <w:pPr>
              <w:pStyle w:val="Marginlie"/>
              <w:rPr>
                <w:rFonts w:cs="Arial"/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6"/>
              </w:rPr>
              <w:t xml:space="preserve">Poptávka po činnostech v oblasti IT rostla, </w:t>
            </w:r>
            <w:r>
              <w:rPr>
                <w:color w:val="0D0D0D" w:themeColor="text1" w:themeTint="F2"/>
                <w:spacing w:val="-6"/>
              </w:rPr>
              <w:br/>
              <w:t xml:space="preserve">v informačních činnostech byla stále utlumená. </w:t>
            </w: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5D2AC27C" w14:textId="77777777" w:rsidR="00295A5D" w:rsidRPr="00D87405" w:rsidRDefault="00295A5D" w:rsidP="00295A5D">
            <w:pPr>
              <w:pStyle w:val="Textpoznpodarou"/>
              <w:jc w:val="both"/>
              <w:rPr>
                <w:rFonts w:eastAsia="Times New Roman" w:cs="Arial"/>
                <w:color w:val="0D0D0D" w:themeColor="text1" w:themeTint="F2"/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4C7404C2" w14:textId="20D3D704" w:rsidR="00295A5D" w:rsidRDefault="00295A5D" w:rsidP="00295A5D">
            <w:pPr>
              <w:spacing w:after="220"/>
              <w:rPr>
                <w:rFonts w:cs="Arial"/>
                <w:color w:val="0D0D0D" w:themeColor="text1" w:themeTint="F2"/>
                <w:spacing w:val="-4"/>
              </w:rPr>
            </w:pPr>
            <w:r>
              <w:rPr>
                <w:rFonts w:cs="Arial"/>
                <w:color w:val="0D0D0D" w:themeColor="text1" w:themeTint="F2"/>
                <w:spacing w:val="-3"/>
                <w:szCs w:val="20"/>
              </w:rPr>
              <w:t>Tržby v </w:t>
            </w:r>
            <w:r w:rsidRPr="00A46D21">
              <w:rPr>
                <w:rFonts w:cs="Arial"/>
                <w:color w:val="0D0D0D" w:themeColor="text1" w:themeTint="F2"/>
                <w:spacing w:val="-6"/>
              </w:rPr>
              <w:t>informační</w:t>
            </w:r>
            <w:r>
              <w:rPr>
                <w:rFonts w:cs="Arial"/>
                <w:color w:val="0D0D0D" w:themeColor="text1" w:themeTint="F2"/>
                <w:spacing w:val="-6"/>
              </w:rPr>
              <w:t xml:space="preserve">ch </w:t>
            </w:r>
            <w:r w:rsidRPr="00A46D21">
              <w:rPr>
                <w:rFonts w:cs="Arial"/>
                <w:color w:val="0D0D0D" w:themeColor="text1" w:themeTint="F2"/>
                <w:spacing w:val="-6"/>
              </w:rPr>
              <w:t>a komunikační</w:t>
            </w:r>
            <w:r>
              <w:rPr>
                <w:rFonts w:cs="Arial"/>
                <w:color w:val="0D0D0D" w:themeColor="text1" w:themeTint="F2"/>
                <w:spacing w:val="-6"/>
              </w:rPr>
              <w:t>ch činnostech se po krátkodobém útlumu, k němuž došlo v roce 2023, loni vrátily k růstu (+2,2 %). Projevila se vyšší poptávka zejména po činnostech v oblasti IT</w:t>
            </w:r>
            <w:r>
              <w:rPr>
                <w:rStyle w:val="Znakapoznpodarou"/>
                <w:color w:val="0D0D0D" w:themeColor="text1" w:themeTint="F2"/>
                <w:spacing w:val="-6"/>
              </w:rPr>
              <w:footnoteReference w:id="39"/>
            </w:r>
            <w:r>
              <w:rPr>
                <w:rFonts w:cs="Arial"/>
                <w:color w:val="0D0D0D" w:themeColor="text1" w:themeTint="F2"/>
                <w:spacing w:val="-6"/>
              </w:rPr>
              <w:t xml:space="preserve"> (+4,5 %), shodným tempem se zvyšovala i v relativně malém segmentu tvorby rozhlasových a televizní programů a vysílání. Po předloňském útlumu (ojedinělém za posledních deset let) loni tržby v</w:t>
            </w:r>
            <w:r w:rsidRPr="00D51812">
              <w:rPr>
                <w:color w:val="0D0D0D" w:themeColor="text1" w:themeTint="F2"/>
                <w:spacing w:val="-4"/>
              </w:rPr>
              <w:t> </w:t>
            </w:r>
            <w:r>
              <w:rPr>
                <w:rFonts w:cs="Arial"/>
                <w:color w:val="0D0D0D" w:themeColor="text1" w:themeTint="F2"/>
                <w:spacing w:val="-6"/>
              </w:rPr>
              <w:t>informačních činnostech</w:t>
            </w:r>
            <w:r>
              <w:rPr>
                <w:rStyle w:val="Znakapoznpodarou"/>
                <w:color w:val="0D0D0D" w:themeColor="text1" w:themeTint="F2"/>
                <w:spacing w:val="-6"/>
              </w:rPr>
              <w:footnoteReference w:id="40"/>
            </w:r>
            <w:r>
              <w:rPr>
                <w:rFonts w:cs="Arial"/>
                <w:color w:val="0D0D0D" w:themeColor="text1" w:themeTint="F2"/>
                <w:spacing w:val="-6"/>
              </w:rPr>
              <w:t xml:space="preserve"> a také ve vydavatelských činnostech fakticky pouze stagnovaly. Pokračoval pokles v tzv. filmovém </w:t>
            </w:r>
            <w:r>
              <w:rPr>
                <w:rFonts w:cs="Arial"/>
                <w:color w:val="0D0D0D" w:themeColor="text1" w:themeTint="F2"/>
                <w:spacing w:val="-6"/>
              </w:rPr>
              <w:br/>
              <w:t>a hudebním průmyslu, který se loni razantně prohloubil bezmála na čtvrtinu%</w:t>
            </w:r>
            <w:r w:rsidRPr="00951B5E">
              <w:rPr>
                <w:rStyle w:val="Znakapoznpodarou"/>
                <w:color w:val="0D0D0D" w:themeColor="text1" w:themeTint="F2"/>
                <w:spacing w:val="-8"/>
              </w:rPr>
              <w:footnoteReference w:id="41"/>
            </w:r>
            <w:r>
              <w:rPr>
                <w:rFonts w:cs="Arial"/>
                <w:color w:val="0D0D0D" w:themeColor="text1" w:themeTint="F2"/>
                <w:spacing w:val="-6"/>
              </w:rPr>
              <w:t xml:space="preserve"> (podobně jako v krizovém roce 2020). Aktuální vývoj v tomto malém oboru souvisel s nepravidelnou fakturací (mohl být ovlivněn také nepřímými dopady delší stávky v Hollywoodu z konce předloňského roku).</w:t>
            </w:r>
          </w:p>
        </w:tc>
      </w:tr>
      <w:tr w:rsidR="00295A5D" w14:paraId="30900A0F" w14:textId="77777777" w:rsidTr="00496812">
        <w:trPr>
          <w:trHeight w:val="170"/>
        </w:trPr>
        <w:tc>
          <w:tcPr>
            <w:tcW w:w="1814" w:type="dxa"/>
            <w:shd w:val="clear" w:color="auto" w:fill="auto"/>
            <w:tcMar>
              <w:left w:w="0" w:type="dxa"/>
            </w:tcMar>
          </w:tcPr>
          <w:p w14:paraId="3C01F1A7" w14:textId="083D069D" w:rsidR="00295A5D" w:rsidRDefault="00295A5D" w:rsidP="00295A5D">
            <w:pPr>
              <w:pStyle w:val="Marginlie"/>
              <w:rPr>
                <w:color w:val="0D0D0D" w:themeColor="text1" w:themeTint="F2"/>
                <w:spacing w:val="-6"/>
              </w:rPr>
            </w:pPr>
            <w:r w:rsidRPr="000F196C">
              <w:rPr>
                <w:color w:val="0D0D0D" w:themeColor="text1" w:themeTint="F2"/>
                <w:spacing w:val="-4"/>
              </w:rPr>
              <w:t>Svižný růst poptávky po činnostech a poradenství v oblasti řízení podniků pokračoval. Naopak klesly tržby v oblasti reklamy.</w:t>
            </w:r>
            <w:r>
              <w:rPr>
                <w:color w:val="0D0D0D" w:themeColor="text1" w:themeTint="F2"/>
                <w:spacing w:val="-6"/>
              </w:rPr>
              <w:t xml:space="preserve"> </w:t>
            </w: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31A07706" w14:textId="77777777" w:rsidR="00295A5D" w:rsidRPr="00D87405" w:rsidRDefault="00295A5D" w:rsidP="00295A5D">
            <w:pPr>
              <w:pStyle w:val="Textpoznpodarou"/>
              <w:jc w:val="both"/>
              <w:rPr>
                <w:rFonts w:eastAsia="Times New Roman" w:cs="Arial"/>
                <w:color w:val="0D0D0D" w:themeColor="text1" w:themeTint="F2"/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7402F579" w14:textId="4537C994" w:rsidR="00295A5D" w:rsidRDefault="00295A5D" w:rsidP="00295A5D">
            <w:pPr>
              <w:spacing w:after="220"/>
              <w:rPr>
                <w:rFonts w:cs="Arial"/>
                <w:color w:val="0D0D0D" w:themeColor="text1" w:themeTint="F2"/>
                <w:spacing w:val="-3"/>
                <w:szCs w:val="20"/>
              </w:rPr>
            </w:pPr>
            <w:r>
              <w:rPr>
                <w:rFonts w:cs="Arial"/>
                <w:color w:val="0D0D0D" w:themeColor="text1" w:themeTint="F2"/>
                <w:spacing w:val="-3"/>
                <w:szCs w:val="20"/>
              </w:rPr>
              <w:t>M</w:t>
            </w:r>
            <w:r w:rsidRPr="009F5EA6">
              <w:rPr>
                <w:rFonts w:cs="Arial"/>
                <w:color w:val="0D0D0D" w:themeColor="text1" w:themeTint="F2"/>
                <w:spacing w:val="-3"/>
                <w:szCs w:val="20"/>
              </w:rPr>
              <w:t>írný růst poptávky po podnikových službách</w:t>
            </w:r>
            <w:r>
              <w:rPr>
                <w:rFonts w:cs="Arial"/>
                <w:color w:val="0D0D0D" w:themeColor="text1" w:themeTint="F2"/>
                <w:spacing w:val="-3"/>
                <w:szCs w:val="20"/>
              </w:rPr>
              <w:t xml:space="preserve"> pokračoval čtvrtým rokem v řadě. </w:t>
            </w:r>
            <w:r w:rsidRPr="009F5EA6">
              <w:rPr>
                <w:rFonts w:cs="Arial"/>
                <w:color w:val="0D0D0D" w:themeColor="text1" w:themeTint="F2"/>
                <w:spacing w:val="-3"/>
                <w:szCs w:val="20"/>
              </w:rPr>
              <w:t xml:space="preserve">V odvětví </w:t>
            </w:r>
            <w:r w:rsidRPr="009F5EA6">
              <w:rPr>
                <w:color w:val="0D0D0D" w:themeColor="text1" w:themeTint="F2"/>
                <w:spacing w:val="-4"/>
              </w:rPr>
              <w:t>profesní</w:t>
            </w:r>
            <w:r>
              <w:rPr>
                <w:color w:val="0D0D0D" w:themeColor="text1" w:themeTint="F2"/>
                <w:spacing w:val="-4"/>
              </w:rPr>
              <w:t xml:space="preserve">, vědecké a technické činnosti </w:t>
            </w:r>
            <w:r>
              <w:rPr>
                <w:rFonts w:cs="Arial"/>
                <w:color w:val="0D0D0D" w:themeColor="text1" w:themeTint="F2"/>
                <w:spacing w:val="-3"/>
                <w:szCs w:val="20"/>
              </w:rPr>
              <w:t xml:space="preserve">se loni jejich tržby meziročně zvýšily o 1,7 %, tempo však během roku sláblo a na jeho konci poptávka fakticky stagnovala. Celoročně se nejvíce zvýšily tržby v činnostech vedení podniků a </w:t>
            </w:r>
            <w:r w:rsidRPr="006A60BF">
              <w:rPr>
                <w:rFonts w:cs="Arial"/>
                <w:color w:val="0D0D0D" w:themeColor="text1" w:themeTint="F2"/>
                <w:spacing w:val="-3"/>
                <w:szCs w:val="20"/>
              </w:rPr>
              <w:t>poradenství v oblasti řízení</w:t>
            </w:r>
            <w:r>
              <w:rPr>
                <w:rFonts w:cs="Arial"/>
                <w:color w:val="0D0D0D" w:themeColor="text1" w:themeTint="F2"/>
                <w:spacing w:val="-3"/>
                <w:szCs w:val="20"/>
              </w:rPr>
              <w:t xml:space="preserve"> (+4,6 %), k růstu celého odvětví ale přispěla nejvíce vyšší poptávka v diverzifikovaném segmentu </w:t>
            </w:r>
            <w:r w:rsidRPr="00EB7A5A">
              <w:rPr>
                <w:spacing w:val="-4"/>
              </w:rPr>
              <w:lastRenderedPageBreak/>
              <w:t>ostatní</w:t>
            </w:r>
            <w:r>
              <w:rPr>
                <w:spacing w:val="-4"/>
              </w:rPr>
              <w:t>ch</w:t>
            </w:r>
            <w:r w:rsidRPr="00EB7A5A">
              <w:rPr>
                <w:spacing w:val="-4"/>
              </w:rPr>
              <w:t xml:space="preserve"> profesní</w:t>
            </w:r>
            <w:r>
              <w:rPr>
                <w:spacing w:val="-4"/>
              </w:rPr>
              <w:t>ch, vědeckých a technických činnostech</w:t>
            </w:r>
            <w:r w:rsidRPr="00EB7A5A">
              <w:rPr>
                <w:rStyle w:val="Znakapoznpodarou"/>
                <w:spacing w:val="-4"/>
              </w:rPr>
              <w:footnoteReference w:id="42"/>
            </w:r>
            <w:r>
              <w:rPr>
                <w:spacing w:val="-4"/>
              </w:rPr>
              <w:t xml:space="preserve">, která však zatím nedosáhla úrovně z roku 2019. Loni se dařilo i právním a účetnickým činnostem, kde se tržby významně nesnížily ani během pandemie (za posledních pět let tak v úhrnu narostly </w:t>
            </w:r>
            <w:r>
              <w:rPr>
                <w:spacing w:val="-4"/>
              </w:rPr>
              <w:br/>
              <w:t>o 14</w:t>
            </w:r>
            <w:r>
              <w:rPr>
                <w:rFonts w:cs="Arial"/>
                <w:color w:val="0D0D0D" w:themeColor="text1" w:themeTint="F2"/>
                <w:spacing w:val="-3"/>
                <w:szCs w:val="20"/>
              </w:rPr>
              <w:t> </w:t>
            </w:r>
            <w:r>
              <w:rPr>
                <w:spacing w:val="-4"/>
              </w:rPr>
              <w:t xml:space="preserve">%). Relativně vysoká poptávka po </w:t>
            </w:r>
            <w:r>
              <w:rPr>
                <w:rFonts w:cs="Arial"/>
                <w:color w:val="0D0D0D" w:themeColor="text1" w:themeTint="F2"/>
                <w:spacing w:val="-3"/>
                <w:szCs w:val="20"/>
              </w:rPr>
              <w:t>a</w:t>
            </w:r>
            <w:r w:rsidRPr="00E9631B">
              <w:rPr>
                <w:rFonts w:cs="Arial"/>
                <w:color w:val="0D0D0D" w:themeColor="text1" w:themeTint="F2"/>
                <w:spacing w:val="-3"/>
                <w:szCs w:val="20"/>
              </w:rPr>
              <w:t>rchit</w:t>
            </w:r>
            <w:r>
              <w:rPr>
                <w:rFonts w:cs="Arial"/>
                <w:color w:val="0D0D0D" w:themeColor="text1" w:themeTint="F2"/>
                <w:spacing w:val="-3"/>
                <w:szCs w:val="20"/>
              </w:rPr>
              <w:t xml:space="preserve">ektonických a inženýrských činnostech, patrná v předchozích třech letech, během loňského roku postupně ochabovala a ve </w:t>
            </w:r>
            <w:r>
              <w:rPr>
                <w:rFonts w:cs="Arial"/>
                <w:color w:val="0D0D0D" w:themeColor="text1" w:themeTint="F2"/>
                <w:spacing w:val="-3"/>
                <w:szCs w:val="20"/>
              </w:rPr>
              <w:br/>
              <w:t>4. čtvrtletí se její růst zastavil (</w:t>
            </w:r>
            <w:r w:rsidRPr="00224C0C">
              <w:rPr>
                <w:color w:val="0D0D0D" w:themeColor="text1" w:themeTint="F2"/>
                <w:spacing w:val="-5"/>
              </w:rPr>
              <w:t>−</w:t>
            </w:r>
            <w:r>
              <w:rPr>
                <w:rFonts w:cs="Arial"/>
                <w:color w:val="0D0D0D" w:themeColor="text1" w:themeTint="F2"/>
                <w:spacing w:val="-3"/>
                <w:szCs w:val="20"/>
              </w:rPr>
              <w:t xml:space="preserve">3,0 %). Se slabší poptávkou se v posledních letech potýkala reklama a průzkum trhu. Loni tržby klesly skoro o 4 % a oproti roku 2019 byl jejich útlum trojnásobný. </w:t>
            </w:r>
          </w:p>
        </w:tc>
      </w:tr>
      <w:tr w:rsidR="00295A5D" w:rsidRPr="00C32591" w14:paraId="662D51B9" w14:textId="77777777" w:rsidTr="00496812">
        <w:trPr>
          <w:trHeight w:val="170"/>
        </w:trPr>
        <w:tc>
          <w:tcPr>
            <w:tcW w:w="1814" w:type="dxa"/>
            <w:shd w:val="clear" w:color="auto" w:fill="auto"/>
            <w:tcMar>
              <w:left w:w="0" w:type="dxa"/>
            </w:tcMar>
          </w:tcPr>
          <w:p w14:paraId="44C01F1D" w14:textId="63EAE3F3" w:rsidR="00295A5D" w:rsidRDefault="00295A5D" w:rsidP="00295A5D">
            <w:pPr>
              <w:pStyle w:val="Marginlie"/>
            </w:pP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19768004" w14:textId="77777777" w:rsidR="00295A5D" w:rsidRDefault="00295A5D" w:rsidP="00295A5D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7219E32E" w14:textId="5D5012B7" w:rsidR="00295A5D" w:rsidRPr="00C32591" w:rsidRDefault="00295A5D" w:rsidP="00295A5D">
            <w:pPr>
              <w:spacing w:after="40"/>
              <w:rPr>
                <w:b/>
                <w:spacing w:val="-4"/>
              </w:rPr>
            </w:pPr>
            <w:r w:rsidRPr="00C32591">
              <w:rPr>
                <w:b/>
                <w:spacing w:val="-4"/>
              </w:rPr>
              <w:t xml:space="preserve">Graf č. 7 </w:t>
            </w:r>
            <w:r w:rsidRPr="00C32591">
              <w:rPr>
                <w:b/>
                <w:bCs/>
                <w:spacing w:val="-4"/>
              </w:rPr>
              <w:t>Příspěvky dílčích odvětví k meziroční změně tržeb ve službách*</w:t>
            </w:r>
            <w:r w:rsidRPr="00C32591">
              <w:rPr>
                <w:b/>
                <w:spacing w:val="-4"/>
              </w:rPr>
              <w:br/>
            </w:r>
            <w:r w:rsidRPr="00C32591">
              <w:rPr>
                <w:spacing w:val="-4"/>
              </w:rPr>
              <w:t>(reálně, v p. b),</w:t>
            </w:r>
            <w:r w:rsidRPr="00C32591">
              <w:rPr>
                <w:b/>
                <w:spacing w:val="-4"/>
              </w:rPr>
              <w:t xml:space="preserve"> </w:t>
            </w:r>
            <w:r w:rsidRPr="00C32591">
              <w:rPr>
                <w:b/>
                <w:bCs/>
                <w:spacing w:val="-4"/>
              </w:rPr>
              <w:t xml:space="preserve">celkové tržby ve službách* </w:t>
            </w:r>
            <w:r>
              <w:rPr>
                <w:spacing w:val="-4"/>
              </w:rPr>
              <w:t>(báze 2021</w:t>
            </w:r>
            <w:r w:rsidRPr="00C32591">
              <w:rPr>
                <w:spacing w:val="-4"/>
              </w:rPr>
              <w:t>=100, pravá osa),</w:t>
            </w:r>
            <w:r w:rsidRPr="00C32591">
              <w:rPr>
                <w:b/>
                <w:spacing w:val="-4"/>
              </w:rPr>
              <w:t xml:space="preserve"> </w:t>
            </w:r>
            <w:r w:rsidRPr="00C32591">
              <w:rPr>
                <w:b/>
                <w:bCs/>
                <w:spacing w:val="-4"/>
              </w:rPr>
              <w:t>saldo důvěry podnikatelů ve službách**</w:t>
            </w:r>
            <w:r w:rsidRPr="00C32591">
              <w:rPr>
                <w:b/>
                <w:spacing w:val="-4"/>
              </w:rPr>
              <w:t xml:space="preserve"> </w:t>
            </w:r>
            <w:r w:rsidRPr="00C32591">
              <w:rPr>
                <w:spacing w:val="-4"/>
              </w:rPr>
              <w:t>(v p. b., pravá osa)</w:t>
            </w:r>
            <w:r>
              <w:rPr>
                <w:b/>
                <w:bCs/>
                <w:spacing w:val="-4"/>
              </w:rPr>
              <w:t xml:space="preserve"> a </w:t>
            </w:r>
            <w:r w:rsidRPr="00C32591">
              <w:rPr>
                <w:b/>
                <w:bCs/>
                <w:spacing w:val="-4"/>
              </w:rPr>
              <w:t>bariéry růstu**</w:t>
            </w:r>
            <w:r w:rsidRPr="00C32591">
              <w:rPr>
                <w:b/>
                <w:spacing w:val="-4"/>
              </w:rPr>
              <w:t xml:space="preserve"> </w:t>
            </w:r>
            <w:r w:rsidRPr="00C32591">
              <w:rPr>
                <w:spacing w:val="-4"/>
              </w:rPr>
              <w:t xml:space="preserve">(v %, pravá osa) </w:t>
            </w:r>
          </w:p>
        </w:tc>
      </w:tr>
      <w:tr w:rsidR="00295A5D" w:rsidRPr="004C1143" w14:paraId="2B772480" w14:textId="77777777" w:rsidTr="00496812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14" w:type="dxa"/>
            <w:shd w:val="clear" w:color="auto" w:fill="auto"/>
          </w:tcPr>
          <w:p w14:paraId="73A50357" w14:textId="0516F8B6" w:rsidR="00295A5D" w:rsidRDefault="00295A5D" w:rsidP="00295A5D">
            <w:pPr>
              <w:pStyle w:val="Marginlie"/>
            </w:pPr>
          </w:p>
        </w:tc>
        <w:tc>
          <w:tcPr>
            <w:tcW w:w="229" w:type="dxa"/>
            <w:shd w:val="clear" w:color="auto" w:fill="auto"/>
          </w:tcPr>
          <w:p w14:paraId="1C7E1858" w14:textId="77777777" w:rsidR="00295A5D" w:rsidRDefault="00295A5D" w:rsidP="00295A5D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96" w:type="dxa"/>
            <w:shd w:val="clear" w:color="auto" w:fill="auto"/>
          </w:tcPr>
          <w:p w14:paraId="2C78A5A3" w14:textId="5BC3E437" w:rsidR="00295A5D" w:rsidRPr="004C1143" w:rsidRDefault="00295A5D" w:rsidP="00295A5D">
            <w:pPr>
              <w:spacing w:after="0"/>
              <w:rPr>
                <w:rFonts w:cs="Arial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2722AD20" wp14:editId="785860F0">
                  <wp:extent cx="4734560" cy="3453130"/>
                  <wp:effectExtent l="0" t="0" r="8890" b="0"/>
                  <wp:docPr id="43" name="Graf 4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295A5D" w:rsidRPr="004C1143" w14:paraId="1320F94D" w14:textId="77777777" w:rsidTr="00496812">
        <w:trPr>
          <w:trHeight w:val="170"/>
        </w:trPr>
        <w:tc>
          <w:tcPr>
            <w:tcW w:w="1814" w:type="dxa"/>
            <w:shd w:val="clear" w:color="auto" w:fill="auto"/>
            <w:tcMar>
              <w:left w:w="0" w:type="dxa"/>
            </w:tcMar>
          </w:tcPr>
          <w:p w14:paraId="14C00484" w14:textId="4A8B4431" w:rsidR="00295A5D" w:rsidRDefault="00295A5D" w:rsidP="00295A5D">
            <w:pPr>
              <w:pStyle w:val="Marginlie"/>
            </w:pP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2579F068" w14:textId="77777777" w:rsidR="00295A5D" w:rsidRDefault="00295A5D" w:rsidP="00295A5D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52087EF3" w14:textId="77777777" w:rsidR="00295A5D" w:rsidRPr="00C32591" w:rsidRDefault="00295A5D" w:rsidP="00295A5D">
            <w:pPr>
              <w:spacing w:after="0" w:line="240" w:lineRule="auto"/>
              <w:rPr>
                <w:rFonts w:cs="Arial"/>
                <w:spacing w:val="-4"/>
                <w:sz w:val="14"/>
                <w:szCs w:val="14"/>
              </w:rPr>
            </w:pPr>
            <w:r w:rsidRPr="00C32591">
              <w:rPr>
                <w:rFonts w:cs="Arial"/>
                <w:spacing w:val="-4"/>
                <w:sz w:val="14"/>
                <w:szCs w:val="14"/>
              </w:rPr>
              <w:t>Poznámka: všechny údaje jsou sezónně očištěny, pouze příspěvky dílčích odvětví k růstu tržeb jsou očištěny jen o kalendářní vlivy.</w:t>
            </w:r>
          </w:p>
          <w:p w14:paraId="2AFB20D2" w14:textId="77777777" w:rsidR="00295A5D" w:rsidRPr="00C32591" w:rsidRDefault="00295A5D" w:rsidP="00295A5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32591">
              <w:rPr>
                <w:rFonts w:cs="Arial"/>
                <w:sz w:val="14"/>
                <w:szCs w:val="14"/>
              </w:rPr>
              <w:t>*Bez odvětví obchodu, peněžnictví, pojišťovnictví, vědy, výzkumu a veřejných služeb.</w:t>
            </w:r>
          </w:p>
          <w:p w14:paraId="7F26EB62" w14:textId="19A42E27" w:rsidR="00295A5D" w:rsidRPr="004C1143" w:rsidRDefault="00295A5D" w:rsidP="00295A5D">
            <w:pPr>
              <w:spacing w:after="200" w:line="240" w:lineRule="auto"/>
              <w:rPr>
                <w:rFonts w:cs="Arial"/>
                <w:sz w:val="14"/>
                <w:szCs w:val="14"/>
              </w:rPr>
            </w:pPr>
            <w:r w:rsidRPr="00052ADA">
              <w:rPr>
                <w:rFonts w:cs="Arial"/>
                <w:sz w:val="14"/>
                <w:szCs w:val="14"/>
              </w:rPr>
              <w:t>.**</w:t>
            </w:r>
            <w:r w:rsidRPr="00052ADA">
              <w:rPr>
                <w:rFonts w:cs="Arial"/>
                <w:spacing w:val="-2"/>
                <w:sz w:val="14"/>
                <w:szCs w:val="14"/>
              </w:rPr>
              <w:t>Zahrnuje i finanční sektor. Saldo důvěry podnikatelů i barié</w:t>
            </w:r>
            <w:r>
              <w:rPr>
                <w:rFonts w:cs="Arial"/>
                <w:spacing w:val="-2"/>
                <w:sz w:val="14"/>
                <w:szCs w:val="14"/>
              </w:rPr>
              <w:t xml:space="preserve">ry růstu </w:t>
            </w:r>
            <w:r w:rsidRPr="00052ADA">
              <w:rPr>
                <w:rFonts w:cs="Arial"/>
                <w:spacing w:val="-2"/>
                <w:sz w:val="14"/>
                <w:szCs w:val="14"/>
              </w:rPr>
              <w:t xml:space="preserve">vyjadřují stav v prvním (bariéry růstu), resp. ve druhém měsíci daného čtvrtletí (saldo důvěry). </w:t>
            </w:r>
            <w:r w:rsidRPr="00052ADA">
              <w:rPr>
                <w:rFonts w:cs="Arial"/>
                <w:sz w:val="14"/>
                <w:szCs w:val="14"/>
              </w:rPr>
              <w:t>Podniky mohly uvést více hlavních bariér současně.</w:t>
            </w:r>
            <w:r>
              <w:rPr>
                <w:rFonts w:cs="Arial"/>
                <w:sz w:val="14"/>
                <w:szCs w:val="14"/>
              </w:rPr>
              <w:t xml:space="preserve">                    </w:t>
            </w:r>
            <w:r w:rsidRPr="00052ADA">
              <w:rPr>
                <w:rFonts w:cs="Arial"/>
                <w:sz w:val="14"/>
                <w:szCs w:val="14"/>
              </w:rPr>
              <w:t xml:space="preserve">    Zdroj: ČSÚ, Eurostat</w:t>
            </w:r>
          </w:p>
        </w:tc>
      </w:tr>
      <w:tr w:rsidR="00295A5D" w14:paraId="79191352" w14:textId="77777777" w:rsidTr="00496812">
        <w:trPr>
          <w:trHeight w:val="170"/>
        </w:trPr>
        <w:tc>
          <w:tcPr>
            <w:tcW w:w="1814" w:type="dxa"/>
            <w:shd w:val="clear" w:color="auto" w:fill="auto"/>
            <w:tcMar>
              <w:left w:w="0" w:type="dxa"/>
            </w:tcMar>
          </w:tcPr>
          <w:p w14:paraId="12898C4C" w14:textId="098227FF" w:rsidR="00295A5D" w:rsidRDefault="00295A5D" w:rsidP="00295A5D">
            <w:pPr>
              <w:pStyle w:val="Marginlie"/>
              <w:rPr>
                <w:color w:val="0D0D0D" w:themeColor="text1" w:themeTint="F2"/>
                <w:spacing w:val="0"/>
              </w:rPr>
            </w:pPr>
            <w:r w:rsidRPr="005928E3">
              <w:rPr>
                <w:color w:val="0D0D0D" w:themeColor="text1" w:themeTint="F2"/>
                <w:spacing w:val="-4"/>
              </w:rPr>
              <w:t>Za mírným růstem tržeb v adminis</w:t>
            </w:r>
            <w:r>
              <w:rPr>
                <w:color w:val="0D0D0D" w:themeColor="text1" w:themeTint="F2"/>
                <w:spacing w:val="-4"/>
              </w:rPr>
              <w:t xml:space="preserve">trativních </w:t>
            </w:r>
            <w:r>
              <w:rPr>
                <w:color w:val="0D0D0D" w:themeColor="text1" w:themeTint="F2"/>
                <w:spacing w:val="-4"/>
              </w:rPr>
              <w:br/>
              <w:t>a podpůrných činnostech</w:t>
            </w:r>
            <w:r w:rsidRPr="005928E3">
              <w:rPr>
                <w:color w:val="0D0D0D" w:themeColor="text1" w:themeTint="F2"/>
                <w:spacing w:val="-4"/>
              </w:rPr>
              <w:t xml:space="preserve"> stály hlavně cestovní agentury a </w:t>
            </w:r>
            <w:r>
              <w:rPr>
                <w:color w:val="0D0D0D" w:themeColor="text1" w:themeTint="F2"/>
                <w:spacing w:val="-4"/>
              </w:rPr>
              <w:t xml:space="preserve">též </w:t>
            </w:r>
            <w:r w:rsidRPr="005928E3">
              <w:rPr>
                <w:color w:val="0D0D0D" w:themeColor="text1" w:themeTint="F2"/>
                <w:spacing w:val="-4"/>
              </w:rPr>
              <w:t xml:space="preserve">pronájem </w:t>
            </w:r>
            <w:r>
              <w:rPr>
                <w:color w:val="0D0D0D" w:themeColor="text1" w:themeTint="F2"/>
                <w:spacing w:val="-4"/>
              </w:rPr>
              <w:br/>
            </w:r>
            <w:r w:rsidRPr="005928E3">
              <w:rPr>
                <w:color w:val="0D0D0D" w:themeColor="text1" w:themeTint="F2"/>
                <w:spacing w:val="-4"/>
              </w:rPr>
              <w:t>a operativní</w:t>
            </w:r>
            <w:r>
              <w:rPr>
                <w:color w:val="0D0D0D" w:themeColor="text1" w:themeTint="F2"/>
                <w:spacing w:val="-4"/>
              </w:rPr>
              <w:t xml:space="preserve"> leasing. Opačně působila především slabší</w:t>
            </w:r>
            <w:r w:rsidRPr="005928E3">
              <w:rPr>
                <w:color w:val="0D0D0D" w:themeColor="text1" w:themeTint="F2"/>
                <w:spacing w:val="-4"/>
              </w:rPr>
              <w:t xml:space="preserve"> poptávka po službách pracovních agentur.</w:t>
            </w: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41D7FF4C" w14:textId="77777777" w:rsidR="00295A5D" w:rsidRPr="00784EC8" w:rsidRDefault="00295A5D" w:rsidP="00295A5D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1669EF96" w14:textId="59C584BD" w:rsidR="00295A5D" w:rsidRDefault="00295A5D" w:rsidP="00295A5D">
            <w:pPr>
              <w:rPr>
                <w:rFonts w:cs="Arial"/>
                <w:color w:val="0D0D0D" w:themeColor="text1" w:themeTint="F2"/>
                <w:spacing w:val="-4"/>
              </w:rPr>
            </w:pPr>
            <w:r w:rsidRPr="00CF6AF3">
              <w:rPr>
                <w:color w:val="0D0D0D" w:themeColor="text1" w:themeTint="F2"/>
                <w:spacing w:val="-4"/>
              </w:rPr>
              <w:t xml:space="preserve">V </w:t>
            </w:r>
            <w:r>
              <w:rPr>
                <w:color w:val="0D0D0D" w:themeColor="text1" w:themeTint="F2"/>
                <w:spacing w:val="-4"/>
              </w:rPr>
              <w:t xml:space="preserve">odvětví </w:t>
            </w:r>
            <w:r w:rsidRPr="00CF6AF3">
              <w:rPr>
                <w:color w:val="0D0D0D" w:themeColor="text1" w:themeTint="F2"/>
                <w:spacing w:val="-4"/>
              </w:rPr>
              <w:t xml:space="preserve">administrativní </w:t>
            </w:r>
            <w:r>
              <w:rPr>
                <w:color w:val="0D0D0D" w:themeColor="text1" w:themeTint="F2"/>
                <w:spacing w:val="-4"/>
              </w:rPr>
              <w:t>a podpůrné činnosti</w:t>
            </w:r>
            <w:r w:rsidRPr="00CF6AF3">
              <w:rPr>
                <w:color w:val="0D0D0D" w:themeColor="text1" w:themeTint="F2"/>
                <w:spacing w:val="-4"/>
              </w:rPr>
              <w:t xml:space="preserve"> </w:t>
            </w:r>
            <w:r>
              <w:rPr>
                <w:color w:val="0D0D0D" w:themeColor="text1" w:themeTint="F2"/>
                <w:spacing w:val="-4"/>
              </w:rPr>
              <w:t>se loni tržby meziročně zvýšily o 1,9 %, když byly poháněny zejména stále svižně rostoucími výkony cestovních agentur a kanceláří (+5,2 %), ty přitom již předloni překonaly úroveň z roku 2019. Projevují se v nich především častější výjezdy tuzemských domácností do zahraničí. Poptávka po řadě dalších služeb loni ožila – zejména po pronájmu a operativním leasingu (+5,3 %, např. za stroje, zařízení či za výrobky</w:t>
            </w:r>
            <w:r w:rsidRPr="00362082">
              <w:rPr>
                <w:color w:val="0D0D0D" w:themeColor="text1" w:themeTint="F2"/>
                <w:spacing w:val="-4"/>
              </w:rPr>
              <w:t xml:space="preserve"> pro osobní potřebu a převážně pro domácnost</w:t>
            </w:r>
            <w:r>
              <w:rPr>
                <w:color w:val="0D0D0D" w:themeColor="text1" w:themeTint="F2"/>
                <w:spacing w:val="-4"/>
              </w:rPr>
              <w:t xml:space="preserve">, např. za </w:t>
            </w:r>
            <w:r w:rsidRPr="00362A30">
              <w:rPr>
                <w:color w:val="0D0D0D" w:themeColor="text1" w:themeTint="F2"/>
                <w:spacing w:val="-4"/>
              </w:rPr>
              <w:t xml:space="preserve">rekreační </w:t>
            </w:r>
            <w:r>
              <w:rPr>
                <w:color w:val="0D0D0D" w:themeColor="text1" w:themeTint="F2"/>
                <w:spacing w:val="-4"/>
              </w:rPr>
              <w:br/>
            </w:r>
            <w:r w:rsidRPr="00362A30">
              <w:rPr>
                <w:color w:val="0D0D0D" w:themeColor="text1" w:themeTint="F2"/>
                <w:spacing w:val="-4"/>
              </w:rPr>
              <w:t>a sportovní potřeb</w:t>
            </w:r>
            <w:r>
              <w:rPr>
                <w:color w:val="0D0D0D" w:themeColor="text1" w:themeTint="F2"/>
                <w:spacing w:val="-4"/>
              </w:rPr>
              <w:t>y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43"/>
            </w:r>
            <w:r>
              <w:rPr>
                <w:color w:val="0D0D0D" w:themeColor="text1" w:themeTint="F2"/>
                <w:spacing w:val="-4"/>
              </w:rPr>
              <w:t>) nebo po a</w:t>
            </w:r>
            <w:r w:rsidRPr="00EB2C35">
              <w:rPr>
                <w:color w:val="0D0D0D" w:themeColor="text1" w:themeTint="F2"/>
                <w:spacing w:val="-4"/>
              </w:rPr>
              <w:t>dmini</w:t>
            </w:r>
            <w:r>
              <w:rPr>
                <w:color w:val="0D0D0D" w:themeColor="text1" w:themeTint="F2"/>
                <w:spacing w:val="-4"/>
              </w:rPr>
              <w:t xml:space="preserve">strativních a kancelářských činnostech. Naopak </w:t>
            </w:r>
            <w:r>
              <w:rPr>
                <w:color w:val="0D0D0D" w:themeColor="text1" w:themeTint="F2"/>
                <w:spacing w:val="-4"/>
              </w:rPr>
              <w:br/>
              <w:t>u řady méně sofistikovaných podnikových služeb přetrvávala slabší poptávka. Citelný pokles pracovních agentur pokračoval, jejich tržby se snižovaly dvojciferným tempem třetím rokem v řadě (loni o 11,6 %, proti roku 2019 propadly téměř o polovinu)</w:t>
            </w:r>
            <w:r w:rsidRPr="002A2FF6">
              <w:rPr>
                <w:rStyle w:val="Znakapoznpodarou"/>
                <w:color w:val="0D0D0D" w:themeColor="text1" w:themeTint="F2"/>
                <w:spacing w:val="-2"/>
              </w:rPr>
              <w:footnoteReference w:id="44"/>
            </w:r>
            <w:r>
              <w:rPr>
                <w:color w:val="0D0D0D" w:themeColor="text1" w:themeTint="F2"/>
                <w:spacing w:val="-4"/>
              </w:rPr>
              <w:t xml:space="preserve">. Tlak na </w:t>
            </w:r>
            <w:r>
              <w:rPr>
                <w:color w:val="0D0D0D" w:themeColor="text1" w:themeTint="F2"/>
                <w:spacing w:val="-4"/>
              </w:rPr>
              <w:lastRenderedPageBreak/>
              <w:t>snižování nákladů spojený i s rozvojem digitalizace se odrazil v pokračujícím mírnějším poklesu tržeb b</w:t>
            </w:r>
            <w:r w:rsidRPr="00DE1692">
              <w:rPr>
                <w:color w:val="0D0D0D" w:themeColor="text1" w:themeTint="F2"/>
                <w:spacing w:val="-4"/>
              </w:rPr>
              <w:t>ezpečnostní</w:t>
            </w:r>
            <w:r>
              <w:rPr>
                <w:color w:val="0D0D0D" w:themeColor="text1" w:themeTint="F2"/>
                <w:spacing w:val="-4"/>
              </w:rPr>
              <w:t>ch</w:t>
            </w:r>
            <w:r w:rsidRPr="00DE1692">
              <w:rPr>
                <w:color w:val="0D0D0D" w:themeColor="text1" w:themeTint="F2"/>
                <w:spacing w:val="-4"/>
              </w:rPr>
              <w:t xml:space="preserve"> a pátrací</w:t>
            </w:r>
            <w:r>
              <w:rPr>
                <w:color w:val="0D0D0D" w:themeColor="text1" w:themeTint="F2"/>
                <w:spacing w:val="-4"/>
              </w:rPr>
              <w:t>ch činností.</w:t>
            </w:r>
          </w:p>
        </w:tc>
      </w:tr>
      <w:tr w:rsidR="00295A5D" w:rsidRPr="006B2E6F" w14:paraId="2E56689D" w14:textId="77777777" w:rsidTr="00496812">
        <w:trPr>
          <w:trHeight w:val="170"/>
        </w:trPr>
        <w:tc>
          <w:tcPr>
            <w:tcW w:w="1814" w:type="dxa"/>
            <w:shd w:val="clear" w:color="auto" w:fill="auto"/>
            <w:tcMar>
              <w:left w:w="0" w:type="dxa"/>
            </w:tcMar>
          </w:tcPr>
          <w:p w14:paraId="52073C14" w14:textId="6DA7CF38" w:rsidR="00295A5D" w:rsidRDefault="00295A5D" w:rsidP="00295A5D">
            <w:pPr>
              <w:pStyle w:val="Marginlie"/>
              <w:rPr>
                <w:color w:val="0D0D0D" w:themeColor="text1" w:themeTint="F2"/>
                <w:spacing w:val="-6"/>
              </w:rPr>
            </w:pPr>
            <w:r>
              <w:rPr>
                <w:color w:val="0D0D0D" w:themeColor="text1" w:themeTint="F2"/>
                <w:spacing w:val="0"/>
              </w:rPr>
              <w:lastRenderedPageBreak/>
              <w:t>S</w:t>
            </w:r>
            <w:r w:rsidRPr="005F5E12">
              <w:rPr>
                <w:color w:val="0D0D0D" w:themeColor="text1" w:themeTint="F2"/>
                <w:spacing w:val="0"/>
              </w:rPr>
              <w:t xml:space="preserve">tabilizace </w:t>
            </w:r>
            <w:r>
              <w:rPr>
                <w:color w:val="0D0D0D" w:themeColor="text1" w:themeTint="F2"/>
                <w:spacing w:val="0"/>
              </w:rPr>
              <w:t xml:space="preserve">cen </w:t>
            </w:r>
            <w:r w:rsidRPr="005F5E12">
              <w:rPr>
                <w:color w:val="0D0D0D" w:themeColor="text1" w:themeTint="F2"/>
                <w:spacing w:val="0"/>
              </w:rPr>
              <w:t xml:space="preserve">v ekonomice vedla </w:t>
            </w:r>
            <w:r>
              <w:rPr>
                <w:color w:val="0D0D0D" w:themeColor="text1" w:themeTint="F2"/>
                <w:spacing w:val="0"/>
              </w:rPr>
              <w:t xml:space="preserve">na počátku loňského roku </w:t>
            </w:r>
            <w:r w:rsidRPr="005F5E12">
              <w:rPr>
                <w:color w:val="0D0D0D" w:themeColor="text1" w:themeTint="F2"/>
                <w:spacing w:val="0"/>
              </w:rPr>
              <w:t xml:space="preserve">k rychlému zlepšení spotřebitelské důvěry. </w:t>
            </w:r>
            <w:r>
              <w:rPr>
                <w:color w:val="0D0D0D" w:themeColor="text1" w:themeTint="F2"/>
                <w:spacing w:val="0"/>
              </w:rPr>
              <w:t xml:space="preserve">Ochota lidí k vyšším útratám má ale stále své limity. </w:t>
            </w: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7A98BEE0" w14:textId="77777777" w:rsidR="00295A5D" w:rsidRPr="00784EC8" w:rsidRDefault="00295A5D" w:rsidP="00295A5D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50DFA1FE" w14:textId="4400CC3B" w:rsidR="00295A5D" w:rsidRPr="006B2E6F" w:rsidRDefault="00295A5D" w:rsidP="00295A5D">
            <w:pPr>
              <w:spacing w:after="200"/>
              <w:rPr>
                <w:rFonts w:cs="Arial"/>
                <w:color w:val="0D0D0D" w:themeColor="text1" w:themeTint="F2"/>
                <w:spacing w:val="-4"/>
              </w:rPr>
            </w:pPr>
            <w:r>
              <w:rPr>
                <w:rFonts w:cs="Arial"/>
                <w:color w:val="0D0D0D" w:themeColor="text1" w:themeTint="F2"/>
                <w:spacing w:val="-4"/>
              </w:rPr>
              <w:t xml:space="preserve">Také maloobchod zažil v posledních čtvrtletích pozitivní posun. Jeho </w:t>
            </w:r>
            <w:r w:rsidRPr="00832E72">
              <w:rPr>
                <w:rFonts w:cs="Arial"/>
                <w:color w:val="0D0D0D" w:themeColor="text1" w:themeTint="F2"/>
                <w:spacing w:val="-4"/>
              </w:rPr>
              <w:t>předpokladem b</w:t>
            </w:r>
            <w:r>
              <w:rPr>
                <w:rFonts w:cs="Arial"/>
                <w:color w:val="0D0D0D" w:themeColor="text1" w:themeTint="F2"/>
                <w:spacing w:val="-4"/>
              </w:rPr>
              <w:t>yl návrat spotřebitelských cen</w:t>
            </w:r>
            <w:r w:rsidRPr="00832E72">
              <w:rPr>
                <w:rFonts w:cs="Arial"/>
                <w:color w:val="0D0D0D" w:themeColor="text1" w:themeTint="F2"/>
                <w:spacing w:val="-4"/>
              </w:rPr>
              <w:t xml:space="preserve"> do běžných růstových pásem</w:t>
            </w:r>
            <w:r>
              <w:rPr>
                <w:rFonts w:cs="Arial"/>
                <w:color w:val="0D0D0D" w:themeColor="text1" w:themeTint="F2"/>
                <w:spacing w:val="-4"/>
              </w:rPr>
              <w:t>.</w:t>
            </w:r>
            <w:r w:rsidRPr="00832E72">
              <w:rPr>
                <w:rFonts w:cs="Arial"/>
                <w:color w:val="0D0D0D" w:themeColor="text1" w:themeTint="F2"/>
                <w:spacing w:val="-4"/>
              </w:rPr>
              <w:t xml:space="preserve"> </w:t>
            </w:r>
            <w:r>
              <w:rPr>
                <w:rFonts w:cs="Arial"/>
                <w:color w:val="0D0D0D" w:themeColor="text1" w:themeTint="F2"/>
                <w:spacing w:val="-4"/>
              </w:rPr>
              <w:t>To spolu se solidní kondicí trhu práce rychle nastartovalo růst</w:t>
            </w:r>
            <w:r w:rsidRPr="00832E72">
              <w:rPr>
                <w:rFonts w:cs="Arial"/>
                <w:color w:val="0D0D0D" w:themeColor="text1" w:themeTint="F2"/>
                <w:spacing w:val="-4"/>
              </w:rPr>
              <w:t xml:space="preserve"> </w:t>
            </w:r>
            <w:r>
              <w:rPr>
                <w:rFonts w:cs="Arial"/>
                <w:color w:val="0D0D0D" w:themeColor="text1" w:themeTint="F2"/>
                <w:spacing w:val="-4"/>
              </w:rPr>
              <w:t>kupní síly domácností a zlepšilo</w:t>
            </w:r>
            <w:r w:rsidRPr="00832E72">
              <w:rPr>
                <w:rFonts w:cs="Arial"/>
                <w:color w:val="0D0D0D" w:themeColor="text1" w:themeTint="F2"/>
                <w:spacing w:val="-4"/>
              </w:rPr>
              <w:t xml:space="preserve"> jej</w:t>
            </w:r>
            <w:r>
              <w:rPr>
                <w:rFonts w:cs="Arial"/>
                <w:color w:val="0D0D0D" w:themeColor="text1" w:themeTint="F2"/>
                <w:spacing w:val="-4"/>
              </w:rPr>
              <w:t>ich celkovou důvěru v ekonomiku, která proto vystoupala loni</w:t>
            </w:r>
            <w:r w:rsidRPr="00832E72">
              <w:rPr>
                <w:rFonts w:cs="Arial"/>
                <w:color w:val="0D0D0D" w:themeColor="text1" w:themeTint="F2"/>
                <w:spacing w:val="-4"/>
              </w:rPr>
              <w:t xml:space="preserve"> v dubnu nej</w:t>
            </w:r>
            <w:r>
              <w:rPr>
                <w:rFonts w:cs="Arial"/>
                <w:color w:val="0D0D0D" w:themeColor="text1" w:themeTint="F2"/>
                <w:spacing w:val="-4"/>
              </w:rPr>
              <w:t>výše za poslední dva a půl roku.  Následně sice došlo k mírnému zhoršení, i tak však byl letos v únoru pesimismus spotřebitelů nižší než v kterýkoli měsíc z období let 2022 až 2023. Lidé ovšem stále deklarují vyšší úmysl spořit a zároveň dosud nepovažují aktuální dobu za příliš vhodnou k velkým nákupům (investic či zboží dlouhodobé spotřeby). Vedle toho začaly opět narůstat obavy lidí z růstu cen i nezaměstnanosti (aktuálně již lehce převyšovaly svůj dlouhodobý průměr). To zčásti působí proti rychlejšímu oživení poptávky po určitých sortimentních skupinách nepotravinářského zboží.</w:t>
            </w:r>
            <w:r w:rsidRPr="00832E72">
              <w:rPr>
                <w:rFonts w:cs="Arial"/>
                <w:color w:val="0D0D0D" w:themeColor="text1" w:themeTint="F2"/>
                <w:spacing w:val="-4"/>
              </w:rPr>
              <w:t xml:space="preserve"> </w:t>
            </w:r>
            <w:r>
              <w:rPr>
                <w:rFonts w:cs="Arial"/>
                <w:color w:val="0D0D0D" w:themeColor="text1" w:themeTint="F2"/>
                <w:spacing w:val="-4"/>
              </w:rPr>
              <w:t>Souběžně</w:t>
            </w:r>
            <w:r w:rsidRPr="00832E72">
              <w:rPr>
                <w:rFonts w:cs="Arial"/>
                <w:color w:val="0D0D0D" w:themeColor="text1" w:themeTint="F2"/>
                <w:spacing w:val="-4"/>
              </w:rPr>
              <w:t xml:space="preserve"> 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ovšem posiloval </w:t>
            </w:r>
            <w:r w:rsidRPr="00832E72">
              <w:rPr>
                <w:rFonts w:cs="Arial"/>
                <w:color w:val="0D0D0D" w:themeColor="text1" w:themeTint="F2"/>
                <w:spacing w:val="-4"/>
              </w:rPr>
              <w:t xml:space="preserve">optimismus obchodníků, </w:t>
            </w:r>
            <w:r>
              <w:rPr>
                <w:rFonts w:cs="Arial"/>
                <w:color w:val="0D0D0D" w:themeColor="text1" w:themeTint="F2"/>
                <w:spacing w:val="-4"/>
              </w:rPr>
              <w:t>úroveň jejich důvěry v ekonomiku</w:t>
            </w:r>
            <w:r w:rsidRPr="00832E72">
              <w:rPr>
                <w:rFonts w:cs="Arial"/>
                <w:color w:val="0D0D0D" w:themeColor="text1" w:themeTint="F2"/>
                <w:spacing w:val="-4"/>
              </w:rPr>
              <w:t xml:space="preserve"> </w:t>
            </w:r>
            <w:r>
              <w:rPr>
                <w:rFonts w:cs="Arial"/>
                <w:color w:val="0D0D0D" w:themeColor="text1" w:themeTint="F2"/>
                <w:spacing w:val="-4"/>
              </w:rPr>
              <w:t>vystoupala letos v únoru nejvýše za poslední bezmála dva roky a současně byla srovnatelná s konjunkturním rokem 2019</w:t>
            </w:r>
            <w:r w:rsidRPr="00832E72">
              <w:rPr>
                <w:rFonts w:cs="Arial"/>
                <w:color w:val="0D0D0D" w:themeColor="text1" w:themeTint="F2"/>
                <w:spacing w:val="-4"/>
              </w:rPr>
              <w:t xml:space="preserve">. </w:t>
            </w:r>
            <w:r>
              <w:rPr>
                <w:rFonts w:cs="Arial"/>
                <w:color w:val="0D0D0D" w:themeColor="text1" w:themeTint="F2"/>
                <w:spacing w:val="-4"/>
              </w:rPr>
              <w:t>K oživení maloobchodu přispíval po celý loňský rok i rozvoj</w:t>
            </w:r>
            <w:r w:rsidRPr="00832E72">
              <w:rPr>
                <w:rFonts w:cs="Arial"/>
                <w:color w:val="0D0D0D" w:themeColor="text1" w:themeTint="F2"/>
                <w:spacing w:val="-4"/>
              </w:rPr>
              <w:t xml:space="preserve"> příjezdového cestovního ruchu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. </w:t>
            </w:r>
          </w:p>
        </w:tc>
      </w:tr>
      <w:tr w:rsidR="00295A5D" w:rsidRPr="00832E72" w14:paraId="670BFBC0" w14:textId="77777777" w:rsidTr="00496812">
        <w:trPr>
          <w:trHeight w:val="155"/>
        </w:trPr>
        <w:tc>
          <w:tcPr>
            <w:tcW w:w="1814" w:type="dxa"/>
            <w:vMerge w:val="restart"/>
            <w:shd w:val="clear" w:color="auto" w:fill="auto"/>
            <w:tcMar>
              <w:left w:w="0" w:type="dxa"/>
            </w:tcMar>
          </w:tcPr>
          <w:p w14:paraId="43F8129F" w14:textId="4AB95BBA" w:rsidR="00295A5D" w:rsidRDefault="00295A5D" w:rsidP="00295A5D">
            <w:pPr>
              <w:pStyle w:val="Marginlie"/>
            </w:pPr>
          </w:p>
        </w:tc>
        <w:tc>
          <w:tcPr>
            <w:tcW w:w="229" w:type="dxa"/>
            <w:vMerge w:val="restart"/>
            <w:shd w:val="clear" w:color="auto" w:fill="auto"/>
            <w:tcMar>
              <w:left w:w="0" w:type="dxa"/>
            </w:tcMar>
          </w:tcPr>
          <w:p w14:paraId="1EEF3175" w14:textId="77777777" w:rsidR="00295A5D" w:rsidRDefault="00295A5D" w:rsidP="00295A5D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59492B38" w14:textId="47F2DA9C" w:rsidR="00295A5D" w:rsidRPr="00832E72" w:rsidRDefault="00295A5D" w:rsidP="00295A5D">
            <w:pPr>
              <w:spacing w:after="0"/>
              <w:rPr>
                <w:rFonts w:cs="Arial"/>
                <w:color w:val="0D0D0D" w:themeColor="text1" w:themeTint="F2"/>
                <w:spacing w:val="-4"/>
                <w:szCs w:val="20"/>
              </w:rPr>
            </w:pPr>
            <w:r>
              <w:rPr>
                <w:b/>
              </w:rPr>
              <w:t>Graf č. 8</w:t>
            </w:r>
            <w:r w:rsidRPr="00F0005D">
              <w:rPr>
                <w:b/>
              </w:rPr>
              <w:t xml:space="preserve"> </w:t>
            </w:r>
            <w:r w:rsidRPr="004405E2">
              <w:rPr>
                <w:rFonts w:cs="Arial"/>
                <w:b/>
                <w:bCs/>
                <w:color w:val="0D0D0D" w:themeColor="text1" w:themeTint="F2"/>
                <w:spacing w:val="-6"/>
              </w:rPr>
              <w:t xml:space="preserve">Příspěvky dílčích odvětví k meziroční změně tržeb v maloobchodu* </w:t>
            </w:r>
            <w:r w:rsidRPr="004405E2">
              <w:rPr>
                <w:rFonts w:cs="Arial"/>
                <w:color w:val="0D0D0D" w:themeColor="text1" w:themeTint="F2"/>
                <w:spacing w:val="-6"/>
              </w:rPr>
              <w:t xml:space="preserve">(reálně, v p. b.), </w:t>
            </w:r>
            <w:r w:rsidRPr="004405E2">
              <w:rPr>
                <w:rFonts w:cs="Arial"/>
                <w:b/>
                <w:bCs/>
                <w:color w:val="0D0D0D" w:themeColor="text1" w:themeTint="F2"/>
                <w:spacing w:val="-6"/>
              </w:rPr>
              <w:t xml:space="preserve">tržby v maloobchodu a v motoristickém segmentu obchodu** </w:t>
            </w:r>
            <w:r w:rsidRPr="004405E2">
              <w:rPr>
                <w:rFonts w:cs="Arial"/>
                <w:color w:val="0D0D0D" w:themeColor="text1" w:themeTint="F2"/>
                <w:spacing w:val="-6"/>
              </w:rPr>
              <w:t>(reálně, ú</w:t>
            </w:r>
            <w:r>
              <w:rPr>
                <w:rFonts w:cs="Arial"/>
                <w:color w:val="0D0D0D" w:themeColor="text1" w:themeTint="F2"/>
                <w:spacing w:val="-6"/>
              </w:rPr>
              <w:t xml:space="preserve">roveň roku 2021=100, pravá osa), </w:t>
            </w:r>
            <w:r w:rsidRPr="004405E2">
              <w:rPr>
                <w:rFonts w:cs="Arial"/>
                <w:b/>
                <w:bCs/>
                <w:color w:val="0D0D0D" w:themeColor="text1" w:themeTint="F2"/>
                <w:spacing w:val="-6"/>
              </w:rPr>
              <w:t>s</w:t>
            </w:r>
            <w:r>
              <w:rPr>
                <w:rFonts w:cs="Arial"/>
                <w:b/>
                <w:bCs/>
                <w:color w:val="0D0D0D" w:themeColor="text1" w:themeTint="F2"/>
                <w:spacing w:val="-6"/>
              </w:rPr>
              <w:t xml:space="preserve">aldo důvěry </w:t>
            </w:r>
            <w:r w:rsidRPr="00BC34D2">
              <w:rPr>
                <w:rFonts w:cs="Arial"/>
                <w:b/>
                <w:bCs/>
                <w:color w:val="0D0D0D" w:themeColor="text1" w:themeTint="F2"/>
                <w:spacing w:val="-6"/>
              </w:rPr>
              <w:t>spotřebitelů i obchodníků</w:t>
            </w:r>
            <w:r w:rsidRPr="004405E2">
              <w:rPr>
                <w:rFonts w:cs="Arial"/>
                <w:b/>
                <w:bCs/>
                <w:color w:val="0D0D0D" w:themeColor="text1" w:themeTint="F2"/>
                <w:spacing w:val="-6"/>
              </w:rPr>
              <w:t xml:space="preserve">*** </w:t>
            </w:r>
            <w:r w:rsidRPr="004405E2">
              <w:rPr>
                <w:rFonts w:cs="Arial"/>
                <w:color w:val="0D0D0D" w:themeColor="text1" w:themeTint="F2"/>
                <w:spacing w:val="-6"/>
              </w:rPr>
              <w:t>(v p. b., pravá osa)</w:t>
            </w:r>
          </w:p>
        </w:tc>
      </w:tr>
      <w:tr w:rsidR="00295A5D" w:rsidRPr="00832E72" w14:paraId="3CB9099F" w14:textId="77777777" w:rsidTr="00496812">
        <w:tblPrEx>
          <w:tblCellMar>
            <w:left w:w="70" w:type="dxa"/>
            <w:right w:w="70" w:type="dxa"/>
          </w:tblCellMar>
        </w:tblPrEx>
        <w:trPr>
          <w:trHeight w:val="155"/>
        </w:trPr>
        <w:tc>
          <w:tcPr>
            <w:tcW w:w="1814" w:type="dxa"/>
            <w:vMerge/>
            <w:shd w:val="clear" w:color="auto" w:fill="auto"/>
          </w:tcPr>
          <w:p w14:paraId="51C5F0FB" w14:textId="77777777" w:rsidR="00295A5D" w:rsidRDefault="00295A5D" w:rsidP="00295A5D">
            <w:pPr>
              <w:pStyle w:val="Marginlie"/>
            </w:pPr>
          </w:p>
        </w:tc>
        <w:tc>
          <w:tcPr>
            <w:tcW w:w="229" w:type="dxa"/>
            <w:vMerge/>
            <w:shd w:val="clear" w:color="auto" w:fill="auto"/>
          </w:tcPr>
          <w:p w14:paraId="31BAAD2B" w14:textId="77777777" w:rsidR="00295A5D" w:rsidRDefault="00295A5D" w:rsidP="00295A5D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96" w:type="dxa"/>
            <w:shd w:val="clear" w:color="auto" w:fill="auto"/>
          </w:tcPr>
          <w:p w14:paraId="6192183F" w14:textId="4716922E" w:rsidR="00295A5D" w:rsidRPr="00832E72" w:rsidRDefault="00295A5D" w:rsidP="00295A5D">
            <w:pPr>
              <w:spacing w:after="0"/>
              <w:rPr>
                <w:rFonts w:cs="Arial"/>
                <w:color w:val="0D0D0D" w:themeColor="text1" w:themeTint="F2"/>
                <w:spacing w:val="-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18BDFDB" wp14:editId="1E17BA63">
                  <wp:extent cx="4734560" cy="3599180"/>
                  <wp:effectExtent l="0" t="0" r="8890" b="1270"/>
                  <wp:docPr id="44" name="Graf 4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295A5D" w:rsidRPr="00832E72" w14:paraId="0BD01E99" w14:textId="77777777" w:rsidTr="00496812">
        <w:trPr>
          <w:trHeight w:val="155"/>
        </w:trPr>
        <w:tc>
          <w:tcPr>
            <w:tcW w:w="1814" w:type="dxa"/>
            <w:vMerge/>
            <w:shd w:val="clear" w:color="auto" w:fill="auto"/>
            <w:tcMar>
              <w:left w:w="0" w:type="dxa"/>
            </w:tcMar>
          </w:tcPr>
          <w:p w14:paraId="21B2DF59" w14:textId="77777777" w:rsidR="00295A5D" w:rsidRDefault="00295A5D" w:rsidP="00295A5D">
            <w:pPr>
              <w:pStyle w:val="Marginlie"/>
            </w:pPr>
          </w:p>
        </w:tc>
        <w:tc>
          <w:tcPr>
            <w:tcW w:w="229" w:type="dxa"/>
            <w:vMerge/>
            <w:shd w:val="clear" w:color="auto" w:fill="auto"/>
            <w:tcMar>
              <w:left w:w="0" w:type="dxa"/>
            </w:tcMar>
          </w:tcPr>
          <w:p w14:paraId="662F10DA" w14:textId="77777777" w:rsidR="00295A5D" w:rsidRDefault="00295A5D" w:rsidP="00295A5D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36A66BE3" w14:textId="4B033CC3" w:rsidR="00295A5D" w:rsidRPr="00052ADA" w:rsidRDefault="00295A5D" w:rsidP="00295A5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6"/>
              </w:rPr>
              <w:t>*</w:t>
            </w:r>
            <w:r w:rsidRPr="00052ADA">
              <w:rPr>
                <w:rFonts w:cs="Arial"/>
                <w:sz w:val="14"/>
                <w:szCs w:val="14"/>
              </w:rPr>
              <w:t xml:space="preserve"> Tržby jsou očištěny o kalendářní vlivy.       ** Tržby jsou sezónně i kalendářně očištěny.</w:t>
            </w:r>
          </w:p>
          <w:p w14:paraId="2985C480" w14:textId="44C4BFEA" w:rsidR="00295A5D" w:rsidRPr="00832E72" w:rsidRDefault="00295A5D" w:rsidP="00295A5D">
            <w:pPr>
              <w:spacing w:after="200"/>
              <w:rPr>
                <w:rFonts w:cs="Arial"/>
                <w:color w:val="0D0D0D" w:themeColor="text1" w:themeTint="F2"/>
                <w:spacing w:val="-4"/>
                <w:szCs w:val="20"/>
              </w:rPr>
            </w:pPr>
            <w:r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*** Salda důvěry jsou sezónně očištěna a vyjadřují</w:t>
            </w:r>
            <w:r w:rsidRPr="00052ADA"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 xml:space="preserve"> stav ve druhém měs</w:t>
            </w:r>
            <w:r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íci daného čtvrtletí.</w:t>
            </w:r>
            <w:r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ab/>
              <w:t xml:space="preserve">      </w:t>
            </w:r>
            <w:r w:rsidRPr="00052ADA"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 xml:space="preserve">       </w:t>
            </w:r>
            <w:r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 xml:space="preserve">                     </w:t>
            </w:r>
            <w:r w:rsidRPr="00052ADA"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 xml:space="preserve">  Zdroj: ČSÚ</w:t>
            </w:r>
          </w:p>
        </w:tc>
      </w:tr>
      <w:tr w:rsidR="00295A5D" w:rsidRPr="00672986" w14:paraId="552895D0" w14:textId="77777777" w:rsidTr="00496812">
        <w:trPr>
          <w:trHeight w:val="170"/>
        </w:trPr>
        <w:tc>
          <w:tcPr>
            <w:tcW w:w="1814" w:type="dxa"/>
            <w:shd w:val="clear" w:color="auto" w:fill="auto"/>
            <w:tcMar>
              <w:left w:w="0" w:type="dxa"/>
            </w:tcMar>
          </w:tcPr>
          <w:p w14:paraId="4A327A9F" w14:textId="6F7DB63A" w:rsidR="00295A5D" w:rsidRPr="005F5E12" w:rsidRDefault="00295A5D" w:rsidP="00295A5D">
            <w:pPr>
              <w:pStyle w:val="Marginlie"/>
              <w:rPr>
                <w:color w:val="0D0D0D" w:themeColor="text1" w:themeTint="F2"/>
                <w:spacing w:val="0"/>
              </w:rPr>
            </w:pPr>
            <w:r w:rsidRPr="005F5E12">
              <w:rPr>
                <w:color w:val="0D0D0D" w:themeColor="text1" w:themeTint="F2"/>
                <w:spacing w:val="0"/>
              </w:rPr>
              <w:t xml:space="preserve">Meziroční </w:t>
            </w:r>
            <w:r>
              <w:rPr>
                <w:color w:val="0D0D0D" w:themeColor="text1" w:themeTint="F2"/>
                <w:spacing w:val="0"/>
              </w:rPr>
              <w:t>růst maloobchodních tržeb dosáhl ve 4. čtvrtletí téměř tříletého maxima</w:t>
            </w:r>
            <w:r w:rsidRPr="005F5E12">
              <w:rPr>
                <w:color w:val="0D0D0D" w:themeColor="text1" w:themeTint="F2"/>
                <w:spacing w:val="0"/>
              </w:rPr>
              <w:t>.</w:t>
            </w:r>
          </w:p>
          <w:p w14:paraId="0D96F198" w14:textId="77777777" w:rsidR="00295A5D" w:rsidRPr="005F5E12" w:rsidRDefault="00295A5D" w:rsidP="00295A5D">
            <w:pPr>
              <w:pStyle w:val="Marginlie"/>
              <w:rPr>
                <w:color w:val="0D0D0D" w:themeColor="text1" w:themeTint="F2"/>
                <w:spacing w:val="0"/>
              </w:rPr>
            </w:pPr>
          </w:p>
          <w:p w14:paraId="72BF00CC" w14:textId="77777777" w:rsidR="00295A5D" w:rsidRPr="005F5E12" w:rsidRDefault="00295A5D" w:rsidP="00295A5D">
            <w:pPr>
              <w:pStyle w:val="Marginlie"/>
              <w:rPr>
                <w:color w:val="0D0D0D" w:themeColor="text1" w:themeTint="F2"/>
                <w:spacing w:val="0"/>
              </w:rPr>
            </w:pPr>
          </w:p>
          <w:p w14:paraId="248E953C" w14:textId="77777777" w:rsidR="00295A5D" w:rsidRDefault="00295A5D" w:rsidP="00295A5D">
            <w:pPr>
              <w:pStyle w:val="Marginlie"/>
              <w:rPr>
                <w:color w:val="0D0D0D" w:themeColor="text1" w:themeTint="F2"/>
                <w:spacing w:val="0"/>
              </w:rPr>
            </w:pPr>
          </w:p>
          <w:p w14:paraId="0CFFF3D8" w14:textId="77777777" w:rsidR="00295A5D" w:rsidRDefault="00295A5D" w:rsidP="00295A5D">
            <w:pPr>
              <w:pStyle w:val="Marginlie"/>
              <w:rPr>
                <w:color w:val="0D0D0D" w:themeColor="text1" w:themeTint="F2"/>
                <w:spacing w:val="0"/>
              </w:rPr>
            </w:pPr>
          </w:p>
          <w:p w14:paraId="523A5F2A" w14:textId="77777777" w:rsidR="00295A5D" w:rsidRPr="005F5E12" w:rsidRDefault="00295A5D" w:rsidP="00295A5D">
            <w:pPr>
              <w:pStyle w:val="Marginlie"/>
              <w:rPr>
                <w:color w:val="0D0D0D" w:themeColor="text1" w:themeTint="F2"/>
                <w:spacing w:val="0"/>
              </w:rPr>
            </w:pPr>
          </w:p>
          <w:p w14:paraId="2461A2DB" w14:textId="77777777" w:rsidR="00295A5D" w:rsidRPr="005F5E12" w:rsidRDefault="00295A5D" w:rsidP="00295A5D">
            <w:pPr>
              <w:pStyle w:val="Marginlie"/>
              <w:rPr>
                <w:color w:val="0D0D0D" w:themeColor="text1" w:themeTint="F2"/>
                <w:spacing w:val="0"/>
              </w:rPr>
            </w:pPr>
            <w:r w:rsidRPr="005F5E12">
              <w:rPr>
                <w:color w:val="0D0D0D" w:themeColor="text1" w:themeTint="F2"/>
                <w:spacing w:val="0"/>
              </w:rPr>
              <w:t xml:space="preserve">Postupující digitalizace i modernizace v logistice vedly k silnému růstu internetového prodeje. </w:t>
            </w:r>
            <w:r>
              <w:rPr>
                <w:color w:val="0D0D0D" w:themeColor="text1" w:themeTint="F2"/>
                <w:spacing w:val="0"/>
              </w:rPr>
              <w:t xml:space="preserve">V řadě specializovaných prodejen ovšem tržby dále klesaly. </w:t>
            </w:r>
          </w:p>
          <w:p w14:paraId="50B161CE" w14:textId="77777777" w:rsidR="00295A5D" w:rsidRPr="005F5E12" w:rsidRDefault="00295A5D" w:rsidP="00295A5D">
            <w:pPr>
              <w:pStyle w:val="Marginlie"/>
              <w:rPr>
                <w:color w:val="0D0D0D" w:themeColor="text1" w:themeTint="F2"/>
                <w:spacing w:val="0"/>
              </w:rPr>
            </w:pPr>
          </w:p>
          <w:p w14:paraId="40020928" w14:textId="77777777" w:rsidR="00295A5D" w:rsidRPr="005F5E12" w:rsidRDefault="00295A5D" w:rsidP="00295A5D">
            <w:pPr>
              <w:pStyle w:val="Marginlie"/>
              <w:rPr>
                <w:color w:val="0D0D0D" w:themeColor="text1" w:themeTint="F2"/>
                <w:spacing w:val="0"/>
              </w:rPr>
            </w:pPr>
          </w:p>
          <w:p w14:paraId="29261DE6" w14:textId="77777777" w:rsidR="00295A5D" w:rsidRDefault="00295A5D" w:rsidP="00295A5D">
            <w:pPr>
              <w:pStyle w:val="Marginlie"/>
              <w:rPr>
                <w:color w:val="0D0D0D" w:themeColor="text1" w:themeTint="F2"/>
                <w:spacing w:val="0"/>
              </w:rPr>
            </w:pPr>
          </w:p>
          <w:p w14:paraId="3655B647" w14:textId="77777777" w:rsidR="00295A5D" w:rsidRDefault="00295A5D" w:rsidP="00295A5D">
            <w:pPr>
              <w:pStyle w:val="Marginlie"/>
              <w:rPr>
                <w:color w:val="0D0D0D" w:themeColor="text1" w:themeTint="F2"/>
                <w:spacing w:val="0"/>
              </w:rPr>
            </w:pPr>
          </w:p>
          <w:p w14:paraId="113EA4B4" w14:textId="77777777" w:rsidR="00295A5D" w:rsidRPr="005F5E12" w:rsidRDefault="00295A5D" w:rsidP="00295A5D">
            <w:pPr>
              <w:pStyle w:val="Marginlie"/>
              <w:rPr>
                <w:color w:val="0D0D0D" w:themeColor="text1" w:themeTint="F2"/>
                <w:spacing w:val="0"/>
              </w:rPr>
            </w:pPr>
          </w:p>
          <w:p w14:paraId="2B4137E0" w14:textId="77777777" w:rsidR="00295A5D" w:rsidRPr="005F5E12" w:rsidRDefault="00295A5D" w:rsidP="00295A5D">
            <w:pPr>
              <w:pStyle w:val="Marginlie"/>
              <w:rPr>
                <w:color w:val="0D0D0D" w:themeColor="text1" w:themeTint="F2"/>
                <w:spacing w:val="0"/>
              </w:rPr>
            </w:pPr>
          </w:p>
          <w:p w14:paraId="000965D8" w14:textId="77777777" w:rsidR="00295A5D" w:rsidRPr="005F5E12" w:rsidRDefault="00295A5D" w:rsidP="00295A5D">
            <w:pPr>
              <w:pStyle w:val="Marginlie"/>
              <w:rPr>
                <w:color w:val="0D0D0D" w:themeColor="text1" w:themeTint="F2"/>
                <w:spacing w:val="0"/>
              </w:rPr>
            </w:pPr>
            <w:r w:rsidRPr="005F5E12">
              <w:rPr>
                <w:color w:val="0D0D0D" w:themeColor="text1" w:themeTint="F2"/>
                <w:spacing w:val="0"/>
              </w:rPr>
              <w:t>Poptávka po PHM svižně rostla druhým rokem v řadě, a to i díky příznivému vývoji jejich spotřebitelských cen.</w:t>
            </w:r>
          </w:p>
          <w:p w14:paraId="0394BE4E" w14:textId="77777777" w:rsidR="00295A5D" w:rsidRPr="005F5E12" w:rsidRDefault="00295A5D" w:rsidP="00295A5D">
            <w:pPr>
              <w:pStyle w:val="Marginlie"/>
              <w:rPr>
                <w:spacing w:val="0"/>
              </w:rPr>
            </w:pP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7C55579A" w14:textId="77777777" w:rsidR="00295A5D" w:rsidRDefault="00295A5D" w:rsidP="00295A5D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710EAF50" w14:textId="77777777" w:rsidR="00295A5D" w:rsidRDefault="00295A5D" w:rsidP="00295A5D">
            <w:pPr>
              <w:spacing w:after="0"/>
              <w:rPr>
                <w:rFonts w:cs="Arial"/>
                <w:color w:val="0D0D0D" w:themeColor="text1" w:themeTint="F2"/>
                <w:spacing w:val="-4"/>
                <w:szCs w:val="20"/>
              </w:rPr>
            </w:pPr>
            <w:r w:rsidRPr="00832E72">
              <w:rPr>
                <w:rFonts w:cs="Arial"/>
                <w:color w:val="0D0D0D" w:themeColor="text1" w:themeTint="F2"/>
                <w:spacing w:val="-4"/>
                <w:szCs w:val="20"/>
              </w:rPr>
              <w:t>Tržby v maloobchodu</w:t>
            </w:r>
            <w:r w:rsidRPr="00832E72">
              <w:rPr>
                <w:rStyle w:val="Znakapoznpodarou"/>
                <w:color w:val="0D0D0D" w:themeColor="text1" w:themeTint="F2"/>
                <w:spacing w:val="-4"/>
              </w:rPr>
              <w:footnoteReference w:id="45"/>
            </w:r>
            <w:r w:rsidRPr="00832E72"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 po sedmi čtvrtletích nepříznivého vývoje</w:t>
            </w:r>
            <w:r>
              <w:rPr>
                <w:rStyle w:val="Znakapoznpodarou"/>
                <w:color w:val="0D0D0D" w:themeColor="text1" w:themeTint="F2"/>
                <w:spacing w:val="-4"/>
                <w:szCs w:val="20"/>
              </w:rPr>
              <w:footnoteReference w:id="46"/>
            </w:r>
            <w:r w:rsidRPr="00832E72"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 vykázaly již ve 3. čtvrtletí 202</w:t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>3 mírný mezikvartální růst (+0,5</w:t>
            </w:r>
            <w:r w:rsidRPr="00832E72">
              <w:rPr>
                <w:rFonts w:cs="Arial"/>
                <w:color w:val="0D0D0D" w:themeColor="text1" w:themeTint="F2"/>
                <w:spacing w:val="-4"/>
              </w:rPr>
              <w:t> </w:t>
            </w:r>
            <w:r w:rsidRPr="00832E72">
              <w:rPr>
                <w:rFonts w:cs="Arial"/>
                <w:color w:val="0D0D0D" w:themeColor="text1" w:themeTint="F2"/>
                <w:spacing w:val="-4"/>
                <w:szCs w:val="20"/>
              </w:rPr>
              <w:t>%), jenž následně posiloval a na p</w:t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>očátku loňského roku přesáhl 2 % (v další části roku zotavování pokračovalo, avšak mírnějším tempem). P</w:t>
            </w:r>
            <w:r w:rsidRPr="00832E72">
              <w:rPr>
                <w:rFonts w:cs="Arial"/>
                <w:color w:val="0D0D0D" w:themeColor="text1" w:themeTint="F2"/>
                <w:spacing w:val="-4"/>
                <w:szCs w:val="20"/>
              </w:rPr>
              <w:t>řesto aktuální úroveň t</w:t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ržeb zaostávala o 1,7 % za </w:t>
            </w:r>
            <w:r w:rsidRPr="00832E72"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předkrizovým maximem </w:t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(ze 4. čtvrtletí </w:t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lastRenderedPageBreak/>
              <w:t>2019)</w:t>
            </w:r>
            <w:r>
              <w:rPr>
                <w:rStyle w:val="Znakapoznpodarou"/>
                <w:color w:val="0D0D0D" w:themeColor="text1" w:themeTint="F2"/>
                <w:spacing w:val="-4"/>
                <w:szCs w:val="20"/>
              </w:rPr>
              <w:footnoteReference w:id="47"/>
            </w:r>
            <w:r w:rsidRPr="00832E72">
              <w:rPr>
                <w:rFonts w:cs="Arial"/>
                <w:color w:val="0D0D0D" w:themeColor="text1" w:themeTint="F2"/>
                <w:spacing w:val="-4"/>
                <w:szCs w:val="20"/>
              </w:rPr>
              <w:t>.</w:t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 Meziroční růst tržeb od počátku roku 2024 posiloval a ve 4. čtvrtletí vystoupal na 5,2 % (nejvíce za poslední bezmála tři roky). Za aktuálním růstem stála převážně vyšší poptávka po nepotravinářském zboží (+6,5 %, příspěvek k růstu +3,5 p. b.), z toho samotný internetový prodej (+16,9 %, +2,7 p. b.). Impulsem k rozvoji tohoto prodeje byla postupující digitalizace i modernizace v oblasti logistiky. V rámci specializovaných obchodů</w:t>
            </w:r>
            <w:r>
              <w:rPr>
                <w:rStyle w:val="Znakapoznpodarou"/>
                <w:color w:val="0D0D0D" w:themeColor="text1" w:themeTint="F2"/>
                <w:spacing w:val="-4"/>
                <w:szCs w:val="20"/>
              </w:rPr>
              <w:footnoteReference w:id="48"/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 se zvýšila nejvíce poptávka po kosmetických a toaletních výrobcích (+12,2 %), svižně rostly </w:t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br/>
              <w:t xml:space="preserve">i tržby za farmaceutické a zdravotnické zboží (+5,4 %). V řadě váhově významných sortimentních skupin obchodů se však poptávka dosud nezotavila, což lze zčásti vysvětlit tím, že část jejich klientely se stále více orientuje na internetové a zásilkové obchody. Svou roli ovšem patrně stále hraje i fakt, že některé nákupy „zbytného“ zboží část domácností zřejmě odkládala. Tržby prodejen s počítačovým a komunikačním zařízením byly oproti </w:t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br/>
              <w:t>4. čtvrtletí 2023 nižší o 3,3 %, s výrobky převážně pro domácnost</w:t>
            </w:r>
            <w:r>
              <w:rPr>
                <w:rStyle w:val="Znakapoznpodarou"/>
                <w:color w:val="0D0D0D" w:themeColor="text1" w:themeTint="F2"/>
                <w:spacing w:val="-4"/>
                <w:szCs w:val="20"/>
              </w:rPr>
              <w:footnoteReference w:id="49"/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 o 1,6 % a s </w:t>
            </w:r>
            <w:r w:rsidRPr="00762DD1">
              <w:rPr>
                <w:rFonts w:cs="Arial"/>
                <w:color w:val="0D0D0D" w:themeColor="text1" w:themeTint="F2"/>
                <w:spacing w:val="-4"/>
                <w:szCs w:val="20"/>
              </w:rPr>
              <w:t>výrobky pro kulturu a rekreaci</w:t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 o 0,4 % (obdobná tempa byla u těchto kategorií loni patrná i</w:t>
            </w:r>
            <w:r>
              <w:rPr>
                <w:rFonts w:cs="Arial"/>
                <w:color w:val="0D0D0D" w:themeColor="text1" w:themeTint="F2"/>
                <w:szCs w:val="20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>v</w:t>
            </w:r>
            <w:r>
              <w:rPr>
                <w:rFonts w:cs="Arial"/>
                <w:color w:val="0D0D0D" w:themeColor="text1" w:themeTint="F2"/>
                <w:szCs w:val="20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>celoročním pohledu). Tržby za prodej potravin vzrostly oproti nepotravinářskému zboží střídměji (+1,8 %), z toho v segmentu specializovaných prodejen</w:t>
            </w:r>
            <w:r>
              <w:rPr>
                <w:rStyle w:val="Znakapoznpodarou"/>
                <w:color w:val="0D0D0D" w:themeColor="text1" w:themeTint="F2"/>
                <w:spacing w:val="-4"/>
                <w:szCs w:val="20"/>
              </w:rPr>
              <w:footnoteReference w:id="50"/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 pokračoval jejich meziroční pokles jedenáctý kvartál v řadě (naposledy o 2,4 %). Naopak velmi dynamicky se zvyšovala poptávka po pohonných hmotách, jež pramenila hlavně z jejich příznivého cenového vývoje</w:t>
            </w:r>
            <w:r>
              <w:rPr>
                <w:rStyle w:val="Znakapoznpodarou"/>
                <w:color w:val="0D0D0D" w:themeColor="text1" w:themeTint="F2"/>
                <w:spacing w:val="-4"/>
                <w:szCs w:val="20"/>
              </w:rPr>
              <w:footnoteReference w:id="51"/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. Meziroční růst za jejich prodej loni zrychloval a ve 4. čtvrtletí činil </w:t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br/>
              <w:t>10,2 %</w:t>
            </w:r>
            <w:r>
              <w:rPr>
                <w:rStyle w:val="Znakapoznpodarou"/>
                <w:color w:val="0D0D0D" w:themeColor="text1" w:themeTint="F2"/>
                <w:spacing w:val="-4"/>
                <w:szCs w:val="20"/>
              </w:rPr>
              <w:footnoteReference w:id="52"/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 a k růstu celého maloobchodu přispěl 1,1 p. b. (tedy téměř dvojnásobně než celkový prodej potravin). Za celý loňský rok se tržby u čerpacích stanic zvýšily bezmála </w:t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br/>
              <w:t>o 5 % a přiblížily se výsledku z roku 2023, kdy přitom patřily k nejrychleji rostoucí oblasti celého maloobchodu.</w:t>
            </w:r>
          </w:p>
          <w:p w14:paraId="5B688E51" w14:textId="2E6EE616" w:rsidR="00295A5D" w:rsidRPr="00672986" w:rsidRDefault="00295A5D" w:rsidP="00295A5D">
            <w:pPr>
              <w:spacing w:after="0"/>
              <w:rPr>
                <w:rFonts w:cs="Arial"/>
                <w:color w:val="0D0D0D" w:themeColor="text1" w:themeTint="F2"/>
                <w:spacing w:val="-4"/>
                <w:szCs w:val="20"/>
              </w:rPr>
            </w:pPr>
          </w:p>
        </w:tc>
      </w:tr>
      <w:tr w:rsidR="00295A5D" w:rsidRPr="00933B60" w14:paraId="45917FC3" w14:textId="77777777" w:rsidTr="00496812">
        <w:trPr>
          <w:trHeight w:val="170"/>
        </w:trPr>
        <w:tc>
          <w:tcPr>
            <w:tcW w:w="1814" w:type="dxa"/>
            <w:shd w:val="clear" w:color="auto" w:fill="auto"/>
            <w:tcMar>
              <w:left w:w="0" w:type="dxa"/>
            </w:tcMar>
          </w:tcPr>
          <w:p w14:paraId="110824FB" w14:textId="798CED0C" w:rsidR="00295A5D" w:rsidRPr="000839A0" w:rsidRDefault="00295A5D" w:rsidP="00295A5D">
            <w:pPr>
              <w:pStyle w:val="Marginlie"/>
              <w:rPr>
                <w:spacing w:val="-4"/>
              </w:rPr>
            </w:pPr>
            <w:r>
              <w:rPr>
                <w:spacing w:val="-4"/>
              </w:rPr>
              <w:lastRenderedPageBreak/>
              <w:t>Poptávka v</w:t>
            </w:r>
            <w:r>
              <w:rPr>
                <w:rFonts w:cs="Arial"/>
                <w:color w:val="0D0D0D" w:themeColor="text1" w:themeTint="F2"/>
                <w:szCs w:val="20"/>
              </w:rPr>
              <w:t> </w:t>
            </w:r>
            <w:r>
              <w:rPr>
                <w:spacing w:val="-4"/>
              </w:rPr>
              <w:t xml:space="preserve">motoristickém segmentu obchodu se po výraznějším oživení v roce 2023 loni zvýšila jen velmi mírně. </w:t>
            </w:r>
          </w:p>
        </w:tc>
        <w:tc>
          <w:tcPr>
            <w:tcW w:w="229" w:type="dxa"/>
            <w:shd w:val="clear" w:color="auto" w:fill="auto"/>
            <w:tcMar>
              <w:left w:w="0" w:type="dxa"/>
            </w:tcMar>
          </w:tcPr>
          <w:p w14:paraId="007F718D" w14:textId="77777777" w:rsidR="00295A5D" w:rsidRPr="00933B60" w:rsidRDefault="00295A5D" w:rsidP="00295A5D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596" w:type="dxa"/>
            <w:shd w:val="clear" w:color="auto" w:fill="auto"/>
            <w:tcMar>
              <w:left w:w="0" w:type="dxa"/>
            </w:tcMar>
          </w:tcPr>
          <w:p w14:paraId="3433E2D3" w14:textId="549F2CF7" w:rsidR="00295A5D" w:rsidRPr="00933B60" w:rsidRDefault="00295A5D" w:rsidP="00295A5D">
            <w:pPr>
              <w:spacing w:after="0"/>
              <w:rPr>
                <w:rFonts w:cs="Arial"/>
                <w:color w:val="0D0D0D" w:themeColor="text1" w:themeTint="F2"/>
                <w:szCs w:val="20"/>
              </w:rPr>
            </w:pPr>
            <w:r>
              <w:rPr>
                <w:rFonts w:cs="Arial"/>
                <w:color w:val="0D0D0D" w:themeColor="text1" w:themeTint="F2"/>
                <w:szCs w:val="20"/>
              </w:rPr>
              <w:t>T</w:t>
            </w:r>
            <w:r w:rsidRPr="00933B60">
              <w:rPr>
                <w:rFonts w:cs="Arial"/>
                <w:color w:val="0D0D0D" w:themeColor="text1" w:themeTint="F2"/>
                <w:szCs w:val="20"/>
              </w:rPr>
              <w:t>ržby v motoristickém segmentu obchodu</w:t>
            </w:r>
            <w:r>
              <w:rPr>
                <w:rFonts w:cs="Arial"/>
                <w:color w:val="0D0D0D" w:themeColor="text1" w:themeTint="F2"/>
                <w:szCs w:val="20"/>
              </w:rPr>
              <w:t xml:space="preserve"> se po výraznějším oživení v roce 2023 za celý loňský rok zvýšily jen mírně (+0,6 %). V klíčovém segmentu prodeje motorových vozidel, jehož výsledek závisel hlavně na firemní poptávce, se tržby zvýšily o 1,3 % (ve srovnání s předkrizovým vrcholem v </w:t>
            </w:r>
            <w:r>
              <w:rPr>
                <w:rFonts w:cs="Arial"/>
                <w:color w:val="0D0D0D" w:themeColor="text1" w:themeTint="F2"/>
                <w:spacing w:val="-6"/>
                <w:szCs w:val="20"/>
              </w:rPr>
              <w:t xml:space="preserve">roce 2017 zaostaly o více než 8 %). V obchodu s </w:t>
            </w:r>
            <w:r>
              <w:rPr>
                <w:rFonts w:cs="Arial"/>
                <w:color w:val="0D0D0D" w:themeColor="text1" w:themeTint="F2"/>
                <w:szCs w:val="20"/>
              </w:rPr>
              <w:t>díly i příslušenstvím se loni tržby snížily o 2,7 % a klesly potřetí v řadě.</w:t>
            </w:r>
          </w:p>
        </w:tc>
      </w:tr>
    </w:tbl>
    <w:p w14:paraId="0569A6FA" w14:textId="77777777" w:rsidR="004E7C6B" w:rsidRPr="00532E62" w:rsidRDefault="004E7C6B" w:rsidP="004E7C6B">
      <w:pPr>
        <w:rPr>
          <w:rFonts w:eastAsia="MS Gothic"/>
          <w:highlight w:val="yellow"/>
        </w:rPr>
      </w:pPr>
    </w:p>
    <w:p w14:paraId="2143296F" w14:textId="4D00B503" w:rsidR="00A50D73" w:rsidRPr="00682FF4" w:rsidRDefault="00A50D73" w:rsidP="00682FF4">
      <w:pPr>
        <w:spacing w:after="0" w:line="240" w:lineRule="auto"/>
        <w:jc w:val="left"/>
        <w:rPr>
          <w:rFonts w:eastAsia="MS Gothic"/>
          <w:b/>
          <w:bCs/>
          <w:color w:val="86BF5E"/>
          <w:sz w:val="32"/>
          <w:szCs w:val="28"/>
          <w:highlight w:val="yellow"/>
        </w:rPr>
      </w:pPr>
      <w:bookmarkStart w:id="6" w:name="_GoBack"/>
      <w:bookmarkEnd w:id="3"/>
      <w:bookmarkEnd w:id="0"/>
      <w:bookmarkEnd w:id="4"/>
      <w:bookmarkEnd w:id="6"/>
    </w:p>
    <w:sectPr w:rsidR="00A50D73" w:rsidRPr="00682FF4" w:rsidSect="00682FF4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1134" w:right="1134" w:bottom="1418" w:left="1134" w:header="680" w:footer="680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2EF3C" w14:textId="77777777" w:rsidR="002B48B4" w:rsidRDefault="002B48B4" w:rsidP="00E71A58">
      <w:r>
        <w:separator/>
      </w:r>
    </w:p>
  </w:endnote>
  <w:endnote w:type="continuationSeparator" w:id="0">
    <w:p w14:paraId="70B7E2B6" w14:textId="77777777" w:rsidR="002B48B4" w:rsidRDefault="002B48B4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8" w14:textId="5C09B3D0" w:rsidR="002B48B4" w:rsidRPr="00932443" w:rsidRDefault="002B48B4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2143298A" wp14:editId="2143298B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1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682FF4">
      <w:rPr>
        <w:szCs w:val="16"/>
      </w:rPr>
      <w:t>22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rok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9" w14:textId="7E178213" w:rsidR="002B48B4" w:rsidRPr="00932443" w:rsidRDefault="002B48B4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2143298C" wp14:editId="2143298D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2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szCs w:val="16"/>
      </w:rPr>
      <w:t>rok 2024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682FF4">
      <w:rPr>
        <w:rStyle w:val="ZpatChar"/>
        <w:szCs w:val="16"/>
      </w:rPr>
      <w:t>21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0D8F6" w14:textId="77777777" w:rsidR="002B48B4" w:rsidRDefault="002B48B4" w:rsidP="00EA4302">
      <w:pPr>
        <w:spacing w:after="0"/>
      </w:pPr>
      <w:r>
        <w:separator/>
      </w:r>
    </w:p>
  </w:footnote>
  <w:footnote w:type="continuationSeparator" w:id="0">
    <w:p w14:paraId="70CDBF0C" w14:textId="77777777" w:rsidR="002B48B4" w:rsidRDefault="002B48B4" w:rsidP="00E71A58">
      <w:r>
        <w:continuationSeparator/>
      </w:r>
    </w:p>
  </w:footnote>
  <w:footnote w:id="1">
    <w:p w14:paraId="0F563C1D" w14:textId="77777777" w:rsidR="00213E46" w:rsidRPr="007163BD" w:rsidRDefault="00213E46" w:rsidP="00213E46">
      <w:pPr>
        <w:pStyle w:val="Textpoznpodarou"/>
        <w:jc w:val="both"/>
        <w:rPr>
          <w:rFonts w:cs="Arial"/>
          <w:color w:val="0D0D0D" w:themeColor="text1" w:themeTint="F2"/>
          <w:spacing w:val="-2"/>
          <w:sz w:val="16"/>
          <w:szCs w:val="16"/>
        </w:rPr>
      </w:pPr>
      <w:r w:rsidRPr="007163BD">
        <w:rPr>
          <w:rStyle w:val="Znakapoznpodarou"/>
          <w:rFonts w:cs="Arial"/>
          <w:color w:val="0D0D0D" w:themeColor="text1" w:themeTint="F2"/>
          <w:spacing w:val="-2"/>
          <w:sz w:val="16"/>
          <w:szCs w:val="16"/>
        </w:rPr>
        <w:footnoteRef/>
      </w:r>
      <w:r w:rsidRPr="007163BD">
        <w:rPr>
          <w:rFonts w:cs="Arial"/>
          <w:color w:val="0D0D0D" w:themeColor="text1" w:themeTint="F2"/>
          <w:spacing w:val="-2"/>
          <w:sz w:val="16"/>
          <w:szCs w:val="16"/>
        </w:rPr>
        <w:t xml:space="preserve"> Údaje o HPH jsou vyjádřeny ve stálých cenách a v očištění o sezónní a kalendářní vlivy.</w:t>
      </w:r>
    </w:p>
  </w:footnote>
  <w:footnote w:id="2">
    <w:p w14:paraId="7A4CD755" w14:textId="77777777" w:rsidR="00213E46" w:rsidRPr="006B6ECC" w:rsidRDefault="00213E46" w:rsidP="00213E46">
      <w:pPr>
        <w:pStyle w:val="Textpoznpodarou"/>
        <w:rPr>
          <w:sz w:val="16"/>
          <w:szCs w:val="16"/>
        </w:rPr>
      </w:pPr>
      <w:r w:rsidRPr="006B6ECC">
        <w:rPr>
          <w:rStyle w:val="Znakapoznpodarou"/>
          <w:sz w:val="16"/>
          <w:szCs w:val="16"/>
        </w:rPr>
        <w:footnoteRef/>
      </w:r>
      <w:r w:rsidRPr="006B6ECC">
        <w:rPr>
          <w:sz w:val="16"/>
          <w:szCs w:val="16"/>
        </w:rPr>
        <w:t xml:space="preserve"> V informačních a komunikačních činnostech převýšila H</w:t>
      </w:r>
      <w:r>
        <w:rPr>
          <w:sz w:val="16"/>
          <w:szCs w:val="16"/>
        </w:rPr>
        <w:t>PH předkrizovou úroveň o 29 %</w:t>
      </w:r>
      <w:r w:rsidRPr="006B6ECC">
        <w:rPr>
          <w:sz w:val="16"/>
          <w:szCs w:val="16"/>
        </w:rPr>
        <w:t>, v peněž</w:t>
      </w:r>
      <w:r>
        <w:rPr>
          <w:sz w:val="16"/>
          <w:szCs w:val="16"/>
        </w:rPr>
        <w:t>nictví a pojišťovnictví o 15 %</w:t>
      </w:r>
      <w:r w:rsidRPr="006B6ECC">
        <w:rPr>
          <w:sz w:val="16"/>
          <w:szCs w:val="16"/>
        </w:rPr>
        <w:t xml:space="preserve"> </w:t>
      </w:r>
      <w:r>
        <w:rPr>
          <w:sz w:val="16"/>
          <w:szCs w:val="16"/>
        </w:rPr>
        <w:br/>
      </w:r>
      <w:r w:rsidRPr="006B6ECC">
        <w:rPr>
          <w:sz w:val="16"/>
          <w:szCs w:val="16"/>
        </w:rPr>
        <w:t xml:space="preserve">a v podnikových službách (profesní, vědecké, technické a administrativní činnosti) o </w:t>
      </w:r>
      <w:r>
        <w:rPr>
          <w:sz w:val="16"/>
          <w:szCs w:val="16"/>
        </w:rPr>
        <w:t>6 %</w:t>
      </w:r>
      <w:r w:rsidRPr="006B6ECC">
        <w:rPr>
          <w:sz w:val="16"/>
          <w:szCs w:val="16"/>
        </w:rPr>
        <w:t>. Naopak výkon průmysl</w:t>
      </w:r>
      <w:r>
        <w:rPr>
          <w:sz w:val="16"/>
          <w:szCs w:val="16"/>
        </w:rPr>
        <w:t>u za 4. čtvrtletím 2019 zaostával o 6</w:t>
      </w:r>
      <w:r w:rsidRPr="006B6ECC">
        <w:rPr>
          <w:sz w:val="16"/>
          <w:szCs w:val="16"/>
        </w:rPr>
        <w:t xml:space="preserve"> %, primární</w:t>
      </w:r>
      <w:r>
        <w:rPr>
          <w:sz w:val="16"/>
          <w:szCs w:val="16"/>
        </w:rPr>
        <w:t>ho</w:t>
      </w:r>
      <w:r w:rsidRPr="006B6ECC">
        <w:rPr>
          <w:sz w:val="16"/>
          <w:szCs w:val="16"/>
        </w:rPr>
        <w:t xml:space="preserve"> sektor</w:t>
      </w:r>
      <w:r>
        <w:rPr>
          <w:sz w:val="16"/>
          <w:szCs w:val="16"/>
        </w:rPr>
        <w:t>u ekonomiky o 11 % a stavebnictví o 16</w:t>
      </w:r>
      <w:r w:rsidRPr="006B6ECC">
        <w:rPr>
          <w:sz w:val="16"/>
          <w:szCs w:val="16"/>
        </w:rPr>
        <w:t xml:space="preserve"> %. </w:t>
      </w:r>
    </w:p>
  </w:footnote>
  <w:footnote w:id="3">
    <w:p w14:paraId="70EDDDEC" w14:textId="165557A5" w:rsidR="00213E46" w:rsidRPr="001054ED" w:rsidRDefault="00213E46" w:rsidP="00213E46">
      <w:pPr>
        <w:pStyle w:val="Textpoznpodarou"/>
        <w:rPr>
          <w:sz w:val="16"/>
          <w:szCs w:val="16"/>
        </w:rPr>
      </w:pPr>
      <w:r w:rsidRPr="001054ED">
        <w:rPr>
          <w:rStyle w:val="Znakapoznpodarou"/>
          <w:sz w:val="16"/>
          <w:szCs w:val="16"/>
        </w:rPr>
        <w:footnoteRef/>
      </w:r>
      <w:r w:rsidRPr="001054ED">
        <w:rPr>
          <w:sz w:val="16"/>
          <w:szCs w:val="16"/>
        </w:rPr>
        <w:t xml:space="preserve"> V EU se </w:t>
      </w:r>
      <w:r>
        <w:rPr>
          <w:sz w:val="16"/>
          <w:szCs w:val="16"/>
        </w:rPr>
        <w:t xml:space="preserve">za </w:t>
      </w:r>
      <w:r w:rsidRPr="001054ED">
        <w:rPr>
          <w:sz w:val="16"/>
          <w:szCs w:val="16"/>
        </w:rPr>
        <w:t>loňský rok HPH zvýšila o rovné 1 % (souhrnný výkon odvětví rostl dynamičtěji než v tuzemsku</w:t>
      </w:r>
      <w:r w:rsidRPr="006A5AE8">
        <w:rPr>
          <w:sz w:val="16"/>
          <w:szCs w:val="16"/>
        </w:rPr>
        <w:t xml:space="preserve"> </w:t>
      </w:r>
      <w:r w:rsidRPr="001054ED">
        <w:rPr>
          <w:sz w:val="16"/>
          <w:szCs w:val="16"/>
        </w:rPr>
        <w:t xml:space="preserve">čtvrtý rok v řadě). Také v Unii i eurozóně platilo, že k růstu přispívaly pouze služby (loni nejvíce odvětví veřejných služeb), naopak </w:t>
      </w:r>
      <w:r>
        <w:rPr>
          <w:sz w:val="16"/>
          <w:szCs w:val="16"/>
        </w:rPr>
        <w:t xml:space="preserve">se snižoval </w:t>
      </w:r>
      <w:r w:rsidRPr="001054ED">
        <w:rPr>
          <w:sz w:val="16"/>
          <w:szCs w:val="16"/>
        </w:rPr>
        <w:t>výkon v celém primárním i sekundárním</w:t>
      </w:r>
      <w:r>
        <w:rPr>
          <w:sz w:val="16"/>
          <w:szCs w:val="16"/>
        </w:rPr>
        <w:t xml:space="preserve"> sektoru. Celková HPH vzrostla nejvíce v Dánsku (+3,9 %), na Maltě (3,8 %) a ve Španělsku (+3,6 %), v rámci střední Evropy pak v Polsku (+2,1 %) – v těchto státech byl výkon ekonomiky podpořen i průmyslem. Naopak celková HPH klesla v pěti státech – v Německu (</w:t>
      </w:r>
      <w:r w:rsidR="00295A5D">
        <w:rPr>
          <w:sz w:val="16"/>
          <w:szCs w:val="16"/>
        </w:rPr>
        <w:t>−</w:t>
      </w:r>
      <w:r>
        <w:rPr>
          <w:sz w:val="16"/>
          <w:szCs w:val="16"/>
        </w:rPr>
        <w:t>0,3 %), Lotyšsku (</w:t>
      </w:r>
      <w:r w:rsidR="00295A5D">
        <w:rPr>
          <w:sz w:val="16"/>
          <w:szCs w:val="16"/>
        </w:rPr>
        <w:t>−</w:t>
      </w:r>
      <w:r>
        <w:rPr>
          <w:sz w:val="16"/>
          <w:szCs w:val="16"/>
        </w:rPr>
        <w:t>0,6 %) a dále také ve Finsku (</w:t>
      </w:r>
      <w:r w:rsidR="00295A5D">
        <w:rPr>
          <w:sz w:val="16"/>
          <w:szCs w:val="16"/>
        </w:rPr>
        <w:t>−</w:t>
      </w:r>
      <w:r>
        <w:rPr>
          <w:sz w:val="16"/>
          <w:szCs w:val="16"/>
        </w:rPr>
        <w:t>0,2 %), Estonsku (</w:t>
      </w:r>
      <w:r w:rsidR="00295A5D">
        <w:rPr>
          <w:sz w:val="16"/>
          <w:szCs w:val="16"/>
        </w:rPr>
        <w:t>−</w:t>
      </w:r>
      <w:r>
        <w:rPr>
          <w:sz w:val="16"/>
          <w:szCs w:val="16"/>
        </w:rPr>
        <w:t>1,1 %) a Rakousku (</w:t>
      </w:r>
      <w:r w:rsidR="00295A5D">
        <w:rPr>
          <w:sz w:val="16"/>
          <w:szCs w:val="16"/>
        </w:rPr>
        <w:t>−</w:t>
      </w:r>
      <w:r>
        <w:rPr>
          <w:sz w:val="16"/>
          <w:szCs w:val="16"/>
        </w:rPr>
        <w:t xml:space="preserve">1,4 %), kde nastal útlum i v roce 2023. </w:t>
      </w:r>
    </w:p>
  </w:footnote>
  <w:footnote w:id="4">
    <w:p w14:paraId="7067A549" w14:textId="77777777" w:rsidR="00213E46" w:rsidRPr="00266C7E" w:rsidRDefault="00213E46" w:rsidP="00213E46">
      <w:pPr>
        <w:pStyle w:val="Textpoznpodarou"/>
        <w:rPr>
          <w:color w:val="0D0D0D" w:themeColor="text1" w:themeTint="F2"/>
          <w:sz w:val="16"/>
          <w:szCs w:val="16"/>
        </w:rPr>
      </w:pPr>
      <w:r w:rsidRPr="00377637">
        <w:rPr>
          <w:rStyle w:val="Znakapoznpodarou"/>
          <w:sz w:val="16"/>
          <w:szCs w:val="16"/>
        </w:rPr>
        <w:footnoteRef/>
      </w:r>
      <w:r w:rsidRPr="00377637">
        <w:rPr>
          <w:sz w:val="16"/>
          <w:szCs w:val="16"/>
        </w:rPr>
        <w:t xml:space="preserve"> </w:t>
      </w:r>
      <w:r w:rsidRPr="003729CD">
        <w:rPr>
          <w:sz w:val="16"/>
          <w:szCs w:val="16"/>
        </w:rPr>
        <w:t>Loňská sklizeň obilovin 7 521 tis. tun byla nižší v meziročním srovnání (−</w:t>
      </w:r>
      <w:r>
        <w:rPr>
          <w:sz w:val="16"/>
          <w:szCs w:val="16"/>
        </w:rPr>
        <w:t xml:space="preserve">5,9 %) i proti  pětiletému průměru </w:t>
      </w:r>
      <w:r w:rsidRPr="003729CD">
        <w:rPr>
          <w:sz w:val="16"/>
          <w:szCs w:val="16"/>
        </w:rPr>
        <w:t>(−6,5 %). </w:t>
      </w:r>
      <w:r>
        <w:rPr>
          <w:sz w:val="16"/>
          <w:szCs w:val="16"/>
        </w:rPr>
        <w:t xml:space="preserve">Jde o </w:t>
      </w:r>
      <w:r w:rsidRPr="003729CD">
        <w:rPr>
          <w:sz w:val="16"/>
          <w:szCs w:val="16"/>
        </w:rPr>
        <w:t xml:space="preserve">nejnižší </w:t>
      </w:r>
      <w:r>
        <w:rPr>
          <w:sz w:val="16"/>
          <w:szCs w:val="16"/>
        </w:rPr>
        <w:t>sklizeň obilovin za posledních pět</w:t>
      </w:r>
      <w:r w:rsidRPr="003729CD">
        <w:rPr>
          <w:sz w:val="16"/>
          <w:szCs w:val="16"/>
        </w:rPr>
        <w:t xml:space="preserve"> let. Více se dařilo jarním druhům obilovin s výjimkou pšenice jarní, naopak úroda ozimých druhů byla výrazně nižší. Sklizeň řepky se v roce 2024 meziročně propadla o více než čtvrtinu na 947 tis. tun </w:t>
      </w:r>
      <w:r>
        <w:rPr>
          <w:sz w:val="16"/>
          <w:szCs w:val="16"/>
        </w:rPr>
        <w:t>(−28</w:t>
      </w:r>
      <w:r w:rsidRPr="003729CD">
        <w:rPr>
          <w:sz w:val="16"/>
          <w:szCs w:val="16"/>
        </w:rPr>
        <w:t xml:space="preserve"> %). Ve srovnání </w:t>
      </w:r>
      <w:r>
        <w:rPr>
          <w:sz w:val="16"/>
          <w:szCs w:val="16"/>
        </w:rPr>
        <w:t>s pětiletým průměrem byla o 20</w:t>
      </w:r>
      <w:r w:rsidRPr="003729CD">
        <w:rPr>
          <w:sz w:val="16"/>
          <w:szCs w:val="16"/>
        </w:rPr>
        <w:t> % nižší. Sklizeň řepky poprvé od roku 2007 klesla pod hranici milionu tun.</w:t>
      </w:r>
      <w:r>
        <w:rPr>
          <w:sz w:val="16"/>
          <w:szCs w:val="16"/>
        </w:rPr>
        <w:t xml:space="preserve"> </w:t>
      </w:r>
      <w:r w:rsidRPr="003729CD">
        <w:rPr>
          <w:sz w:val="16"/>
          <w:szCs w:val="16"/>
        </w:rPr>
        <w:t>Naopak úroda okopanin byla loni zejména díky rozšíření osevní plochy i příznivým hektarovým výnosům meziročně vyšší. Sklizeň byla vyšší i v porovnání s pětiletým průměrem, u </w:t>
      </w:r>
      <w:r>
        <w:rPr>
          <w:color w:val="0D0D0D" w:themeColor="text1" w:themeTint="F2"/>
          <w:sz w:val="16"/>
          <w:szCs w:val="16"/>
        </w:rPr>
        <w:t>brambor o 2</w:t>
      </w:r>
      <w:r w:rsidRPr="00266C7E">
        <w:rPr>
          <w:color w:val="0D0D0D" w:themeColor="text1" w:themeTint="F2"/>
          <w:sz w:val="16"/>
          <w:szCs w:val="16"/>
        </w:rPr>
        <w:t xml:space="preserve"> % </w:t>
      </w:r>
      <w:r>
        <w:rPr>
          <w:color w:val="0D0D0D" w:themeColor="text1" w:themeTint="F2"/>
          <w:sz w:val="16"/>
          <w:szCs w:val="16"/>
        </w:rPr>
        <w:t>a u řepy cukrové o 18</w:t>
      </w:r>
      <w:r w:rsidRPr="00266C7E">
        <w:rPr>
          <w:color w:val="0D0D0D" w:themeColor="text1" w:themeTint="F2"/>
          <w:sz w:val="16"/>
          <w:szCs w:val="16"/>
        </w:rPr>
        <w:t> %. Dařilo se i většině dalších technických plodin. Hlavně díky rozšíření osevů vzrostla meziročně úroda máku (+51 %) i sój</w:t>
      </w:r>
      <w:r>
        <w:rPr>
          <w:color w:val="0D0D0D" w:themeColor="text1" w:themeTint="F2"/>
          <w:sz w:val="16"/>
          <w:szCs w:val="16"/>
        </w:rPr>
        <w:t>i</w:t>
      </w:r>
      <w:r w:rsidRPr="00266C7E">
        <w:rPr>
          <w:color w:val="0D0D0D" w:themeColor="text1" w:themeTint="F2"/>
          <w:sz w:val="16"/>
          <w:szCs w:val="16"/>
        </w:rPr>
        <w:t xml:space="preserve"> (+16 %). Dostatek srážek po většinu vegetačního období se příznivě odrazil v solidní sklizni většiny pícnin (kukuřice na zeleno, jetel). Úroda chmele ve srovnání s předloňským nadprůměrným rokem poklesla (o 7 %), zhruba o desetinu se snížila i sklizeň vinných hroznů i produkce zeleniny.</w:t>
      </w:r>
      <w:r>
        <w:rPr>
          <w:color w:val="0D0D0D" w:themeColor="text1" w:themeTint="F2"/>
          <w:sz w:val="16"/>
          <w:szCs w:val="16"/>
        </w:rPr>
        <w:t xml:space="preserve"> </w:t>
      </w:r>
      <w:r w:rsidRPr="00266C7E">
        <w:rPr>
          <w:color w:val="0D0D0D" w:themeColor="text1" w:themeTint="F2"/>
          <w:sz w:val="16"/>
          <w:szCs w:val="16"/>
        </w:rPr>
        <w:t>Dubnové mrazy</w:t>
      </w:r>
      <w:r>
        <w:rPr>
          <w:color w:val="0D0D0D" w:themeColor="text1" w:themeTint="F2"/>
          <w:sz w:val="16"/>
          <w:szCs w:val="16"/>
        </w:rPr>
        <w:t xml:space="preserve"> poznamenaly</w:t>
      </w:r>
      <w:r w:rsidRPr="00266C7E">
        <w:rPr>
          <w:color w:val="0D0D0D" w:themeColor="text1" w:themeTint="F2"/>
          <w:sz w:val="16"/>
          <w:szCs w:val="16"/>
        </w:rPr>
        <w:t xml:space="preserve"> sklizeň ovoce. Ta se v roce 2024 meziročně propadla o 58 % (a byla o 63 % nižší oproti pětiletému průměru. S výjimkou broskví a meruněk se meziroční propad sklizně týkal všech hlavních druhů ovoce.</w:t>
      </w:r>
    </w:p>
  </w:footnote>
  <w:footnote w:id="5">
    <w:p w14:paraId="533CD9C7" w14:textId="77777777" w:rsidR="00213E46" w:rsidRPr="0088013B" w:rsidRDefault="00213E46" w:rsidP="00213E46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MS Gothic" w:hAnsi="Arial" w:cs="Arial"/>
          <w:color w:val="000000"/>
          <w:sz w:val="16"/>
          <w:szCs w:val="16"/>
          <w:shd w:val="clear" w:color="auto" w:fill="FFFFFF"/>
        </w:rPr>
      </w:pPr>
      <w:r w:rsidRPr="0088013B">
        <w:rPr>
          <w:rStyle w:val="Znakapoznpodarou"/>
          <w:rFonts w:ascii="Arial" w:hAnsi="Arial" w:cs="Arial"/>
          <w:sz w:val="16"/>
          <w:szCs w:val="16"/>
        </w:rPr>
        <w:footnoteRef/>
      </w:r>
      <w:r w:rsidRPr="0088013B">
        <w:rPr>
          <w:rFonts w:ascii="Arial" w:hAnsi="Arial" w:cs="Arial"/>
          <w:sz w:val="16"/>
          <w:szCs w:val="16"/>
        </w:rPr>
        <w:t xml:space="preserve"> </w:t>
      </w:r>
      <w:r w:rsidRPr="0088013B">
        <w:rPr>
          <w:rFonts w:ascii="Arial" w:eastAsia="Calibri" w:hAnsi="Arial" w:cs="Arial"/>
          <w:color w:val="0D0D0D" w:themeColor="text1" w:themeTint="F2"/>
          <w:sz w:val="16"/>
          <w:szCs w:val="16"/>
        </w:rPr>
        <w:t>Za celý rok 2024 se n</w:t>
      </w:r>
      <w:r>
        <w:rPr>
          <w:rFonts w:ascii="Arial" w:eastAsia="Calibri" w:hAnsi="Arial" w:cs="Arial"/>
          <w:color w:val="0D0D0D" w:themeColor="text1" w:themeTint="F2"/>
          <w:sz w:val="16"/>
          <w:szCs w:val="16"/>
        </w:rPr>
        <w:t>a jatkách v Česku vyrobilo 450 tis. tun</w:t>
      </w:r>
      <w:r w:rsidRPr="0088013B">
        <w:rPr>
          <w:rFonts w:ascii="Arial" w:eastAsia="Calibri" w:hAnsi="Arial" w:cs="Arial"/>
          <w:color w:val="0D0D0D" w:themeColor="text1" w:themeTint="F2"/>
          <w:sz w:val="16"/>
          <w:szCs w:val="16"/>
        </w:rPr>
        <w:t xml:space="preserve"> masa. Výroba poprvé za poslední tři roky vzrostla, meziročně o 3,3 %. Objem výroby byl srovnatelný</w:t>
      </w:r>
      <w:r>
        <w:rPr>
          <w:rFonts w:ascii="Arial" w:eastAsia="Calibri" w:hAnsi="Arial" w:cs="Arial"/>
          <w:color w:val="0D0D0D" w:themeColor="text1" w:themeTint="F2"/>
          <w:sz w:val="16"/>
          <w:szCs w:val="16"/>
        </w:rPr>
        <w:t xml:space="preserve"> s rokem 2020. Za loňským navýšením</w:t>
      </w:r>
      <w:r w:rsidRPr="0088013B">
        <w:rPr>
          <w:rFonts w:ascii="Arial" w:eastAsia="Calibri" w:hAnsi="Arial" w:cs="Arial"/>
          <w:color w:val="0D0D0D" w:themeColor="text1" w:themeTint="F2"/>
          <w:sz w:val="16"/>
          <w:szCs w:val="16"/>
        </w:rPr>
        <w:t xml:space="preserve"> stálo z velké části vepřové maso (s růstem o 6,9 %), mírněji posílila i výroba drůbežího (+1,1 %), naopak hovězího (vč. telecího) se vyrobilo o 2 % méně. Přímý nákup mléka od producentů vzrostl o 1,7 % a pokračoval tak v podobném dlouhodobém trendu.</w:t>
      </w:r>
      <w:r>
        <w:rPr>
          <w:rFonts w:ascii="Arial" w:eastAsia="Calibri" w:hAnsi="Arial" w:cs="Arial"/>
          <w:color w:val="0D0D0D" w:themeColor="text1" w:themeTint="F2"/>
          <w:sz w:val="16"/>
          <w:szCs w:val="16"/>
        </w:rPr>
        <w:t xml:space="preserve"> </w:t>
      </w:r>
    </w:p>
  </w:footnote>
  <w:footnote w:id="6">
    <w:p w14:paraId="607B95A9" w14:textId="77777777" w:rsidR="00213E46" w:rsidRPr="00E1174E" w:rsidRDefault="00213E46" w:rsidP="00213E46">
      <w:pPr>
        <w:spacing w:after="0" w:line="240" w:lineRule="auto"/>
        <w:rPr>
          <w:rFonts w:cs="Arial"/>
          <w:color w:val="0D0D0D" w:themeColor="text1" w:themeTint="F2"/>
          <w:spacing w:val="-4"/>
          <w:sz w:val="16"/>
          <w:szCs w:val="16"/>
        </w:rPr>
      </w:pPr>
      <w:r w:rsidRPr="008C2F46">
        <w:rPr>
          <w:rStyle w:val="Znakapoznpodarou"/>
          <w:spacing w:val="-4"/>
          <w:sz w:val="16"/>
          <w:szCs w:val="16"/>
        </w:rPr>
        <w:footnoteRef/>
      </w:r>
      <w:r w:rsidRPr="008C2F46">
        <w:rPr>
          <w:spacing w:val="-4"/>
          <w:sz w:val="16"/>
          <w:szCs w:val="16"/>
        </w:rPr>
        <w:t xml:space="preserve"> </w:t>
      </w:r>
      <w:r w:rsidRPr="00E1174E">
        <w:rPr>
          <w:rFonts w:cs="Arial"/>
          <w:color w:val="0D0D0D" w:themeColor="text1" w:themeTint="F2"/>
          <w:spacing w:val="-4"/>
          <w:sz w:val="16"/>
          <w:szCs w:val="16"/>
        </w:rPr>
        <w:t>Zahrnuje odvětví těžby a dobývání, zpracovatelského průmyslu a také energetiky (zde pojímané jako odvětví výroby a rozvodu elektřiny, plynu, tepla a klimatizovaného vzduchu). Všechna meziroční tempa produkce jsou očištěna o kalendářní vlivy, mezičtvrtletní tempa i o vliv sezónnosti.</w:t>
      </w:r>
    </w:p>
  </w:footnote>
  <w:footnote w:id="7">
    <w:p w14:paraId="00296398" w14:textId="4ECAF2C3" w:rsidR="00213E46" w:rsidRPr="000872F3" w:rsidRDefault="00213E46" w:rsidP="00213E46">
      <w:pPr>
        <w:pStyle w:val="Textpoznpodarou"/>
        <w:rPr>
          <w:color w:val="0D0D0D" w:themeColor="text1" w:themeTint="F2"/>
          <w:spacing w:val="-1"/>
          <w:sz w:val="16"/>
          <w:szCs w:val="16"/>
        </w:rPr>
      </w:pPr>
      <w:r w:rsidRPr="0013125D">
        <w:rPr>
          <w:rStyle w:val="Znakapoznpodarou"/>
          <w:sz w:val="16"/>
          <w:szCs w:val="16"/>
        </w:rPr>
        <w:footnoteRef/>
      </w:r>
      <w:r w:rsidRPr="0013125D">
        <w:rPr>
          <w:sz w:val="16"/>
          <w:szCs w:val="16"/>
        </w:rPr>
        <w:t xml:space="preserve"> </w:t>
      </w:r>
      <w:r w:rsidRPr="0052184C">
        <w:rPr>
          <w:color w:val="0D0D0D" w:themeColor="text1" w:themeTint="F2"/>
          <w:spacing w:val="-1"/>
          <w:sz w:val="16"/>
          <w:szCs w:val="16"/>
        </w:rPr>
        <w:t xml:space="preserve">Za svým vrcholem z období let 2015 </w:t>
      </w:r>
      <w:r>
        <w:rPr>
          <w:color w:val="0D0D0D" w:themeColor="text1" w:themeTint="F2"/>
          <w:spacing w:val="-1"/>
          <w:sz w:val="16"/>
          <w:szCs w:val="16"/>
        </w:rPr>
        <w:t>až 2019 loni</w:t>
      </w:r>
      <w:r w:rsidRPr="00265220">
        <w:rPr>
          <w:color w:val="0D0D0D" w:themeColor="text1" w:themeTint="F2"/>
          <w:spacing w:val="-1"/>
          <w:sz w:val="16"/>
          <w:szCs w:val="16"/>
        </w:rPr>
        <w:t xml:space="preserve"> ve </w:t>
      </w:r>
      <w:r>
        <w:rPr>
          <w:color w:val="0D0D0D" w:themeColor="text1" w:themeTint="F2"/>
          <w:spacing w:val="-1"/>
          <w:sz w:val="16"/>
          <w:szCs w:val="16"/>
        </w:rPr>
        <w:t>4. čtvrtletí zaostávaly</w:t>
      </w:r>
      <w:r w:rsidRPr="00265220">
        <w:rPr>
          <w:color w:val="0D0D0D" w:themeColor="text1" w:themeTint="F2"/>
          <w:spacing w:val="-1"/>
          <w:sz w:val="16"/>
          <w:szCs w:val="16"/>
        </w:rPr>
        <w:t xml:space="preserve"> dvě třetiny hlavních průmyslových oborů – především ty provázané s oblastí energetiky (</w:t>
      </w:r>
      <w:r w:rsidR="00295A5D">
        <w:rPr>
          <w:color w:val="0D0D0D" w:themeColor="text1" w:themeTint="F2"/>
          <w:spacing w:val="-4"/>
          <w:sz w:val="16"/>
          <w:szCs w:val="16"/>
        </w:rPr>
        <w:t>−</w:t>
      </w:r>
      <w:r>
        <w:rPr>
          <w:color w:val="0D0D0D" w:themeColor="text1" w:themeTint="F2"/>
          <w:spacing w:val="-1"/>
          <w:sz w:val="16"/>
          <w:szCs w:val="16"/>
        </w:rPr>
        <w:t>24</w:t>
      </w:r>
      <w:r w:rsidRPr="00265220">
        <w:rPr>
          <w:color w:val="0D0D0D" w:themeColor="text1" w:themeTint="F2"/>
          <w:spacing w:val="-1"/>
          <w:sz w:val="16"/>
          <w:szCs w:val="16"/>
        </w:rPr>
        <w:t xml:space="preserve"> %) a ty zaměřené na produkci dlouhodobé spotřeby (</w:t>
      </w:r>
      <w:r w:rsidR="00295A5D">
        <w:rPr>
          <w:color w:val="0D0D0D" w:themeColor="text1" w:themeTint="F2"/>
          <w:spacing w:val="-4"/>
          <w:sz w:val="16"/>
          <w:szCs w:val="16"/>
        </w:rPr>
        <w:t>−</w:t>
      </w:r>
      <w:r>
        <w:rPr>
          <w:color w:val="0D0D0D" w:themeColor="text1" w:themeTint="F2"/>
          <w:spacing w:val="-1"/>
          <w:sz w:val="16"/>
          <w:szCs w:val="16"/>
        </w:rPr>
        <w:t>19</w:t>
      </w:r>
      <w:r w:rsidRPr="00265220">
        <w:rPr>
          <w:color w:val="0D0D0D" w:themeColor="text1" w:themeTint="F2"/>
          <w:spacing w:val="-1"/>
          <w:sz w:val="16"/>
          <w:szCs w:val="16"/>
        </w:rPr>
        <w:t xml:space="preserve"> %). Na úrovni jednotlivých oborů šlo zejména o těžbu uhlí (</w:t>
      </w:r>
      <w:r w:rsidRPr="00265220">
        <w:rPr>
          <w:rFonts w:cs="Arial"/>
          <w:color w:val="0D0D0D" w:themeColor="text1" w:themeTint="F2"/>
          <w:spacing w:val="-1"/>
          <w:sz w:val="16"/>
          <w:szCs w:val="16"/>
        </w:rPr>
        <w:t>o </w:t>
      </w:r>
      <w:r>
        <w:rPr>
          <w:color w:val="0D0D0D" w:themeColor="text1" w:themeTint="F2"/>
          <w:spacing w:val="-1"/>
          <w:sz w:val="16"/>
          <w:szCs w:val="16"/>
        </w:rPr>
        <w:t>59</w:t>
      </w:r>
      <w:r w:rsidRPr="00265220">
        <w:rPr>
          <w:rFonts w:cs="Arial"/>
          <w:color w:val="0D0D0D" w:themeColor="text1" w:themeTint="F2"/>
          <w:spacing w:val="-1"/>
          <w:sz w:val="16"/>
          <w:szCs w:val="16"/>
        </w:rPr>
        <w:t> </w:t>
      </w:r>
      <w:r w:rsidRPr="00265220">
        <w:rPr>
          <w:color w:val="0D0D0D" w:themeColor="text1" w:themeTint="F2"/>
          <w:spacing w:val="-1"/>
          <w:sz w:val="16"/>
          <w:szCs w:val="16"/>
        </w:rPr>
        <w:t>%), výrob</w:t>
      </w:r>
      <w:r>
        <w:rPr>
          <w:color w:val="0D0D0D" w:themeColor="text1" w:themeTint="F2"/>
          <w:spacing w:val="-1"/>
          <w:sz w:val="16"/>
          <w:szCs w:val="16"/>
        </w:rPr>
        <w:t>u</w:t>
      </w:r>
      <w:r w:rsidRPr="00265220">
        <w:rPr>
          <w:color w:val="0D0D0D" w:themeColor="text1" w:themeTint="F2"/>
          <w:spacing w:val="-1"/>
          <w:sz w:val="16"/>
          <w:szCs w:val="16"/>
        </w:rPr>
        <w:t xml:space="preserve"> kovů, hutnictví a slévárenství (−32 %), </w:t>
      </w:r>
      <w:r>
        <w:rPr>
          <w:color w:val="0D0D0D" w:themeColor="text1" w:themeTint="F2"/>
          <w:spacing w:val="-1"/>
          <w:sz w:val="16"/>
          <w:szCs w:val="16"/>
        </w:rPr>
        <w:t>textilní průmysl (−23</w:t>
      </w:r>
      <w:r w:rsidRPr="00265220">
        <w:rPr>
          <w:color w:val="0D0D0D" w:themeColor="text1" w:themeTint="F2"/>
          <w:spacing w:val="-1"/>
          <w:sz w:val="16"/>
          <w:szCs w:val="16"/>
        </w:rPr>
        <w:t xml:space="preserve"> %), ob</w:t>
      </w:r>
      <w:r>
        <w:rPr>
          <w:color w:val="0D0D0D" w:themeColor="text1" w:themeTint="F2"/>
          <w:spacing w:val="-1"/>
          <w:sz w:val="16"/>
          <w:szCs w:val="16"/>
        </w:rPr>
        <w:t>uvnický a kožedělný průmysl (−22</w:t>
      </w:r>
      <w:r w:rsidRPr="00265220">
        <w:rPr>
          <w:rFonts w:cs="Arial"/>
          <w:color w:val="0D0D0D" w:themeColor="text1" w:themeTint="F2"/>
          <w:spacing w:val="-1"/>
          <w:sz w:val="16"/>
          <w:szCs w:val="16"/>
        </w:rPr>
        <w:t> </w:t>
      </w:r>
      <w:r>
        <w:rPr>
          <w:color w:val="0D0D0D" w:themeColor="text1" w:themeTint="F2"/>
          <w:spacing w:val="-1"/>
          <w:sz w:val="16"/>
          <w:szCs w:val="16"/>
        </w:rPr>
        <w:t>%), tiskárenství (−20</w:t>
      </w:r>
      <w:r w:rsidRPr="00265220">
        <w:rPr>
          <w:color w:val="0D0D0D" w:themeColor="text1" w:themeTint="F2"/>
          <w:spacing w:val="-1"/>
          <w:sz w:val="16"/>
          <w:szCs w:val="16"/>
        </w:rPr>
        <w:t xml:space="preserve"> %) a energetiku (−20 %). Z větší</w:t>
      </w:r>
      <w:r>
        <w:rPr>
          <w:color w:val="0D0D0D" w:themeColor="text1" w:themeTint="F2"/>
          <w:spacing w:val="-1"/>
          <w:sz w:val="16"/>
          <w:szCs w:val="16"/>
        </w:rPr>
        <w:t>ch oborů dále strojírenství (−15</w:t>
      </w:r>
      <w:r w:rsidRPr="00265220">
        <w:rPr>
          <w:color w:val="0D0D0D" w:themeColor="text1" w:themeTint="F2"/>
          <w:spacing w:val="-1"/>
          <w:sz w:val="16"/>
          <w:szCs w:val="16"/>
        </w:rPr>
        <w:t xml:space="preserve"> %), chemický průmysl (−14 %), vý</w:t>
      </w:r>
      <w:r>
        <w:rPr>
          <w:color w:val="0D0D0D" w:themeColor="text1" w:themeTint="F2"/>
          <w:spacing w:val="-1"/>
          <w:sz w:val="16"/>
          <w:szCs w:val="16"/>
        </w:rPr>
        <w:t>robu stavebních hmot (−12</w:t>
      </w:r>
      <w:r w:rsidRPr="00265220">
        <w:rPr>
          <w:rFonts w:cs="Arial"/>
          <w:color w:val="0D0D0D" w:themeColor="text1" w:themeTint="F2"/>
          <w:spacing w:val="-1"/>
          <w:sz w:val="16"/>
          <w:szCs w:val="16"/>
        </w:rPr>
        <w:t> </w:t>
      </w:r>
      <w:r w:rsidRPr="00265220">
        <w:rPr>
          <w:color w:val="0D0D0D" w:themeColor="text1" w:themeTint="F2"/>
          <w:spacing w:val="-1"/>
          <w:sz w:val="16"/>
          <w:szCs w:val="16"/>
        </w:rPr>
        <w:t>%)</w:t>
      </w:r>
      <w:r>
        <w:rPr>
          <w:color w:val="0D0D0D" w:themeColor="text1" w:themeTint="F2"/>
          <w:spacing w:val="-1"/>
          <w:sz w:val="16"/>
          <w:szCs w:val="16"/>
        </w:rPr>
        <w:t xml:space="preserve"> a </w:t>
      </w:r>
      <w:r w:rsidRPr="00265220">
        <w:rPr>
          <w:color w:val="0D0D0D" w:themeColor="text1" w:themeTint="F2"/>
          <w:spacing w:val="-1"/>
          <w:sz w:val="16"/>
          <w:szCs w:val="16"/>
        </w:rPr>
        <w:t>gumárenství a plastikářství</w:t>
      </w:r>
      <w:r>
        <w:rPr>
          <w:color w:val="0D0D0D" w:themeColor="text1" w:themeTint="F2"/>
          <w:spacing w:val="-1"/>
          <w:sz w:val="16"/>
          <w:szCs w:val="16"/>
        </w:rPr>
        <w:t xml:space="preserve"> (−9</w:t>
      </w:r>
      <w:r w:rsidRPr="00265220">
        <w:rPr>
          <w:rFonts w:cs="Arial"/>
          <w:color w:val="0D0D0D" w:themeColor="text1" w:themeTint="F2"/>
          <w:spacing w:val="-1"/>
          <w:sz w:val="16"/>
          <w:szCs w:val="16"/>
        </w:rPr>
        <w:t> </w:t>
      </w:r>
      <w:r w:rsidRPr="00265220">
        <w:rPr>
          <w:color w:val="0D0D0D" w:themeColor="text1" w:themeTint="F2"/>
          <w:spacing w:val="-1"/>
          <w:sz w:val="16"/>
          <w:szCs w:val="16"/>
        </w:rPr>
        <w:t xml:space="preserve">%). Naopak nad předkrizovou úrovní produkce se aktuálně nacházely </w:t>
      </w:r>
      <w:r>
        <w:rPr>
          <w:color w:val="0D0D0D" w:themeColor="text1" w:themeTint="F2"/>
          <w:spacing w:val="-1"/>
          <w:sz w:val="16"/>
          <w:szCs w:val="16"/>
        </w:rPr>
        <w:t>obory vyrábějící investiční produkty (+6 %) a produkty krátkodobé spotřeby (+5 %). Z jednotlivých oborů šlo primárně o automobilový průmysl (+15 %), farmacii</w:t>
      </w:r>
      <w:r w:rsidRPr="00265220">
        <w:rPr>
          <w:color w:val="0D0D0D" w:themeColor="text1" w:themeTint="F2"/>
          <w:spacing w:val="-1"/>
          <w:sz w:val="16"/>
          <w:szCs w:val="16"/>
        </w:rPr>
        <w:t xml:space="preserve"> </w:t>
      </w:r>
      <w:r>
        <w:rPr>
          <w:color w:val="0D0D0D" w:themeColor="text1" w:themeTint="F2"/>
          <w:spacing w:val="-1"/>
          <w:sz w:val="16"/>
          <w:szCs w:val="16"/>
        </w:rPr>
        <w:t xml:space="preserve">(+13 %) </w:t>
      </w:r>
      <w:r w:rsidRPr="00265220">
        <w:rPr>
          <w:color w:val="0D0D0D" w:themeColor="text1" w:themeTint="F2"/>
          <w:spacing w:val="-1"/>
          <w:sz w:val="16"/>
          <w:szCs w:val="16"/>
        </w:rPr>
        <w:t>a ostatní zp</w:t>
      </w:r>
      <w:r>
        <w:rPr>
          <w:color w:val="0D0D0D" w:themeColor="text1" w:themeTint="F2"/>
          <w:spacing w:val="-1"/>
          <w:sz w:val="16"/>
          <w:szCs w:val="16"/>
        </w:rPr>
        <w:t>racovatelský průmysl (+12</w:t>
      </w:r>
      <w:r w:rsidRPr="00265220">
        <w:rPr>
          <w:color w:val="0D0D0D" w:themeColor="text1" w:themeTint="F2"/>
          <w:spacing w:val="-1"/>
          <w:sz w:val="16"/>
          <w:szCs w:val="16"/>
        </w:rPr>
        <w:t xml:space="preserve"> %)</w:t>
      </w:r>
      <w:r w:rsidRPr="00694718">
        <w:rPr>
          <w:color w:val="0D0D0D" w:themeColor="text1" w:themeTint="F2"/>
          <w:spacing w:val="-1"/>
          <w:sz w:val="16"/>
          <w:szCs w:val="16"/>
        </w:rPr>
        <w:t xml:space="preserve"> </w:t>
      </w:r>
      <w:r>
        <w:rPr>
          <w:color w:val="0D0D0D" w:themeColor="text1" w:themeTint="F2"/>
          <w:spacing w:val="-1"/>
          <w:sz w:val="16"/>
          <w:szCs w:val="16"/>
        </w:rPr>
        <w:t>papírenství (+11 %)</w:t>
      </w:r>
      <w:r w:rsidRPr="00265220">
        <w:rPr>
          <w:color w:val="0D0D0D" w:themeColor="text1" w:themeTint="F2"/>
          <w:spacing w:val="-1"/>
          <w:sz w:val="16"/>
          <w:szCs w:val="16"/>
        </w:rPr>
        <w:t xml:space="preserve"> </w:t>
      </w:r>
      <w:r>
        <w:rPr>
          <w:color w:val="0D0D0D" w:themeColor="text1" w:themeTint="F2"/>
          <w:spacing w:val="-1"/>
          <w:sz w:val="16"/>
          <w:szCs w:val="16"/>
        </w:rPr>
        <w:t xml:space="preserve">a dále např. </w:t>
      </w:r>
      <w:r w:rsidRPr="00265220">
        <w:rPr>
          <w:color w:val="0D0D0D" w:themeColor="text1" w:themeTint="F2"/>
          <w:spacing w:val="-1"/>
          <w:sz w:val="16"/>
          <w:szCs w:val="16"/>
        </w:rPr>
        <w:t xml:space="preserve">potravinářství </w:t>
      </w:r>
      <w:r>
        <w:rPr>
          <w:color w:val="0D0D0D" w:themeColor="text1" w:themeTint="F2"/>
          <w:spacing w:val="-1"/>
          <w:sz w:val="16"/>
          <w:szCs w:val="16"/>
        </w:rPr>
        <w:t>(+6</w:t>
      </w:r>
      <w:r w:rsidRPr="000872F3">
        <w:rPr>
          <w:color w:val="0D0D0D" w:themeColor="text1" w:themeTint="F2"/>
          <w:spacing w:val="-1"/>
          <w:sz w:val="16"/>
          <w:szCs w:val="16"/>
        </w:rPr>
        <w:t xml:space="preserve"> %).</w:t>
      </w:r>
    </w:p>
  </w:footnote>
  <w:footnote w:id="8">
    <w:p w14:paraId="4EDE609C" w14:textId="77777777" w:rsidR="00213E46" w:rsidRPr="00003A03" w:rsidRDefault="00213E46" w:rsidP="00213E46">
      <w:pPr>
        <w:pStyle w:val="Textpoznpodarou"/>
        <w:rPr>
          <w:sz w:val="16"/>
          <w:szCs w:val="16"/>
        </w:rPr>
      </w:pPr>
      <w:r w:rsidRPr="00003A03">
        <w:rPr>
          <w:rStyle w:val="Znakapoznpodarou"/>
          <w:sz w:val="16"/>
          <w:szCs w:val="16"/>
        </w:rPr>
        <w:footnoteRef/>
      </w:r>
      <w:r w:rsidRPr="00003A03">
        <w:rPr>
          <w:sz w:val="16"/>
          <w:szCs w:val="16"/>
        </w:rPr>
        <w:t xml:space="preserve"> Loni to bylo teprve podruhé v novodobé historii Česka, </w:t>
      </w:r>
      <w:r>
        <w:rPr>
          <w:sz w:val="16"/>
          <w:szCs w:val="16"/>
        </w:rPr>
        <w:t xml:space="preserve">kdy strojírenství přispělo k poklesu celkové produkce průmyslu nejvíce ze všech jeho oborů. Poprvé se tak stalo během světové finanční krize v roce 2009. </w:t>
      </w:r>
    </w:p>
  </w:footnote>
  <w:footnote w:id="9">
    <w:p w14:paraId="442D28D3" w14:textId="77777777" w:rsidR="00213E46" w:rsidRPr="004D4FDB" w:rsidRDefault="00213E46" w:rsidP="00213E46">
      <w:pPr>
        <w:pStyle w:val="Textpoznpodarou"/>
        <w:rPr>
          <w:color w:val="0D0D0D" w:themeColor="text1" w:themeTint="F2"/>
          <w:sz w:val="16"/>
          <w:szCs w:val="16"/>
        </w:rPr>
      </w:pPr>
      <w:r w:rsidRPr="004D4FDB">
        <w:rPr>
          <w:rStyle w:val="Znakapoznpodarou"/>
          <w:color w:val="0D0D0D" w:themeColor="text1" w:themeTint="F2"/>
          <w:sz w:val="16"/>
          <w:szCs w:val="16"/>
        </w:rPr>
        <w:footnoteRef/>
      </w:r>
      <w:r>
        <w:rPr>
          <w:color w:val="0D0D0D" w:themeColor="text1" w:themeTint="F2"/>
          <w:sz w:val="16"/>
          <w:szCs w:val="16"/>
        </w:rPr>
        <w:t xml:space="preserve"> </w:t>
      </w:r>
      <w:r w:rsidRPr="004D4FDB">
        <w:rPr>
          <w:color w:val="0D0D0D" w:themeColor="text1" w:themeTint="F2"/>
          <w:sz w:val="16"/>
          <w:szCs w:val="16"/>
        </w:rPr>
        <w:t xml:space="preserve">Dle údajů </w:t>
      </w:r>
      <w:r w:rsidRPr="004D4FDB">
        <w:rPr>
          <w:color w:val="0D0D0D" w:themeColor="text1" w:themeTint="F2"/>
          <w:spacing w:val="-3"/>
          <w:sz w:val="16"/>
          <w:szCs w:val="16"/>
        </w:rPr>
        <w:t>Sdružení</w:t>
      </w:r>
      <w:r w:rsidRPr="004D4FDB">
        <w:rPr>
          <w:color w:val="0D0D0D" w:themeColor="text1" w:themeTint="F2"/>
          <w:sz w:val="16"/>
          <w:szCs w:val="16"/>
        </w:rPr>
        <w:t xml:space="preserve"> automobilového průmyslu </w:t>
      </w:r>
      <w:r>
        <w:rPr>
          <w:color w:val="0D0D0D" w:themeColor="text1" w:themeTint="F2"/>
          <w:sz w:val="16"/>
          <w:szCs w:val="16"/>
        </w:rPr>
        <w:t>se v roce 2024 v tuzemsku vyrobilo 1,453</w:t>
      </w:r>
      <w:r w:rsidRPr="004D4FDB">
        <w:rPr>
          <w:color w:val="0D0D0D" w:themeColor="text1" w:themeTint="F2"/>
          <w:sz w:val="16"/>
          <w:szCs w:val="16"/>
        </w:rPr>
        <w:t xml:space="preserve"> mil. osobních auto</w:t>
      </w:r>
      <w:r>
        <w:rPr>
          <w:color w:val="0D0D0D" w:themeColor="text1" w:themeTint="F2"/>
          <w:sz w:val="16"/>
          <w:szCs w:val="16"/>
        </w:rPr>
        <w:t>mobilů, meziročně o 4 % více (a současně o 1 % více než v donedávna rekordním roce 2018</w:t>
      </w:r>
      <w:r w:rsidRPr="004D4FDB">
        <w:rPr>
          <w:color w:val="0D0D0D" w:themeColor="text1" w:themeTint="F2"/>
          <w:sz w:val="16"/>
          <w:szCs w:val="16"/>
        </w:rPr>
        <w:t>). Přispělo k tomu svižné tempo výroby na samém počátk</w:t>
      </w:r>
      <w:r>
        <w:rPr>
          <w:color w:val="0D0D0D" w:themeColor="text1" w:themeTint="F2"/>
          <w:sz w:val="16"/>
          <w:szCs w:val="16"/>
        </w:rPr>
        <w:t xml:space="preserve">u roku, i na konci 3. čtvrtletí, naopak v listopadu i prosinci tempo výroby sláblo. </w:t>
      </w:r>
      <w:r>
        <w:rPr>
          <w:color w:val="0D0D0D" w:themeColor="text1" w:themeTint="F2"/>
          <w:spacing w:val="-3"/>
          <w:sz w:val="16"/>
          <w:szCs w:val="16"/>
        </w:rPr>
        <w:t>K meziročnímu poklesu došlo v segmentu výroby</w:t>
      </w:r>
      <w:r w:rsidRPr="004D4FDB">
        <w:rPr>
          <w:color w:val="0D0D0D" w:themeColor="text1" w:themeTint="F2"/>
          <w:spacing w:val="-3"/>
          <w:sz w:val="16"/>
          <w:szCs w:val="16"/>
        </w:rPr>
        <w:t xml:space="preserve"> e</w:t>
      </w:r>
      <w:r>
        <w:rPr>
          <w:color w:val="0D0D0D" w:themeColor="text1" w:themeTint="F2"/>
          <w:spacing w:val="-3"/>
          <w:sz w:val="16"/>
          <w:szCs w:val="16"/>
        </w:rPr>
        <w:t>lektrických vozidel (vč. vozů s</w:t>
      </w:r>
      <w:r w:rsidRPr="00224C0C">
        <w:rPr>
          <w:sz w:val="16"/>
          <w:szCs w:val="16"/>
        </w:rPr>
        <w:t> </w:t>
      </w:r>
      <w:r>
        <w:rPr>
          <w:color w:val="0D0D0D" w:themeColor="text1" w:themeTint="F2"/>
          <w:spacing w:val="-3"/>
          <w:sz w:val="16"/>
          <w:szCs w:val="16"/>
        </w:rPr>
        <w:t>hybridním pohonem), který</w:t>
      </w:r>
      <w:r w:rsidRPr="004D4FDB">
        <w:rPr>
          <w:color w:val="0D0D0D" w:themeColor="text1" w:themeTint="F2"/>
          <w:spacing w:val="-3"/>
          <w:sz w:val="16"/>
          <w:szCs w:val="16"/>
        </w:rPr>
        <w:t xml:space="preserve"> se </w:t>
      </w:r>
      <w:r>
        <w:rPr>
          <w:color w:val="0D0D0D" w:themeColor="text1" w:themeTint="F2"/>
          <w:spacing w:val="-3"/>
          <w:sz w:val="16"/>
          <w:szCs w:val="16"/>
        </w:rPr>
        <w:t xml:space="preserve">loni </w:t>
      </w:r>
      <w:r w:rsidRPr="004D4FDB">
        <w:rPr>
          <w:color w:val="0D0D0D" w:themeColor="text1" w:themeTint="F2"/>
          <w:spacing w:val="-3"/>
          <w:sz w:val="16"/>
          <w:szCs w:val="16"/>
        </w:rPr>
        <w:t>na celkové produkci osobních</w:t>
      </w:r>
      <w:r>
        <w:rPr>
          <w:color w:val="0D0D0D" w:themeColor="text1" w:themeTint="F2"/>
          <w:spacing w:val="-3"/>
          <w:sz w:val="16"/>
          <w:szCs w:val="16"/>
        </w:rPr>
        <w:t xml:space="preserve"> automobilů podílel 10,4</w:t>
      </w:r>
      <w:r w:rsidRPr="004D4FDB">
        <w:rPr>
          <w:color w:val="0D0D0D" w:themeColor="text1" w:themeTint="F2"/>
          <w:spacing w:val="-3"/>
          <w:sz w:val="16"/>
          <w:szCs w:val="16"/>
        </w:rPr>
        <w:t xml:space="preserve"> % (o ro</w:t>
      </w:r>
      <w:r>
        <w:rPr>
          <w:color w:val="0D0D0D" w:themeColor="text1" w:themeTint="F2"/>
          <w:spacing w:val="-3"/>
          <w:sz w:val="16"/>
          <w:szCs w:val="16"/>
        </w:rPr>
        <w:t>k dříve 12,9</w:t>
      </w:r>
      <w:r w:rsidRPr="004D4FDB">
        <w:rPr>
          <w:color w:val="0D0D0D" w:themeColor="text1" w:themeTint="F2"/>
          <w:spacing w:val="-3"/>
          <w:sz w:val="16"/>
          <w:szCs w:val="16"/>
        </w:rPr>
        <w:t xml:space="preserve"> %). Oproti </w:t>
      </w:r>
      <w:r>
        <w:rPr>
          <w:color w:val="0D0D0D" w:themeColor="text1" w:themeTint="F2"/>
          <w:spacing w:val="-3"/>
          <w:sz w:val="16"/>
          <w:szCs w:val="16"/>
        </w:rPr>
        <w:t>tomu posílila</w:t>
      </w:r>
      <w:r w:rsidRPr="004D4FDB">
        <w:rPr>
          <w:color w:val="0D0D0D" w:themeColor="text1" w:themeTint="F2"/>
          <w:spacing w:val="-3"/>
          <w:sz w:val="16"/>
          <w:szCs w:val="16"/>
        </w:rPr>
        <w:t xml:space="preserve"> výroba většiny producentů ostatních druhů silničních motorových vozidel.</w:t>
      </w:r>
    </w:p>
  </w:footnote>
  <w:footnote w:id="10">
    <w:p w14:paraId="1383FAF3" w14:textId="77777777" w:rsidR="00213E46" w:rsidRDefault="00213E46" w:rsidP="00213E46">
      <w:pPr>
        <w:pStyle w:val="Textpoznpodarou"/>
      </w:pPr>
      <w:r w:rsidRPr="004D4FDB">
        <w:rPr>
          <w:rStyle w:val="Znakapoznpodarou"/>
          <w:color w:val="0D0D0D" w:themeColor="text1" w:themeTint="F2"/>
          <w:sz w:val="16"/>
          <w:szCs w:val="16"/>
        </w:rPr>
        <w:footnoteRef/>
      </w:r>
      <w:r>
        <w:rPr>
          <w:color w:val="0D0D0D" w:themeColor="text1" w:themeTint="F2"/>
          <w:sz w:val="16"/>
          <w:szCs w:val="16"/>
        </w:rPr>
        <w:t xml:space="preserve"> V celé EU klesla vloni</w:t>
      </w:r>
      <w:r w:rsidRPr="00713B42">
        <w:rPr>
          <w:sz w:val="16"/>
          <w:szCs w:val="16"/>
        </w:rPr>
        <w:t xml:space="preserve"> produkce ve výrobě mo</w:t>
      </w:r>
      <w:r>
        <w:rPr>
          <w:sz w:val="16"/>
          <w:szCs w:val="16"/>
        </w:rPr>
        <w:t>torových vozidel meziročně o 8,2 % (v eurozóně o 9,1 %). Zhruba o</w:t>
      </w:r>
      <w:r w:rsidRPr="00713B42">
        <w:rPr>
          <w:sz w:val="16"/>
          <w:szCs w:val="16"/>
        </w:rPr>
        <w:t xml:space="preserve"> pětinu se propadala v Belgii, Nizozemsku a Itálii, </w:t>
      </w:r>
      <w:r>
        <w:rPr>
          <w:sz w:val="16"/>
          <w:szCs w:val="16"/>
        </w:rPr>
        <w:t>významně se snížila</w:t>
      </w:r>
      <w:r w:rsidRPr="00713B42">
        <w:rPr>
          <w:sz w:val="16"/>
          <w:szCs w:val="16"/>
        </w:rPr>
        <w:t xml:space="preserve"> např. </w:t>
      </w:r>
      <w:r>
        <w:rPr>
          <w:sz w:val="16"/>
          <w:szCs w:val="16"/>
        </w:rPr>
        <w:t xml:space="preserve">i </w:t>
      </w:r>
      <w:r w:rsidRPr="00713B42">
        <w:rPr>
          <w:sz w:val="16"/>
          <w:szCs w:val="16"/>
        </w:rPr>
        <w:t>ve Francii (</w:t>
      </w:r>
      <w:r w:rsidRPr="00F734D9">
        <w:rPr>
          <w:spacing w:val="-1"/>
          <w:sz w:val="16"/>
          <w:szCs w:val="16"/>
        </w:rPr>
        <w:t>−</w:t>
      </w:r>
      <w:r>
        <w:rPr>
          <w:sz w:val="16"/>
          <w:szCs w:val="16"/>
        </w:rPr>
        <w:t>14</w:t>
      </w:r>
      <w:r w:rsidRPr="00713B42">
        <w:rPr>
          <w:sz w:val="16"/>
          <w:szCs w:val="16"/>
        </w:rPr>
        <w:t xml:space="preserve"> %</w:t>
      </w:r>
      <w:r>
        <w:rPr>
          <w:sz w:val="16"/>
          <w:szCs w:val="16"/>
        </w:rPr>
        <w:t>) či</w:t>
      </w:r>
      <w:r w:rsidRPr="00713B42">
        <w:rPr>
          <w:sz w:val="16"/>
          <w:szCs w:val="16"/>
        </w:rPr>
        <w:t xml:space="preserve"> Německu (</w:t>
      </w:r>
      <w:r w:rsidRPr="00F734D9">
        <w:rPr>
          <w:spacing w:val="-1"/>
          <w:sz w:val="16"/>
          <w:szCs w:val="16"/>
        </w:rPr>
        <w:t>−</w:t>
      </w:r>
      <w:r w:rsidRPr="00713B42">
        <w:rPr>
          <w:sz w:val="16"/>
          <w:szCs w:val="16"/>
        </w:rPr>
        <w:t>7 %).</w:t>
      </w:r>
    </w:p>
  </w:footnote>
  <w:footnote w:id="11">
    <w:p w14:paraId="493EFD04" w14:textId="77777777" w:rsidR="00213E46" w:rsidRPr="00526F7B" w:rsidRDefault="00213E46" w:rsidP="00213E46">
      <w:pPr>
        <w:pStyle w:val="Textpoznpodarou"/>
        <w:rPr>
          <w:sz w:val="16"/>
          <w:szCs w:val="16"/>
        </w:rPr>
      </w:pPr>
      <w:r w:rsidRPr="00526F7B">
        <w:rPr>
          <w:rStyle w:val="Znakapoznpodarou"/>
          <w:sz w:val="16"/>
          <w:szCs w:val="16"/>
        </w:rPr>
        <w:footnoteRef/>
      </w:r>
      <w:r w:rsidRPr="00526F7B">
        <w:rPr>
          <w:sz w:val="16"/>
          <w:szCs w:val="16"/>
        </w:rPr>
        <w:t xml:space="preserve"> Ve 4. čtvrtletí 2024 se produkce v těžbě stavebních materiálů mezikv</w:t>
      </w:r>
      <w:r>
        <w:rPr>
          <w:sz w:val="16"/>
          <w:szCs w:val="16"/>
        </w:rPr>
        <w:t>a</w:t>
      </w:r>
      <w:r w:rsidRPr="00526F7B">
        <w:rPr>
          <w:sz w:val="16"/>
          <w:szCs w:val="16"/>
        </w:rPr>
        <w:t xml:space="preserve">rtálně zvýšila skoro o desetinu a obdobně rostla </w:t>
      </w:r>
      <w:r>
        <w:rPr>
          <w:sz w:val="16"/>
          <w:szCs w:val="16"/>
        </w:rPr>
        <w:t xml:space="preserve">i </w:t>
      </w:r>
      <w:r w:rsidRPr="00526F7B">
        <w:rPr>
          <w:sz w:val="16"/>
          <w:szCs w:val="16"/>
        </w:rPr>
        <w:t>v meziročním srovnání (zvyšovala se poprvé za posledních jedenáct čtvrtletí).</w:t>
      </w:r>
    </w:p>
  </w:footnote>
  <w:footnote w:id="12">
    <w:p w14:paraId="107D59E6" w14:textId="77777777" w:rsidR="00213E46" w:rsidRPr="000A2E2C" w:rsidRDefault="00213E46" w:rsidP="00213E46">
      <w:pPr>
        <w:pStyle w:val="Textpoznpodarou"/>
        <w:rPr>
          <w:spacing w:val="-2"/>
          <w:sz w:val="16"/>
          <w:szCs w:val="16"/>
        </w:rPr>
      </w:pPr>
      <w:r w:rsidRPr="000A2E2C">
        <w:rPr>
          <w:rStyle w:val="Znakapoznpodarou"/>
          <w:spacing w:val="-2"/>
          <w:sz w:val="16"/>
          <w:szCs w:val="16"/>
        </w:rPr>
        <w:footnoteRef/>
      </w:r>
      <w:r w:rsidRPr="000A2E2C">
        <w:rPr>
          <w:spacing w:val="-2"/>
          <w:sz w:val="16"/>
          <w:szCs w:val="16"/>
        </w:rPr>
        <w:t xml:space="preserve"> Celková čistá výroba elektřiny (tj. bez mezispotřeby, vč. ztrát při výrobě) dosáhla dle předběžných údajů Energetického regulačního úřadu loni v Česku 69,0 TWh (nejméně po roce 2001) a meziročně klesla o 3,9 % (o polovinu méně než v roce 2023). Ne</w:t>
      </w:r>
      <w:r>
        <w:rPr>
          <w:spacing w:val="-2"/>
          <w:sz w:val="16"/>
          <w:szCs w:val="16"/>
        </w:rPr>
        <w:t>j</w:t>
      </w:r>
      <w:r w:rsidRPr="000A2E2C">
        <w:rPr>
          <w:spacing w:val="-2"/>
          <w:sz w:val="16"/>
          <w:szCs w:val="16"/>
        </w:rPr>
        <w:t>více se projevil pokles produkce parních elektráren (</w:t>
      </w:r>
      <w:r w:rsidRPr="000A2E2C">
        <w:rPr>
          <w:color w:val="0D0D0D" w:themeColor="text1" w:themeTint="F2"/>
          <w:spacing w:val="-2"/>
          <w:sz w:val="16"/>
          <w:szCs w:val="16"/>
        </w:rPr>
        <w:t>−</w:t>
      </w:r>
      <w:r w:rsidRPr="000A2E2C">
        <w:rPr>
          <w:spacing w:val="-2"/>
          <w:sz w:val="16"/>
          <w:szCs w:val="16"/>
        </w:rPr>
        <w:t>9,8 %), k mírnějšímu útlumu došlo i vlivem odstávek u jaderných elektráren (</w:t>
      </w:r>
      <w:r w:rsidRPr="000A2E2C">
        <w:rPr>
          <w:color w:val="0D0D0D" w:themeColor="text1" w:themeTint="F2"/>
          <w:spacing w:val="-2"/>
          <w:sz w:val="16"/>
          <w:szCs w:val="16"/>
        </w:rPr>
        <w:t>−</w:t>
      </w:r>
      <w:r w:rsidRPr="000A2E2C">
        <w:rPr>
          <w:spacing w:val="-2"/>
          <w:sz w:val="16"/>
          <w:szCs w:val="16"/>
        </w:rPr>
        <w:t>2,4 %), které i tak vyrobily ze všech typů zařízení nejvíce (28 TWh). Zrychlil naopak rozvoj fotovoltaických elektráren, jejich loňské navýšení výroby (+24 %, na 3,6 Wh) kopíruje nárůst jejich instalovaného výkonu. Deštivější rok 2024 se odrazil v</w:t>
      </w:r>
      <w:r>
        <w:rPr>
          <w:spacing w:val="-2"/>
          <w:sz w:val="16"/>
          <w:szCs w:val="16"/>
        </w:rPr>
        <w:t>e vyšší produkci</w:t>
      </w:r>
      <w:r w:rsidRPr="000A2E2C">
        <w:rPr>
          <w:spacing w:val="-2"/>
          <w:sz w:val="16"/>
          <w:szCs w:val="16"/>
        </w:rPr>
        <w:t xml:space="preserve"> vodních elektráren (+12 %, na 2,7 TWh). </w:t>
      </w:r>
    </w:p>
  </w:footnote>
  <w:footnote w:id="13">
    <w:p w14:paraId="33EE7F0F" w14:textId="77777777" w:rsidR="00213E46" w:rsidRPr="009D6032" w:rsidRDefault="00213E46" w:rsidP="00213E46">
      <w:pPr>
        <w:pStyle w:val="Textpoznpodarou"/>
        <w:rPr>
          <w:sz w:val="16"/>
          <w:szCs w:val="16"/>
        </w:rPr>
      </w:pPr>
      <w:r w:rsidRPr="009D6032">
        <w:rPr>
          <w:rStyle w:val="Znakapoznpodarou"/>
          <w:sz w:val="16"/>
          <w:szCs w:val="16"/>
        </w:rPr>
        <w:footnoteRef/>
      </w:r>
      <w:r w:rsidRPr="009D6032">
        <w:rPr>
          <w:sz w:val="16"/>
          <w:szCs w:val="16"/>
        </w:rPr>
        <w:t xml:space="preserve"> Čistá spotřeba elektřiny </w:t>
      </w:r>
      <w:r>
        <w:rPr>
          <w:sz w:val="16"/>
          <w:szCs w:val="16"/>
        </w:rPr>
        <w:t xml:space="preserve">v Česku </w:t>
      </w:r>
      <w:r w:rsidRPr="009D6032">
        <w:rPr>
          <w:sz w:val="16"/>
          <w:szCs w:val="16"/>
        </w:rPr>
        <w:t xml:space="preserve">činila loni 58 TWh (nejméně po roce 2009). Za jejím </w:t>
      </w:r>
      <w:r>
        <w:rPr>
          <w:sz w:val="16"/>
          <w:szCs w:val="16"/>
        </w:rPr>
        <w:t>nepatrným</w:t>
      </w:r>
      <w:r w:rsidRPr="009D6032">
        <w:rPr>
          <w:sz w:val="16"/>
          <w:szCs w:val="16"/>
        </w:rPr>
        <w:t xml:space="preserve"> meziročním poklesem (</w:t>
      </w:r>
      <w:r w:rsidRPr="009D6032">
        <w:rPr>
          <w:color w:val="0D0D0D" w:themeColor="text1" w:themeTint="F2"/>
          <w:spacing w:val="-1"/>
          <w:sz w:val="16"/>
          <w:szCs w:val="16"/>
        </w:rPr>
        <w:t>−</w:t>
      </w:r>
      <w:r w:rsidRPr="009D6032">
        <w:rPr>
          <w:sz w:val="16"/>
          <w:szCs w:val="16"/>
        </w:rPr>
        <w:t>0,6 %)</w:t>
      </w:r>
      <w:r>
        <w:rPr>
          <w:sz w:val="16"/>
          <w:szCs w:val="16"/>
        </w:rPr>
        <w:t xml:space="preserve"> stál takřka výhradně menší segment lokální spotřeby (tj. </w:t>
      </w:r>
      <w:r w:rsidRPr="00643D43">
        <w:rPr>
          <w:sz w:val="16"/>
          <w:szCs w:val="16"/>
        </w:rPr>
        <w:t>subjektů přímo napojených na danou výrobnu</w:t>
      </w:r>
      <w:r>
        <w:rPr>
          <w:sz w:val="16"/>
          <w:szCs w:val="16"/>
        </w:rPr>
        <w:t xml:space="preserve">) u několika větších podniků, jež loni přerušily provoz. Naopak v kategorii velkoodběratelů, jež se na celkové spotřebě podílela celou polovinou, došlo loni k růstu o 1,4 % (z toho u odběratelů na úrovni velmi vysokého napětí – tedy v zásadě největších podniků – dosáhl růst spotřeby 5,6 %). Nepatrně více loni odebrali i podnikatelé z řad maloodběratelů (+0,2 %) či domácnosti (+1,1 %). Oproti roku 2019, kdy se celková čistá spotřeba nacházela blízko dlouhodobého maxima, byla loni spotřeba nižší o 6,9 %, a to hlavně vlivem poklesu u velkoodběratelů (-7,7 %), naopak svou spotřebu posílily pouze domácnosti (+2,5 %), což souvisí s růstem jejich počtu i větším rozšířením práce z domova. </w:t>
      </w:r>
    </w:p>
  </w:footnote>
  <w:footnote w:id="14">
    <w:p w14:paraId="5F8D2642" w14:textId="77777777" w:rsidR="00213E46" w:rsidRDefault="00213E46" w:rsidP="00213E46">
      <w:pPr>
        <w:pStyle w:val="Textpoznpodarou"/>
      </w:pPr>
      <w:r w:rsidRPr="005816B4">
        <w:rPr>
          <w:rStyle w:val="Znakapoznpodarou"/>
          <w:sz w:val="16"/>
          <w:szCs w:val="16"/>
        </w:rPr>
        <w:footnoteRef/>
      </w:r>
      <w:r w:rsidRPr="005816B4">
        <w:rPr>
          <w:sz w:val="16"/>
          <w:szCs w:val="16"/>
        </w:rPr>
        <w:t xml:space="preserve"> Celková</w:t>
      </w:r>
      <w:r>
        <w:rPr>
          <w:sz w:val="16"/>
          <w:szCs w:val="16"/>
        </w:rPr>
        <w:t xml:space="preserve"> spotřeba plynu v Česku loni stagnovala a proti vrcholu z roku 2021 byla nižší o 28 % (spotřeba přepočtená na dlouhodobý teplotní normál ale loni poprvé po třech letech meziročně vzrostla /o 1,8 %/, z toho ve 4. čtvrtletí 2024 o 7,1 %). Mírné zvýšení spotřeby (do 2 %) zaznamenali loni všichni klíčoví odběratelé vyjma domácností, které odebraly o 1,7 % plynu méně (proti roku 2021 o 31 %).</w:t>
      </w:r>
    </w:p>
  </w:footnote>
  <w:footnote w:id="15">
    <w:p w14:paraId="45019A94" w14:textId="77777777" w:rsidR="00213E46" w:rsidRPr="000A2E2C" w:rsidRDefault="00213E46" w:rsidP="00213E46">
      <w:pPr>
        <w:pStyle w:val="Textpoznpodarou"/>
        <w:rPr>
          <w:sz w:val="16"/>
          <w:szCs w:val="16"/>
        </w:rPr>
      </w:pPr>
      <w:r w:rsidRPr="000A2E2C">
        <w:rPr>
          <w:rStyle w:val="Znakapoznpodarou"/>
          <w:sz w:val="16"/>
          <w:szCs w:val="16"/>
        </w:rPr>
        <w:footnoteRef/>
      </w:r>
      <w:r w:rsidRPr="000A2E2C">
        <w:rPr>
          <w:sz w:val="16"/>
          <w:szCs w:val="16"/>
        </w:rPr>
        <w:t xml:space="preserve"> Dle Českého</w:t>
      </w:r>
      <w:r w:rsidRPr="00973AA7">
        <w:rPr>
          <w:sz w:val="16"/>
          <w:szCs w:val="16"/>
        </w:rPr>
        <w:t xml:space="preserve"> hydrometeorologického ústavu dosáhla </w:t>
      </w:r>
      <w:r>
        <w:rPr>
          <w:sz w:val="16"/>
          <w:szCs w:val="16"/>
        </w:rPr>
        <w:t xml:space="preserve">loni </w:t>
      </w:r>
      <w:r w:rsidRPr="00973AA7">
        <w:rPr>
          <w:sz w:val="16"/>
          <w:szCs w:val="16"/>
        </w:rPr>
        <w:t>v</w:t>
      </w:r>
      <w:r>
        <w:rPr>
          <w:sz w:val="16"/>
          <w:szCs w:val="16"/>
        </w:rPr>
        <w:t> </w:t>
      </w:r>
      <w:r w:rsidRPr="00973AA7">
        <w:rPr>
          <w:sz w:val="16"/>
          <w:szCs w:val="16"/>
        </w:rPr>
        <w:t>Česku</w:t>
      </w:r>
      <w:r>
        <w:rPr>
          <w:sz w:val="16"/>
          <w:szCs w:val="16"/>
        </w:rPr>
        <w:t xml:space="preserve"> průměrná teplota vzduchu 10,5 </w:t>
      </w:r>
      <w:r w:rsidRPr="00973AA7">
        <w:rPr>
          <w:sz w:val="16"/>
          <w:szCs w:val="16"/>
        </w:rPr>
        <w:t>stupně Celsia</w:t>
      </w:r>
      <w:r>
        <w:rPr>
          <w:sz w:val="16"/>
          <w:szCs w:val="16"/>
        </w:rPr>
        <w:t xml:space="preserve"> a byla vyšší meziročně (+0,6 stupně) i proti dlouhodobému normálu (+1,9). Oproti velmi teplému roku 2023 byla ovšem nižší loni v lednu (+2,5 stupně) a po celé období od září do prosince (průměrně o 1,3 stupně).</w:t>
      </w:r>
    </w:p>
  </w:footnote>
  <w:footnote w:id="16">
    <w:p w14:paraId="6993E91E" w14:textId="77777777" w:rsidR="00213E46" w:rsidRPr="00C12F81" w:rsidRDefault="00213E46" w:rsidP="00213E46">
      <w:pPr>
        <w:pStyle w:val="Textpoznpodarou"/>
        <w:rPr>
          <w:sz w:val="16"/>
          <w:szCs w:val="16"/>
        </w:rPr>
      </w:pPr>
      <w:r w:rsidRPr="00C12F81">
        <w:rPr>
          <w:rStyle w:val="Znakapoznpodarou"/>
          <w:sz w:val="16"/>
          <w:szCs w:val="16"/>
        </w:rPr>
        <w:footnoteRef/>
      </w:r>
      <w:r w:rsidRPr="00C12F81">
        <w:rPr>
          <w:sz w:val="16"/>
          <w:szCs w:val="16"/>
        </w:rPr>
        <w:t xml:space="preserve"> Potravinářství tak loni působilo na celý průmysl prorůstově nejvíce ze všech průmyslových oborů, což nastalo poprvé ve srovnatelné časové řadě po roce 2000. </w:t>
      </w:r>
    </w:p>
  </w:footnote>
  <w:footnote w:id="17">
    <w:p w14:paraId="6A631D6E" w14:textId="77777777" w:rsidR="00213E46" w:rsidRPr="008B130F" w:rsidRDefault="00213E46" w:rsidP="00213E46">
      <w:pPr>
        <w:pStyle w:val="Textpoznpodarou"/>
        <w:rPr>
          <w:sz w:val="16"/>
          <w:szCs w:val="16"/>
        </w:rPr>
      </w:pPr>
      <w:r w:rsidRPr="008B130F">
        <w:rPr>
          <w:rStyle w:val="Znakapoznpodarou"/>
          <w:sz w:val="16"/>
          <w:szCs w:val="16"/>
        </w:rPr>
        <w:footnoteRef/>
      </w:r>
      <w:r w:rsidRPr="008B130F">
        <w:rPr>
          <w:sz w:val="16"/>
          <w:szCs w:val="16"/>
        </w:rPr>
        <w:t xml:space="preserve"> Produkce ve výrobě nábytku </w:t>
      </w:r>
      <w:r>
        <w:rPr>
          <w:sz w:val="16"/>
          <w:szCs w:val="16"/>
        </w:rPr>
        <w:t>se za loňský rok snížila o rovná 2</w:t>
      </w:r>
      <w:r w:rsidRPr="008B130F">
        <w:rPr>
          <w:sz w:val="16"/>
          <w:szCs w:val="16"/>
        </w:rPr>
        <w:t xml:space="preserve"> %, za </w:t>
      </w:r>
      <w:r>
        <w:rPr>
          <w:sz w:val="16"/>
          <w:szCs w:val="16"/>
        </w:rPr>
        <w:t>poslední dva roky dokonce o 12,6</w:t>
      </w:r>
      <w:r w:rsidRPr="008B130F">
        <w:rPr>
          <w:sz w:val="16"/>
          <w:szCs w:val="16"/>
        </w:rPr>
        <w:t xml:space="preserve"> %. Zatímco </w:t>
      </w:r>
      <w:r>
        <w:rPr>
          <w:sz w:val="16"/>
          <w:szCs w:val="16"/>
        </w:rPr>
        <w:t>před</w:t>
      </w:r>
      <w:r w:rsidRPr="008B130F">
        <w:rPr>
          <w:sz w:val="16"/>
          <w:szCs w:val="16"/>
        </w:rPr>
        <w:t>loni vázl př</w:t>
      </w:r>
      <w:r>
        <w:rPr>
          <w:sz w:val="16"/>
          <w:szCs w:val="16"/>
        </w:rPr>
        <w:t>edevším odbyt v zahraničí, v právě uplynulém roce se negativně projevovala</w:t>
      </w:r>
      <w:r w:rsidRPr="008B130F">
        <w:rPr>
          <w:sz w:val="16"/>
          <w:szCs w:val="16"/>
        </w:rPr>
        <w:t xml:space="preserve"> slabší poptávka z tuzemska.</w:t>
      </w:r>
    </w:p>
  </w:footnote>
  <w:footnote w:id="18">
    <w:p w14:paraId="776CF6A0" w14:textId="77777777" w:rsidR="00213E46" w:rsidRPr="00FB58F4" w:rsidRDefault="00213E46" w:rsidP="00213E46">
      <w:pPr>
        <w:pStyle w:val="Textpoznpodarou"/>
        <w:jc w:val="both"/>
        <w:rPr>
          <w:rFonts w:cs="Arial"/>
          <w:color w:val="0D0D0D" w:themeColor="text1" w:themeTint="F2"/>
          <w:spacing w:val="-2"/>
          <w:sz w:val="16"/>
          <w:szCs w:val="16"/>
        </w:rPr>
      </w:pPr>
      <w:r w:rsidRPr="00F33536">
        <w:rPr>
          <w:rStyle w:val="Znakapoznpodarou"/>
          <w:rFonts w:cs="Arial"/>
          <w:color w:val="0D0D0D" w:themeColor="text1" w:themeTint="F2"/>
          <w:spacing w:val="-2"/>
          <w:sz w:val="16"/>
          <w:szCs w:val="16"/>
        </w:rPr>
        <w:footnoteRef/>
      </w:r>
      <w:r>
        <w:rPr>
          <w:rFonts w:cs="Arial"/>
          <w:color w:val="0D0D0D" w:themeColor="text1" w:themeTint="F2"/>
          <w:spacing w:val="-2"/>
          <w:sz w:val="16"/>
          <w:szCs w:val="16"/>
        </w:rPr>
        <w:t xml:space="preserve"> Zjišťování zakázek probíhá </w:t>
      </w:r>
      <w:r w:rsidRPr="00F33536">
        <w:rPr>
          <w:rFonts w:cs="Arial"/>
          <w:color w:val="0D0D0D" w:themeColor="text1" w:themeTint="F2"/>
          <w:spacing w:val="-2"/>
          <w:sz w:val="16"/>
          <w:szCs w:val="16"/>
        </w:rPr>
        <w:t>ve dvanácti zpracovatelských odvětvích vyrábějících převážně na zakázku, s dlouhodobějším výrobním cyklem a s většími zásobami zakázek. Meziroční tempa zakázek j</w:t>
      </w:r>
      <w:r>
        <w:rPr>
          <w:rFonts w:cs="Arial"/>
          <w:color w:val="0D0D0D" w:themeColor="text1" w:themeTint="F2"/>
          <w:spacing w:val="-2"/>
          <w:sz w:val="16"/>
          <w:szCs w:val="16"/>
        </w:rPr>
        <w:t>sou očištěna o kalendářní vlivy, mezikvartální tempa také o vliv sezónnosti.</w:t>
      </w:r>
    </w:p>
  </w:footnote>
  <w:footnote w:id="19">
    <w:p w14:paraId="2A3E4705" w14:textId="77777777" w:rsidR="00213E46" w:rsidRPr="00FB1628" w:rsidRDefault="00213E46" w:rsidP="00213E46">
      <w:pPr>
        <w:pStyle w:val="Textpoznpodarou"/>
        <w:rPr>
          <w:sz w:val="16"/>
          <w:szCs w:val="16"/>
        </w:rPr>
      </w:pPr>
      <w:r w:rsidRPr="00FB1628">
        <w:rPr>
          <w:rStyle w:val="Znakapoznpodarou"/>
          <w:sz w:val="16"/>
          <w:szCs w:val="16"/>
        </w:rPr>
        <w:footnoteRef/>
      </w:r>
      <w:r w:rsidRPr="00FB1628">
        <w:rPr>
          <w:sz w:val="16"/>
          <w:szCs w:val="16"/>
        </w:rPr>
        <w:t xml:space="preserve"> V některý</w:t>
      </w:r>
      <w:r>
        <w:rPr>
          <w:sz w:val="16"/>
          <w:szCs w:val="16"/>
        </w:rPr>
        <w:t xml:space="preserve">ch oborech (potravinářský, nápojový a kovodělný průmysl či subdodavatelská odvětví výroby motorových vozidel) </w:t>
      </w:r>
      <w:r w:rsidRPr="00FB1628">
        <w:rPr>
          <w:sz w:val="16"/>
          <w:szCs w:val="16"/>
        </w:rPr>
        <w:t>se však stále jednalo o významnou</w:t>
      </w:r>
      <w:r>
        <w:rPr>
          <w:sz w:val="16"/>
          <w:szCs w:val="16"/>
        </w:rPr>
        <w:t xml:space="preserve"> bariéru, </w:t>
      </w:r>
      <w:r w:rsidRPr="00FB1628">
        <w:rPr>
          <w:sz w:val="16"/>
          <w:szCs w:val="16"/>
        </w:rPr>
        <w:t>výjimečn</w:t>
      </w:r>
      <w:r>
        <w:rPr>
          <w:sz w:val="16"/>
          <w:szCs w:val="16"/>
        </w:rPr>
        <w:t>ě šlo o dominantní růstové omezení (kožedělný průmysl, výroba ostatních dopravních prostředků, oprava a instalace strojů a zařízení).</w:t>
      </w:r>
    </w:p>
  </w:footnote>
  <w:footnote w:id="20">
    <w:p w14:paraId="32375E10" w14:textId="77777777" w:rsidR="00213E46" w:rsidRPr="003F49FE" w:rsidRDefault="00213E46" w:rsidP="00213E46">
      <w:pPr>
        <w:pStyle w:val="Textpoznpodarou"/>
        <w:rPr>
          <w:sz w:val="16"/>
          <w:szCs w:val="16"/>
        </w:rPr>
      </w:pPr>
      <w:r w:rsidRPr="003F49FE">
        <w:rPr>
          <w:rStyle w:val="Znakapoznpodarou"/>
          <w:sz w:val="16"/>
          <w:szCs w:val="16"/>
        </w:rPr>
        <w:footnoteRef/>
      </w:r>
      <w:r w:rsidRPr="003F49FE">
        <w:rPr>
          <w:sz w:val="16"/>
          <w:szCs w:val="16"/>
        </w:rPr>
        <w:t xml:space="preserve"> Tato bariéra se v posledních měsících nejvíce projevovala v chemickém a petrochemickém průmyslu, s občasnými výpadky výrobních komponent se stále potýkali i výrobci motorových vozidel.</w:t>
      </w:r>
    </w:p>
  </w:footnote>
  <w:footnote w:id="21">
    <w:p w14:paraId="11205E16" w14:textId="77777777" w:rsidR="00213E46" w:rsidRPr="00EC517C" w:rsidRDefault="00213E46" w:rsidP="00213E46">
      <w:pPr>
        <w:pStyle w:val="Textpoznpodarou"/>
        <w:rPr>
          <w:sz w:val="16"/>
          <w:szCs w:val="16"/>
        </w:rPr>
      </w:pPr>
      <w:r w:rsidRPr="00EC517C">
        <w:rPr>
          <w:rStyle w:val="Znakapoznpodarou"/>
          <w:sz w:val="16"/>
          <w:szCs w:val="16"/>
        </w:rPr>
        <w:footnoteRef/>
      </w:r>
      <w:r w:rsidRPr="00EC517C">
        <w:rPr>
          <w:sz w:val="16"/>
          <w:szCs w:val="16"/>
        </w:rPr>
        <w:t xml:space="preserve"> </w:t>
      </w:r>
      <w:r w:rsidRPr="00EC517C">
        <w:rPr>
          <w:color w:val="0D0D0D" w:themeColor="text1" w:themeTint="F2"/>
          <w:spacing w:val="-3"/>
          <w:sz w:val="16"/>
          <w:szCs w:val="16"/>
        </w:rPr>
        <w:t>Letos v únoru plánoval</w:t>
      </w:r>
      <w:r>
        <w:rPr>
          <w:color w:val="0D0D0D" w:themeColor="text1" w:themeTint="F2"/>
          <w:spacing w:val="-3"/>
          <w:sz w:val="16"/>
          <w:szCs w:val="16"/>
        </w:rPr>
        <w:t>o</w:t>
      </w:r>
      <w:r w:rsidRPr="00EC517C">
        <w:rPr>
          <w:color w:val="0D0D0D" w:themeColor="text1" w:themeTint="F2"/>
          <w:spacing w:val="-3"/>
          <w:sz w:val="16"/>
          <w:szCs w:val="16"/>
        </w:rPr>
        <w:t xml:space="preserve"> v krátkodobém horizontu zvyšovat ceny své produkce </w:t>
      </w:r>
      <w:r>
        <w:rPr>
          <w:color w:val="0D0D0D" w:themeColor="text1" w:themeTint="F2"/>
          <w:spacing w:val="-3"/>
          <w:sz w:val="16"/>
          <w:szCs w:val="16"/>
        </w:rPr>
        <w:t>21 % podniků, snižovat jen 2 %.</w:t>
      </w:r>
    </w:p>
  </w:footnote>
  <w:footnote w:id="22">
    <w:p w14:paraId="21C63667" w14:textId="77777777" w:rsidR="00213E46" w:rsidRPr="00EC517C" w:rsidRDefault="00213E46" w:rsidP="00213E46">
      <w:pPr>
        <w:pStyle w:val="Textpoznpodarou"/>
        <w:rPr>
          <w:sz w:val="16"/>
          <w:szCs w:val="16"/>
        </w:rPr>
      </w:pPr>
      <w:r w:rsidRPr="00EC517C">
        <w:rPr>
          <w:rStyle w:val="Znakapoznpodarou"/>
          <w:sz w:val="16"/>
          <w:szCs w:val="16"/>
        </w:rPr>
        <w:footnoteRef/>
      </w:r>
      <w:r w:rsidRPr="00EC517C">
        <w:rPr>
          <w:sz w:val="16"/>
          <w:szCs w:val="16"/>
        </w:rPr>
        <w:t xml:space="preserve"> V tříměsíčním horizontu očekávalo 22 % podniků její navýšení, 16 % naopak útlum.</w:t>
      </w:r>
    </w:p>
  </w:footnote>
  <w:footnote w:id="23">
    <w:p w14:paraId="4C21E10A" w14:textId="77777777" w:rsidR="00213E46" w:rsidRPr="00EC517C" w:rsidRDefault="00213E46" w:rsidP="00213E46">
      <w:pPr>
        <w:pStyle w:val="Textpoznpodarou"/>
        <w:rPr>
          <w:sz w:val="16"/>
          <w:szCs w:val="16"/>
        </w:rPr>
      </w:pPr>
      <w:r w:rsidRPr="00EC517C">
        <w:rPr>
          <w:rStyle w:val="Znakapoznpodarou"/>
          <w:sz w:val="16"/>
          <w:szCs w:val="16"/>
        </w:rPr>
        <w:footnoteRef/>
      </w:r>
      <w:r w:rsidRPr="00EC517C">
        <w:rPr>
          <w:sz w:val="16"/>
          <w:szCs w:val="16"/>
        </w:rPr>
        <w:t xml:space="preserve"> Dle šetření z února 2025 plánovalo v tříměsíčním horizontu nabírat pracovníky jen 5 % firem, propouštět pak 17 %.</w:t>
      </w:r>
    </w:p>
  </w:footnote>
  <w:footnote w:id="24">
    <w:p w14:paraId="4AC30B62" w14:textId="77777777" w:rsidR="00213E46" w:rsidRDefault="00213E46" w:rsidP="00213E46">
      <w:pPr>
        <w:pStyle w:val="Textpoznpodarou"/>
      </w:pPr>
      <w:r w:rsidRPr="00736F2E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Tento efekt nicméně nebyl</w:t>
      </w:r>
      <w:r w:rsidRPr="00736F2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zdaleka </w:t>
      </w:r>
      <w:r w:rsidRPr="00736F2E">
        <w:rPr>
          <w:sz w:val="16"/>
          <w:szCs w:val="16"/>
        </w:rPr>
        <w:t>tak výrazný</w:t>
      </w:r>
      <w:r>
        <w:rPr>
          <w:sz w:val="16"/>
          <w:szCs w:val="16"/>
        </w:rPr>
        <w:t xml:space="preserve"> jako v roce 2016. V roce</w:t>
      </w:r>
      <w:r w:rsidRPr="00736F2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2024 </w:t>
      </w:r>
      <w:r w:rsidRPr="00736F2E">
        <w:rPr>
          <w:sz w:val="16"/>
          <w:szCs w:val="16"/>
        </w:rPr>
        <w:t>klesly</w:t>
      </w:r>
      <w:r>
        <w:t xml:space="preserve"> </w:t>
      </w:r>
      <w:r w:rsidRPr="00EE5EE2">
        <w:rPr>
          <w:sz w:val="16"/>
          <w:szCs w:val="16"/>
        </w:rPr>
        <w:t>celkové kapitálové</w:t>
      </w:r>
      <w:r w:rsidRPr="000F6F33">
        <w:rPr>
          <w:sz w:val="16"/>
          <w:szCs w:val="16"/>
        </w:rPr>
        <w:t xml:space="preserve"> výdaje stá</w:t>
      </w:r>
      <w:r>
        <w:rPr>
          <w:sz w:val="16"/>
          <w:szCs w:val="16"/>
        </w:rPr>
        <w:t>tního rozpočtu ČR vlivem intenzivního čerpání na samém konci roku meziročně jen o 0,2</w:t>
      </w:r>
      <w:r w:rsidRPr="00736F2E">
        <w:rPr>
          <w:sz w:val="16"/>
          <w:szCs w:val="16"/>
        </w:rPr>
        <w:t> </w:t>
      </w:r>
      <w:r>
        <w:rPr>
          <w:sz w:val="16"/>
          <w:szCs w:val="16"/>
        </w:rPr>
        <w:t xml:space="preserve">%. Státní fond dopravní infrastruktury počítal na celý loňský rok (při pokračování modelu vícezdrojového financování) s výdaji ve výši 150 mld. korun, což je jen o něco méně než v rekordním loňském roce (151 mld.). Stavebnictví by mělo perspektivně stále více těžit také z prostředků z </w:t>
      </w:r>
      <w:r w:rsidRPr="00613B87">
        <w:rPr>
          <w:sz w:val="16"/>
          <w:szCs w:val="16"/>
        </w:rPr>
        <w:t>Národního plánu obnovy</w:t>
      </w:r>
      <w:r>
        <w:rPr>
          <w:sz w:val="16"/>
          <w:szCs w:val="16"/>
        </w:rPr>
        <w:t xml:space="preserve"> určených např. na snižování energetické náročnosti budov.</w:t>
      </w:r>
    </w:p>
  </w:footnote>
  <w:footnote w:id="25">
    <w:p w14:paraId="379884C5" w14:textId="77777777" w:rsidR="00213E46" w:rsidRPr="002D2942" w:rsidRDefault="00213E46" w:rsidP="00213E46">
      <w:pPr>
        <w:pStyle w:val="Textpoznpodarou"/>
        <w:jc w:val="both"/>
        <w:rPr>
          <w:sz w:val="16"/>
          <w:szCs w:val="16"/>
        </w:rPr>
      </w:pPr>
      <w:r w:rsidRPr="002D2942">
        <w:rPr>
          <w:rStyle w:val="Znakapoznpodarou"/>
          <w:rFonts w:cs="Arial"/>
          <w:color w:val="0D0D0D" w:themeColor="text1" w:themeTint="F2"/>
          <w:sz w:val="16"/>
          <w:szCs w:val="16"/>
        </w:rPr>
        <w:footnoteRef/>
      </w:r>
      <w:r w:rsidRPr="002D2942">
        <w:rPr>
          <w:rFonts w:cs="Arial"/>
          <w:color w:val="0D0D0D" w:themeColor="text1" w:themeTint="F2"/>
          <w:sz w:val="16"/>
          <w:szCs w:val="16"/>
        </w:rPr>
        <w:t xml:space="preserve"> Údaje o stavební produkci jsou ve stálých cenách, meziroční tempa jsou očištěna o kalendářní vlivy, mezičtvrtletní též o vliv sezónnosti.</w:t>
      </w:r>
    </w:p>
  </w:footnote>
  <w:footnote w:id="26">
    <w:p w14:paraId="712A4F0F" w14:textId="77777777" w:rsidR="00213E46" w:rsidRPr="00EE5EE2" w:rsidRDefault="00213E46" w:rsidP="00213E46">
      <w:pPr>
        <w:pStyle w:val="Textpoznpodarou"/>
        <w:rPr>
          <w:sz w:val="16"/>
          <w:szCs w:val="16"/>
        </w:rPr>
      </w:pPr>
      <w:r w:rsidRPr="00EE5EE2">
        <w:rPr>
          <w:rStyle w:val="Znakapoznpodarou"/>
          <w:sz w:val="16"/>
          <w:szCs w:val="16"/>
        </w:rPr>
        <w:footnoteRef/>
      </w:r>
      <w:r w:rsidRPr="00EE5EE2">
        <w:rPr>
          <w:sz w:val="16"/>
          <w:szCs w:val="16"/>
        </w:rPr>
        <w:t xml:space="preserve"> </w:t>
      </w:r>
      <w:r w:rsidRPr="00EE5EE2">
        <w:rPr>
          <w:rStyle w:val="normaltextrun"/>
          <w:rFonts w:cs="Arial"/>
          <w:color w:val="000000"/>
          <w:spacing w:val="-5"/>
          <w:sz w:val="16"/>
          <w:szCs w:val="16"/>
        </w:rPr>
        <w:t>Tyto činnosti zahrnují např. kompletační, dokončovací elektroinstalační či instalatérské práce a jsou spíše doménou menších stavebních firem. V roce 2023 přitom ještě profitovaly z mírného růstu poptávky.</w:t>
      </w:r>
    </w:p>
  </w:footnote>
  <w:footnote w:id="27">
    <w:p w14:paraId="7F27D5F3" w14:textId="77777777" w:rsidR="00213E46" w:rsidRPr="00224C0C" w:rsidRDefault="00213E46" w:rsidP="00213E46">
      <w:pPr>
        <w:pStyle w:val="Textpoznpodarou"/>
        <w:rPr>
          <w:sz w:val="16"/>
          <w:szCs w:val="16"/>
        </w:rPr>
      </w:pPr>
      <w:r w:rsidRPr="00224C0C">
        <w:rPr>
          <w:rStyle w:val="Znakapoznpodarou"/>
          <w:sz w:val="16"/>
          <w:szCs w:val="16"/>
        </w:rPr>
        <w:footnoteRef/>
      </w:r>
      <w:r w:rsidRPr="00224C0C">
        <w:rPr>
          <w:sz w:val="16"/>
          <w:szCs w:val="16"/>
        </w:rPr>
        <w:t xml:space="preserve"> Letos v únoru plánovalo v tříměsíčním horizontu nabírat pracovníky 11</w:t>
      </w:r>
      <w:r>
        <w:rPr>
          <w:sz w:val="16"/>
          <w:szCs w:val="16"/>
        </w:rPr>
        <w:t xml:space="preserve"> % firem, propouštět pak </w:t>
      </w:r>
      <w:r w:rsidRPr="00224C0C">
        <w:rPr>
          <w:sz w:val="16"/>
          <w:szCs w:val="16"/>
        </w:rPr>
        <w:t>6 %.</w:t>
      </w:r>
      <w:r>
        <w:rPr>
          <w:sz w:val="16"/>
          <w:szCs w:val="16"/>
        </w:rPr>
        <w:t xml:space="preserve"> Nejvíce optimistické byly v tomto ohledu podniky v segmentu výstavby budov.</w:t>
      </w:r>
    </w:p>
  </w:footnote>
  <w:footnote w:id="28">
    <w:p w14:paraId="3647D3DF" w14:textId="77777777" w:rsidR="00213E46" w:rsidRPr="002B3418" w:rsidRDefault="00213E46" w:rsidP="00213E46">
      <w:pPr>
        <w:pStyle w:val="Textpoznpodarou"/>
        <w:rPr>
          <w:sz w:val="16"/>
          <w:szCs w:val="16"/>
        </w:rPr>
      </w:pPr>
      <w:r w:rsidRPr="002B3418">
        <w:rPr>
          <w:rStyle w:val="Znakapoznpodarou"/>
          <w:sz w:val="16"/>
          <w:szCs w:val="16"/>
        </w:rPr>
        <w:footnoteRef/>
      </w:r>
      <w:r w:rsidRPr="002B3418">
        <w:rPr>
          <w:sz w:val="16"/>
          <w:szCs w:val="16"/>
        </w:rPr>
        <w:t xml:space="preserve"> </w:t>
      </w:r>
      <w:r w:rsidRPr="002B3418">
        <w:rPr>
          <w:rStyle w:val="normaltextrun"/>
          <w:rFonts w:cs="Arial"/>
          <w:sz w:val="16"/>
          <w:szCs w:val="16"/>
        </w:rPr>
        <w:t>V půlročním výhledu čekalo letos v únoru zlepšení 17 % firem, zhoršení 7 %.</w:t>
      </w:r>
    </w:p>
  </w:footnote>
  <w:footnote w:id="29">
    <w:p w14:paraId="7C97F0F1" w14:textId="77777777" w:rsidR="00213E46" w:rsidRPr="006F2ADA" w:rsidRDefault="00213E46" w:rsidP="00213E46">
      <w:pPr>
        <w:pStyle w:val="Textpoznpodarou"/>
        <w:rPr>
          <w:sz w:val="16"/>
          <w:szCs w:val="16"/>
        </w:rPr>
      </w:pPr>
      <w:r w:rsidRPr="006F2ADA">
        <w:rPr>
          <w:rStyle w:val="Znakapoznpodarou"/>
          <w:sz w:val="16"/>
          <w:szCs w:val="16"/>
        </w:rPr>
        <w:footnoteRef/>
      </w:r>
      <w:r w:rsidRPr="006F2ADA">
        <w:rPr>
          <w:sz w:val="16"/>
          <w:szCs w:val="16"/>
        </w:rPr>
        <w:t xml:space="preserve"> Výjimkou </w:t>
      </w:r>
      <w:r>
        <w:rPr>
          <w:sz w:val="16"/>
          <w:szCs w:val="16"/>
        </w:rPr>
        <w:t xml:space="preserve">byl nedostatek materiálu či zařízení, jenž letos v únoru sužoval 15 % firem, před rokem 22 %.  </w:t>
      </w:r>
    </w:p>
  </w:footnote>
  <w:footnote w:id="30">
    <w:p w14:paraId="6C035312" w14:textId="77777777" w:rsidR="00213E46" w:rsidRPr="00A145EB" w:rsidRDefault="00213E46" w:rsidP="00213E46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sz w:val="16"/>
          <w:szCs w:val="16"/>
        </w:rPr>
      </w:pPr>
      <w:r w:rsidRPr="00A145EB">
        <w:rPr>
          <w:rStyle w:val="Znakapoznpodarou"/>
          <w:rFonts w:ascii="Arial" w:hAnsi="Arial" w:cs="Arial"/>
          <w:sz w:val="16"/>
          <w:szCs w:val="16"/>
        </w:rPr>
        <w:footnoteRef/>
      </w:r>
      <w:r w:rsidRPr="00A145EB">
        <w:rPr>
          <w:rFonts w:ascii="Arial" w:hAnsi="Arial" w:cs="Arial"/>
          <w:sz w:val="16"/>
          <w:szCs w:val="16"/>
        </w:rPr>
        <w:t xml:space="preserve"> </w:t>
      </w:r>
      <w:r w:rsidRPr="00A145EB">
        <w:rPr>
          <w:rFonts w:ascii="Arial" w:eastAsia="Calibri" w:hAnsi="Arial" w:cs="Arial"/>
          <w:sz w:val="16"/>
          <w:szCs w:val="16"/>
        </w:rPr>
        <w:t>Oproti roku 2019 byl loni objem stavební produkce v EU (i eurozóně) vyšší o 3,7</w:t>
      </w:r>
      <w:r>
        <w:rPr>
          <w:rFonts w:ascii="Arial" w:eastAsia="Calibri" w:hAnsi="Arial" w:cs="Arial"/>
          <w:sz w:val="16"/>
          <w:szCs w:val="16"/>
        </w:rPr>
        <w:t xml:space="preserve"> % (nad předkrizovou úrovní se nacházely</w:t>
      </w:r>
      <w:r w:rsidRPr="00A145EB">
        <w:rPr>
          <w:rFonts w:ascii="Arial" w:eastAsia="Calibri" w:hAnsi="Arial" w:cs="Arial"/>
          <w:sz w:val="16"/>
          <w:szCs w:val="16"/>
        </w:rPr>
        <w:t xml:space="preserve"> všechny segmenty odvětví vyjma výstavby budov). V Česku naopak stavebnictví zaostávalo o 6,5 % </w:t>
      </w:r>
      <w:r>
        <w:rPr>
          <w:rFonts w:ascii="Arial" w:eastAsia="Calibri" w:hAnsi="Arial" w:cs="Arial"/>
          <w:sz w:val="16"/>
          <w:szCs w:val="16"/>
        </w:rPr>
        <w:t>(z toho výstavba budov o 16 % a</w:t>
      </w:r>
      <w:r w:rsidRPr="00224C0C">
        <w:rPr>
          <w:sz w:val="16"/>
          <w:szCs w:val="16"/>
        </w:rPr>
        <w:t> </w:t>
      </w:r>
      <w:r w:rsidRPr="00A145EB">
        <w:rPr>
          <w:rFonts w:ascii="Arial" w:eastAsia="Calibri" w:hAnsi="Arial" w:cs="Arial"/>
          <w:sz w:val="16"/>
          <w:szCs w:val="16"/>
        </w:rPr>
        <w:t xml:space="preserve">specializované stavební činnosti o 5 %), podobně jako </w:t>
      </w:r>
      <w:r>
        <w:rPr>
          <w:rFonts w:ascii="Arial" w:eastAsia="Calibri" w:hAnsi="Arial" w:cs="Arial"/>
          <w:sz w:val="16"/>
          <w:szCs w:val="16"/>
        </w:rPr>
        <w:t xml:space="preserve">v Německu. </w:t>
      </w:r>
      <w:r w:rsidRPr="00A145EB">
        <w:rPr>
          <w:rFonts w:ascii="Arial" w:eastAsia="Calibri" w:hAnsi="Arial" w:cs="Arial"/>
          <w:sz w:val="16"/>
          <w:szCs w:val="16"/>
        </w:rPr>
        <w:t>Nejvíce zaostávaly Slovensko (-32 %) a navzdory současnému oživení i Španělsko (-18 %). Naopak nad úrovní rok</w:t>
      </w:r>
      <w:r>
        <w:rPr>
          <w:rFonts w:ascii="Arial" w:eastAsia="Calibri" w:hAnsi="Arial" w:cs="Arial"/>
          <w:sz w:val="16"/>
          <w:szCs w:val="16"/>
        </w:rPr>
        <w:t>u</w:t>
      </w:r>
      <w:r w:rsidRPr="00A145EB">
        <w:rPr>
          <w:rFonts w:ascii="Arial" w:eastAsia="Calibri" w:hAnsi="Arial" w:cs="Arial"/>
          <w:sz w:val="16"/>
          <w:szCs w:val="16"/>
        </w:rPr>
        <w:t xml:space="preserve"> 2019 byla produkce </w:t>
      </w:r>
      <w:r>
        <w:rPr>
          <w:rFonts w:ascii="Arial" w:eastAsia="Calibri" w:hAnsi="Arial" w:cs="Arial"/>
          <w:sz w:val="16"/>
          <w:szCs w:val="16"/>
        </w:rPr>
        <w:t xml:space="preserve">zhruba </w:t>
      </w:r>
      <w:r w:rsidRPr="00A145EB">
        <w:rPr>
          <w:rFonts w:ascii="Arial" w:eastAsia="Calibri" w:hAnsi="Arial" w:cs="Arial"/>
          <w:sz w:val="16"/>
          <w:szCs w:val="16"/>
        </w:rPr>
        <w:t>v polovině členských států – nejvíce v Itálii (+58 %), Rumunsku (+42 %) a Slovinsku (+31 %).</w:t>
      </w:r>
    </w:p>
  </w:footnote>
  <w:footnote w:id="31">
    <w:p w14:paraId="5696CDC0" w14:textId="77777777" w:rsidR="00213E46" w:rsidRPr="0097315A" w:rsidRDefault="00213E46" w:rsidP="00213E46">
      <w:pPr>
        <w:spacing w:after="0" w:line="240" w:lineRule="auto"/>
      </w:pPr>
      <w:r w:rsidRPr="0097315A">
        <w:rPr>
          <w:rStyle w:val="Znakapoznpodarou"/>
          <w:color w:val="0D0D0D" w:themeColor="text1" w:themeTint="F2"/>
          <w:sz w:val="16"/>
          <w:szCs w:val="16"/>
        </w:rPr>
        <w:footnoteRef/>
      </w:r>
      <w:r w:rsidRPr="0097315A">
        <w:rPr>
          <w:color w:val="0D0D0D" w:themeColor="text1" w:themeTint="F2"/>
          <w:sz w:val="16"/>
          <w:szCs w:val="16"/>
        </w:rPr>
        <w:t xml:space="preserve"> Bez obchodu, peněžnictví, pojišťovnictví, vědy, výzkumu a veřejných služeb. Všechny údaje za tržby ve službách jsou ve stálých cenách, meziroční data jsou očištěna o kalendářní vlivy, mezičtvrtletní jsou očištěna o sezónní vlivy (včetně vlivu počtu pracovních dnů).</w:t>
      </w:r>
    </w:p>
  </w:footnote>
  <w:footnote w:id="32">
    <w:p w14:paraId="72603476" w14:textId="413432F5" w:rsidR="00213E46" w:rsidRPr="0097315A" w:rsidRDefault="00213E46" w:rsidP="00213E46">
      <w:pPr>
        <w:pStyle w:val="Textpoznpodarou"/>
        <w:rPr>
          <w:sz w:val="16"/>
          <w:szCs w:val="16"/>
        </w:rPr>
      </w:pPr>
      <w:r w:rsidRPr="0097315A">
        <w:rPr>
          <w:rStyle w:val="Znakapoznpodarou"/>
          <w:sz w:val="16"/>
          <w:szCs w:val="16"/>
        </w:rPr>
        <w:footnoteRef/>
      </w:r>
      <w:r w:rsidRPr="0097315A">
        <w:rPr>
          <w:sz w:val="16"/>
          <w:szCs w:val="16"/>
        </w:rPr>
        <w:t xml:space="preserve"> Z hlavních odvětví překonaly na konci loňského roku svou úroveň </w:t>
      </w:r>
      <w:r>
        <w:rPr>
          <w:sz w:val="16"/>
          <w:szCs w:val="16"/>
        </w:rPr>
        <w:t xml:space="preserve">tržeb </w:t>
      </w:r>
      <w:r w:rsidRPr="0097315A">
        <w:rPr>
          <w:sz w:val="16"/>
          <w:szCs w:val="16"/>
        </w:rPr>
        <w:t xml:space="preserve">ze 4. čtvrtletí 2019 nejvíce </w:t>
      </w:r>
      <w:r w:rsidRPr="0097315A">
        <w:rPr>
          <w:rFonts w:cs="Arial"/>
          <w:color w:val="0D0D0D" w:themeColor="text1" w:themeTint="F2"/>
          <w:sz w:val="16"/>
          <w:szCs w:val="16"/>
        </w:rPr>
        <w:t>informační a</w:t>
      </w:r>
      <w:r w:rsidRPr="0097315A">
        <w:rPr>
          <w:sz w:val="16"/>
          <w:szCs w:val="16"/>
        </w:rPr>
        <w:t> </w:t>
      </w:r>
      <w:r>
        <w:rPr>
          <w:rFonts w:cs="Arial"/>
          <w:color w:val="0D0D0D" w:themeColor="text1" w:themeTint="F2"/>
          <w:sz w:val="16"/>
          <w:szCs w:val="16"/>
        </w:rPr>
        <w:t>komunikační činnosti (+9,7</w:t>
      </w:r>
      <w:r w:rsidRPr="0097315A">
        <w:rPr>
          <w:rFonts w:cs="Arial"/>
          <w:color w:val="0D0D0D" w:themeColor="text1" w:themeTint="F2"/>
          <w:sz w:val="16"/>
          <w:szCs w:val="16"/>
        </w:rPr>
        <w:t xml:space="preserve"> %). </w:t>
      </w:r>
      <w:r w:rsidRPr="0097315A">
        <w:rPr>
          <w:sz w:val="16"/>
          <w:szCs w:val="16"/>
        </w:rPr>
        <w:t>Zaostávaly naopak hlavně ubytování, stravování a pohostinství (</w:t>
      </w:r>
      <w:r w:rsidR="00295A5D">
        <w:rPr>
          <w:color w:val="0D0D0D" w:themeColor="text1" w:themeTint="F2"/>
          <w:sz w:val="16"/>
          <w:szCs w:val="16"/>
        </w:rPr>
        <w:t>−</w:t>
      </w:r>
      <w:r w:rsidRPr="0097315A">
        <w:rPr>
          <w:sz w:val="16"/>
          <w:szCs w:val="16"/>
        </w:rPr>
        <w:t xml:space="preserve">19,0 %) a </w:t>
      </w:r>
      <w:r w:rsidRPr="0097315A">
        <w:rPr>
          <w:rFonts w:cs="Arial"/>
          <w:color w:val="0D0D0D" w:themeColor="text1" w:themeTint="F2"/>
          <w:sz w:val="16"/>
          <w:szCs w:val="16"/>
        </w:rPr>
        <w:t>administrativní a podpůrné činnosti (</w:t>
      </w:r>
      <w:r w:rsidR="00295A5D">
        <w:rPr>
          <w:color w:val="0D0D0D" w:themeColor="text1" w:themeTint="F2"/>
          <w:sz w:val="16"/>
          <w:szCs w:val="16"/>
        </w:rPr>
        <w:t>−</w:t>
      </w:r>
      <w:r>
        <w:rPr>
          <w:rFonts w:cs="Arial"/>
          <w:color w:val="0D0D0D" w:themeColor="text1" w:themeTint="F2"/>
          <w:sz w:val="16"/>
          <w:szCs w:val="16"/>
        </w:rPr>
        <w:t>4,8</w:t>
      </w:r>
      <w:r w:rsidRPr="0097315A">
        <w:rPr>
          <w:rFonts w:cs="Arial"/>
          <w:color w:val="0D0D0D" w:themeColor="text1" w:themeTint="F2"/>
          <w:sz w:val="16"/>
          <w:szCs w:val="16"/>
        </w:rPr>
        <w:t xml:space="preserve"> %).</w:t>
      </w:r>
    </w:p>
  </w:footnote>
  <w:footnote w:id="33">
    <w:p w14:paraId="6FC97A6A" w14:textId="77777777" w:rsidR="00213E46" w:rsidRPr="008F7F7F" w:rsidRDefault="00213E46" w:rsidP="00213E46">
      <w:pPr>
        <w:pStyle w:val="Textpoznpodarou"/>
        <w:rPr>
          <w:sz w:val="16"/>
          <w:szCs w:val="16"/>
        </w:rPr>
      </w:pPr>
      <w:r w:rsidRPr="0097315A">
        <w:rPr>
          <w:rStyle w:val="Znakapoznpodarou"/>
          <w:sz w:val="16"/>
          <w:szCs w:val="16"/>
        </w:rPr>
        <w:footnoteRef/>
      </w:r>
      <w:r w:rsidRPr="0097315A">
        <w:rPr>
          <w:sz w:val="16"/>
          <w:szCs w:val="16"/>
        </w:rPr>
        <w:t xml:space="preserve"> Ta zahrnuje i váhově okrajový segment potrubní dopravy.</w:t>
      </w:r>
    </w:p>
  </w:footnote>
  <w:footnote w:id="34">
    <w:p w14:paraId="1F6A35E9" w14:textId="77777777" w:rsidR="00213E46" w:rsidRPr="005A6EAF" w:rsidRDefault="00213E46" w:rsidP="00213E46">
      <w:pPr>
        <w:pStyle w:val="Textpoznpodarou"/>
        <w:rPr>
          <w:sz w:val="16"/>
          <w:szCs w:val="16"/>
        </w:rPr>
      </w:pPr>
      <w:r w:rsidRPr="005A6EAF">
        <w:rPr>
          <w:rStyle w:val="Znakapoznpodarou"/>
          <w:sz w:val="16"/>
          <w:szCs w:val="16"/>
        </w:rPr>
        <w:footnoteRef/>
      </w:r>
      <w:r w:rsidRPr="005A6EAF">
        <w:rPr>
          <w:sz w:val="16"/>
          <w:szCs w:val="16"/>
        </w:rPr>
        <w:t xml:space="preserve"> Dle předběžných výsledků Ministerstva dopravy ČR se loni za 1. až 3. čtvrtletí zvýšily počty přepravených osob v železniční dopravě o 4,7 %, v městské hromadné dopravě o 1,5 % a </w:t>
      </w:r>
      <w:r>
        <w:rPr>
          <w:sz w:val="16"/>
          <w:szCs w:val="16"/>
        </w:rPr>
        <w:t xml:space="preserve">v </w:t>
      </w:r>
      <w:r w:rsidRPr="005A6EAF">
        <w:rPr>
          <w:sz w:val="16"/>
          <w:szCs w:val="16"/>
        </w:rPr>
        <w:t xml:space="preserve">autobusové dopravě naopak </w:t>
      </w:r>
      <w:r>
        <w:rPr>
          <w:sz w:val="16"/>
          <w:szCs w:val="16"/>
        </w:rPr>
        <w:t xml:space="preserve">klesly </w:t>
      </w:r>
      <w:r w:rsidRPr="005A6EAF">
        <w:rPr>
          <w:sz w:val="16"/>
          <w:szCs w:val="16"/>
        </w:rPr>
        <w:t>o 2,9 %. Ve všech případech se však počty přepravených i dosažené přepravní výkony (</w:t>
      </w:r>
      <w:r>
        <w:rPr>
          <w:sz w:val="16"/>
          <w:szCs w:val="16"/>
        </w:rPr>
        <w:t>v osobokilometrech</w:t>
      </w:r>
      <w:r w:rsidRPr="005A6EAF">
        <w:rPr>
          <w:sz w:val="16"/>
          <w:szCs w:val="16"/>
        </w:rPr>
        <w:t xml:space="preserve">) stále nachází pod úrovní roku 2019. Na loňský výkon příznivě působil především rozvoj dálkové a mezinárodní dopravy, růst ve vnitrostátní železniční </w:t>
      </w:r>
      <w:r>
        <w:rPr>
          <w:sz w:val="16"/>
          <w:szCs w:val="16"/>
        </w:rPr>
        <w:t xml:space="preserve">nákladní </w:t>
      </w:r>
      <w:r w:rsidRPr="005A6EAF">
        <w:rPr>
          <w:sz w:val="16"/>
          <w:szCs w:val="16"/>
        </w:rPr>
        <w:t xml:space="preserve">dopravě byl </w:t>
      </w:r>
      <w:r>
        <w:rPr>
          <w:sz w:val="16"/>
          <w:szCs w:val="16"/>
        </w:rPr>
        <w:t xml:space="preserve">však </w:t>
      </w:r>
      <w:r w:rsidRPr="005A6EAF">
        <w:rPr>
          <w:sz w:val="16"/>
          <w:szCs w:val="16"/>
        </w:rPr>
        <w:t>zčásti tlumen dopady zářijových povodní (kvůli nim došlo k dočasnému přerušení dopravy na hlavním ž</w:t>
      </w:r>
      <w:r>
        <w:rPr>
          <w:sz w:val="16"/>
          <w:szCs w:val="16"/>
        </w:rPr>
        <w:t>elezničním koridoru do Ostravy). Růst přepravních výkonů v nákladní dopravě byl v 1. a 3. čtvrtletí 2024 tažen z převážné části silniční dopravou, kde se výkon (v tunokilometrech) meziročně zvýšil o 6,9 %.</w:t>
      </w:r>
    </w:p>
  </w:footnote>
  <w:footnote w:id="35">
    <w:p w14:paraId="345250BA" w14:textId="77777777" w:rsidR="00295A5D" w:rsidRPr="008E2337" w:rsidRDefault="00295A5D" w:rsidP="00295A5D">
      <w:pPr>
        <w:pStyle w:val="Textpoznpodarou"/>
        <w:rPr>
          <w:sz w:val="16"/>
          <w:szCs w:val="16"/>
        </w:rPr>
      </w:pPr>
      <w:r w:rsidRPr="008E2337">
        <w:rPr>
          <w:rStyle w:val="Znakapoznpodarou"/>
          <w:sz w:val="16"/>
          <w:szCs w:val="16"/>
        </w:rPr>
        <w:footnoteRef/>
      </w:r>
      <w:r w:rsidRPr="008E2337">
        <w:rPr>
          <w:sz w:val="16"/>
          <w:szCs w:val="16"/>
        </w:rPr>
        <w:t xml:space="preserve"> Ve 3. čtvrtletí 2024 se tržby v ubytování meziročně snížily o 2,5 %, ve stravování a pohostinství o 1,9 %. Přestože nejde o výraznější útlum, je souběžný pokles v obou výše uvedených segment</w:t>
      </w:r>
      <w:r>
        <w:rPr>
          <w:sz w:val="16"/>
          <w:szCs w:val="16"/>
        </w:rPr>
        <w:t>ech</w:t>
      </w:r>
      <w:r w:rsidRPr="008E2337">
        <w:rPr>
          <w:sz w:val="16"/>
          <w:szCs w:val="16"/>
        </w:rPr>
        <w:t xml:space="preserve"> v letní turistické sezóně v posledních letech ojedinělý (kromě roku 2020 nastal naposledy v roce 2009).</w:t>
      </w:r>
    </w:p>
  </w:footnote>
  <w:footnote w:id="36">
    <w:p w14:paraId="54EFC25D" w14:textId="77777777" w:rsidR="00295A5D" w:rsidRPr="00EB6DBE" w:rsidRDefault="00295A5D" w:rsidP="00295A5D">
      <w:pPr>
        <w:pStyle w:val="Textpoznpodarou"/>
        <w:rPr>
          <w:sz w:val="16"/>
          <w:szCs w:val="16"/>
        </w:rPr>
      </w:pPr>
      <w:r w:rsidRPr="00EB6DBE">
        <w:rPr>
          <w:rStyle w:val="Znakapoznpodarou"/>
          <w:sz w:val="16"/>
          <w:szCs w:val="16"/>
        </w:rPr>
        <w:footnoteRef/>
      </w:r>
      <w:r w:rsidRPr="00EB6DBE">
        <w:rPr>
          <w:sz w:val="16"/>
          <w:szCs w:val="16"/>
        </w:rPr>
        <w:t xml:space="preserve"> </w:t>
      </w:r>
      <w:r>
        <w:rPr>
          <w:sz w:val="16"/>
          <w:szCs w:val="16"/>
        </w:rPr>
        <w:t>V roce</w:t>
      </w:r>
      <w:r w:rsidRPr="00EB6DB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2024 </w:t>
      </w:r>
      <w:r w:rsidRPr="00EB6DBE">
        <w:rPr>
          <w:sz w:val="16"/>
          <w:szCs w:val="16"/>
        </w:rPr>
        <w:t>se zvýšily ceny ubytovacích služeb o 9,2 % a stravovacích služeb o 7,4 %.</w:t>
      </w:r>
      <w:r>
        <w:rPr>
          <w:sz w:val="16"/>
          <w:szCs w:val="16"/>
        </w:rPr>
        <w:t xml:space="preserve"> Proti roku 2015 byly v prosinci loňského roku v úhrnu za oba segmenty vyšší o 92,5 %, kdežto ceny v celém spotřebitelském koši se za stejné období navýšily „jen“ o 52 %.</w:t>
      </w:r>
    </w:p>
  </w:footnote>
  <w:footnote w:id="37">
    <w:p w14:paraId="0D005EFA" w14:textId="77777777" w:rsidR="00295A5D" w:rsidRPr="001834B5" w:rsidRDefault="00295A5D" w:rsidP="00295A5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1834B5">
        <w:rPr>
          <w:rStyle w:val="Znakapoznpodarou"/>
          <w:rFonts w:ascii="Arial" w:hAnsi="Arial" w:cs="Arial"/>
          <w:sz w:val="16"/>
          <w:szCs w:val="16"/>
        </w:rPr>
        <w:footnoteRef/>
      </w:r>
      <w:r w:rsidRPr="001834B5">
        <w:rPr>
          <w:rFonts w:ascii="Arial" w:hAnsi="Arial" w:cs="Arial"/>
          <w:sz w:val="16"/>
          <w:szCs w:val="16"/>
        </w:rPr>
        <w:t xml:space="preserve"> </w:t>
      </w:r>
      <w:r w:rsidRPr="001834B5">
        <w:rPr>
          <w:rStyle w:val="normaltextrun"/>
          <w:rFonts w:ascii="Arial" w:eastAsia="MS Gothic" w:hAnsi="Arial" w:cs="Arial"/>
          <w:color w:val="000000"/>
          <w:sz w:val="16"/>
          <w:szCs w:val="16"/>
        </w:rPr>
        <w:t>Za celý rok 2024 přijelo do HUZ v Česku 22,8 milionu hostů, kteří zde strávili 57,3 milionu nocí. Počet hostů meziročně narostl o 3,8 %, jejich přenocování o 2,6 %. Dle obou ukazatelů rostl cestovní ruch nepřetržitě čtvrtý rok v řadě. Loni současně poprvé překonal dosud rekordní úroveň z předkrizového roku 2019 – u hostů o 3,7 %, u přenocování o 0,5 %. Z toho zahraniční klientela však stále lehce zaostávala (o 3,7 %, resp. 6,1 %), neboť chyběla hlavně poptávka z Ruska a asijských států. Z početně nejvýznamnějších zahraničních hostů loni vzrostl</w:t>
      </w:r>
      <w:r>
        <w:rPr>
          <w:rStyle w:val="normaltextrun"/>
          <w:rFonts w:ascii="Arial" w:eastAsia="MS Gothic" w:hAnsi="Arial" w:cs="Arial"/>
          <w:color w:val="000000"/>
          <w:sz w:val="16"/>
          <w:szCs w:val="16"/>
        </w:rPr>
        <w:t>a</w:t>
      </w:r>
      <w:r w:rsidRPr="001834B5">
        <w:rPr>
          <w:rStyle w:val="normaltextrun"/>
          <w:rFonts w:ascii="Arial" w:eastAsia="MS Gothic" w:hAnsi="Arial" w:cs="Arial"/>
          <w:color w:val="000000"/>
          <w:sz w:val="16"/>
          <w:szCs w:val="16"/>
        </w:rPr>
        <w:t xml:space="preserve"> přenocování nejvíce u občanů Izraele (+48 %) a Španělska (+20 %), nejméně u Něm</w:t>
      </w:r>
      <w:r>
        <w:rPr>
          <w:rStyle w:val="normaltextrun"/>
          <w:rFonts w:ascii="Arial" w:eastAsia="MS Gothic" w:hAnsi="Arial" w:cs="Arial"/>
          <w:color w:val="000000"/>
          <w:sz w:val="16"/>
          <w:szCs w:val="16"/>
        </w:rPr>
        <w:t>ecka (+3,4 %) a Slovenska (+4,0</w:t>
      </w:r>
      <w:r w:rsidRPr="008E2337">
        <w:rPr>
          <w:sz w:val="16"/>
          <w:szCs w:val="16"/>
        </w:rPr>
        <w:t> </w:t>
      </w:r>
      <w:r w:rsidRPr="001834B5">
        <w:rPr>
          <w:rStyle w:val="normaltextrun"/>
          <w:rFonts w:ascii="Arial" w:eastAsia="MS Gothic" w:hAnsi="Arial" w:cs="Arial"/>
          <w:color w:val="000000"/>
          <w:sz w:val="16"/>
          <w:szCs w:val="16"/>
        </w:rPr>
        <w:t>%). Poptávka tuzems</w:t>
      </w:r>
      <w:r>
        <w:rPr>
          <w:rStyle w:val="normaltextrun"/>
          <w:rFonts w:ascii="Arial" w:eastAsia="MS Gothic" w:hAnsi="Arial" w:cs="Arial"/>
          <w:color w:val="000000"/>
          <w:sz w:val="16"/>
          <w:szCs w:val="16"/>
        </w:rPr>
        <w:t>kých hostů loni poprvé po třech</w:t>
      </w:r>
      <w:r w:rsidRPr="001834B5">
        <w:rPr>
          <w:rStyle w:val="normaltextrun"/>
          <w:rFonts w:ascii="Arial" w:eastAsia="MS Gothic" w:hAnsi="Arial" w:cs="Arial"/>
          <w:color w:val="000000"/>
          <w:sz w:val="16"/>
          <w:szCs w:val="16"/>
        </w:rPr>
        <w:t xml:space="preserve"> letech meziročně klesla (hosté: -0,7 %, noci: -2,2 %). Stála za tím především slabší letní sezóna, kdy patrně větší část českých domácností upřednostnila různorodé zahraniční pobyty, mnohdy i za cenově atraktivnějších podmínek.</w:t>
      </w:r>
      <w:r>
        <w:rPr>
          <w:rStyle w:val="normaltextrun"/>
          <w:rFonts w:ascii="Arial" w:eastAsia="MS Gothic" w:hAnsi="Arial" w:cs="Arial"/>
          <w:color w:val="000000"/>
          <w:sz w:val="16"/>
          <w:szCs w:val="16"/>
        </w:rPr>
        <w:t xml:space="preserve"> Počet přenocování domácích hostů loni meziročně klesl ve 12 ze 14 krajů (nejvíce v Olomouckém o 8 %), naopak u nerezidentů došlo k poklesu poptávky jen ve dvou oblastech (Ústecko, Zlínsko) a ve čtyřech krajích byl dosažen růst mezi </w:t>
      </w:r>
      <w:r>
        <w:rPr>
          <w:rStyle w:val="normaltextrun"/>
          <w:rFonts w:ascii="Arial" w:eastAsia="MS Gothic" w:hAnsi="Arial" w:cs="Arial"/>
          <w:color w:val="000000"/>
          <w:sz w:val="16"/>
          <w:szCs w:val="16"/>
        </w:rPr>
        <w:br/>
      </w:r>
      <w:r w:rsidRPr="00DA22A6">
        <w:rPr>
          <w:rStyle w:val="normaltextrun"/>
          <w:rFonts w:ascii="Arial" w:eastAsia="MS Gothic" w:hAnsi="Arial" w:cs="Arial"/>
          <w:color w:val="000000"/>
          <w:spacing w:val="-2"/>
          <w:sz w:val="16"/>
          <w:szCs w:val="16"/>
        </w:rPr>
        <w:t>10 a 18 % (Praha, Středočeský kraj, Jihočeský kraj a Vysočina), zčásti i díky pořádání významných sportovních akcí v první polovině roku.</w:t>
      </w:r>
    </w:p>
  </w:footnote>
  <w:footnote w:id="38">
    <w:p w14:paraId="62485397" w14:textId="77777777" w:rsidR="00295A5D" w:rsidRPr="001834B5" w:rsidRDefault="00295A5D" w:rsidP="00295A5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1834B5">
        <w:rPr>
          <w:rStyle w:val="Znakapoznpodarou"/>
          <w:rFonts w:ascii="Arial" w:hAnsi="Arial" w:cs="Arial"/>
          <w:sz w:val="16"/>
          <w:szCs w:val="16"/>
        </w:rPr>
        <w:footnoteRef/>
      </w:r>
      <w:r w:rsidRPr="001834B5">
        <w:rPr>
          <w:rFonts w:ascii="Arial" w:hAnsi="Arial" w:cs="Arial"/>
          <w:sz w:val="16"/>
          <w:szCs w:val="16"/>
        </w:rPr>
        <w:t xml:space="preserve"> </w:t>
      </w:r>
      <w:r w:rsidRPr="001834B5">
        <w:rPr>
          <w:rStyle w:val="normaltextrun"/>
          <w:rFonts w:ascii="Arial" w:eastAsia="MS Gothic" w:hAnsi="Arial" w:cs="Arial"/>
          <w:sz w:val="16"/>
          <w:szCs w:val="16"/>
        </w:rPr>
        <w:t>Po dočasném mírném meziročním poklesu návštěvnosti ve 3. čtvrtletí 2024 (vlivem slabší poptávky rezidentů) se ve 4. čtvrtletí zvýšil počet ubytovaných hostů (+7,1 %, na 5,0 mil.) i jejich přenocování (+7,0 %, na 11,7 mil.) – v obou případech jsou dosažené úrovně návštěvnosti vyšší než na konci roku 2019 (+6,2 %, +3,3 %), z toho u zahraničních hostů v obou ukazatelích však stále nepatrně zaostávají (o 1 %).</w:t>
      </w:r>
      <w:r w:rsidRPr="001834B5">
        <w:rPr>
          <w:rStyle w:val="eop"/>
          <w:rFonts w:ascii="Arial" w:eastAsia="MS Gothic" w:hAnsi="Arial" w:cs="Arial"/>
          <w:sz w:val="16"/>
          <w:szCs w:val="16"/>
        </w:rPr>
        <w:t> </w:t>
      </w:r>
      <w:r w:rsidRPr="001834B5">
        <w:rPr>
          <w:rStyle w:val="normaltextrun"/>
          <w:rFonts w:ascii="Arial" w:eastAsia="MS Gothic" w:hAnsi="Arial" w:cs="Arial"/>
          <w:color w:val="000000"/>
          <w:sz w:val="16"/>
          <w:szCs w:val="16"/>
        </w:rPr>
        <w:t xml:space="preserve">K meziročnímu růstu přenocování došlo ve 4. čtvrtletí jak u domácích hostů (+2,8 %), tak </w:t>
      </w:r>
      <w:r>
        <w:rPr>
          <w:rStyle w:val="normaltextrun"/>
          <w:rFonts w:ascii="Arial" w:eastAsia="MS Gothic" w:hAnsi="Arial" w:cs="Arial"/>
          <w:color w:val="000000"/>
          <w:sz w:val="16"/>
          <w:szCs w:val="16"/>
        </w:rPr>
        <w:t xml:space="preserve">u </w:t>
      </w:r>
      <w:r w:rsidRPr="001834B5">
        <w:rPr>
          <w:rStyle w:val="normaltextrun"/>
          <w:rFonts w:ascii="Arial" w:eastAsia="MS Gothic" w:hAnsi="Arial" w:cs="Arial"/>
          <w:color w:val="000000"/>
          <w:sz w:val="16"/>
          <w:szCs w:val="16"/>
        </w:rPr>
        <w:t>cizinců (+10,9 %). Z nejvýznamněji zastoupených občanů cizích států rostla poptávka zejména u Izraelců (+216 %, hlavně vlivem slabé loňské základny kvůli vzplanutí války v Gaze), Ukrajiny (+21 %), Velké Británie (+17 %) a Polska (+15 %). Zrychli</w:t>
      </w:r>
      <w:r>
        <w:rPr>
          <w:rStyle w:val="normaltextrun"/>
          <w:rFonts w:ascii="Arial" w:eastAsia="MS Gothic" w:hAnsi="Arial" w:cs="Arial"/>
          <w:color w:val="000000"/>
          <w:sz w:val="16"/>
          <w:szCs w:val="16"/>
        </w:rPr>
        <w:t>l</w:t>
      </w:r>
      <w:r w:rsidRPr="001834B5">
        <w:rPr>
          <w:rStyle w:val="normaltextrun"/>
          <w:rFonts w:ascii="Arial" w:eastAsia="MS Gothic" w:hAnsi="Arial" w:cs="Arial"/>
          <w:color w:val="000000"/>
          <w:sz w:val="16"/>
          <w:szCs w:val="16"/>
        </w:rPr>
        <w:t xml:space="preserve"> i počet přenocování hostů z Asie, zejména z Číny, ale ta se zatím </w:t>
      </w:r>
      <w:r>
        <w:rPr>
          <w:rStyle w:val="normaltextrun"/>
          <w:rFonts w:ascii="Arial" w:eastAsia="MS Gothic" w:hAnsi="Arial" w:cs="Arial"/>
          <w:color w:val="000000"/>
          <w:sz w:val="16"/>
          <w:szCs w:val="16"/>
        </w:rPr>
        <w:t xml:space="preserve">nepropracovala </w:t>
      </w:r>
      <w:r w:rsidRPr="001834B5">
        <w:rPr>
          <w:rStyle w:val="normaltextrun"/>
          <w:rFonts w:ascii="Arial" w:eastAsia="MS Gothic" w:hAnsi="Arial" w:cs="Arial"/>
          <w:color w:val="000000"/>
          <w:sz w:val="16"/>
          <w:szCs w:val="16"/>
        </w:rPr>
        <w:t>mezi top10 zemí s nejvyšší poptávkou po ubytování v</w:t>
      </w:r>
      <w:r>
        <w:rPr>
          <w:rStyle w:val="normaltextrun"/>
          <w:rFonts w:ascii="Arial" w:eastAsia="MS Gothic" w:hAnsi="Arial" w:cs="Arial"/>
          <w:color w:val="000000"/>
          <w:sz w:val="16"/>
          <w:szCs w:val="16"/>
        </w:rPr>
        <w:t> </w:t>
      </w:r>
      <w:r w:rsidRPr="001834B5">
        <w:rPr>
          <w:rStyle w:val="normaltextrun"/>
          <w:rFonts w:ascii="Arial" w:eastAsia="MS Gothic" w:hAnsi="Arial" w:cs="Arial"/>
          <w:color w:val="000000"/>
          <w:sz w:val="16"/>
          <w:szCs w:val="16"/>
        </w:rPr>
        <w:t>Česku</w:t>
      </w:r>
      <w:r>
        <w:rPr>
          <w:rStyle w:val="normaltextrun"/>
          <w:rFonts w:ascii="Arial" w:eastAsia="MS Gothic" w:hAnsi="Arial" w:cs="Arial"/>
          <w:color w:val="000000"/>
          <w:sz w:val="16"/>
          <w:szCs w:val="16"/>
        </w:rPr>
        <w:t>.</w:t>
      </w:r>
      <w:r w:rsidRPr="001834B5">
        <w:rPr>
          <w:rStyle w:val="normaltextrun"/>
          <w:rFonts w:ascii="Arial" w:eastAsia="MS Gothic" w:hAnsi="Arial" w:cs="Arial"/>
          <w:color w:val="000000"/>
          <w:sz w:val="16"/>
          <w:szCs w:val="16"/>
        </w:rPr>
        <w:t xml:space="preserve"> Z tradičních skupin hostů si udržovala solidní tempo poptávka Němců (+8 %) i Slováků (+7 %).</w:t>
      </w:r>
    </w:p>
  </w:footnote>
  <w:footnote w:id="39">
    <w:p w14:paraId="21CE27F2" w14:textId="77777777" w:rsidR="00295A5D" w:rsidRPr="00CD3166" w:rsidRDefault="00295A5D" w:rsidP="00295A5D">
      <w:pPr>
        <w:pStyle w:val="Textpoznpodarou"/>
        <w:rPr>
          <w:sz w:val="16"/>
          <w:szCs w:val="16"/>
        </w:rPr>
      </w:pPr>
      <w:r w:rsidRPr="00CD3166">
        <w:rPr>
          <w:rStyle w:val="Znakapoznpodarou"/>
          <w:sz w:val="16"/>
          <w:szCs w:val="16"/>
        </w:rPr>
        <w:footnoteRef/>
      </w:r>
      <w:r w:rsidRPr="00CD3166">
        <w:rPr>
          <w:sz w:val="16"/>
          <w:szCs w:val="16"/>
        </w:rPr>
        <w:t xml:space="preserve"> Ty </w:t>
      </w:r>
      <w:r w:rsidRPr="00CD3166">
        <w:rPr>
          <w:color w:val="0D0D0D" w:themeColor="text1" w:themeTint="F2"/>
          <w:spacing w:val="-6"/>
          <w:sz w:val="16"/>
          <w:szCs w:val="16"/>
        </w:rPr>
        <w:t>zahrnují</w:t>
      </w:r>
      <w:r>
        <w:rPr>
          <w:color w:val="0D0D0D" w:themeColor="text1" w:themeTint="F2"/>
          <w:spacing w:val="-6"/>
          <w:sz w:val="16"/>
          <w:szCs w:val="16"/>
        </w:rPr>
        <w:t xml:space="preserve"> zejména</w:t>
      </w:r>
      <w:r w:rsidRPr="00CD3166">
        <w:rPr>
          <w:color w:val="0D0D0D" w:themeColor="text1" w:themeTint="F2"/>
          <w:spacing w:val="-6"/>
          <w:sz w:val="16"/>
          <w:szCs w:val="16"/>
        </w:rPr>
        <w:t xml:space="preserve"> programování, poradenství v oblasti informačních technologií či správu počítačového vybavení.</w:t>
      </w:r>
    </w:p>
  </w:footnote>
  <w:footnote w:id="40">
    <w:p w14:paraId="7CDF3BDD" w14:textId="77777777" w:rsidR="00295A5D" w:rsidRDefault="00295A5D" w:rsidP="00295A5D">
      <w:pPr>
        <w:pStyle w:val="Textpoznpodarou"/>
      </w:pPr>
      <w:r w:rsidRPr="007A5123">
        <w:rPr>
          <w:rStyle w:val="Znakapoznpodarou"/>
          <w:sz w:val="16"/>
          <w:szCs w:val="16"/>
        </w:rPr>
        <w:footnoteRef/>
      </w:r>
      <w:r w:rsidRPr="007A5123">
        <w:rPr>
          <w:sz w:val="16"/>
          <w:szCs w:val="16"/>
        </w:rPr>
        <w:t xml:space="preserve"> Jde především </w:t>
      </w:r>
      <w:r>
        <w:rPr>
          <w:sz w:val="16"/>
          <w:szCs w:val="16"/>
        </w:rPr>
        <w:t xml:space="preserve">o </w:t>
      </w:r>
      <w:r w:rsidRPr="00B86BDD">
        <w:rPr>
          <w:sz w:val="16"/>
          <w:szCs w:val="16"/>
        </w:rPr>
        <w:t>činnosti webových portálů, zpravodajských tiskových kanceláří a agentur či zpracování dat a hosting.</w:t>
      </w:r>
    </w:p>
  </w:footnote>
  <w:footnote w:id="41">
    <w:p w14:paraId="1B087C08" w14:textId="77777777" w:rsidR="00295A5D" w:rsidRPr="00590597" w:rsidRDefault="00295A5D" w:rsidP="00295A5D">
      <w:pPr>
        <w:pStyle w:val="Textpoznpodarou"/>
        <w:rPr>
          <w:sz w:val="16"/>
          <w:szCs w:val="16"/>
        </w:rPr>
      </w:pPr>
      <w:r w:rsidRPr="00590597">
        <w:rPr>
          <w:rStyle w:val="Znakapoznpodarou"/>
          <w:sz w:val="16"/>
          <w:szCs w:val="16"/>
        </w:rPr>
        <w:footnoteRef/>
      </w:r>
      <w:r w:rsidRPr="00590597">
        <w:rPr>
          <w:sz w:val="16"/>
          <w:szCs w:val="16"/>
        </w:rPr>
        <w:t xml:space="preserve"> </w:t>
      </w:r>
      <w:r>
        <w:rPr>
          <w:sz w:val="16"/>
          <w:szCs w:val="16"/>
        </w:rPr>
        <w:t>Podstatně lépe si vedl segment</w:t>
      </w:r>
      <w:r w:rsidRPr="00590597">
        <w:rPr>
          <w:sz w:val="16"/>
          <w:szCs w:val="16"/>
        </w:rPr>
        <w:t xml:space="preserve"> filmové distribuce. </w:t>
      </w:r>
      <w:r w:rsidRPr="00590597">
        <w:rPr>
          <w:rFonts w:cs="Arial"/>
          <w:color w:val="0D0D0D" w:themeColor="text1" w:themeTint="F2"/>
          <w:spacing w:val="-3"/>
          <w:sz w:val="16"/>
          <w:szCs w:val="16"/>
        </w:rPr>
        <w:t xml:space="preserve">Dle údajů </w:t>
      </w:r>
      <w:r w:rsidRPr="00590597">
        <w:rPr>
          <w:spacing w:val="-3"/>
          <w:sz w:val="16"/>
          <w:szCs w:val="16"/>
        </w:rPr>
        <w:t>Unie filmových distributo</w:t>
      </w:r>
      <w:r>
        <w:rPr>
          <w:spacing w:val="-3"/>
          <w:sz w:val="16"/>
          <w:szCs w:val="16"/>
        </w:rPr>
        <w:t xml:space="preserve">rů klesly za loňský rok </w:t>
      </w:r>
      <w:r w:rsidRPr="00590597">
        <w:rPr>
          <w:spacing w:val="-3"/>
          <w:sz w:val="16"/>
          <w:szCs w:val="16"/>
        </w:rPr>
        <w:t>hrubé nominální tržby provozovate</w:t>
      </w:r>
      <w:r>
        <w:rPr>
          <w:spacing w:val="-3"/>
          <w:sz w:val="16"/>
          <w:szCs w:val="16"/>
        </w:rPr>
        <w:t>lů tuzemských kin meziročně jen o 0,9 % (díky silným výkonům během letních prázdninových měsíců a také na samém konci roku).</w:t>
      </w:r>
      <w:r w:rsidRPr="00590597">
        <w:rPr>
          <w:spacing w:val="-3"/>
          <w:sz w:val="16"/>
          <w:szCs w:val="16"/>
        </w:rPr>
        <w:t xml:space="preserve"> Celková návštěv</w:t>
      </w:r>
      <w:r>
        <w:rPr>
          <w:spacing w:val="-3"/>
          <w:sz w:val="16"/>
          <w:szCs w:val="16"/>
        </w:rPr>
        <w:t xml:space="preserve">nost se analogicky snížila o 2,2 %, naopak </w:t>
      </w:r>
      <w:r w:rsidRPr="00590597">
        <w:rPr>
          <w:spacing w:val="-3"/>
          <w:sz w:val="16"/>
          <w:szCs w:val="16"/>
        </w:rPr>
        <w:t>počet odehraných představení</w:t>
      </w:r>
      <w:r>
        <w:rPr>
          <w:spacing w:val="-3"/>
          <w:sz w:val="16"/>
          <w:szCs w:val="16"/>
        </w:rPr>
        <w:t xml:space="preserve"> narostl o 2,5 %. Oproti roku</w:t>
      </w:r>
      <w:r w:rsidRPr="00590597">
        <w:rPr>
          <w:spacing w:val="-3"/>
          <w:sz w:val="16"/>
          <w:szCs w:val="16"/>
        </w:rPr>
        <w:t xml:space="preserve"> 2019 </w:t>
      </w:r>
      <w:r>
        <w:rPr>
          <w:spacing w:val="-3"/>
          <w:sz w:val="16"/>
          <w:szCs w:val="16"/>
        </w:rPr>
        <w:t>byla ovšem návštěvnost nižší o 29 % a tržby o 14 %.</w:t>
      </w:r>
    </w:p>
  </w:footnote>
  <w:footnote w:id="42">
    <w:p w14:paraId="6D2C67B8" w14:textId="77777777" w:rsidR="00295A5D" w:rsidRPr="00F34E27" w:rsidRDefault="00295A5D" w:rsidP="00213E46">
      <w:pPr>
        <w:pStyle w:val="Textpoznpodarou"/>
        <w:rPr>
          <w:sz w:val="16"/>
          <w:szCs w:val="16"/>
        </w:rPr>
      </w:pPr>
      <w:r w:rsidRPr="00F34E27">
        <w:rPr>
          <w:rStyle w:val="Znakapoznpodarou"/>
          <w:sz w:val="16"/>
          <w:szCs w:val="16"/>
        </w:rPr>
        <w:footnoteRef/>
      </w:r>
      <w:r w:rsidRPr="00F34E27">
        <w:rPr>
          <w:sz w:val="16"/>
          <w:szCs w:val="16"/>
        </w:rPr>
        <w:t xml:space="preserve"> Toto dílčí odvětví, v němž hrají významnou roli drobní podnikatelé, zahrnuje především zprostředkovatelské činnosti, návrhářské, překladatelské a fotografické služby </w:t>
      </w:r>
      <w:r>
        <w:rPr>
          <w:sz w:val="16"/>
          <w:szCs w:val="16"/>
        </w:rPr>
        <w:t>nebo činnosti stavebního dozoru.</w:t>
      </w:r>
    </w:p>
  </w:footnote>
  <w:footnote w:id="43">
    <w:p w14:paraId="4003DEE4" w14:textId="77777777" w:rsidR="00295A5D" w:rsidRPr="009C70BD" w:rsidRDefault="00295A5D" w:rsidP="00213E46">
      <w:pPr>
        <w:pStyle w:val="Textpoznpodarou"/>
        <w:rPr>
          <w:sz w:val="16"/>
          <w:szCs w:val="16"/>
        </w:rPr>
      </w:pPr>
      <w:r w:rsidRPr="009C70BD">
        <w:rPr>
          <w:rStyle w:val="Znakapoznpodarou"/>
          <w:sz w:val="16"/>
          <w:szCs w:val="16"/>
        </w:rPr>
        <w:footnoteRef/>
      </w:r>
      <w:r w:rsidRPr="009C70BD">
        <w:rPr>
          <w:sz w:val="16"/>
          <w:szCs w:val="16"/>
        </w:rPr>
        <w:t xml:space="preserve"> Obdobně jako loni naopak </w:t>
      </w:r>
      <w:r>
        <w:rPr>
          <w:sz w:val="16"/>
          <w:szCs w:val="16"/>
        </w:rPr>
        <w:t xml:space="preserve">spíše </w:t>
      </w:r>
      <w:r w:rsidRPr="009C70BD">
        <w:rPr>
          <w:sz w:val="16"/>
          <w:szCs w:val="16"/>
        </w:rPr>
        <w:t>stagnovala poptávka po pronájmu a leasing</w:t>
      </w:r>
      <w:r>
        <w:rPr>
          <w:sz w:val="16"/>
          <w:szCs w:val="16"/>
        </w:rPr>
        <w:t>u</w:t>
      </w:r>
      <w:r w:rsidRPr="009C70BD">
        <w:rPr>
          <w:sz w:val="16"/>
          <w:szCs w:val="16"/>
        </w:rPr>
        <w:t> automobilů a jiných lehkých motorových vozidel.</w:t>
      </w:r>
    </w:p>
  </w:footnote>
  <w:footnote w:id="44">
    <w:p w14:paraId="6F8AB335" w14:textId="77777777" w:rsidR="00295A5D" w:rsidRPr="00052DD9" w:rsidRDefault="00295A5D" w:rsidP="00213E46">
      <w:pPr>
        <w:pStyle w:val="Textpoznpodarou"/>
        <w:rPr>
          <w:sz w:val="16"/>
          <w:szCs w:val="16"/>
        </w:rPr>
      </w:pPr>
      <w:r w:rsidRPr="00052DD9">
        <w:rPr>
          <w:rStyle w:val="Znakapoznpodarou"/>
          <w:sz w:val="16"/>
          <w:szCs w:val="16"/>
        </w:rPr>
        <w:footnoteRef/>
      </w:r>
      <w:r w:rsidRPr="00052DD9">
        <w:rPr>
          <w:sz w:val="16"/>
          <w:szCs w:val="16"/>
        </w:rPr>
        <w:t xml:space="preserve"> K poklesu tržeb </w:t>
      </w:r>
      <w:r>
        <w:rPr>
          <w:sz w:val="16"/>
          <w:szCs w:val="16"/>
        </w:rPr>
        <w:t xml:space="preserve">zde </w:t>
      </w:r>
      <w:r w:rsidRPr="00052DD9">
        <w:rPr>
          <w:sz w:val="16"/>
          <w:szCs w:val="16"/>
        </w:rPr>
        <w:t xml:space="preserve">došlo i při vysokém růstu počtu pracujících cizinců v ČR. Na něm se v posledních dvou letech významně podíleli uprchlíci z Ukrajiny. Vzhledem ke statutu dočasné ochrany, který byl těmto osobám přiznán, je </w:t>
      </w:r>
      <w:r>
        <w:rPr>
          <w:sz w:val="16"/>
          <w:szCs w:val="16"/>
        </w:rPr>
        <w:t>je</w:t>
      </w:r>
      <w:r w:rsidRPr="00052DD9">
        <w:rPr>
          <w:sz w:val="16"/>
          <w:szCs w:val="16"/>
        </w:rPr>
        <w:t xml:space="preserve">jich zaměstnávání v tuzemsku administrativně jednodušší (oproti ostatním skupinám migrantů z tzv. třetích zemí) a </w:t>
      </w:r>
      <w:r>
        <w:rPr>
          <w:sz w:val="16"/>
          <w:szCs w:val="16"/>
        </w:rPr>
        <w:t>ti tak mohou</w:t>
      </w:r>
      <w:r w:rsidRPr="00052DD9">
        <w:rPr>
          <w:sz w:val="16"/>
          <w:szCs w:val="16"/>
        </w:rPr>
        <w:t xml:space="preserve"> snáze nalézt práci „napřímo“ (bez zprostředkovatele). Kromě výše uvedeného se na pokle</w:t>
      </w:r>
      <w:r>
        <w:rPr>
          <w:sz w:val="16"/>
          <w:szCs w:val="16"/>
        </w:rPr>
        <w:t xml:space="preserve">su tržeb </w:t>
      </w:r>
      <w:r w:rsidRPr="00052DD9">
        <w:rPr>
          <w:sz w:val="16"/>
          <w:szCs w:val="16"/>
        </w:rPr>
        <w:t xml:space="preserve">může podílet i snížená poptávka pracovních </w:t>
      </w:r>
      <w:r>
        <w:rPr>
          <w:sz w:val="16"/>
          <w:szCs w:val="16"/>
        </w:rPr>
        <w:t xml:space="preserve">agentur </w:t>
      </w:r>
      <w:r w:rsidRPr="00052DD9">
        <w:rPr>
          <w:sz w:val="16"/>
          <w:szCs w:val="16"/>
        </w:rPr>
        <w:t>ze strany klí</w:t>
      </w:r>
      <w:r>
        <w:rPr>
          <w:sz w:val="16"/>
          <w:szCs w:val="16"/>
        </w:rPr>
        <w:t xml:space="preserve">čových výrobních odvětví </w:t>
      </w:r>
      <w:r w:rsidRPr="00052DD9">
        <w:rPr>
          <w:sz w:val="16"/>
          <w:szCs w:val="16"/>
        </w:rPr>
        <w:t>procház</w:t>
      </w:r>
      <w:r>
        <w:rPr>
          <w:sz w:val="16"/>
          <w:szCs w:val="16"/>
        </w:rPr>
        <w:t>ej</w:t>
      </w:r>
      <w:r w:rsidRPr="00052DD9">
        <w:rPr>
          <w:sz w:val="16"/>
          <w:szCs w:val="16"/>
        </w:rPr>
        <w:t>í</w:t>
      </w:r>
      <w:r>
        <w:rPr>
          <w:sz w:val="16"/>
          <w:szCs w:val="16"/>
        </w:rPr>
        <w:t xml:space="preserve">cích recesí, zejména </w:t>
      </w:r>
      <w:r w:rsidRPr="00052DD9">
        <w:rPr>
          <w:sz w:val="16"/>
          <w:szCs w:val="16"/>
        </w:rPr>
        <w:t>průmysl</w:t>
      </w:r>
      <w:r>
        <w:rPr>
          <w:sz w:val="16"/>
          <w:szCs w:val="16"/>
        </w:rPr>
        <w:t>u.</w:t>
      </w:r>
    </w:p>
  </w:footnote>
  <w:footnote w:id="45">
    <w:p w14:paraId="3709E50D" w14:textId="77777777" w:rsidR="00295A5D" w:rsidRPr="00EB7D87" w:rsidRDefault="00295A5D" w:rsidP="00213E46">
      <w:pPr>
        <w:spacing w:after="0" w:line="240" w:lineRule="auto"/>
        <w:rPr>
          <w:spacing w:val="-2"/>
        </w:rPr>
      </w:pPr>
      <w:r w:rsidRPr="00EB7D87">
        <w:rPr>
          <w:rStyle w:val="Znakapoznpodarou"/>
          <w:color w:val="0D0D0D" w:themeColor="text1" w:themeTint="F2"/>
          <w:spacing w:val="-2"/>
          <w:sz w:val="16"/>
          <w:szCs w:val="16"/>
        </w:rPr>
        <w:footnoteRef/>
      </w:r>
      <w:r>
        <w:rPr>
          <w:color w:val="0D0D0D" w:themeColor="text1" w:themeTint="F2"/>
          <w:spacing w:val="-2"/>
          <w:sz w:val="16"/>
          <w:szCs w:val="16"/>
        </w:rPr>
        <w:t xml:space="preserve"> Všechna meziroční</w:t>
      </w:r>
      <w:r w:rsidRPr="00EB7D87">
        <w:rPr>
          <w:color w:val="0D0D0D" w:themeColor="text1" w:themeTint="F2"/>
          <w:spacing w:val="-2"/>
          <w:sz w:val="16"/>
          <w:szCs w:val="16"/>
        </w:rPr>
        <w:t xml:space="preserve"> tempa tržeb za maloobchod jsou uvedena ve stálých cenách a očištěna o kalendářní vlivy, mezičtvrtletní tempa jsou očištěna o sezónní vlivy (včetně vlivu počtu pracovních dnů). Maloobchod zahrnuje </w:t>
      </w:r>
      <w:r>
        <w:rPr>
          <w:color w:val="0D0D0D" w:themeColor="text1" w:themeTint="F2"/>
          <w:spacing w:val="-2"/>
          <w:sz w:val="16"/>
          <w:szCs w:val="16"/>
        </w:rPr>
        <w:t xml:space="preserve">pouze </w:t>
      </w:r>
      <w:r w:rsidRPr="00EB7D87">
        <w:rPr>
          <w:color w:val="0D0D0D" w:themeColor="text1" w:themeTint="F2"/>
          <w:spacing w:val="-2"/>
          <w:sz w:val="16"/>
          <w:szCs w:val="16"/>
        </w:rPr>
        <w:t>odvětví CZ-NACE 47.</w:t>
      </w:r>
    </w:p>
  </w:footnote>
  <w:footnote w:id="46">
    <w:p w14:paraId="11A4F3AD" w14:textId="77777777" w:rsidR="00295A5D" w:rsidRPr="000976CE" w:rsidRDefault="00295A5D" w:rsidP="00213E46">
      <w:pPr>
        <w:pStyle w:val="Textpoznpodarou"/>
        <w:rPr>
          <w:sz w:val="16"/>
          <w:szCs w:val="16"/>
        </w:rPr>
      </w:pPr>
      <w:r w:rsidRPr="000976CE">
        <w:rPr>
          <w:rStyle w:val="Znakapoznpodarou"/>
          <w:sz w:val="16"/>
          <w:szCs w:val="16"/>
        </w:rPr>
        <w:footnoteRef/>
      </w:r>
      <w:r w:rsidRPr="000976CE">
        <w:rPr>
          <w:sz w:val="16"/>
          <w:szCs w:val="16"/>
        </w:rPr>
        <w:t xml:space="preserve"> Jednalo se o nejdelší útlum ve srovnatelné časové řadě (od roku 2000). Mezi 3. čtvrtletím 2021 a 2. čtvrtletím 2023 se maloobchodní tržby snížily o 10,5 %.</w:t>
      </w:r>
    </w:p>
  </w:footnote>
  <w:footnote w:id="47">
    <w:p w14:paraId="0024E00F" w14:textId="7AF69246" w:rsidR="00295A5D" w:rsidRPr="00822DEB" w:rsidRDefault="00295A5D" w:rsidP="00213E46">
      <w:pPr>
        <w:pStyle w:val="Textpoznpodarou"/>
        <w:rPr>
          <w:sz w:val="16"/>
          <w:szCs w:val="16"/>
        </w:rPr>
      </w:pPr>
      <w:r w:rsidRPr="00822DEB">
        <w:rPr>
          <w:rStyle w:val="Znakapoznpodarou"/>
          <w:sz w:val="16"/>
          <w:szCs w:val="16"/>
        </w:rPr>
        <w:footnoteRef/>
      </w:r>
      <w:r w:rsidRPr="00822DEB">
        <w:rPr>
          <w:sz w:val="16"/>
          <w:szCs w:val="16"/>
        </w:rPr>
        <w:t xml:space="preserve"> To souvisí primárně s propadem tržeb za potraviny (</w:t>
      </w:r>
      <w:r>
        <w:rPr>
          <w:color w:val="0D0D0D" w:themeColor="text1" w:themeTint="F2"/>
          <w:spacing w:val="-2"/>
          <w:sz w:val="16"/>
          <w:szCs w:val="16"/>
        </w:rPr>
        <w:t>−</w:t>
      </w:r>
      <w:r>
        <w:rPr>
          <w:sz w:val="16"/>
          <w:szCs w:val="16"/>
        </w:rPr>
        <w:t>10,6</w:t>
      </w:r>
      <w:r w:rsidRPr="00822DEB">
        <w:rPr>
          <w:sz w:val="16"/>
          <w:szCs w:val="16"/>
        </w:rPr>
        <w:t xml:space="preserve"> %)</w:t>
      </w:r>
      <w:r>
        <w:rPr>
          <w:sz w:val="16"/>
          <w:szCs w:val="16"/>
        </w:rPr>
        <w:t>, naopak aktuální poptávka po nepotravinářském zboží se nachází mírně nad úrovní 4. čtvrtletí 2019 (+3,2 %), hlavně zásluhou internetového prodeje (+41,6 %). Na úrovni různých specializovaných prodejen byl vývoj velmi odlišný, např. oděvy, obuv a kožené zboží (</w:t>
      </w:r>
      <w:r>
        <w:rPr>
          <w:color w:val="0D0D0D" w:themeColor="text1" w:themeTint="F2"/>
          <w:spacing w:val="-2"/>
          <w:sz w:val="16"/>
          <w:szCs w:val="16"/>
        </w:rPr>
        <w:t>−</w:t>
      </w:r>
      <w:r>
        <w:rPr>
          <w:sz w:val="16"/>
          <w:szCs w:val="16"/>
        </w:rPr>
        <w:t>24,3 %) vs. kosmetické a toaletní</w:t>
      </w:r>
      <w:r w:rsidRPr="00A96ED1">
        <w:rPr>
          <w:sz w:val="16"/>
          <w:szCs w:val="16"/>
        </w:rPr>
        <w:t xml:space="preserve"> výrobky</w:t>
      </w:r>
      <w:r>
        <w:rPr>
          <w:sz w:val="16"/>
          <w:szCs w:val="16"/>
        </w:rPr>
        <w:t xml:space="preserve"> (+29,6 %).</w:t>
      </w:r>
    </w:p>
  </w:footnote>
  <w:footnote w:id="48">
    <w:p w14:paraId="21B4595F" w14:textId="77777777" w:rsidR="00295A5D" w:rsidRPr="006D59C3" w:rsidRDefault="00295A5D" w:rsidP="00213E46">
      <w:pPr>
        <w:pStyle w:val="Textpoznpodarou"/>
        <w:rPr>
          <w:sz w:val="16"/>
          <w:szCs w:val="16"/>
        </w:rPr>
      </w:pPr>
      <w:r w:rsidRPr="006D59C3">
        <w:rPr>
          <w:rStyle w:val="Znakapoznpodarou"/>
          <w:sz w:val="16"/>
          <w:szCs w:val="16"/>
        </w:rPr>
        <w:footnoteRef/>
      </w:r>
      <w:r w:rsidRPr="006D59C3">
        <w:rPr>
          <w:sz w:val="16"/>
          <w:szCs w:val="16"/>
        </w:rPr>
        <w:t xml:space="preserve"> Vedle toho pokračoval čtvrtým rokem v řadě růst tržeb v okrajovém segmentu </w:t>
      </w:r>
      <w:r w:rsidRPr="006D59C3">
        <w:rPr>
          <w:rFonts w:cs="Arial"/>
          <w:color w:val="0D0D0D" w:themeColor="text1" w:themeTint="F2"/>
          <w:spacing w:val="-4"/>
          <w:sz w:val="16"/>
          <w:szCs w:val="16"/>
        </w:rPr>
        <w:t>nespecializovaných prodejen s převahou nepotravinářského zboží (ve 4. čtvrtletí: +14,2 %). Ten se zaměřuje typicky na nabídku různorodého zboží</w:t>
      </w:r>
      <w:r>
        <w:rPr>
          <w:rFonts w:cs="Arial"/>
          <w:color w:val="0D0D0D" w:themeColor="text1" w:themeTint="F2"/>
          <w:spacing w:val="-4"/>
          <w:sz w:val="16"/>
          <w:szCs w:val="16"/>
        </w:rPr>
        <w:t xml:space="preserve"> za nižší ceny</w:t>
      </w:r>
      <w:r w:rsidRPr="006D59C3">
        <w:rPr>
          <w:rFonts w:cs="Arial"/>
          <w:color w:val="0D0D0D" w:themeColor="text1" w:themeTint="F2"/>
          <w:spacing w:val="-4"/>
          <w:sz w:val="16"/>
          <w:szCs w:val="16"/>
        </w:rPr>
        <w:t>.</w:t>
      </w:r>
    </w:p>
  </w:footnote>
  <w:footnote w:id="49">
    <w:p w14:paraId="1ED554A7" w14:textId="77777777" w:rsidR="00295A5D" w:rsidRPr="00762DD1" w:rsidRDefault="00295A5D" w:rsidP="00213E46">
      <w:pPr>
        <w:pStyle w:val="Textpoznpodarou"/>
        <w:rPr>
          <w:sz w:val="16"/>
          <w:szCs w:val="16"/>
        </w:rPr>
      </w:pPr>
      <w:r w:rsidRPr="00762DD1">
        <w:rPr>
          <w:rStyle w:val="Znakapoznpodarou"/>
          <w:sz w:val="16"/>
          <w:szCs w:val="16"/>
        </w:rPr>
        <w:footnoteRef/>
      </w:r>
      <w:r w:rsidRPr="00762DD1">
        <w:rPr>
          <w:sz w:val="16"/>
          <w:szCs w:val="16"/>
        </w:rPr>
        <w:t xml:space="preserve"> Ty zahrnují především </w:t>
      </w:r>
      <w:r w:rsidRPr="00762DD1">
        <w:rPr>
          <w:rStyle w:val="normaltextrun"/>
          <w:rFonts w:eastAsia="MS Gothic" w:cs="Arial"/>
          <w:spacing w:val="-3"/>
          <w:sz w:val="16"/>
          <w:szCs w:val="16"/>
        </w:rPr>
        <w:t>železářské zboží, stavebniny, barvy, sklo, potřeby pro kutily, elektrospotřebiče, elektroniku, nábytek,</w:t>
      </w:r>
      <w:r w:rsidRPr="00762DD1">
        <w:rPr>
          <w:rFonts w:cs="Arial"/>
          <w:color w:val="0D0D0D" w:themeColor="text1" w:themeTint="F2"/>
          <w:spacing w:val="-3"/>
          <w:sz w:val="16"/>
          <w:szCs w:val="16"/>
        </w:rPr>
        <w:t> </w:t>
      </w:r>
      <w:r w:rsidRPr="00762DD1">
        <w:rPr>
          <w:rStyle w:val="normaltextrun"/>
          <w:rFonts w:eastAsia="MS Gothic" w:cs="Arial"/>
          <w:spacing w:val="-3"/>
          <w:sz w:val="16"/>
          <w:szCs w:val="16"/>
        </w:rPr>
        <w:t xml:space="preserve">svítidla, </w:t>
      </w:r>
      <w:r w:rsidRPr="00762DD1">
        <w:rPr>
          <w:rFonts w:cs="Arial"/>
          <w:color w:val="0D0D0D" w:themeColor="text1" w:themeTint="F2"/>
          <w:sz w:val="16"/>
          <w:szCs w:val="16"/>
        </w:rPr>
        <w:t>koberce či bytový textil.</w:t>
      </w:r>
    </w:p>
  </w:footnote>
  <w:footnote w:id="50">
    <w:p w14:paraId="791D42F0" w14:textId="77777777" w:rsidR="00295A5D" w:rsidRDefault="00295A5D" w:rsidP="00213E46">
      <w:pPr>
        <w:pStyle w:val="Textpoznpodarou"/>
      </w:pPr>
      <w:r w:rsidRPr="006D59C3">
        <w:rPr>
          <w:rStyle w:val="Znakapoznpodarou"/>
          <w:sz w:val="16"/>
          <w:szCs w:val="16"/>
        </w:rPr>
        <w:footnoteRef/>
      </w:r>
      <w:r w:rsidRPr="006D59C3">
        <w:rPr>
          <w:sz w:val="16"/>
          <w:szCs w:val="16"/>
        </w:rPr>
        <w:t>Ty zahrnují např. masné výrobky, pečivo, cukrářské</w:t>
      </w:r>
      <w:r w:rsidRPr="00571DFF">
        <w:rPr>
          <w:sz w:val="16"/>
          <w:szCs w:val="16"/>
        </w:rPr>
        <w:t xml:space="preserve"> výrobky či nápoje. N</w:t>
      </w:r>
      <w:r>
        <w:rPr>
          <w:sz w:val="16"/>
          <w:szCs w:val="16"/>
        </w:rPr>
        <w:t>ejvětší váhu zde však</w:t>
      </w:r>
      <w:r w:rsidRPr="00571DFF">
        <w:rPr>
          <w:sz w:val="16"/>
          <w:szCs w:val="16"/>
        </w:rPr>
        <w:t xml:space="preserve"> mají prodejny s tabákovými výrobky.</w:t>
      </w:r>
    </w:p>
  </w:footnote>
  <w:footnote w:id="51">
    <w:p w14:paraId="729DDAD5" w14:textId="77777777" w:rsidR="00295A5D" w:rsidRPr="00CD4275" w:rsidRDefault="00295A5D" w:rsidP="00213E46">
      <w:pPr>
        <w:pStyle w:val="Textpoznpodarou"/>
        <w:rPr>
          <w:sz w:val="16"/>
          <w:szCs w:val="16"/>
        </w:rPr>
      </w:pPr>
      <w:r w:rsidRPr="00CD4275">
        <w:rPr>
          <w:rStyle w:val="Znakapoznpodarou"/>
          <w:sz w:val="16"/>
          <w:szCs w:val="16"/>
        </w:rPr>
        <w:footnoteRef/>
      </w:r>
      <w:r w:rsidRPr="00CD4275">
        <w:rPr>
          <w:sz w:val="16"/>
          <w:szCs w:val="16"/>
        </w:rPr>
        <w:t xml:space="preserve"> </w:t>
      </w:r>
      <w:r w:rsidRPr="00CD4275">
        <w:rPr>
          <w:rFonts w:cs="Arial"/>
          <w:color w:val="0D0D0D" w:themeColor="text1" w:themeTint="F2"/>
          <w:sz w:val="16"/>
          <w:szCs w:val="16"/>
        </w:rPr>
        <w:t xml:space="preserve">Spotřebitelské ceny benzínu i nafty </w:t>
      </w:r>
      <w:r>
        <w:rPr>
          <w:rFonts w:cs="Arial"/>
          <w:color w:val="0D0D0D" w:themeColor="text1" w:themeTint="F2"/>
          <w:sz w:val="16"/>
          <w:szCs w:val="16"/>
        </w:rPr>
        <w:t xml:space="preserve">loni </w:t>
      </w:r>
      <w:r w:rsidRPr="00CD4275">
        <w:rPr>
          <w:rFonts w:cs="Arial"/>
          <w:color w:val="0D0D0D" w:themeColor="text1" w:themeTint="F2"/>
          <w:sz w:val="16"/>
          <w:szCs w:val="16"/>
        </w:rPr>
        <w:t>klesaly netypicky i během hlavní motoristic</w:t>
      </w:r>
      <w:r>
        <w:rPr>
          <w:rFonts w:cs="Arial"/>
          <w:color w:val="0D0D0D" w:themeColor="text1" w:themeTint="F2"/>
          <w:sz w:val="16"/>
          <w:szCs w:val="16"/>
        </w:rPr>
        <w:t xml:space="preserve">ké sezóny. Nafta se v říjnu na tuzemských čerpacích stanicích </w:t>
      </w:r>
      <w:r w:rsidRPr="00CD4275">
        <w:rPr>
          <w:rFonts w:cs="Arial"/>
          <w:color w:val="0D0D0D" w:themeColor="text1" w:themeTint="F2"/>
          <w:sz w:val="16"/>
          <w:szCs w:val="16"/>
        </w:rPr>
        <w:t>v průměru prodávala zhruba za 34,</w:t>
      </w:r>
      <w:r>
        <w:rPr>
          <w:rFonts w:cs="Arial"/>
          <w:color w:val="0D0D0D" w:themeColor="text1" w:themeTint="F2"/>
          <w:sz w:val="16"/>
          <w:szCs w:val="16"/>
        </w:rPr>
        <w:t>2 korun za litr</w:t>
      </w:r>
      <w:r w:rsidRPr="00CD4275">
        <w:rPr>
          <w:rFonts w:cs="Arial"/>
          <w:color w:val="0D0D0D" w:themeColor="text1" w:themeTint="F2"/>
          <w:sz w:val="16"/>
          <w:szCs w:val="16"/>
        </w:rPr>
        <w:t xml:space="preserve"> a benz</w:t>
      </w:r>
      <w:r>
        <w:rPr>
          <w:rFonts w:cs="Arial"/>
          <w:color w:val="0D0D0D" w:themeColor="text1" w:themeTint="F2"/>
          <w:sz w:val="16"/>
          <w:szCs w:val="16"/>
        </w:rPr>
        <w:t>ín Natural 95 pak za 35,6 korun</w:t>
      </w:r>
      <w:r w:rsidRPr="00CD4275">
        <w:rPr>
          <w:rFonts w:cs="Arial"/>
          <w:color w:val="0D0D0D" w:themeColor="text1" w:themeTint="F2"/>
          <w:sz w:val="16"/>
          <w:szCs w:val="16"/>
        </w:rPr>
        <w:t xml:space="preserve">. V případě nafty to byla nejnižší hodnota </w:t>
      </w:r>
      <w:r>
        <w:rPr>
          <w:rFonts w:cs="Arial"/>
          <w:color w:val="0D0D0D" w:themeColor="text1" w:themeTint="F2"/>
          <w:sz w:val="16"/>
          <w:szCs w:val="16"/>
        </w:rPr>
        <w:t xml:space="preserve">od července 2023 a u </w:t>
      </w:r>
      <w:r w:rsidRPr="00CD4275">
        <w:rPr>
          <w:rFonts w:cs="Arial"/>
          <w:color w:val="0D0D0D" w:themeColor="text1" w:themeTint="F2"/>
          <w:sz w:val="16"/>
          <w:szCs w:val="16"/>
        </w:rPr>
        <w:t>Natura</w:t>
      </w:r>
      <w:r>
        <w:rPr>
          <w:rFonts w:cs="Arial"/>
          <w:color w:val="0D0D0D" w:themeColor="text1" w:themeTint="F2"/>
          <w:sz w:val="16"/>
          <w:szCs w:val="16"/>
        </w:rPr>
        <w:t>lu pak dokonce od října roku 2021. Na tento vývoj kromě tuzemských domácností i</w:t>
      </w:r>
      <w:r w:rsidRPr="00CD4275">
        <w:rPr>
          <w:rFonts w:cs="Arial"/>
          <w:color w:val="0D0D0D" w:themeColor="text1" w:themeTint="F2"/>
          <w:sz w:val="16"/>
          <w:szCs w:val="16"/>
        </w:rPr>
        <w:t> </w:t>
      </w:r>
      <w:r>
        <w:rPr>
          <w:rFonts w:cs="Arial"/>
          <w:color w:val="0D0D0D" w:themeColor="text1" w:themeTint="F2"/>
          <w:sz w:val="16"/>
          <w:szCs w:val="16"/>
        </w:rPr>
        <w:t>firem patrně reagovali také zahraniční dopravci, již přes Česko realizují tranzitní dopravu.</w:t>
      </w:r>
    </w:p>
  </w:footnote>
  <w:footnote w:id="52">
    <w:p w14:paraId="2CE12214" w14:textId="77777777" w:rsidR="00295A5D" w:rsidRPr="005972FB" w:rsidRDefault="00295A5D" w:rsidP="00213E46">
      <w:pPr>
        <w:pStyle w:val="Textpoznpodarou"/>
        <w:rPr>
          <w:sz w:val="16"/>
          <w:szCs w:val="16"/>
        </w:rPr>
      </w:pPr>
      <w:r w:rsidRPr="005972FB">
        <w:rPr>
          <w:rStyle w:val="Znakapoznpodarou"/>
          <w:sz w:val="16"/>
          <w:szCs w:val="16"/>
        </w:rPr>
        <w:footnoteRef/>
      </w:r>
      <w:r w:rsidRPr="005972FB">
        <w:rPr>
          <w:sz w:val="16"/>
          <w:szCs w:val="16"/>
        </w:rPr>
        <w:t xml:space="preserve"> Tržby v běžných cenách se ovšem zvýšily pouze o necelá 2 %.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6" w14:textId="3C11EE3B" w:rsidR="002B48B4" w:rsidRPr="00C27E4F" w:rsidRDefault="002B48B4" w:rsidP="00C27E4F">
    <w:pPr>
      <w:pStyle w:val="Zhlav"/>
    </w:pPr>
    <w:r>
      <w:t>Vývoj ekonomiky České republiky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7" w14:textId="4F78F164" w:rsidR="002B48B4" w:rsidRPr="006F5416" w:rsidRDefault="002B48B4" w:rsidP="00937AE2">
    <w:pPr>
      <w:pStyle w:val="Zhlav"/>
    </w:pPr>
    <w:r>
      <w:t>Vývoj ekonomiky České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5764B"/>
    <w:multiLevelType w:val="hybridMultilevel"/>
    <w:tmpl w:val="84788BC8"/>
    <w:lvl w:ilvl="0" w:tplc="1B96A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3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558D6"/>
    <w:multiLevelType w:val="hybridMultilevel"/>
    <w:tmpl w:val="1B90B8E0"/>
    <w:lvl w:ilvl="0" w:tplc="4B66ED1E">
      <w:start w:val="1"/>
      <w:numFmt w:val="decimal"/>
      <w:lvlText w:val="%1."/>
      <w:lvlJc w:val="left"/>
      <w:pPr>
        <w:ind w:left="49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25" w:hanging="360"/>
      </w:pPr>
    </w:lvl>
    <w:lvl w:ilvl="2" w:tplc="0405001B" w:tentative="1">
      <w:start w:val="1"/>
      <w:numFmt w:val="lowerRoman"/>
      <w:lvlText w:val="%3."/>
      <w:lvlJc w:val="right"/>
      <w:pPr>
        <w:ind w:left="6345" w:hanging="180"/>
      </w:pPr>
    </w:lvl>
    <w:lvl w:ilvl="3" w:tplc="0405000F" w:tentative="1">
      <w:start w:val="1"/>
      <w:numFmt w:val="decimal"/>
      <w:lvlText w:val="%4."/>
      <w:lvlJc w:val="left"/>
      <w:pPr>
        <w:ind w:left="7065" w:hanging="360"/>
      </w:pPr>
    </w:lvl>
    <w:lvl w:ilvl="4" w:tplc="04050019" w:tentative="1">
      <w:start w:val="1"/>
      <w:numFmt w:val="lowerLetter"/>
      <w:lvlText w:val="%5."/>
      <w:lvlJc w:val="left"/>
      <w:pPr>
        <w:ind w:left="7785" w:hanging="360"/>
      </w:pPr>
    </w:lvl>
    <w:lvl w:ilvl="5" w:tplc="0405001B" w:tentative="1">
      <w:start w:val="1"/>
      <w:numFmt w:val="lowerRoman"/>
      <w:lvlText w:val="%6."/>
      <w:lvlJc w:val="right"/>
      <w:pPr>
        <w:ind w:left="8505" w:hanging="180"/>
      </w:pPr>
    </w:lvl>
    <w:lvl w:ilvl="6" w:tplc="0405000F" w:tentative="1">
      <w:start w:val="1"/>
      <w:numFmt w:val="decimal"/>
      <w:lvlText w:val="%7."/>
      <w:lvlJc w:val="left"/>
      <w:pPr>
        <w:ind w:left="9225" w:hanging="360"/>
      </w:pPr>
    </w:lvl>
    <w:lvl w:ilvl="7" w:tplc="04050019" w:tentative="1">
      <w:start w:val="1"/>
      <w:numFmt w:val="lowerLetter"/>
      <w:lvlText w:val="%8."/>
      <w:lvlJc w:val="left"/>
      <w:pPr>
        <w:ind w:left="9945" w:hanging="360"/>
      </w:pPr>
    </w:lvl>
    <w:lvl w:ilvl="8" w:tplc="0405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26" w15:restartNumberingAfterBreak="0">
    <w:nsid w:val="479678F7"/>
    <w:multiLevelType w:val="hybridMultilevel"/>
    <w:tmpl w:val="A4DE7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567A6"/>
    <w:multiLevelType w:val="hybridMultilevel"/>
    <w:tmpl w:val="50E0F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405E1"/>
    <w:multiLevelType w:val="multilevel"/>
    <w:tmpl w:val="5FCA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EF3AA7"/>
    <w:multiLevelType w:val="multilevel"/>
    <w:tmpl w:val="9092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B048D2"/>
    <w:multiLevelType w:val="hybridMultilevel"/>
    <w:tmpl w:val="D2A0F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747AF"/>
    <w:multiLevelType w:val="hybridMultilevel"/>
    <w:tmpl w:val="76204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51B2D"/>
    <w:multiLevelType w:val="hybridMultilevel"/>
    <w:tmpl w:val="054EEC40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A7946"/>
    <w:multiLevelType w:val="multilevel"/>
    <w:tmpl w:val="6F3E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29"/>
  </w:num>
  <w:num w:numId="14">
    <w:abstractNumId w:val="14"/>
  </w:num>
  <w:num w:numId="15">
    <w:abstractNumId w:val="20"/>
  </w:num>
  <w:num w:numId="16">
    <w:abstractNumId w:val="16"/>
  </w:num>
  <w:num w:numId="17">
    <w:abstractNumId w:val="30"/>
  </w:num>
  <w:num w:numId="18">
    <w:abstractNumId w:val="21"/>
  </w:num>
  <w:num w:numId="19">
    <w:abstractNumId w:val="32"/>
  </w:num>
  <w:num w:numId="20">
    <w:abstractNumId w:val="37"/>
  </w:num>
  <w:num w:numId="21">
    <w:abstractNumId w:val="28"/>
  </w:num>
  <w:num w:numId="22">
    <w:abstractNumId w:val="19"/>
  </w:num>
  <w:num w:numId="23">
    <w:abstractNumId w:val="17"/>
  </w:num>
  <w:num w:numId="24">
    <w:abstractNumId w:val="18"/>
  </w:num>
  <w:num w:numId="25">
    <w:abstractNumId w:val="35"/>
  </w:num>
  <w:num w:numId="26">
    <w:abstractNumId w:val="36"/>
  </w:num>
  <w:num w:numId="27">
    <w:abstractNumId w:val="37"/>
  </w:num>
  <w:num w:numId="28">
    <w:abstractNumId w:val="13"/>
  </w:num>
  <w:num w:numId="29">
    <w:abstractNumId w:val="23"/>
  </w:num>
  <w:num w:numId="30">
    <w:abstractNumId w:val="22"/>
  </w:num>
  <w:num w:numId="31">
    <w:abstractNumId w:val="10"/>
  </w:num>
  <w:num w:numId="32">
    <w:abstractNumId w:val="24"/>
  </w:num>
  <w:num w:numId="33">
    <w:abstractNumId w:val="12"/>
  </w:num>
  <w:num w:numId="34">
    <w:abstractNumId w:val="39"/>
  </w:num>
  <w:num w:numId="35">
    <w:abstractNumId w:val="11"/>
  </w:num>
  <w:num w:numId="36">
    <w:abstractNumId w:val="31"/>
  </w:num>
  <w:num w:numId="37">
    <w:abstractNumId w:val="26"/>
  </w:num>
  <w:num w:numId="38">
    <w:abstractNumId w:val="25"/>
  </w:num>
  <w:num w:numId="39">
    <w:abstractNumId w:val="33"/>
  </w:num>
  <w:num w:numId="40">
    <w:abstractNumId w:val="3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385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62"/>
    <w:rsid w:val="0000209D"/>
    <w:rsid w:val="00004D5A"/>
    <w:rsid w:val="000056D5"/>
    <w:rsid w:val="00006ABD"/>
    <w:rsid w:val="0000767A"/>
    <w:rsid w:val="00010256"/>
    <w:rsid w:val="00010702"/>
    <w:rsid w:val="00011912"/>
    <w:rsid w:val="0002195D"/>
    <w:rsid w:val="000234D6"/>
    <w:rsid w:val="00023D29"/>
    <w:rsid w:val="00026389"/>
    <w:rsid w:val="00031AE0"/>
    <w:rsid w:val="000322EF"/>
    <w:rsid w:val="00033FCD"/>
    <w:rsid w:val="00040D10"/>
    <w:rsid w:val="00041CEC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5135"/>
    <w:rsid w:val="000974D1"/>
    <w:rsid w:val="0009799E"/>
    <w:rsid w:val="000A1183"/>
    <w:rsid w:val="000A256D"/>
    <w:rsid w:val="000A3A2C"/>
    <w:rsid w:val="000A5265"/>
    <w:rsid w:val="000A57D4"/>
    <w:rsid w:val="000B7C8D"/>
    <w:rsid w:val="000C3408"/>
    <w:rsid w:val="000C6AFD"/>
    <w:rsid w:val="000D5637"/>
    <w:rsid w:val="000E6FBD"/>
    <w:rsid w:val="00100F5C"/>
    <w:rsid w:val="00101CDA"/>
    <w:rsid w:val="00102C41"/>
    <w:rsid w:val="00104C4C"/>
    <w:rsid w:val="00117623"/>
    <w:rsid w:val="0012192F"/>
    <w:rsid w:val="001224E5"/>
    <w:rsid w:val="00124940"/>
    <w:rsid w:val="00125D69"/>
    <w:rsid w:val="001405FA"/>
    <w:rsid w:val="001425C3"/>
    <w:rsid w:val="001476BD"/>
    <w:rsid w:val="001612F4"/>
    <w:rsid w:val="0016256B"/>
    <w:rsid w:val="00163793"/>
    <w:rsid w:val="001706D6"/>
    <w:rsid w:val="001714F2"/>
    <w:rsid w:val="00175B9F"/>
    <w:rsid w:val="00181BBC"/>
    <w:rsid w:val="00184B08"/>
    <w:rsid w:val="00185010"/>
    <w:rsid w:val="0019143B"/>
    <w:rsid w:val="001A0487"/>
    <w:rsid w:val="001A552F"/>
    <w:rsid w:val="001B2CA9"/>
    <w:rsid w:val="001B3110"/>
    <w:rsid w:val="001B4729"/>
    <w:rsid w:val="001B6310"/>
    <w:rsid w:val="001B6C09"/>
    <w:rsid w:val="001C05CD"/>
    <w:rsid w:val="001C3924"/>
    <w:rsid w:val="001D40D7"/>
    <w:rsid w:val="001D48D4"/>
    <w:rsid w:val="001D68B2"/>
    <w:rsid w:val="001E1C2E"/>
    <w:rsid w:val="001E504C"/>
    <w:rsid w:val="001E6062"/>
    <w:rsid w:val="001F4597"/>
    <w:rsid w:val="00203DA4"/>
    <w:rsid w:val="002118B9"/>
    <w:rsid w:val="00213E46"/>
    <w:rsid w:val="00214CF7"/>
    <w:rsid w:val="00217C5B"/>
    <w:rsid w:val="0022139E"/>
    <w:rsid w:val="00222729"/>
    <w:rsid w:val="002252E0"/>
    <w:rsid w:val="002255F6"/>
    <w:rsid w:val="00227850"/>
    <w:rsid w:val="00227A53"/>
    <w:rsid w:val="00230C6E"/>
    <w:rsid w:val="00233CD7"/>
    <w:rsid w:val="00236443"/>
    <w:rsid w:val="00241B06"/>
    <w:rsid w:val="00242C10"/>
    <w:rsid w:val="002436BA"/>
    <w:rsid w:val="00244A15"/>
    <w:rsid w:val="0024661A"/>
    <w:rsid w:val="00247319"/>
    <w:rsid w:val="0024799E"/>
    <w:rsid w:val="00247EE7"/>
    <w:rsid w:val="00253C0F"/>
    <w:rsid w:val="002558C1"/>
    <w:rsid w:val="00271465"/>
    <w:rsid w:val="0028207A"/>
    <w:rsid w:val="00285412"/>
    <w:rsid w:val="00291640"/>
    <w:rsid w:val="00295A5D"/>
    <w:rsid w:val="002A1407"/>
    <w:rsid w:val="002A16D4"/>
    <w:rsid w:val="002A230C"/>
    <w:rsid w:val="002A66B0"/>
    <w:rsid w:val="002B2299"/>
    <w:rsid w:val="002B4845"/>
    <w:rsid w:val="002B48B4"/>
    <w:rsid w:val="002C2FE9"/>
    <w:rsid w:val="002C43BD"/>
    <w:rsid w:val="002D0E59"/>
    <w:rsid w:val="002E02A1"/>
    <w:rsid w:val="002E42AC"/>
    <w:rsid w:val="002E4E4C"/>
    <w:rsid w:val="00302ADD"/>
    <w:rsid w:val="00304771"/>
    <w:rsid w:val="0030495D"/>
    <w:rsid w:val="003052D4"/>
    <w:rsid w:val="00306C5B"/>
    <w:rsid w:val="003103E0"/>
    <w:rsid w:val="00314F9F"/>
    <w:rsid w:val="003209D6"/>
    <w:rsid w:val="00321924"/>
    <w:rsid w:val="0032656E"/>
    <w:rsid w:val="00332190"/>
    <w:rsid w:val="0034335E"/>
    <w:rsid w:val="00344668"/>
    <w:rsid w:val="003462D9"/>
    <w:rsid w:val="00360C86"/>
    <w:rsid w:val="00360FBC"/>
    <w:rsid w:val="00362E90"/>
    <w:rsid w:val="00364FA0"/>
    <w:rsid w:val="003657F3"/>
    <w:rsid w:val="00366591"/>
    <w:rsid w:val="0038123E"/>
    <w:rsid w:val="003818DC"/>
    <w:rsid w:val="00384327"/>
    <w:rsid w:val="00385D98"/>
    <w:rsid w:val="003A2B4D"/>
    <w:rsid w:val="003A2B5E"/>
    <w:rsid w:val="003A2D12"/>
    <w:rsid w:val="003A478C"/>
    <w:rsid w:val="003A5525"/>
    <w:rsid w:val="003A6B38"/>
    <w:rsid w:val="003B461F"/>
    <w:rsid w:val="003B5A32"/>
    <w:rsid w:val="003C3490"/>
    <w:rsid w:val="003C6550"/>
    <w:rsid w:val="003C7E62"/>
    <w:rsid w:val="003D6920"/>
    <w:rsid w:val="003E48F2"/>
    <w:rsid w:val="003E4C91"/>
    <w:rsid w:val="003E62A5"/>
    <w:rsid w:val="003F313C"/>
    <w:rsid w:val="003F37FC"/>
    <w:rsid w:val="003F4B2C"/>
    <w:rsid w:val="003F551C"/>
    <w:rsid w:val="003F62B0"/>
    <w:rsid w:val="003F72ED"/>
    <w:rsid w:val="003F7D23"/>
    <w:rsid w:val="00400DF4"/>
    <w:rsid w:val="00407C13"/>
    <w:rsid w:val="0041041D"/>
    <w:rsid w:val="00410638"/>
    <w:rsid w:val="0041501E"/>
    <w:rsid w:val="004159C3"/>
    <w:rsid w:val="00416EB7"/>
    <w:rsid w:val="00432A58"/>
    <w:rsid w:val="00434617"/>
    <w:rsid w:val="00440900"/>
    <w:rsid w:val="00441BF6"/>
    <w:rsid w:val="00443556"/>
    <w:rsid w:val="004441A0"/>
    <w:rsid w:val="004455BA"/>
    <w:rsid w:val="0045078A"/>
    <w:rsid w:val="0045086D"/>
    <w:rsid w:val="00451504"/>
    <w:rsid w:val="004607BF"/>
    <w:rsid w:val="00460FB3"/>
    <w:rsid w:val="0046627E"/>
    <w:rsid w:val="00476240"/>
    <w:rsid w:val="00476439"/>
    <w:rsid w:val="0047735C"/>
    <w:rsid w:val="004776BC"/>
    <w:rsid w:val="0048139F"/>
    <w:rsid w:val="00481E40"/>
    <w:rsid w:val="00484ECE"/>
    <w:rsid w:val="00485567"/>
    <w:rsid w:val="004915CB"/>
    <w:rsid w:val="004924DC"/>
    <w:rsid w:val="004A14E4"/>
    <w:rsid w:val="004A3212"/>
    <w:rsid w:val="004A5494"/>
    <w:rsid w:val="004A61C5"/>
    <w:rsid w:val="004A77DF"/>
    <w:rsid w:val="004B1417"/>
    <w:rsid w:val="004B55B7"/>
    <w:rsid w:val="004B5A60"/>
    <w:rsid w:val="004B6468"/>
    <w:rsid w:val="004B7125"/>
    <w:rsid w:val="004C384C"/>
    <w:rsid w:val="004C3867"/>
    <w:rsid w:val="004C4CD0"/>
    <w:rsid w:val="004C70DC"/>
    <w:rsid w:val="004D0211"/>
    <w:rsid w:val="004D0794"/>
    <w:rsid w:val="004D5C93"/>
    <w:rsid w:val="004E1288"/>
    <w:rsid w:val="004E7C6B"/>
    <w:rsid w:val="004F06F5"/>
    <w:rsid w:val="004F33A0"/>
    <w:rsid w:val="0050689D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2E62"/>
    <w:rsid w:val="0053324C"/>
    <w:rsid w:val="00534A28"/>
    <w:rsid w:val="00541508"/>
    <w:rsid w:val="00543498"/>
    <w:rsid w:val="00545512"/>
    <w:rsid w:val="00553016"/>
    <w:rsid w:val="0055599F"/>
    <w:rsid w:val="00556995"/>
    <w:rsid w:val="00556D68"/>
    <w:rsid w:val="00563EB8"/>
    <w:rsid w:val="005647BF"/>
    <w:rsid w:val="00564AF1"/>
    <w:rsid w:val="0057364B"/>
    <w:rsid w:val="00574773"/>
    <w:rsid w:val="0058308D"/>
    <w:rsid w:val="00583FFD"/>
    <w:rsid w:val="005911BE"/>
    <w:rsid w:val="00593152"/>
    <w:rsid w:val="005A10F2"/>
    <w:rsid w:val="005A21E0"/>
    <w:rsid w:val="005A28FF"/>
    <w:rsid w:val="005A3DF8"/>
    <w:rsid w:val="005A5113"/>
    <w:rsid w:val="005A5549"/>
    <w:rsid w:val="005A7038"/>
    <w:rsid w:val="005B121D"/>
    <w:rsid w:val="005C06ED"/>
    <w:rsid w:val="005C2609"/>
    <w:rsid w:val="005C6CF0"/>
    <w:rsid w:val="005D5802"/>
    <w:rsid w:val="005D7119"/>
    <w:rsid w:val="005D7890"/>
    <w:rsid w:val="005E7C78"/>
    <w:rsid w:val="005F18C5"/>
    <w:rsid w:val="005F3EB1"/>
    <w:rsid w:val="005F46D8"/>
    <w:rsid w:val="005F5469"/>
    <w:rsid w:val="00603FF5"/>
    <w:rsid w:val="00604307"/>
    <w:rsid w:val="0060487F"/>
    <w:rsid w:val="00604EAD"/>
    <w:rsid w:val="006104FB"/>
    <w:rsid w:val="00612A2F"/>
    <w:rsid w:val="00616E05"/>
    <w:rsid w:val="00622275"/>
    <w:rsid w:val="00624093"/>
    <w:rsid w:val="00625F8F"/>
    <w:rsid w:val="006350D5"/>
    <w:rsid w:val="006404A7"/>
    <w:rsid w:val="006451E4"/>
    <w:rsid w:val="00645B33"/>
    <w:rsid w:val="006516CB"/>
    <w:rsid w:val="00656FC8"/>
    <w:rsid w:val="00657E87"/>
    <w:rsid w:val="00664803"/>
    <w:rsid w:val="0066504F"/>
    <w:rsid w:val="00665BA4"/>
    <w:rsid w:val="00667AF2"/>
    <w:rsid w:val="006710C9"/>
    <w:rsid w:val="006741AC"/>
    <w:rsid w:val="00674D89"/>
    <w:rsid w:val="00675E37"/>
    <w:rsid w:val="0068174E"/>
    <w:rsid w:val="00681DCE"/>
    <w:rsid w:val="0068260E"/>
    <w:rsid w:val="00682FF4"/>
    <w:rsid w:val="00693FEC"/>
    <w:rsid w:val="00695BEF"/>
    <w:rsid w:val="006977F6"/>
    <w:rsid w:val="00697A13"/>
    <w:rsid w:val="006A109C"/>
    <w:rsid w:val="006B0F92"/>
    <w:rsid w:val="006B173A"/>
    <w:rsid w:val="006B344A"/>
    <w:rsid w:val="006B78D8"/>
    <w:rsid w:val="006C113F"/>
    <w:rsid w:val="006C123E"/>
    <w:rsid w:val="006C1752"/>
    <w:rsid w:val="006C56D4"/>
    <w:rsid w:val="006C6924"/>
    <w:rsid w:val="006C7CA6"/>
    <w:rsid w:val="006D3E8A"/>
    <w:rsid w:val="006D61F6"/>
    <w:rsid w:val="006E279A"/>
    <w:rsid w:val="006E313B"/>
    <w:rsid w:val="006E4254"/>
    <w:rsid w:val="006E7227"/>
    <w:rsid w:val="006F438E"/>
    <w:rsid w:val="006F5416"/>
    <w:rsid w:val="006F7076"/>
    <w:rsid w:val="00705242"/>
    <w:rsid w:val="00706AD4"/>
    <w:rsid w:val="00707150"/>
    <w:rsid w:val="007140BE"/>
    <w:rsid w:val="007211F5"/>
    <w:rsid w:val="00723946"/>
    <w:rsid w:val="007240E2"/>
    <w:rsid w:val="00725BB5"/>
    <w:rsid w:val="00730AE8"/>
    <w:rsid w:val="00730F1B"/>
    <w:rsid w:val="00741493"/>
    <w:rsid w:val="00752180"/>
    <w:rsid w:val="00753CAB"/>
    <w:rsid w:val="00755202"/>
    <w:rsid w:val="00755D3A"/>
    <w:rsid w:val="007578D3"/>
    <w:rsid w:val="007609C6"/>
    <w:rsid w:val="00760EA4"/>
    <w:rsid w:val="0076175D"/>
    <w:rsid w:val="00763B85"/>
    <w:rsid w:val="00764744"/>
    <w:rsid w:val="0076521E"/>
    <w:rsid w:val="007661E9"/>
    <w:rsid w:val="00773220"/>
    <w:rsid w:val="00776169"/>
    <w:rsid w:val="00776527"/>
    <w:rsid w:val="00780EF1"/>
    <w:rsid w:val="00790711"/>
    <w:rsid w:val="00790764"/>
    <w:rsid w:val="0079124F"/>
    <w:rsid w:val="0079453C"/>
    <w:rsid w:val="00794677"/>
    <w:rsid w:val="00797445"/>
    <w:rsid w:val="007A516D"/>
    <w:rsid w:val="007B6689"/>
    <w:rsid w:val="007C6BBD"/>
    <w:rsid w:val="007D40DF"/>
    <w:rsid w:val="007E29B4"/>
    <w:rsid w:val="007E435A"/>
    <w:rsid w:val="007E7E61"/>
    <w:rsid w:val="007E7FCE"/>
    <w:rsid w:val="007F0845"/>
    <w:rsid w:val="007F708D"/>
    <w:rsid w:val="00800216"/>
    <w:rsid w:val="00801E13"/>
    <w:rsid w:val="00807C82"/>
    <w:rsid w:val="00810C82"/>
    <w:rsid w:val="00814B15"/>
    <w:rsid w:val="00816905"/>
    <w:rsid w:val="00821777"/>
    <w:rsid w:val="00821FF6"/>
    <w:rsid w:val="00822574"/>
    <w:rsid w:val="00825C4D"/>
    <w:rsid w:val="0083143E"/>
    <w:rsid w:val="00831CDE"/>
    <w:rsid w:val="00834304"/>
    <w:rsid w:val="00834FAA"/>
    <w:rsid w:val="0083516C"/>
    <w:rsid w:val="00836086"/>
    <w:rsid w:val="00846121"/>
    <w:rsid w:val="008462A8"/>
    <w:rsid w:val="0084708F"/>
    <w:rsid w:val="008477C8"/>
    <w:rsid w:val="0085114D"/>
    <w:rsid w:val="00852217"/>
    <w:rsid w:val="00855408"/>
    <w:rsid w:val="00856D65"/>
    <w:rsid w:val="00861B41"/>
    <w:rsid w:val="00861BE3"/>
    <w:rsid w:val="00863434"/>
    <w:rsid w:val="00865E4C"/>
    <w:rsid w:val="008701E4"/>
    <w:rsid w:val="00871069"/>
    <w:rsid w:val="00875A32"/>
    <w:rsid w:val="00876086"/>
    <w:rsid w:val="008825B0"/>
    <w:rsid w:val="00884AD6"/>
    <w:rsid w:val="008873D4"/>
    <w:rsid w:val="0089126C"/>
    <w:rsid w:val="0089296D"/>
    <w:rsid w:val="00893E85"/>
    <w:rsid w:val="00894031"/>
    <w:rsid w:val="00895508"/>
    <w:rsid w:val="008A6CB4"/>
    <w:rsid w:val="008B5CF6"/>
    <w:rsid w:val="008B7C02"/>
    <w:rsid w:val="008B7D2B"/>
    <w:rsid w:val="008C0049"/>
    <w:rsid w:val="008C0E88"/>
    <w:rsid w:val="008C53CB"/>
    <w:rsid w:val="008D1E6A"/>
    <w:rsid w:val="008D2A16"/>
    <w:rsid w:val="008E2C57"/>
    <w:rsid w:val="008E31FF"/>
    <w:rsid w:val="008E6F06"/>
    <w:rsid w:val="008E7FC9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31A3"/>
    <w:rsid w:val="00924AC8"/>
    <w:rsid w:val="0092597A"/>
    <w:rsid w:val="00925E75"/>
    <w:rsid w:val="00930FB1"/>
    <w:rsid w:val="0093139F"/>
    <w:rsid w:val="00932443"/>
    <w:rsid w:val="00937AE2"/>
    <w:rsid w:val="0094427A"/>
    <w:rsid w:val="00945245"/>
    <w:rsid w:val="0095759C"/>
    <w:rsid w:val="009721DB"/>
    <w:rsid w:val="0097239B"/>
    <w:rsid w:val="00974923"/>
    <w:rsid w:val="009808F7"/>
    <w:rsid w:val="00980D3D"/>
    <w:rsid w:val="009855E1"/>
    <w:rsid w:val="00987A30"/>
    <w:rsid w:val="00992CF3"/>
    <w:rsid w:val="00994868"/>
    <w:rsid w:val="009968D6"/>
    <w:rsid w:val="009A1CAB"/>
    <w:rsid w:val="009A60D1"/>
    <w:rsid w:val="009B6FD3"/>
    <w:rsid w:val="009C1750"/>
    <w:rsid w:val="009C2E29"/>
    <w:rsid w:val="009C554B"/>
    <w:rsid w:val="009C719E"/>
    <w:rsid w:val="009C7A10"/>
    <w:rsid w:val="009D3ACD"/>
    <w:rsid w:val="009E5273"/>
    <w:rsid w:val="009E5DDB"/>
    <w:rsid w:val="009F4CA7"/>
    <w:rsid w:val="00A10D66"/>
    <w:rsid w:val="00A14114"/>
    <w:rsid w:val="00A1537C"/>
    <w:rsid w:val="00A16413"/>
    <w:rsid w:val="00A16E1D"/>
    <w:rsid w:val="00A17D5B"/>
    <w:rsid w:val="00A17EB2"/>
    <w:rsid w:val="00A23E43"/>
    <w:rsid w:val="00A25216"/>
    <w:rsid w:val="00A30F65"/>
    <w:rsid w:val="00A33A89"/>
    <w:rsid w:val="00A40EAC"/>
    <w:rsid w:val="00A40EDD"/>
    <w:rsid w:val="00A418BC"/>
    <w:rsid w:val="00A4206C"/>
    <w:rsid w:val="00A46DE0"/>
    <w:rsid w:val="00A47FCA"/>
    <w:rsid w:val="00A50D73"/>
    <w:rsid w:val="00A52CAD"/>
    <w:rsid w:val="00A53FC7"/>
    <w:rsid w:val="00A62CE1"/>
    <w:rsid w:val="00A668A3"/>
    <w:rsid w:val="00A6741E"/>
    <w:rsid w:val="00A75E40"/>
    <w:rsid w:val="00A77D1D"/>
    <w:rsid w:val="00A84A6A"/>
    <w:rsid w:val="00A857C0"/>
    <w:rsid w:val="00A90FED"/>
    <w:rsid w:val="00AA2996"/>
    <w:rsid w:val="00AA52BF"/>
    <w:rsid w:val="00AA559A"/>
    <w:rsid w:val="00AB2AF1"/>
    <w:rsid w:val="00AB535B"/>
    <w:rsid w:val="00AC45BD"/>
    <w:rsid w:val="00AD168E"/>
    <w:rsid w:val="00AD306C"/>
    <w:rsid w:val="00AD4F16"/>
    <w:rsid w:val="00AD68C4"/>
    <w:rsid w:val="00AE09B3"/>
    <w:rsid w:val="00AE0ED3"/>
    <w:rsid w:val="00AE1A83"/>
    <w:rsid w:val="00AE31A7"/>
    <w:rsid w:val="00AF6128"/>
    <w:rsid w:val="00B00913"/>
    <w:rsid w:val="00B01593"/>
    <w:rsid w:val="00B023F2"/>
    <w:rsid w:val="00B04705"/>
    <w:rsid w:val="00B07BBB"/>
    <w:rsid w:val="00B10A4D"/>
    <w:rsid w:val="00B14BC1"/>
    <w:rsid w:val="00B17E71"/>
    <w:rsid w:val="00B17FDE"/>
    <w:rsid w:val="00B2379C"/>
    <w:rsid w:val="00B25189"/>
    <w:rsid w:val="00B2687D"/>
    <w:rsid w:val="00B26897"/>
    <w:rsid w:val="00B32DDB"/>
    <w:rsid w:val="00B34528"/>
    <w:rsid w:val="00B34CC9"/>
    <w:rsid w:val="00B402FC"/>
    <w:rsid w:val="00B439DA"/>
    <w:rsid w:val="00B46604"/>
    <w:rsid w:val="00B530CD"/>
    <w:rsid w:val="00B55F5E"/>
    <w:rsid w:val="00B5752E"/>
    <w:rsid w:val="00B63A11"/>
    <w:rsid w:val="00B63B6A"/>
    <w:rsid w:val="00B64C24"/>
    <w:rsid w:val="00B6608F"/>
    <w:rsid w:val="00B679FB"/>
    <w:rsid w:val="00B71EF7"/>
    <w:rsid w:val="00B76D1E"/>
    <w:rsid w:val="00B8028A"/>
    <w:rsid w:val="00B80EC6"/>
    <w:rsid w:val="00B84CF6"/>
    <w:rsid w:val="00B92D1D"/>
    <w:rsid w:val="00B938C5"/>
    <w:rsid w:val="00B95940"/>
    <w:rsid w:val="00BA6C2B"/>
    <w:rsid w:val="00BB46F3"/>
    <w:rsid w:val="00BB4CB1"/>
    <w:rsid w:val="00BB4F98"/>
    <w:rsid w:val="00BC5C12"/>
    <w:rsid w:val="00BC7154"/>
    <w:rsid w:val="00BC731E"/>
    <w:rsid w:val="00BD366B"/>
    <w:rsid w:val="00BD6D50"/>
    <w:rsid w:val="00BE18B9"/>
    <w:rsid w:val="00BE2495"/>
    <w:rsid w:val="00BF1578"/>
    <w:rsid w:val="00BF723F"/>
    <w:rsid w:val="00C21F94"/>
    <w:rsid w:val="00C27913"/>
    <w:rsid w:val="00C27E4F"/>
    <w:rsid w:val="00C32964"/>
    <w:rsid w:val="00C33B68"/>
    <w:rsid w:val="00C36A79"/>
    <w:rsid w:val="00C401D2"/>
    <w:rsid w:val="00C405D4"/>
    <w:rsid w:val="00C4431F"/>
    <w:rsid w:val="00C4513B"/>
    <w:rsid w:val="00C5390B"/>
    <w:rsid w:val="00C54697"/>
    <w:rsid w:val="00C65535"/>
    <w:rsid w:val="00C71E85"/>
    <w:rsid w:val="00C72884"/>
    <w:rsid w:val="00C73885"/>
    <w:rsid w:val="00C747B1"/>
    <w:rsid w:val="00C82191"/>
    <w:rsid w:val="00C83134"/>
    <w:rsid w:val="00C85545"/>
    <w:rsid w:val="00C90CF4"/>
    <w:rsid w:val="00C92EB6"/>
    <w:rsid w:val="00C93389"/>
    <w:rsid w:val="00CA0914"/>
    <w:rsid w:val="00CA6AB4"/>
    <w:rsid w:val="00CB4930"/>
    <w:rsid w:val="00CC2E7D"/>
    <w:rsid w:val="00CD10A5"/>
    <w:rsid w:val="00CD2076"/>
    <w:rsid w:val="00CD29B5"/>
    <w:rsid w:val="00CD6331"/>
    <w:rsid w:val="00CE670B"/>
    <w:rsid w:val="00CF4908"/>
    <w:rsid w:val="00CF51EC"/>
    <w:rsid w:val="00CF73AE"/>
    <w:rsid w:val="00D040DD"/>
    <w:rsid w:val="00D075BE"/>
    <w:rsid w:val="00D13986"/>
    <w:rsid w:val="00D21D83"/>
    <w:rsid w:val="00D235B7"/>
    <w:rsid w:val="00D23C02"/>
    <w:rsid w:val="00D25F28"/>
    <w:rsid w:val="00D26071"/>
    <w:rsid w:val="00D27973"/>
    <w:rsid w:val="00D35E1A"/>
    <w:rsid w:val="00D42211"/>
    <w:rsid w:val="00D50F46"/>
    <w:rsid w:val="00D567C6"/>
    <w:rsid w:val="00D57677"/>
    <w:rsid w:val="00D66223"/>
    <w:rsid w:val="00D71625"/>
    <w:rsid w:val="00D751DA"/>
    <w:rsid w:val="00D8084C"/>
    <w:rsid w:val="00D915EA"/>
    <w:rsid w:val="00D96855"/>
    <w:rsid w:val="00DA48C1"/>
    <w:rsid w:val="00DA7C0C"/>
    <w:rsid w:val="00DB08A9"/>
    <w:rsid w:val="00DB2EC8"/>
    <w:rsid w:val="00DB5FC0"/>
    <w:rsid w:val="00DB6566"/>
    <w:rsid w:val="00DC1E84"/>
    <w:rsid w:val="00DC48F1"/>
    <w:rsid w:val="00DC5B3B"/>
    <w:rsid w:val="00DD129F"/>
    <w:rsid w:val="00DD4EFE"/>
    <w:rsid w:val="00DE02BD"/>
    <w:rsid w:val="00DF42FF"/>
    <w:rsid w:val="00DF5908"/>
    <w:rsid w:val="00E01C0E"/>
    <w:rsid w:val="00E03F9A"/>
    <w:rsid w:val="00E04694"/>
    <w:rsid w:val="00E063CE"/>
    <w:rsid w:val="00E12B1E"/>
    <w:rsid w:val="00E17262"/>
    <w:rsid w:val="00E253A2"/>
    <w:rsid w:val="00E3309D"/>
    <w:rsid w:val="00E43C1C"/>
    <w:rsid w:val="00E47EBA"/>
    <w:rsid w:val="00E50156"/>
    <w:rsid w:val="00E51643"/>
    <w:rsid w:val="00E53470"/>
    <w:rsid w:val="00E53874"/>
    <w:rsid w:val="00E539F6"/>
    <w:rsid w:val="00E6519D"/>
    <w:rsid w:val="00E67696"/>
    <w:rsid w:val="00E71A58"/>
    <w:rsid w:val="00E72A7A"/>
    <w:rsid w:val="00E75C94"/>
    <w:rsid w:val="00E920F4"/>
    <w:rsid w:val="00E93820"/>
    <w:rsid w:val="00E94A86"/>
    <w:rsid w:val="00E96143"/>
    <w:rsid w:val="00EA0987"/>
    <w:rsid w:val="00EA0C68"/>
    <w:rsid w:val="00EA32BC"/>
    <w:rsid w:val="00EA4302"/>
    <w:rsid w:val="00EB39C7"/>
    <w:rsid w:val="00EB3D8F"/>
    <w:rsid w:val="00EB4511"/>
    <w:rsid w:val="00EC03D7"/>
    <w:rsid w:val="00ED62C6"/>
    <w:rsid w:val="00ED64C1"/>
    <w:rsid w:val="00EE3446"/>
    <w:rsid w:val="00EE3E78"/>
    <w:rsid w:val="00EE4B1B"/>
    <w:rsid w:val="00EE7F19"/>
    <w:rsid w:val="00EF150D"/>
    <w:rsid w:val="00EF1F5A"/>
    <w:rsid w:val="00EF47BF"/>
    <w:rsid w:val="00EF6DB3"/>
    <w:rsid w:val="00F04811"/>
    <w:rsid w:val="00F0488C"/>
    <w:rsid w:val="00F10F11"/>
    <w:rsid w:val="00F15AAA"/>
    <w:rsid w:val="00F15BEF"/>
    <w:rsid w:val="00F24407"/>
    <w:rsid w:val="00F24931"/>
    <w:rsid w:val="00F24FAA"/>
    <w:rsid w:val="00F3364D"/>
    <w:rsid w:val="00F437CC"/>
    <w:rsid w:val="00F44537"/>
    <w:rsid w:val="00F44B6A"/>
    <w:rsid w:val="00F47067"/>
    <w:rsid w:val="00F50FC3"/>
    <w:rsid w:val="00F52106"/>
    <w:rsid w:val="00F525EB"/>
    <w:rsid w:val="00F63DDE"/>
    <w:rsid w:val="00F63FB7"/>
    <w:rsid w:val="00F6421B"/>
    <w:rsid w:val="00F649D2"/>
    <w:rsid w:val="00F6602B"/>
    <w:rsid w:val="00F66FD9"/>
    <w:rsid w:val="00F67C4E"/>
    <w:rsid w:val="00F73A0C"/>
    <w:rsid w:val="00F756DB"/>
    <w:rsid w:val="00F84E7D"/>
    <w:rsid w:val="00F85066"/>
    <w:rsid w:val="00F87A4D"/>
    <w:rsid w:val="00F9785E"/>
    <w:rsid w:val="00FA5D4D"/>
    <w:rsid w:val="00FA60AD"/>
    <w:rsid w:val="00FA7115"/>
    <w:rsid w:val="00FB0EE2"/>
    <w:rsid w:val="00FB4423"/>
    <w:rsid w:val="00FB542E"/>
    <w:rsid w:val="00FC0E5F"/>
    <w:rsid w:val="00FC1A95"/>
    <w:rsid w:val="00FC56DE"/>
    <w:rsid w:val="00FC684B"/>
    <w:rsid w:val="00FD3265"/>
    <w:rsid w:val="00FD5F92"/>
    <w:rsid w:val="00FD66F9"/>
    <w:rsid w:val="00FE2F78"/>
    <w:rsid w:val="00FF4082"/>
    <w:rsid w:val="00FF7090"/>
    <w:rsid w:val="00FF7B96"/>
    <w:rsid w:val="0274CEEB"/>
    <w:rsid w:val="11D0C0D9"/>
    <w:rsid w:val="1C7F89FF"/>
    <w:rsid w:val="304DB734"/>
    <w:rsid w:val="30D0B3BE"/>
    <w:rsid w:val="55C2456F"/>
    <w:rsid w:val="614CA75B"/>
    <w:rsid w:val="6B2670A5"/>
    <w:rsid w:val="6E1EAC99"/>
    <w:rsid w:val="7BDB84E4"/>
    <w:rsid w:val="7DB2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o:colormru v:ext="edit" colors="#ecf4dd,#eaecee,#fcec0a,#fcecdb,#f1daf5"/>
    </o:shapedefaults>
    <o:shapelayout v:ext="edit">
      <o:idmap v:ext="edit" data="2"/>
    </o:shapelayout>
  </w:shapeDefaults>
  <w:decimalSymbol w:val=","/>
  <w:listSeparator w:val=";"/>
  <w14:docId w14:val="21432897"/>
  <w15:docId w15:val="{3A7C6927-7F52-4209-ABA9-A0ACA865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EA0987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86BF5E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EA0987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86BF5E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EA0987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86BF5E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1041D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86BF5E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EA0987"/>
    <w:rPr>
      <w:rFonts w:ascii="Arial" w:eastAsia="MS Gothic" w:hAnsi="Arial"/>
      <w:b/>
      <w:bCs/>
      <w:color w:val="86BF5E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EA0987"/>
    <w:rPr>
      <w:rFonts w:ascii="Arial" w:eastAsia="MS Gothic" w:hAnsi="Arial"/>
      <w:b/>
      <w:bCs/>
      <w:color w:val="86BF5E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EA0987"/>
    <w:rPr>
      <w:rFonts w:ascii="Arial" w:eastAsia="MS Gothic" w:hAnsi="Arial"/>
      <w:b/>
      <w:bCs/>
      <w:color w:val="86BF5E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41041D"/>
    <w:rPr>
      <w:rFonts w:ascii="Arial" w:eastAsia="MS Gothic" w:hAnsi="Arial"/>
      <w:b/>
      <w:bCs/>
      <w:iCs/>
      <w:color w:val="86BF5E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0A57D4"/>
    <w:pPr>
      <w:spacing w:after="80" w:line="288" w:lineRule="auto"/>
    </w:pPr>
    <w:rPr>
      <w:rFonts w:ascii="Arial" w:eastAsia="Times New Roman" w:hAnsi="Arial"/>
      <w:b/>
      <w:color w:val="86BF5E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EA0987"/>
    <w:pPr>
      <w:shd w:val="clear" w:color="auto" w:fill="F0F6E9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EA0987"/>
    <w:pPr>
      <w:spacing w:before="240" w:after="240" w:line="276" w:lineRule="auto"/>
      <w:contextualSpacing/>
      <w:jc w:val="both"/>
    </w:pPr>
    <w:rPr>
      <w:rFonts w:ascii="Arial" w:hAnsi="Arial" w:cs="Arial"/>
      <w:color w:val="86BF5E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0A57D4"/>
    <w:pPr>
      <w:spacing w:after="40"/>
      <w:contextualSpacing/>
    </w:pPr>
    <w:rPr>
      <w:b/>
      <w:caps/>
      <w:sz w:val="24"/>
    </w:rPr>
  </w:style>
  <w:style w:type="paragraph" w:customStyle="1" w:styleId="TLKontakty">
    <w:name w:val="TL Kontakty"/>
    <w:qFormat/>
    <w:rsid w:val="000A57D4"/>
    <w:pPr>
      <w:spacing w:after="160" w:line="259" w:lineRule="auto"/>
      <w:contextualSpacing/>
    </w:pPr>
    <w:rPr>
      <w:rFonts w:ascii="Arial" w:eastAsia="Times New Roman" w:hAnsi="Arial"/>
      <w:b/>
      <w:color w:val="86BF5E"/>
      <w:lang w:eastAsia="cs-CZ"/>
    </w:rPr>
  </w:style>
  <w:style w:type="paragraph" w:styleId="Nzev">
    <w:name w:val="Title"/>
    <w:link w:val="NzevChar"/>
    <w:uiPriority w:val="10"/>
    <w:qFormat/>
    <w:rsid w:val="001E6062"/>
    <w:pPr>
      <w:spacing w:line="288" w:lineRule="auto"/>
    </w:pPr>
    <w:rPr>
      <w:rFonts w:ascii="Arial" w:eastAsia="Times New Roman" w:hAnsi="Arial"/>
      <w:b/>
      <w:bCs/>
      <w:caps/>
      <w:color w:val="000000" w:themeColor="text1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1E6062"/>
    <w:rPr>
      <w:rFonts w:ascii="Arial" w:eastAsia="Times New Roman" w:hAnsi="Arial"/>
      <w:b/>
      <w:bCs/>
      <w:caps/>
      <w:color w:val="000000" w:themeColor="text1"/>
      <w:kern w:val="28"/>
      <w:sz w:val="56"/>
      <w:szCs w:val="32"/>
      <w:lang w:eastAsia="cs-CZ"/>
    </w:rPr>
  </w:style>
  <w:style w:type="paragraph" w:styleId="Podnadpis">
    <w:name w:val="Subtitle"/>
    <w:link w:val="PodnadpisChar"/>
    <w:uiPriority w:val="11"/>
    <w:qFormat/>
    <w:rsid w:val="001E6062"/>
    <w:pPr>
      <w:spacing w:line="288" w:lineRule="auto"/>
    </w:pPr>
    <w:rPr>
      <w:rFonts w:ascii="Arial" w:eastAsia="Times New Roman" w:hAnsi="Arial" w:cs="Arial"/>
      <w:b/>
      <w:color w:val="000000" w:themeColor="text1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1E6062"/>
    <w:rPr>
      <w:rFonts w:ascii="Arial" w:eastAsia="Times New Roman" w:hAnsi="Arial" w:cs="Arial"/>
      <w:b/>
      <w:color w:val="000000" w:themeColor="text1"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7"/>
      </w:num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EA0987"/>
    <w:pPr>
      <w:shd w:val="clear" w:color="auto" w:fill="F0F6E9"/>
      <w:spacing w:before="240" w:after="240" w:line="276" w:lineRule="auto"/>
      <w:ind w:left="709"/>
      <w:contextualSpacing/>
      <w:jc w:val="both"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EA0987"/>
    <w:pPr>
      <w:spacing w:before="240" w:after="240" w:line="276" w:lineRule="auto"/>
      <w:ind w:left="709"/>
      <w:contextualSpacing/>
      <w:jc w:val="both"/>
    </w:pPr>
    <w:rPr>
      <w:rFonts w:ascii="Arial" w:hAnsi="Arial" w:cs="Arial"/>
      <w:b/>
      <w:color w:val="86BF5E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1E6062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32"/>
    <w:qFormat/>
    <w:rsid w:val="001E6062"/>
    <w:rPr>
      <w:b/>
      <w:bCs/>
      <w:smallCaps/>
      <w:color w:val="000000" w:themeColor="text1"/>
      <w:spacing w:val="5"/>
    </w:rPr>
  </w:style>
  <w:style w:type="character" w:styleId="Znakapoznpodarou">
    <w:name w:val="footnote reference"/>
    <w:basedOn w:val="Standardnpsmoodstavce"/>
    <w:rsid w:val="00E063CE"/>
    <w:rPr>
      <w:rFonts w:cs="Times New Roman"/>
      <w:vertAlign w:val="superscript"/>
    </w:rPr>
  </w:style>
  <w:style w:type="paragraph" w:customStyle="1" w:styleId="Nadpis11">
    <w:name w:val="Nadpis 11"/>
    <w:basedOn w:val="Normln"/>
    <w:uiPriority w:val="9"/>
    <w:qFormat/>
    <w:rsid w:val="008A6CB4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8A6CB4"/>
    <w:pPr>
      <w:spacing w:after="0" w:line="240" w:lineRule="auto"/>
      <w:jc w:val="left"/>
    </w:pPr>
    <w:rPr>
      <w:rFonts w:eastAsia="Calibri"/>
      <w:szCs w:val="20"/>
    </w:rPr>
  </w:style>
  <w:style w:type="character" w:styleId="Zdraznn">
    <w:name w:val="Emphasis"/>
    <w:basedOn w:val="Standardnpsmoodstavce"/>
    <w:uiPriority w:val="20"/>
    <w:qFormat/>
    <w:rsid w:val="00C4431F"/>
    <w:rPr>
      <w:i/>
      <w:iCs/>
    </w:rPr>
  </w:style>
  <w:style w:type="character" w:customStyle="1" w:styleId="normaltextrun">
    <w:name w:val="normaltextrun"/>
    <w:basedOn w:val="Standardnpsmoodstavce"/>
    <w:rsid w:val="00C4431F"/>
  </w:style>
  <w:style w:type="paragraph" w:customStyle="1" w:styleId="paragraph">
    <w:name w:val="paragraph"/>
    <w:basedOn w:val="Normln"/>
    <w:rsid w:val="00C4431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eop">
    <w:name w:val="eop"/>
    <w:basedOn w:val="Standardnpsmoodstavce"/>
    <w:rsid w:val="00C4431F"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603FF5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455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551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45512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55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5512"/>
    <w:rPr>
      <w:rFonts w:ascii="Arial" w:eastAsia="Times New Roman" w:hAnsi="Arial"/>
      <w:b/>
      <w:bCs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54551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4551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545512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customStyle="1" w:styleId="spelle">
    <w:name w:val="spelle"/>
    <w:basedOn w:val="Standardnpsmoodstavce"/>
    <w:rsid w:val="00545512"/>
  </w:style>
  <w:style w:type="paragraph" w:styleId="Revize">
    <w:name w:val="Revision"/>
    <w:hidden/>
    <w:uiPriority w:val="99"/>
    <w:semiHidden/>
    <w:rsid w:val="00545512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45512"/>
  </w:style>
  <w:style w:type="character" w:customStyle="1" w:styleId="tabulka">
    <w:name w:val="tabulka"/>
    <w:basedOn w:val="Standardnpsmoodstavce"/>
    <w:rsid w:val="00545512"/>
  </w:style>
  <w:style w:type="paragraph" w:customStyle="1" w:styleId="Default">
    <w:name w:val="Default"/>
    <w:rsid w:val="0054551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4551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45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45512"/>
    <w:rPr>
      <w:rFonts w:ascii="Courier New" w:eastAsia="Times New Roman" w:hAnsi="Courier New" w:cs="Courier New"/>
      <w:lang w:eastAsia="cs-CZ"/>
    </w:rPr>
  </w:style>
  <w:style w:type="paragraph" w:customStyle="1" w:styleId="cay">
    <w:name w:val="c_ay"/>
    <w:basedOn w:val="Normln"/>
    <w:rsid w:val="0054551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cew">
    <w:name w:val="c_ew"/>
    <w:basedOn w:val="Standardnpsmoodstavce"/>
    <w:rsid w:val="00545512"/>
  </w:style>
  <w:style w:type="character" w:styleId="Sledovanodkaz">
    <w:name w:val="FollowedHyperlink"/>
    <w:basedOn w:val="Standardnpsmoodstavce"/>
    <w:uiPriority w:val="99"/>
    <w:semiHidden/>
    <w:unhideWhenUsed/>
    <w:rsid w:val="005455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chart" Target="charts/chart5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Qmakro-2024\Celorok\Odv&#283;tv&#237;\ODV&#282;TV&#205;_grafy_ceolorok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Qmakro-2024\Celorok\Odv&#283;tv&#237;\ODV&#282;TV&#205;_grafy_ceolorok2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Qmakro-2024\Celorok\Odv&#283;tv&#237;\ODV&#282;TV&#205;_grafy_ceolorok202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Qmakro-2024\Celorok\Odv&#283;tv&#237;\ODV&#282;TV&#205;_grafy_ceolorok202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Qmakro-2024\Celorok\Odv&#283;tv&#237;\ODV&#282;TV&#205;_grafy_ceolorok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610992424025054E-2"/>
          <c:y val="1.5804777005479873E-2"/>
          <c:w val="0.84144249386957193"/>
          <c:h val="0.6913571248107180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'GRAF příspěvky IPP'!$A$27</c:f>
              <c:strCache>
                <c:ptCount val="1"/>
                <c:pt idx="0">
                  <c:v>Výroba dopravních prostředků (29, 30)</c:v>
                </c:pt>
              </c:strCache>
            </c:strRef>
          </c:tx>
          <c:spPr>
            <a:solidFill>
              <a:srgbClr val="E8AFB2"/>
            </a:solidFill>
          </c:spPr>
          <c:invertIfNegative val="0"/>
          <c:cat>
            <c:multiLvlStrRef>
              <c:f>'GRAF příspěvky IPP'!$R$25:$BE$26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'GRAF příspěvky IPP'!$R$27:$BE$27</c:f>
              <c:numCache>
                <c:formatCode>0.0</c:formatCode>
                <c:ptCount val="40"/>
                <c:pt idx="0">
                  <c:v>1.5407194734870255</c:v>
                </c:pt>
                <c:pt idx="1">
                  <c:v>2.1725345808437702</c:v>
                </c:pt>
                <c:pt idx="2">
                  <c:v>2.3822280390891484</c:v>
                </c:pt>
                <c:pt idx="3">
                  <c:v>2.8679001700331122</c:v>
                </c:pt>
                <c:pt idx="4">
                  <c:v>3.3256782968034511</c:v>
                </c:pt>
                <c:pt idx="5">
                  <c:v>2.7078368205204244</c:v>
                </c:pt>
                <c:pt idx="6">
                  <c:v>1.4770884945722993</c:v>
                </c:pt>
                <c:pt idx="7">
                  <c:v>1.0297006290395898</c:v>
                </c:pt>
                <c:pt idx="8">
                  <c:v>1.7408920839398754</c:v>
                </c:pt>
                <c:pt idx="9">
                  <c:v>2.1378802528812932</c:v>
                </c:pt>
                <c:pt idx="10">
                  <c:v>1.5935135243788106</c:v>
                </c:pt>
                <c:pt idx="11">
                  <c:v>1.6791873092801739</c:v>
                </c:pt>
                <c:pt idx="12">
                  <c:v>0.75268647024158142</c:v>
                </c:pt>
                <c:pt idx="13">
                  <c:v>0.54211789515047693</c:v>
                </c:pt>
                <c:pt idx="14">
                  <c:v>0.24127576647979335</c:v>
                </c:pt>
                <c:pt idx="15">
                  <c:v>0.97863378627142206</c:v>
                </c:pt>
                <c:pt idx="16">
                  <c:v>-0.2260516552234422</c:v>
                </c:pt>
                <c:pt idx="17">
                  <c:v>0.44759183220264459</c:v>
                </c:pt>
                <c:pt idx="18">
                  <c:v>0.76878503294695455</c:v>
                </c:pt>
                <c:pt idx="19">
                  <c:v>-1.0091759236462883</c:v>
                </c:pt>
                <c:pt idx="20">
                  <c:v>-1.5334709251303915</c:v>
                </c:pt>
                <c:pt idx="21">
                  <c:v>-9.3844961095672232</c:v>
                </c:pt>
                <c:pt idx="22">
                  <c:v>-0.1831246423410012</c:v>
                </c:pt>
                <c:pt idx="23">
                  <c:v>2.0633116605855042</c:v>
                </c:pt>
                <c:pt idx="24">
                  <c:v>1.8994738849431219</c:v>
                </c:pt>
                <c:pt idx="25">
                  <c:v>10.953828611576037</c:v>
                </c:pt>
                <c:pt idx="26">
                  <c:v>-3.7780334995738061</c:v>
                </c:pt>
                <c:pt idx="27">
                  <c:v>-3.2466705580298791</c:v>
                </c:pt>
                <c:pt idx="28">
                  <c:v>-1.9063093854042736</c:v>
                </c:pt>
                <c:pt idx="29">
                  <c:v>9.7229287758977434E-2</c:v>
                </c:pt>
                <c:pt idx="30">
                  <c:v>5.6033975682910881</c:v>
                </c:pt>
                <c:pt idx="31">
                  <c:v>4.0048776177966694</c:v>
                </c:pt>
                <c:pt idx="32">
                  <c:v>5.2654608767432789</c:v>
                </c:pt>
                <c:pt idx="33">
                  <c:v>5.0893549797795146</c:v>
                </c:pt>
                <c:pt idx="34">
                  <c:v>1.350201305962601</c:v>
                </c:pt>
                <c:pt idx="35">
                  <c:v>3.1919008208704018</c:v>
                </c:pt>
                <c:pt idx="36">
                  <c:v>0.64445872329340592</c:v>
                </c:pt>
                <c:pt idx="37">
                  <c:v>-1.0914106642915526</c:v>
                </c:pt>
                <c:pt idx="38">
                  <c:v>0.64631896939878564</c:v>
                </c:pt>
                <c:pt idx="39">
                  <c:v>-1.443838932981421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8E-4103-A6C4-20CD7D94AF9E}"/>
            </c:ext>
          </c:extLst>
        </c:ser>
        <c:ser>
          <c:idx val="1"/>
          <c:order val="1"/>
          <c:tx>
            <c:strRef>
              <c:f>'GRAF příspěvky IPP'!$A$28</c:f>
              <c:strCache>
                <c:ptCount val="1"/>
                <c:pt idx="0">
                  <c:v>Gumárenství, elektrotechnický pr. (22, 27)</c:v>
                </c:pt>
              </c:strCache>
            </c:strRef>
          </c:tx>
          <c:spPr>
            <a:solidFill>
              <a:srgbClr val="BD1B21"/>
            </a:solidFill>
          </c:spPr>
          <c:invertIfNegative val="0"/>
          <c:cat>
            <c:multiLvlStrRef>
              <c:f>'GRAF příspěvky IPP'!$R$25:$BE$26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'GRAF příspěvky IPP'!$R$28:$BE$28</c:f>
              <c:numCache>
                <c:formatCode>0.0</c:formatCode>
                <c:ptCount val="40"/>
                <c:pt idx="0">
                  <c:v>1.0322214618878158</c:v>
                </c:pt>
                <c:pt idx="1">
                  <c:v>1.2386415260436179</c:v>
                </c:pt>
                <c:pt idx="2">
                  <c:v>1.4204776682885574</c:v>
                </c:pt>
                <c:pt idx="3">
                  <c:v>0.62919278136008572</c:v>
                </c:pt>
                <c:pt idx="4">
                  <c:v>0.8176750577912526</c:v>
                </c:pt>
                <c:pt idx="5">
                  <c:v>0.14129582168796412</c:v>
                </c:pt>
                <c:pt idx="6">
                  <c:v>0.27952572878212995</c:v>
                </c:pt>
                <c:pt idx="7">
                  <c:v>0.42980054252763067</c:v>
                </c:pt>
                <c:pt idx="8">
                  <c:v>0.79334952879496901</c:v>
                </c:pt>
                <c:pt idx="9">
                  <c:v>1.468356537050969</c:v>
                </c:pt>
                <c:pt idx="10">
                  <c:v>0.87390949425966125</c:v>
                </c:pt>
                <c:pt idx="11">
                  <c:v>1.644368824210785</c:v>
                </c:pt>
                <c:pt idx="12">
                  <c:v>1.0040337375607471</c:v>
                </c:pt>
                <c:pt idx="13">
                  <c:v>0.3253925650201499</c:v>
                </c:pt>
                <c:pt idx="14">
                  <c:v>0.43133954445298106</c:v>
                </c:pt>
                <c:pt idx="15">
                  <c:v>-5.9899261699036116E-2</c:v>
                </c:pt>
                <c:pt idx="16">
                  <c:v>0.52608733581744893</c:v>
                </c:pt>
                <c:pt idx="17">
                  <c:v>0.44070570288166666</c:v>
                </c:pt>
                <c:pt idx="18">
                  <c:v>0.16703875787161085</c:v>
                </c:pt>
                <c:pt idx="19">
                  <c:v>0.41508771908448316</c:v>
                </c:pt>
                <c:pt idx="20">
                  <c:v>-0.55255281731107375</c:v>
                </c:pt>
                <c:pt idx="21">
                  <c:v>-4.0630399723550301</c:v>
                </c:pt>
                <c:pt idx="22">
                  <c:v>-0.43874587338548932</c:v>
                </c:pt>
                <c:pt idx="23">
                  <c:v>0.53060699318837878</c:v>
                </c:pt>
                <c:pt idx="24">
                  <c:v>0.71105162663072174</c:v>
                </c:pt>
                <c:pt idx="25">
                  <c:v>5.4805586415138947</c:v>
                </c:pt>
                <c:pt idx="26">
                  <c:v>0.62204112300893599</c:v>
                </c:pt>
                <c:pt idx="27">
                  <c:v>-0.42420711975924758</c:v>
                </c:pt>
                <c:pt idx="28">
                  <c:v>8.4631931672039307E-2</c:v>
                </c:pt>
                <c:pt idx="29">
                  <c:v>0.14005433229429518</c:v>
                </c:pt>
                <c:pt idx="30">
                  <c:v>0.5413318311293237</c:v>
                </c:pt>
                <c:pt idx="31">
                  <c:v>0.61656643528720623</c:v>
                </c:pt>
                <c:pt idx="32">
                  <c:v>0.24570600684677693</c:v>
                </c:pt>
                <c:pt idx="33">
                  <c:v>0.13465018097113457</c:v>
                </c:pt>
                <c:pt idx="34">
                  <c:v>-0.41865316432893407</c:v>
                </c:pt>
                <c:pt idx="35">
                  <c:v>1.7959375973914976E-2</c:v>
                </c:pt>
                <c:pt idx="36">
                  <c:v>0.14184759123630111</c:v>
                </c:pt>
                <c:pt idx="37">
                  <c:v>-0.18894632096141117</c:v>
                </c:pt>
                <c:pt idx="38">
                  <c:v>0.1460354833760574</c:v>
                </c:pt>
                <c:pt idx="39">
                  <c:v>-0.54236501850354391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8E-4103-A6C4-20CD7D94AF9E}"/>
            </c:ext>
          </c:extLst>
        </c:ser>
        <c:ser>
          <c:idx val="2"/>
          <c:order val="2"/>
          <c:tx>
            <c:strRef>
              <c:f>'GRAF příspěvky IPP'!$A$29</c:f>
              <c:strCache>
                <c:ptCount val="1"/>
                <c:pt idx="0">
                  <c:v>Strojírenství (28)</c:v>
                </c:pt>
              </c:strCache>
            </c:strRef>
          </c:tx>
          <c:spPr>
            <a:solidFill>
              <a:srgbClr val="BFE3F7"/>
            </a:solidFill>
          </c:spPr>
          <c:invertIfNegative val="0"/>
          <c:cat>
            <c:multiLvlStrRef>
              <c:f>'GRAF příspěvky IPP'!$R$25:$BE$26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'GRAF příspěvky IPP'!$R$29:$BE$29</c:f>
              <c:numCache>
                <c:formatCode>0.0</c:formatCode>
                <c:ptCount val="40"/>
                <c:pt idx="0">
                  <c:v>0.27346966717109655</c:v>
                </c:pt>
                <c:pt idx="1">
                  <c:v>0.29320995735524691</c:v>
                </c:pt>
                <c:pt idx="2">
                  <c:v>0.38410423993096532</c:v>
                </c:pt>
                <c:pt idx="3">
                  <c:v>2.0725807050325191E-2</c:v>
                </c:pt>
                <c:pt idx="4">
                  <c:v>0.37252847603208256</c:v>
                </c:pt>
                <c:pt idx="5">
                  <c:v>-9.2809853017947919E-2</c:v>
                </c:pt>
                <c:pt idx="6">
                  <c:v>0.20293953400612441</c:v>
                </c:pt>
                <c:pt idx="7">
                  <c:v>0.32005157357499631</c:v>
                </c:pt>
                <c:pt idx="8">
                  <c:v>0.3345178851347928</c:v>
                </c:pt>
                <c:pt idx="9">
                  <c:v>1.1003694908923236</c:v>
                </c:pt>
                <c:pt idx="10">
                  <c:v>0.85805445400541835</c:v>
                </c:pt>
                <c:pt idx="11">
                  <c:v>0.80055944660911171</c:v>
                </c:pt>
                <c:pt idx="12">
                  <c:v>0.48868169907415326</c:v>
                </c:pt>
                <c:pt idx="13">
                  <c:v>0.13868742792561028</c:v>
                </c:pt>
                <c:pt idx="14">
                  <c:v>0.18638853797251198</c:v>
                </c:pt>
                <c:pt idx="15">
                  <c:v>-0.20071677551985512</c:v>
                </c:pt>
                <c:pt idx="16">
                  <c:v>0.20262845642032346</c:v>
                </c:pt>
                <c:pt idx="17">
                  <c:v>-9.1482438382696971E-3</c:v>
                </c:pt>
                <c:pt idx="18">
                  <c:v>-0.3267936607108648</c:v>
                </c:pt>
                <c:pt idx="19">
                  <c:v>-0.14957125605699437</c:v>
                </c:pt>
                <c:pt idx="20">
                  <c:v>-0.7072452096320988</c:v>
                </c:pt>
                <c:pt idx="21">
                  <c:v>-2.1308377913469609</c:v>
                </c:pt>
                <c:pt idx="22">
                  <c:v>-0.8017096029334061</c:v>
                </c:pt>
                <c:pt idx="23">
                  <c:v>-0.54797142039304825</c:v>
                </c:pt>
                <c:pt idx="24">
                  <c:v>7.0418186485785489E-2</c:v>
                </c:pt>
                <c:pt idx="25">
                  <c:v>2.0578698080975477</c:v>
                </c:pt>
                <c:pt idx="26">
                  <c:v>0.54818601226918828</c:v>
                </c:pt>
                <c:pt idx="27">
                  <c:v>0.28069390163067787</c:v>
                </c:pt>
                <c:pt idx="28">
                  <c:v>0.35744236675124313</c:v>
                </c:pt>
                <c:pt idx="29">
                  <c:v>9.163726334784672E-2</c:v>
                </c:pt>
                <c:pt idx="30">
                  <c:v>0.48969695684594233</c:v>
                </c:pt>
                <c:pt idx="31">
                  <c:v>0.65505074774565475</c:v>
                </c:pt>
                <c:pt idx="32">
                  <c:v>0.47333415427875108</c:v>
                </c:pt>
                <c:pt idx="33">
                  <c:v>0.39366501365458245</c:v>
                </c:pt>
                <c:pt idx="34">
                  <c:v>-0.57925539828873818</c:v>
                </c:pt>
                <c:pt idx="35">
                  <c:v>-0.75565745552359209</c:v>
                </c:pt>
                <c:pt idx="36">
                  <c:v>-0.90958280483335363</c:v>
                </c:pt>
                <c:pt idx="37">
                  <c:v>-0.79898975977682929</c:v>
                </c:pt>
                <c:pt idx="38">
                  <c:v>-0.39038787223559229</c:v>
                </c:pt>
                <c:pt idx="39">
                  <c:v>-0.52577764312337971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8E-4103-A6C4-20CD7D94AF9E}"/>
            </c:ext>
          </c:extLst>
        </c:ser>
        <c:ser>
          <c:idx val="3"/>
          <c:order val="3"/>
          <c:tx>
            <c:strRef>
              <c:f>'GRAF příspěvky IPP'!$A$30</c:f>
              <c:strCache>
                <c:ptCount val="1"/>
                <c:pt idx="0">
                  <c:v>Kovodělný průmysl (25)</c:v>
                </c:pt>
              </c:strCache>
            </c:strRef>
          </c:tx>
          <c:spPr>
            <a:solidFill>
              <a:srgbClr val="48AEE7"/>
            </a:solidFill>
          </c:spPr>
          <c:invertIfNegative val="0"/>
          <c:cat>
            <c:multiLvlStrRef>
              <c:f>'GRAF příspěvky IPP'!$R$25:$BE$26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'GRAF příspěvky IPP'!$R$30:$BE$30</c:f>
              <c:numCache>
                <c:formatCode>0.0</c:formatCode>
                <c:ptCount val="40"/>
                <c:pt idx="0">
                  <c:v>0.69488451852266242</c:v>
                </c:pt>
                <c:pt idx="1">
                  <c:v>0.78494764780669857</c:v>
                </c:pt>
                <c:pt idx="2">
                  <c:v>0.99085589155838827</c:v>
                </c:pt>
                <c:pt idx="3">
                  <c:v>0.60110426817331475</c:v>
                </c:pt>
                <c:pt idx="4">
                  <c:v>0.81011316513160325</c:v>
                </c:pt>
                <c:pt idx="5">
                  <c:v>0.36137817304287012</c:v>
                </c:pt>
                <c:pt idx="6">
                  <c:v>0.23174116441034223</c:v>
                </c:pt>
                <c:pt idx="7">
                  <c:v>0.25113007311661406</c:v>
                </c:pt>
                <c:pt idx="8">
                  <c:v>0.38676361423749528</c:v>
                </c:pt>
                <c:pt idx="9">
                  <c:v>0.95166355765299349</c:v>
                </c:pt>
                <c:pt idx="10">
                  <c:v>0.86091550298549102</c:v>
                </c:pt>
                <c:pt idx="11">
                  <c:v>0.96020285266505589</c:v>
                </c:pt>
                <c:pt idx="12">
                  <c:v>0.67147421279246411</c:v>
                </c:pt>
                <c:pt idx="13">
                  <c:v>0.46338675111775501</c:v>
                </c:pt>
                <c:pt idx="14">
                  <c:v>0.40465307945227347</c:v>
                </c:pt>
                <c:pt idx="15">
                  <c:v>0.13991647838864771</c:v>
                </c:pt>
                <c:pt idx="16">
                  <c:v>0.23284119938910905</c:v>
                </c:pt>
                <c:pt idx="17">
                  <c:v>-2.3018109664658163E-3</c:v>
                </c:pt>
                <c:pt idx="18">
                  <c:v>-0.27902616348258918</c:v>
                </c:pt>
                <c:pt idx="19">
                  <c:v>-0.28921256974210446</c:v>
                </c:pt>
                <c:pt idx="20">
                  <c:v>-0.59705730498174525</c:v>
                </c:pt>
                <c:pt idx="21">
                  <c:v>-2.0768472147616719</c:v>
                </c:pt>
                <c:pt idx="22">
                  <c:v>-0.62165835195312102</c:v>
                </c:pt>
                <c:pt idx="23">
                  <c:v>4.661253810289321E-2</c:v>
                </c:pt>
                <c:pt idx="24">
                  <c:v>0.43199022817486354</c:v>
                </c:pt>
                <c:pt idx="25">
                  <c:v>2.9892756169119599</c:v>
                </c:pt>
                <c:pt idx="26">
                  <c:v>0.80115118417297149</c:v>
                </c:pt>
                <c:pt idx="27">
                  <c:v>1.7480374899686599E-2</c:v>
                </c:pt>
                <c:pt idx="28">
                  <c:v>0.22606126438074842</c:v>
                </c:pt>
                <c:pt idx="29">
                  <c:v>-0.40391316067631411</c:v>
                </c:pt>
                <c:pt idx="30">
                  <c:v>-0.31530356237369034</c:v>
                </c:pt>
                <c:pt idx="31">
                  <c:v>-0.21511495335603445</c:v>
                </c:pt>
                <c:pt idx="32">
                  <c:v>-0.35397900669262772</c:v>
                </c:pt>
                <c:pt idx="33">
                  <c:v>-9.7037704818367973E-2</c:v>
                </c:pt>
                <c:pt idx="34">
                  <c:v>-0.20944175574103288</c:v>
                </c:pt>
                <c:pt idx="35">
                  <c:v>-0.27616423694939601</c:v>
                </c:pt>
                <c:pt idx="36">
                  <c:v>-0.11533650066363174</c:v>
                </c:pt>
                <c:pt idx="37">
                  <c:v>-3.7810887313516915E-2</c:v>
                </c:pt>
                <c:pt idx="38">
                  <c:v>0.34195451609937061</c:v>
                </c:pt>
                <c:pt idx="39">
                  <c:v>0.21350055999301737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58E-4103-A6C4-20CD7D94AF9E}"/>
            </c:ext>
          </c:extLst>
        </c:ser>
        <c:ser>
          <c:idx val="4"/>
          <c:order val="4"/>
          <c:tx>
            <c:strRef>
              <c:f>'GRAF příspěvky IPP'!$A$31</c:f>
              <c:strCache>
                <c:ptCount val="1"/>
                <c:pt idx="0">
                  <c:v>Výroba PC, elektronic. a optic. přístr. (26)</c:v>
                </c:pt>
              </c:strCache>
            </c:strRef>
          </c:tx>
          <c:spPr>
            <a:solidFill>
              <a:srgbClr val="FDDEB3"/>
            </a:solidFill>
          </c:spPr>
          <c:invertIfNegative val="0"/>
          <c:cat>
            <c:multiLvlStrRef>
              <c:f>'GRAF příspěvky IPP'!$R$25:$BE$26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'GRAF příspěvky IPP'!$R$31:$BE$31</c:f>
              <c:numCache>
                <c:formatCode>0.0</c:formatCode>
                <c:ptCount val="40"/>
                <c:pt idx="0">
                  <c:v>0.10274789516452397</c:v>
                </c:pt>
                <c:pt idx="1">
                  <c:v>1.6624023651880003E-2</c:v>
                </c:pt>
                <c:pt idx="2">
                  <c:v>3.1029768728409929E-2</c:v>
                </c:pt>
                <c:pt idx="3">
                  <c:v>-6.717825999350098E-2</c:v>
                </c:pt>
                <c:pt idx="4">
                  <c:v>-9.0690116406332948E-3</c:v>
                </c:pt>
                <c:pt idx="5">
                  <c:v>6.8577664711048592E-2</c:v>
                </c:pt>
                <c:pt idx="6">
                  <c:v>4.7878835623817111E-2</c:v>
                </c:pt>
                <c:pt idx="7">
                  <c:v>0.16200567329703564</c:v>
                </c:pt>
                <c:pt idx="8">
                  <c:v>0.1517960019133566</c:v>
                </c:pt>
                <c:pt idx="9">
                  <c:v>0.35040742405813147</c:v>
                </c:pt>
                <c:pt idx="10">
                  <c:v>0.22701547985990286</c:v>
                </c:pt>
                <c:pt idx="11">
                  <c:v>0.23483306705633769</c:v>
                </c:pt>
                <c:pt idx="12">
                  <c:v>0.38575845909308681</c:v>
                </c:pt>
                <c:pt idx="13">
                  <c:v>0.1585479563430445</c:v>
                </c:pt>
                <c:pt idx="14">
                  <c:v>0.63604123808561219</c:v>
                </c:pt>
                <c:pt idx="15">
                  <c:v>0.3169722012936107</c:v>
                </c:pt>
                <c:pt idx="16">
                  <c:v>-0.10335857004416719</c:v>
                </c:pt>
                <c:pt idx="17">
                  <c:v>-3.5698176267711781E-2</c:v>
                </c:pt>
                <c:pt idx="18">
                  <c:v>-0.60934912550064046</c:v>
                </c:pt>
                <c:pt idx="19">
                  <c:v>-0.3641176829939205</c:v>
                </c:pt>
                <c:pt idx="20">
                  <c:v>-0.1013700779981392</c:v>
                </c:pt>
                <c:pt idx="21">
                  <c:v>-0.31920945262277456</c:v>
                </c:pt>
                <c:pt idx="22">
                  <c:v>3.1049160053994794E-2</c:v>
                </c:pt>
                <c:pt idx="23">
                  <c:v>2.2349038466741165E-2</c:v>
                </c:pt>
                <c:pt idx="24">
                  <c:v>0.12974114989276717</c:v>
                </c:pt>
                <c:pt idx="25">
                  <c:v>0.21584801651012522</c:v>
                </c:pt>
                <c:pt idx="26">
                  <c:v>0.19235433870595794</c:v>
                </c:pt>
                <c:pt idx="27">
                  <c:v>-0.23658529827203256</c:v>
                </c:pt>
                <c:pt idx="28">
                  <c:v>2.5743609324786618E-2</c:v>
                </c:pt>
                <c:pt idx="29">
                  <c:v>-1.8799366382053821E-2</c:v>
                </c:pt>
                <c:pt idx="30">
                  <c:v>5.9979335669755836E-2</c:v>
                </c:pt>
                <c:pt idx="31">
                  <c:v>0.43229084470055362</c:v>
                </c:pt>
                <c:pt idx="32">
                  <c:v>0.14852239554173893</c:v>
                </c:pt>
                <c:pt idx="33">
                  <c:v>8.2622374748738417E-2</c:v>
                </c:pt>
                <c:pt idx="34">
                  <c:v>-7.2595785151553752E-2</c:v>
                </c:pt>
                <c:pt idx="35">
                  <c:v>-6.5766190142063766E-2</c:v>
                </c:pt>
                <c:pt idx="36">
                  <c:v>-4.0980058427674123E-3</c:v>
                </c:pt>
                <c:pt idx="37">
                  <c:v>0.22237077764463514</c:v>
                </c:pt>
                <c:pt idx="38">
                  <c:v>0.2994350214245195</c:v>
                </c:pt>
                <c:pt idx="39">
                  <c:v>9.5660960969806058E-2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58E-4103-A6C4-20CD7D94AF9E}"/>
            </c:ext>
          </c:extLst>
        </c:ser>
        <c:ser>
          <c:idx val="5"/>
          <c:order val="5"/>
          <c:tx>
            <c:strRef>
              <c:f>'GRAF příspěvky IPP'!$A$32</c:f>
              <c:strCache>
                <c:ptCount val="1"/>
                <c:pt idx="0">
                  <c:v>Chemický a farmaceutický pr. (20, 21)</c:v>
                </c:pt>
              </c:strCache>
            </c:strRef>
          </c:tx>
          <c:spPr>
            <a:solidFill>
              <a:srgbClr val="F8A124"/>
            </a:solidFill>
            <a:ln>
              <a:noFill/>
            </a:ln>
          </c:spPr>
          <c:invertIfNegative val="0"/>
          <c:cat>
            <c:multiLvlStrRef>
              <c:f>'GRAF příspěvky IPP'!$R$25:$BE$26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'GRAF příspěvky IPP'!$R$32:$BE$32</c:f>
              <c:numCache>
                <c:formatCode>0.0</c:formatCode>
                <c:ptCount val="40"/>
                <c:pt idx="0">
                  <c:v>7.7157547125760104E-2</c:v>
                </c:pt>
                <c:pt idx="1">
                  <c:v>0.23593755110737841</c:v>
                </c:pt>
                <c:pt idx="2">
                  <c:v>-0.16353071050900619</c:v>
                </c:pt>
                <c:pt idx="3">
                  <c:v>-0.33446774192766959</c:v>
                </c:pt>
                <c:pt idx="4">
                  <c:v>-0.41480189964943331</c:v>
                </c:pt>
                <c:pt idx="5">
                  <c:v>-0.43289982593467702</c:v>
                </c:pt>
                <c:pt idx="6">
                  <c:v>-0.1055173929140575</c:v>
                </c:pt>
                <c:pt idx="7">
                  <c:v>0.23717747625834851</c:v>
                </c:pt>
                <c:pt idx="8">
                  <c:v>0.51439307947726998</c:v>
                </c:pt>
                <c:pt idx="9">
                  <c:v>0.83289717197907565</c:v>
                </c:pt>
                <c:pt idx="10">
                  <c:v>0.65310318202327911</c:v>
                </c:pt>
                <c:pt idx="11">
                  <c:v>0.50440121167449548</c:v>
                </c:pt>
                <c:pt idx="12">
                  <c:v>0.40911320927322647</c:v>
                </c:pt>
                <c:pt idx="13">
                  <c:v>7.7633111380155301E-2</c:v>
                </c:pt>
                <c:pt idx="14">
                  <c:v>-5.3190732776962651E-2</c:v>
                </c:pt>
                <c:pt idx="15">
                  <c:v>-7.1103221110709838E-2</c:v>
                </c:pt>
                <c:pt idx="16">
                  <c:v>9.3101613350728932E-2</c:v>
                </c:pt>
                <c:pt idx="17">
                  <c:v>6.1474211824515262E-2</c:v>
                </c:pt>
                <c:pt idx="18">
                  <c:v>0.2229684142187896</c:v>
                </c:pt>
                <c:pt idx="19">
                  <c:v>3.2130190492489386E-2</c:v>
                </c:pt>
                <c:pt idx="20">
                  <c:v>-3.6216479616950112E-2</c:v>
                </c:pt>
                <c:pt idx="21">
                  <c:v>-0.57135666895590331</c:v>
                </c:pt>
                <c:pt idx="22">
                  <c:v>-0.22076865898667289</c:v>
                </c:pt>
                <c:pt idx="23">
                  <c:v>0.42176753383241716</c:v>
                </c:pt>
                <c:pt idx="24">
                  <c:v>0.28424196563191712</c:v>
                </c:pt>
                <c:pt idx="25">
                  <c:v>0.82404678842772527</c:v>
                </c:pt>
                <c:pt idx="26">
                  <c:v>0.31952777567257618</c:v>
                </c:pt>
                <c:pt idx="27">
                  <c:v>8.8076042756232487E-2</c:v>
                </c:pt>
                <c:pt idx="28">
                  <c:v>0.24939661973096047</c:v>
                </c:pt>
                <c:pt idx="29">
                  <c:v>0.15903817714257876</c:v>
                </c:pt>
                <c:pt idx="30">
                  <c:v>-9.9247355732273501E-2</c:v>
                </c:pt>
                <c:pt idx="31">
                  <c:v>-0.29144141399320911</c:v>
                </c:pt>
                <c:pt idx="32">
                  <c:v>-0.59994122148973772</c:v>
                </c:pt>
                <c:pt idx="33">
                  <c:v>-0.17827397853552879</c:v>
                </c:pt>
                <c:pt idx="34">
                  <c:v>-7.4096438195475858E-2</c:v>
                </c:pt>
                <c:pt idx="35">
                  <c:v>-0.12545702643084153</c:v>
                </c:pt>
                <c:pt idx="36">
                  <c:v>0.29454256738625134</c:v>
                </c:pt>
                <c:pt idx="37">
                  <c:v>0.14532579767616829</c:v>
                </c:pt>
                <c:pt idx="38">
                  <c:v>-7.0700819787996E-2</c:v>
                </c:pt>
                <c:pt idx="39">
                  <c:v>-7.0260372748203834E-2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58E-4103-A6C4-20CD7D94AF9E}"/>
            </c:ext>
          </c:extLst>
        </c:ser>
        <c:ser>
          <c:idx val="6"/>
          <c:order val="6"/>
          <c:tx>
            <c:strRef>
              <c:f>'GRAF příspěvky IPP'!$A$33</c:f>
              <c:strCache>
                <c:ptCount val="1"/>
                <c:pt idx="0">
                  <c:v>Zbývající zpracovatelský průmysl*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cat>
            <c:multiLvlStrRef>
              <c:f>'GRAF příspěvky IPP'!$R$25:$BE$26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'GRAF příspěvky IPP'!$R$33:$BE$33</c:f>
              <c:numCache>
                <c:formatCode>0.0</c:formatCode>
                <c:ptCount val="40"/>
                <c:pt idx="0">
                  <c:v>0.98443956746970962</c:v>
                </c:pt>
                <c:pt idx="1">
                  <c:v>0.89749369767930132</c:v>
                </c:pt>
                <c:pt idx="2">
                  <c:v>1.0110169889951346</c:v>
                </c:pt>
                <c:pt idx="3">
                  <c:v>-0.20272196687510713</c:v>
                </c:pt>
                <c:pt idx="4">
                  <c:v>-0.44835386658683185</c:v>
                </c:pt>
                <c:pt idx="5">
                  <c:v>-1.1528022020710338</c:v>
                </c:pt>
                <c:pt idx="6">
                  <c:v>-0.3721343772053517</c:v>
                </c:pt>
                <c:pt idx="7">
                  <c:v>0.44554477386112834</c:v>
                </c:pt>
                <c:pt idx="8">
                  <c:v>-0.13802711444318691</c:v>
                </c:pt>
                <c:pt idx="9">
                  <c:v>1.4520150527939983</c:v>
                </c:pt>
                <c:pt idx="10">
                  <c:v>0.65687676657011995</c:v>
                </c:pt>
                <c:pt idx="11">
                  <c:v>0.76186639439852744</c:v>
                </c:pt>
                <c:pt idx="12">
                  <c:v>1.1768838940724016</c:v>
                </c:pt>
                <c:pt idx="13">
                  <c:v>0.73260991135089881</c:v>
                </c:pt>
                <c:pt idx="14">
                  <c:v>1.1309843102453647</c:v>
                </c:pt>
                <c:pt idx="15">
                  <c:v>0.15993804771029091</c:v>
                </c:pt>
                <c:pt idx="16">
                  <c:v>-0.32185268974320136</c:v>
                </c:pt>
                <c:pt idx="17">
                  <c:v>-0.30512916964802844</c:v>
                </c:pt>
                <c:pt idx="18">
                  <c:v>-0.97407463154620033</c:v>
                </c:pt>
                <c:pt idx="19">
                  <c:v>-3.9701171551173531E-2</c:v>
                </c:pt>
                <c:pt idx="20">
                  <c:v>0.31377104389497573</c:v>
                </c:pt>
                <c:pt idx="21">
                  <c:v>-1.6010940767108721</c:v>
                </c:pt>
                <c:pt idx="22">
                  <c:v>-5.0886354263985356E-3</c:v>
                </c:pt>
                <c:pt idx="23">
                  <c:v>-0.12175513984550231</c:v>
                </c:pt>
                <c:pt idx="24">
                  <c:v>-3.8266442635213338E-3</c:v>
                </c:pt>
                <c:pt idx="25">
                  <c:v>3.2096494863267555</c:v>
                </c:pt>
                <c:pt idx="26">
                  <c:v>1.5269164135104876</c:v>
                </c:pt>
                <c:pt idx="27">
                  <c:v>1.1672516534140995</c:v>
                </c:pt>
                <c:pt idx="28">
                  <c:v>1.6897613509789093</c:v>
                </c:pt>
                <c:pt idx="29">
                  <c:v>0.27463646388985885</c:v>
                </c:pt>
                <c:pt idx="30">
                  <c:v>-1.6666009734324163</c:v>
                </c:pt>
                <c:pt idx="31">
                  <c:v>-1.5203967281233846</c:v>
                </c:pt>
                <c:pt idx="32">
                  <c:v>-3.3319687043801522</c:v>
                </c:pt>
                <c:pt idx="33">
                  <c:v>-3.5777565933600632</c:v>
                </c:pt>
                <c:pt idx="34">
                  <c:v>-1.8008778024447463</c:v>
                </c:pt>
                <c:pt idx="35">
                  <c:v>-1.6144958935641913</c:v>
                </c:pt>
                <c:pt idx="36">
                  <c:v>0.35378206685840219</c:v>
                </c:pt>
                <c:pt idx="37">
                  <c:v>0.27163877308090079</c:v>
                </c:pt>
                <c:pt idx="38">
                  <c:v>-0.21660427114322289</c:v>
                </c:pt>
                <c:pt idx="39">
                  <c:v>0.25946478879998447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58E-4103-A6C4-20CD7D94AF9E}"/>
            </c:ext>
          </c:extLst>
        </c:ser>
        <c:ser>
          <c:idx val="7"/>
          <c:order val="7"/>
          <c:tx>
            <c:strRef>
              <c:f>'GRAF příspěvky IPP'!$A$34</c:f>
              <c:strCache>
                <c:ptCount val="1"/>
                <c:pt idx="0">
                  <c:v>Těžba a energetika (B, D)</c:v>
                </c:pt>
              </c:strCache>
            </c:strRef>
          </c:tx>
          <c:spPr>
            <a:solidFill>
              <a:srgbClr val="808080"/>
            </a:solidFill>
          </c:spPr>
          <c:invertIfNegative val="0"/>
          <c:cat>
            <c:multiLvlStrRef>
              <c:f>'GRAF příspěvky IPP'!$R$25:$BE$26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'GRAF příspěvky IPP'!$R$34:$BE$34</c:f>
              <c:numCache>
                <c:formatCode>0.0</c:formatCode>
                <c:ptCount val="40"/>
                <c:pt idx="0">
                  <c:v>0.14402037647140767</c:v>
                </c:pt>
                <c:pt idx="1">
                  <c:v>-0.33675824148789951</c:v>
                </c:pt>
                <c:pt idx="2">
                  <c:v>-0.3968935754815921</c:v>
                </c:pt>
                <c:pt idx="3">
                  <c:v>-1.1136308902205647</c:v>
                </c:pt>
                <c:pt idx="4">
                  <c:v>-0.66026658968149066</c:v>
                </c:pt>
                <c:pt idx="5">
                  <c:v>6.6763502761356674E-2</c:v>
                </c:pt>
                <c:pt idx="6">
                  <c:v>-0.46574952767530198</c:v>
                </c:pt>
                <c:pt idx="7">
                  <c:v>0.47124206252466205</c:v>
                </c:pt>
                <c:pt idx="8">
                  <c:v>0.68579685044543348</c:v>
                </c:pt>
                <c:pt idx="9">
                  <c:v>-0.21786071250878586</c:v>
                </c:pt>
                <c:pt idx="10">
                  <c:v>0.74762012671732325</c:v>
                </c:pt>
                <c:pt idx="11">
                  <c:v>0.67922569430551583</c:v>
                </c:pt>
                <c:pt idx="12">
                  <c:v>-0.54241645010765449</c:v>
                </c:pt>
                <c:pt idx="13">
                  <c:v>-1.8631527880888649E-3</c:v>
                </c:pt>
                <c:pt idx="14">
                  <c:v>0.78670127678843149</c:v>
                </c:pt>
                <c:pt idx="15">
                  <c:v>0.32960713526562863</c:v>
                </c:pt>
                <c:pt idx="16">
                  <c:v>6.8904910133199077E-2</c:v>
                </c:pt>
                <c:pt idx="17">
                  <c:v>0.12170682001164354</c:v>
                </c:pt>
                <c:pt idx="18">
                  <c:v>-0.5109816723970585</c:v>
                </c:pt>
                <c:pt idx="19">
                  <c:v>-0.36784640528649537</c:v>
                </c:pt>
                <c:pt idx="20">
                  <c:v>-1.0379724863245821</c:v>
                </c:pt>
                <c:pt idx="21">
                  <c:v>-1.638329285379571</c:v>
                </c:pt>
                <c:pt idx="22">
                  <c:v>-0.82494325172790062</c:v>
                </c:pt>
                <c:pt idx="23">
                  <c:v>-0.74239007583737793</c:v>
                </c:pt>
                <c:pt idx="24">
                  <c:v>0.59173920420433967</c:v>
                </c:pt>
                <c:pt idx="25">
                  <c:v>0.52615327133594958</c:v>
                </c:pt>
                <c:pt idx="26">
                  <c:v>0.31395777043368833</c:v>
                </c:pt>
                <c:pt idx="27">
                  <c:v>0.81666462236045811</c:v>
                </c:pt>
                <c:pt idx="28">
                  <c:v>-0.20911491653441394</c:v>
                </c:pt>
                <c:pt idx="29">
                  <c:v>0.24265195432480871</c:v>
                </c:pt>
                <c:pt idx="30">
                  <c:v>0.41439638250227284</c:v>
                </c:pt>
                <c:pt idx="31">
                  <c:v>-1.2876866574574628</c:v>
                </c:pt>
                <c:pt idx="32">
                  <c:v>-1.3047038808480234</c:v>
                </c:pt>
                <c:pt idx="33">
                  <c:v>-1.5785599472400031</c:v>
                </c:pt>
                <c:pt idx="34">
                  <c:v>-1.6275503109121168</c:v>
                </c:pt>
                <c:pt idx="35">
                  <c:v>-1.1079234071342297</c:v>
                </c:pt>
                <c:pt idx="36">
                  <c:v>-0.77225406933460294</c:v>
                </c:pt>
                <c:pt idx="37">
                  <c:v>-8.1033365758401241E-2</c:v>
                </c:pt>
                <c:pt idx="38">
                  <c:v>3.9457002680721442E-3</c:v>
                </c:pt>
                <c:pt idx="39">
                  <c:v>-0.18707025690625947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58E-4103-A6C4-20CD7D94AF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100"/>
        <c:axId val="112768128"/>
        <c:axId val="112769664"/>
      </c:barChart>
      <c:lineChart>
        <c:grouping val="standard"/>
        <c:varyColors val="0"/>
        <c:ser>
          <c:idx val="8"/>
          <c:order val="8"/>
          <c:tx>
            <c:strRef>
              <c:f>'GRAF příspěvky IPP'!$A$35</c:f>
              <c:strCache>
                <c:ptCount val="1"/>
                <c:pt idx="0">
                  <c:v>Průmysl celkem (NACE B až D)</c:v>
                </c:pt>
              </c:strCache>
            </c:strRef>
          </c:tx>
          <c:spPr>
            <a:ln w="19050">
              <a:noFill/>
            </a:ln>
          </c:spPr>
          <c:marker>
            <c:symbol val="circle"/>
            <c:size val="4"/>
            <c:spPr>
              <a:solidFill>
                <a:srgbClr val="FFFF00"/>
              </a:solidFill>
              <a:ln>
                <a:solidFill>
                  <a:schemeClr val="tx1">
                    <a:lumMod val="95000"/>
                    <a:lumOff val="5000"/>
                  </a:schemeClr>
                </a:solidFill>
              </a:ln>
            </c:spPr>
          </c:marker>
          <c:cat>
            <c:multiLvlStrRef>
              <c:f>'GRAF příspěvky IPP'!$R$25:$BE$26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'GRAF příspěvky IPP'!$R$35:$BE$35</c:f>
              <c:numCache>
                <c:formatCode>0.0</c:formatCode>
                <c:ptCount val="40"/>
                <c:pt idx="0">
                  <c:v>4.8496605073000012</c:v>
                </c:pt>
                <c:pt idx="1">
                  <c:v>5.3026307429999946</c:v>
                </c:pt>
                <c:pt idx="2">
                  <c:v>5.6592883106000045</c:v>
                </c:pt>
                <c:pt idx="3">
                  <c:v>2.4009241675999959</c:v>
                </c:pt>
                <c:pt idx="4">
                  <c:v>3.7935036281999999</c:v>
                </c:pt>
                <c:pt idx="5">
                  <c:v>1.667340101700006</c:v>
                </c:pt>
                <c:pt idx="6">
                  <c:v>1.295772459600002</c:v>
                </c:pt>
                <c:pt idx="7">
                  <c:v>3.346652804200005</c:v>
                </c:pt>
                <c:pt idx="8">
                  <c:v>4.4694819295000059</c:v>
                </c:pt>
                <c:pt idx="9">
                  <c:v>8.0757287747999982</c:v>
                </c:pt>
                <c:pt idx="10">
                  <c:v>6.471008530800006</c:v>
                </c:pt>
                <c:pt idx="11">
                  <c:v>7.2646448002000028</c:v>
                </c:pt>
                <c:pt idx="12">
                  <c:v>4.3462152320000058</c:v>
                </c:pt>
                <c:pt idx="13">
                  <c:v>2.4365124655000017</c:v>
                </c:pt>
                <c:pt idx="14">
                  <c:v>3.7641930207000058</c:v>
                </c:pt>
                <c:pt idx="15">
                  <c:v>1.5933483905999992</c:v>
                </c:pt>
                <c:pt idx="16">
                  <c:v>0.47230060009999875</c:v>
                </c:pt>
                <c:pt idx="17">
                  <c:v>0.71920116619999419</c:v>
                </c:pt>
                <c:pt idx="18">
                  <c:v>-1.5414330485999983</c:v>
                </c:pt>
                <c:pt idx="19">
                  <c:v>-1.7724070997000041</c:v>
                </c:pt>
                <c:pt idx="20">
                  <c:v>-4.2521142571000041</c:v>
                </c:pt>
                <c:pt idx="21">
                  <c:v>-21.785210571700006</c:v>
                </c:pt>
                <c:pt idx="22">
                  <c:v>-3.0649898566999951</c:v>
                </c:pt>
                <c:pt idx="23">
                  <c:v>1.6725311281000046</c:v>
                </c:pt>
                <c:pt idx="24">
                  <c:v>4.114829601699995</c:v>
                </c:pt>
                <c:pt idx="25">
                  <c:v>26.257230240699997</c:v>
                </c:pt>
                <c:pt idx="26">
                  <c:v>0.54610111819999929</c:v>
                </c:pt>
                <c:pt idx="27">
                  <c:v>-1.5372963810000044</c:v>
                </c:pt>
                <c:pt idx="28">
                  <c:v>0.51761284090000004</c:v>
                </c:pt>
                <c:pt idx="29">
                  <c:v>0.58253495169999781</c:v>
                </c:pt>
                <c:pt idx="30">
                  <c:v>5.027650182900004</c:v>
                </c:pt>
                <c:pt idx="31">
                  <c:v>2.3941458925999939</c:v>
                </c:pt>
                <c:pt idx="32">
                  <c:v>0.54243062000000464</c:v>
                </c:pt>
                <c:pt idx="33">
                  <c:v>0.26866432520000672</c:v>
                </c:pt>
                <c:pt idx="34">
                  <c:v>-3.4322693490999967</c:v>
                </c:pt>
                <c:pt idx="35">
                  <c:v>-0.73560401289999788</c:v>
                </c:pt>
                <c:pt idx="36">
                  <c:v>-0.36664043189999518</c:v>
                </c:pt>
                <c:pt idx="37">
                  <c:v>-1.558855649700007</c:v>
                </c:pt>
                <c:pt idx="38">
                  <c:v>0.75999672739999369</c:v>
                </c:pt>
                <c:pt idx="39">
                  <c:v>-2.2006859144999993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F58E-4103-A6C4-20CD7D94AF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768128"/>
        <c:axId val="112769664"/>
      </c:lineChart>
      <c:lineChart>
        <c:grouping val="standard"/>
        <c:varyColors val="0"/>
        <c:ser>
          <c:idx val="9"/>
          <c:order val="9"/>
          <c:tx>
            <c:strRef>
              <c:f>'GRAF příspěvky IPP'!$A$36</c:f>
              <c:strCache>
                <c:ptCount val="1"/>
              </c:strCache>
            </c:strRef>
          </c:tx>
          <c:spPr>
            <a:ln w="15875">
              <a:noFill/>
              <a:prstDash val="sysDot"/>
            </a:ln>
          </c:spPr>
          <c:marker>
            <c:symbol val="none"/>
          </c:marker>
          <c:cat>
            <c:multiLvlStrRef>
              <c:f>'GRAF příspěvky IPP'!$R$25:$BE$26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'GRAF příspěvky IPP'!$R$36:$BE$36</c:f>
              <c:numCache>
                <c:formatCode>General</c:formatCode>
                <c:ptCount val="40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F58E-4103-A6C4-20CD7D94AF9E}"/>
            </c:ext>
          </c:extLst>
        </c:ser>
        <c:ser>
          <c:idx val="10"/>
          <c:order val="10"/>
          <c:tx>
            <c:strRef>
              <c:f>'GRAF příspěvky IPP'!$A$37</c:f>
              <c:strCache>
                <c:ptCount val="1"/>
                <c:pt idx="0">
                  <c:v>Produkce, prům. v ČR celkem (2021=100)</c:v>
                </c:pt>
              </c:strCache>
            </c:strRef>
          </c:tx>
          <c:spPr>
            <a:ln w="15875">
              <a:solidFill>
                <a:schemeClr val="tx1">
                  <a:lumMod val="95000"/>
                  <a:lumOff val="5000"/>
                </a:schemeClr>
              </a:solidFill>
            </a:ln>
          </c:spPr>
          <c:marker>
            <c:symbol val="none"/>
          </c:marker>
          <c:cat>
            <c:multiLvlStrRef>
              <c:f>'GRAF příspěvky IPP'!$R$25:$BE$26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'GRAF příspěvky IPP'!$R$37:$BE$37</c:f>
              <c:numCache>
                <c:formatCode>##0.0</c:formatCode>
                <c:ptCount val="40"/>
                <c:pt idx="0">
                  <c:v>88.4</c:v>
                </c:pt>
                <c:pt idx="1">
                  <c:v>89.9</c:v>
                </c:pt>
                <c:pt idx="2">
                  <c:v>90.9</c:v>
                </c:pt>
                <c:pt idx="3">
                  <c:v>90.1</c:v>
                </c:pt>
                <c:pt idx="4">
                  <c:v>91.8</c:v>
                </c:pt>
                <c:pt idx="5">
                  <c:v>91.3</c:v>
                </c:pt>
                <c:pt idx="6">
                  <c:v>92</c:v>
                </c:pt>
                <c:pt idx="7">
                  <c:v>93.1</c:v>
                </c:pt>
                <c:pt idx="8">
                  <c:v>95.6</c:v>
                </c:pt>
                <c:pt idx="9">
                  <c:v>98.6</c:v>
                </c:pt>
                <c:pt idx="10">
                  <c:v>98.2</c:v>
                </c:pt>
                <c:pt idx="11">
                  <c:v>100.1</c:v>
                </c:pt>
                <c:pt idx="12">
                  <c:v>100.1</c:v>
                </c:pt>
                <c:pt idx="13">
                  <c:v>101.1</c:v>
                </c:pt>
                <c:pt idx="14">
                  <c:v>102</c:v>
                </c:pt>
                <c:pt idx="15">
                  <c:v>101.3</c:v>
                </c:pt>
                <c:pt idx="16">
                  <c:v>100.6</c:v>
                </c:pt>
                <c:pt idx="17">
                  <c:v>102.2</c:v>
                </c:pt>
                <c:pt idx="18">
                  <c:v>100.1</c:v>
                </c:pt>
                <c:pt idx="19">
                  <c:v>99.4</c:v>
                </c:pt>
                <c:pt idx="20">
                  <c:v>96.7</c:v>
                </c:pt>
                <c:pt idx="21">
                  <c:v>80.2</c:v>
                </c:pt>
                <c:pt idx="22">
                  <c:v>97</c:v>
                </c:pt>
                <c:pt idx="23">
                  <c:v>101.1</c:v>
                </c:pt>
                <c:pt idx="24">
                  <c:v>99.6</c:v>
                </c:pt>
                <c:pt idx="25">
                  <c:v>100.7</c:v>
                </c:pt>
                <c:pt idx="26">
                  <c:v>98.5</c:v>
                </c:pt>
                <c:pt idx="27">
                  <c:v>99.3</c:v>
                </c:pt>
                <c:pt idx="28">
                  <c:v>100.7</c:v>
                </c:pt>
                <c:pt idx="29">
                  <c:v>101.4</c:v>
                </c:pt>
                <c:pt idx="30">
                  <c:v>102.8</c:v>
                </c:pt>
                <c:pt idx="31">
                  <c:v>101.9</c:v>
                </c:pt>
                <c:pt idx="32">
                  <c:v>101.2</c:v>
                </c:pt>
                <c:pt idx="33">
                  <c:v>101.5</c:v>
                </c:pt>
                <c:pt idx="34">
                  <c:v>99.2</c:v>
                </c:pt>
                <c:pt idx="35">
                  <c:v>101.5</c:v>
                </c:pt>
                <c:pt idx="36">
                  <c:v>100.9</c:v>
                </c:pt>
                <c:pt idx="37">
                  <c:v>99.9</c:v>
                </c:pt>
                <c:pt idx="38">
                  <c:v>99.8</c:v>
                </c:pt>
                <c:pt idx="39">
                  <c:v>99.2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F58E-4103-A6C4-20CD7D94AF9E}"/>
            </c:ext>
          </c:extLst>
        </c:ser>
        <c:ser>
          <c:idx val="11"/>
          <c:order val="11"/>
          <c:tx>
            <c:strRef>
              <c:f>'GRAF příspěvky IPP'!$A$38</c:f>
              <c:strCache>
                <c:ptCount val="1"/>
                <c:pt idx="0">
                  <c:v>Produkce, prům. v EU27 celkem (2021=100)</c:v>
                </c:pt>
              </c:strCache>
            </c:strRef>
          </c:tx>
          <c:spPr>
            <a:ln w="15875">
              <a:solidFill>
                <a:schemeClr val="tx1">
                  <a:lumMod val="50000"/>
                  <a:lumOff val="50000"/>
                </a:schemeClr>
              </a:solidFill>
              <a:prstDash val="sysDash"/>
            </a:ln>
          </c:spPr>
          <c:marker>
            <c:symbol val="none"/>
          </c:marker>
          <c:cat>
            <c:multiLvlStrRef>
              <c:f>'GRAF příspěvky IPP'!$R$25:$BE$26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'GRAF příspěvky IPP'!$R$38:$BE$38</c:f>
              <c:numCache>
                <c:formatCode>#\ ##0.##########</c:formatCode>
                <c:ptCount val="40"/>
                <c:pt idx="0">
                  <c:v>93</c:v>
                </c:pt>
                <c:pt idx="1">
                  <c:v>93.8</c:v>
                </c:pt>
                <c:pt idx="2">
                  <c:v>94.1</c:v>
                </c:pt>
                <c:pt idx="3">
                  <c:v>93.9</c:v>
                </c:pt>
                <c:pt idx="4">
                  <c:v>94.5</c:v>
                </c:pt>
                <c:pt idx="5">
                  <c:v>94.5</c:v>
                </c:pt>
                <c:pt idx="6">
                  <c:v>94.6</c:v>
                </c:pt>
                <c:pt idx="7">
                  <c:v>95.7</c:v>
                </c:pt>
                <c:pt idx="8">
                  <c:v>96.1</c:v>
                </c:pt>
                <c:pt idx="9">
                  <c:v>97.3</c:v>
                </c:pt>
                <c:pt idx="10">
                  <c:v>98.7</c:v>
                </c:pt>
                <c:pt idx="11">
                  <c:v>100.6</c:v>
                </c:pt>
                <c:pt idx="12">
                  <c:v>99.2</c:v>
                </c:pt>
                <c:pt idx="13">
                  <c:v>99.7</c:v>
                </c:pt>
                <c:pt idx="14">
                  <c:v>99.4</c:v>
                </c:pt>
                <c:pt idx="15">
                  <c:v>99.1</c:v>
                </c:pt>
                <c:pt idx="16">
                  <c:v>99.5</c:v>
                </c:pt>
                <c:pt idx="17">
                  <c:v>99.3</c:v>
                </c:pt>
                <c:pt idx="18">
                  <c:v>98.7</c:v>
                </c:pt>
                <c:pt idx="19">
                  <c:v>98</c:v>
                </c:pt>
                <c:pt idx="20">
                  <c:v>95</c:v>
                </c:pt>
                <c:pt idx="21">
                  <c:v>80.3</c:v>
                </c:pt>
                <c:pt idx="22">
                  <c:v>93.5</c:v>
                </c:pt>
                <c:pt idx="23">
                  <c:v>98</c:v>
                </c:pt>
                <c:pt idx="24">
                  <c:v>99.5</c:v>
                </c:pt>
                <c:pt idx="25">
                  <c:v>100</c:v>
                </c:pt>
                <c:pt idx="26">
                  <c:v>99.7</c:v>
                </c:pt>
                <c:pt idx="27">
                  <c:v>100.7</c:v>
                </c:pt>
                <c:pt idx="28">
                  <c:v>101.8</c:v>
                </c:pt>
                <c:pt idx="29">
                  <c:v>102.5</c:v>
                </c:pt>
                <c:pt idx="30">
                  <c:v>103</c:v>
                </c:pt>
                <c:pt idx="31">
                  <c:v>102.6</c:v>
                </c:pt>
                <c:pt idx="32">
                  <c:v>103</c:v>
                </c:pt>
                <c:pt idx="33">
                  <c:v>102.1</c:v>
                </c:pt>
                <c:pt idx="34">
                  <c:v>99.7</c:v>
                </c:pt>
                <c:pt idx="35">
                  <c:v>99.6</c:v>
                </c:pt>
                <c:pt idx="36">
                  <c:v>99</c:v>
                </c:pt>
                <c:pt idx="37">
                  <c:v>98.8</c:v>
                </c:pt>
                <c:pt idx="38" formatCode="General">
                  <c:v>98.6</c:v>
                </c:pt>
                <c:pt idx="39" formatCode="General">
                  <c:v>98.3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F58E-4103-A6C4-20CD7D94AF9E}"/>
            </c:ext>
          </c:extLst>
        </c:ser>
        <c:ser>
          <c:idx val="12"/>
          <c:order val="12"/>
          <c:tx>
            <c:strRef>
              <c:f>'GRAF příspěvky IPP'!$A$39</c:f>
              <c:strCache>
                <c:ptCount val="1"/>
                <c:pt idx="0">
                  <c:v>Produkce, prům. v Německu (2021=100)</c:v>
                </c:pt>
              </c:strCache>
            </c:strRef>
          </c:tx>
          <c:spPr>
            <a:ln w="15875">
              <a:solidFill>
                <a:srgbClr val="996633"/>
              </a:solidFill>
              <a:prstDash val="dash"/>
            </a:ln>
          </c:spPr>
          <c:marker>
            <c:symbol val="none"/>
          </c:marker>
          <c:cat>
            <c:multiLvlStrRef>
              <c:f>'GRAF příspěvky IPP'!$R$25:$BE$26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'GRAF příspěvky IPP'!$R$39:$BE$39</c:f>
              <c:numCache>
                <c:formatCode>#\ ##0.##########</c:formatCode>
                <c:ptCount val="40"/>
                <c:pt idx="0">
                  <c:v>102.7</c:v>
                </c:pt>
                <c:pt idx="1">
                  <c:v>104</c:v>
                </c:pt>
                <c:pt idx="2">
                  <c:v>103.8</c:v>
                </c:pt>
                <c:pt idx="3">
                  <c:v>103.3</c:v>
                </c:pt>
                <c:pt idx="4">
                  <c:v>104.4</c:v>
                </c:pt>
                <c:pt idx="5">
                  <c:v>104</c:v>
                </c:pt>
                <c:pt idx="6">
                  <c:v>104.4</c:v>
                </c:pt>
                <c:pt idx="7">
                  <c:v>104.5</c:v>
                </c:pt>
                <c:pt idx="8">
                  <c:v>105</c:v>
                </c:pt>
                <c:pt idx="9">
                  <c:v>107</c:v>
                </c:pt>
                <c:pt idx="10">
                  <c:v>108.8</c:v>
                </c:pt>
                <c:pt idx="11">
                  <c:v>109.6</c:v>
                </c:pt>
                <c:pt idx="12">
                  <c:v>109</c:v>
                </c:pt>
                <c:pt idx="13">
                  <c:v>109.8</c:v>
                </c:pt>
                <c:pt idx="14">
                  <c:v>108.8</c:v>
                </c:pt>
                <c:pt idx="15">
                  <c:v>107.2</c:v>
                </c:pt>
                <c:pt idx="16">
                  <c:v>107</c:v>
                </c:pt>
                <c:pt idx="17">
                  <c:v>105.8</c:v>
                </c:pt>
                <c:pt idx="18">
                  <c:v>104.6</c:v>
                </c:pt>
                <c:pt idx="19">
                  <c:v>102.9</c:v>
                </c:pt>
                <c:pt idx="20">
                  <c:v>101.3</c:v>
                </c:pt>
                <c:pt idx="21">
                  <c:v>82.9</c:v>
                </c:pt>
                <c:pt idx="22">
                  <c:v>94.8</c:v>
                </c:pt>
                <c:pt idx="23">
                  <c:v>100.9</c:v>
                </c:pt>
                <c:pt idx="24">
                  <c:v>100.8</c:v>
                </c:pt>
                <c:pt idx="25">
                  <c:v>99.9</c:v>
                </c:pt>
                <c:pt idx="26">
                  <c:v>96.9</c:v>
                </c:pt>
                <c:pt idx="27">
                  <c:v>99.9</c:v>
                </c:pt>
                <c:pt idx="28">
                  <c:v>99.3</c:v>
                </c:pt>
                <c:pt idx="29">
                  <c:v>98.8</c:v>
                </c:pt>
                <c:pt idx="30">
                  <c:v>99.3</c:v>
                </c:pt>
                <c:pt idx="31">
                  <c:v>98.9</c:v>
                </c:pt>
                <c:pt idx="32">
                  <c:v>100.1</c:v>
                </c:pt>
                <c:pt idx="33">
                  <c:v>98.3</c:v>
                </c:pt>
                <c:pt idx="34">
                  <c:v>95.8</c:v>
                </c:pt>
                <c:pt idx="35">
                  <c:v>94.5</c:v>
                </c:pt>
                <c:pt idx="36">
                  <c:v>94.5</c:v>
                </c:pt>
                <c:pt idx="37">
                  <c:v>93.4</c:v>
                </c:pt>
                <c:pt idx="38" formatCode="General">
                  <c:v>91.9</c:v>
                </c:pt>
                <c:pt idx="39" formatCode="General">
                  <c:v>91.1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F58E-4103-A6C4-20CD7D94AF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3731104"/>
        <c:axId val="1513729024"/>
      </c:lineChart>
      <c:catAx>
        <c:axId val="112768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12769664"/>
        <c:crosses val="autoZero"/>
        <c:auto val="1"/>
        <c:lblAlgn val="ctr"/>
        <c:lblOffset val="0"/>
        <c:noMultiLvlLbl val="0"/>
      </c:catAx>
      <c:valAx>
        <c:axId val="112769664"/>
        <c:scaling>
          <c:orientation val="minMax"/>
          <c:max val="30"/>
          <c:min val="-25"/>
        </c:scaling>
        <c:delete val="0"/>
        <c:axPos val="l"/>
        <c:majorGridlines>
          <c:spPr>
            <a:ln>
              <a:solidFill>
                <a:srgbClr val="BEBEBE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 i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cs-CZ" sz="700" b="0" i="1" u="none" strike="noStrike" baseline="0">
                    <a:effectLst/>
                  </a:rPr>
                  <a:t>Prům. produkce (příspěvky  k meziroč. změně)</a:t>
                </a:r>
                <a:endParaRPr lang="cs-CZ" sz="700" b="0" i="1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0"/>
              <c:y val="0.116519800431869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12768128"/>
        <c:crosses val="autoZero"/>
        <c:crossBetween val="between"/>
        <c:majorUnit val="5"/>
      </c:valAx>
      <c:valAx>
        <c:axId val="1513729024"/>
        <c:scaling>
          <c:orientation val="minMax"/>
          <c:max val="118"/>
          <c:min val="52"/>
        </c:scaling>
        <c:delete val="0"/>
        <c:axPos val="r"/>
        <c:title>
          <c:tx>
            <c:rich>
              <a:bodyPr/>
              <a:lstStyle/>
              <a:p>
                <a:pPr>
                  <a:defRPr sz="700" b="0" i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cs-CZ" sz="700" b="0" i="1">
                    <a:latin typeface="Arial" panose="020B0604020202020204" pitchFamily="34" charset="0"/>
                    <a:cs typeface="Arial" panose="020B0604020202020204" pitchFamily="34" charset="0"/>
                  </a:rPr>
                  <a:t>Produkce</a:t>
                </a:r>
                <a:r>
                  <a:rPr lang="cs-CZ" sz="700" b="0" i="1" baseline="0">
                    <a:latin typeface="Arial" panose="020B0604020202020204" pitchFamily="34" charset="0"/>
                    <a:cs typeface="Arial" panose="020B0604020202020204" pitchFamily="34" charset="0"/>
                  </a:rPr>
                  <a:t> </a:t>
                </a:r>
                <a:r>
                  <a:rPr lang="cs-CZ" sz="700" b="0" i="1">
                    <a:latin typeface="Arial" panose="020B0604020202020204" pitchFamily="34" charset="0"/>
                    <a:cs typeface="Arial" panose="020B0604020202020204" pitchFamily="34" charset="0"/>
                  </a:rPr>
                  <a:t>v průmyslu (báze 2021=100)</a:t>
                </a:r>
              </a:p>
            </c:rich>
          </c:tx>
          <c:layout>
            <c:manualLayout>
              <c:xMode val="edge"/>
              <c:yMode val="edge"/>
              <c:x val="0.97040158454025283"/>
              <c:y val="0.1664992231222941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1513731104"/>
        <c:crosses val="max"/>
        <c:crossBetween val="between"/>
        <c:majorUnit val="6"/>
      </c:valAx>
      <c:catAx>
        <c:axId val="15137311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13729024"/>
        <c:crosses val="autoZero"/>
        <c:auto val="1"/>
        <c:lblAlgn val="ctr"/>
        <c:lblOffset val="100"/>
        <c:noMultiLvlLbl val="0"/>
      </c:catAx>
      <c:spPr>
        <a:noFill/>
        <a:ln w="6350">
          <a:solidFill>
            <a:prstClr val="black">
              <a:lumMod val="95000"/>
              <a:lumOff val="5000"/>
            </a:prstClr>
          </a:solidFill>
        </a:ln>
      </c:spPr>
    </c:plotArea>
    <c:legend>
      <c:legendPos val="r"/>
      <c:layout>
        <c:manualLayout>
          <c:xMode val="edge"/>
          <c:yMode val="edge"/>
          <c:x val="5.257665068025226E-3"/>
          <c:y val="0.78956533796177808"/>
          <c:w val="0.98866589538224925"/>
          <c:h val="0.20327688625655532"/>
        </c:manualLayout>
      </c:layout>
      <c:overlay val="0"/>
      <c:spPr>
        <a:ln w="6350">
          <a:solidFill>
            <a:prstClr val="black">
              <a:lumMod val="95000"/>
              <a:lumOff val="5000"/>
            </a:prstClr>
          </a:solidFill>
        </a:ln>
      </c:spPr>
      <c:txPr>
        <a:bodyPr/>
        <a:lstStyle/>
        <a:p>
          <a:pPr>
            <a:defRPr sz="720">
              <a:latin typeface="Arial" pitchFamily="34" charset="0"/>
              <a:cs typeface="Arial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688042665536843E-2"/>
          <c:y val="1.5647041011259352E-2"/>
          <c:w val="0.84974974879787502"/>
          <c:h val="0.7506360221430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'výkonnost odvětví 2'!$A$36</c:f>
              <c:strCache>
                <c:ptCount val="1"/>
                <c:pt idx="0">
                  <c:v>Průmyslové zakázky celkem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</c:spPr>
          <c:invertIfNegative val="0"/>
          <c:cat>
            <c:multiLvlStrRef>
              <c:f>'výkonnost odvětví 2'!$AD$34:$BF$35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  <c:pt idx="24">
                    <c:v>2024</c:v>
                  </c:pt>
                  <c:pt idx="28">
                    <c:v>2025</c:v>
                  </c:pt>
                </c:lvl>
              </c:multiLvlStrCache>
            </c:multiLvlStrRef>
          </c:cat>
          <c:val>
            <c:numRef>
              <c:f>'výkonnost odvětví 2'!$AD$36:$BF$36</c:f>
              <c:numCache>
                <c:formatCode>##0.0</c:formatCode>
                <c:ptCount val="29"/>
                <c:pt idx="0">
                  <c:v>3.2993551214999997</c:v>
                </c:pt>
                <c:pt idx="1">
                  <c:v>2.9773571834000023</c:v>
                </c:pt>
                <c:pt idx="2">
                  <c:v>3.5300064828000046</c:v>
                </c:pt>
                <c:pt idx="3">
                  <c:v>2.4324207204000032</c:v>
                </c:pt>
                <c:pt idx="4">
                  <c:v>3.2234606388999936</c:v>
                </c:pt>
                <c:pt idx="5">
                  <c:v>2.1291359181000047</c:v>
                </c:pt>
                <c:pt idx="6">
                  <c:v>-1.1496242270000039</c:v>
                </c:pt>
                <c:pt idx="7">
                  <c:v>-2.8233445845000062</c:v>
                </c:pt>
                <c:pt idx="8">
                  <c:v>-4.1421474552000035</c:v>
                </c:pt>
                <c:pt idx="9">
                  <c:v>-27.261303375300002</c:v>
                </c:pt>
                <c:pt idx="10">
                  <c:v>-0.61408028729999842</c:v>
                </c:pt>
                <c:pt idx="11">
                  <c:v>6.5219093458999993</c:v>
                </c:pt>
                <c:pt idx="12">
                  <c:v>10.302386093899997</c:v>
                </c:pt>
                <c:pt idx="13">
                  <c:v>47.006791835400008</c:v>
                </c:pt>
                <c:pt idx="14">
                  <c:v>7.4121163405999937</c:v>
                </c:pt>
                <c:pt idx="15">
                  <c:v>4.1365790068000052</c:v>
                </c:pt>
                <c:pt idx="16">
                  <c:v>6.8490137814000036</c:v>
                </c:pt>
                <c:pt idx="17">
                  <c:v>10.085971342999997</c:v>
                </c:pt>
                <c:pt idx="18">
                  <c:v>15.318582962099995</c:v>
                </c:pt>
                <c:pt idx="19">
                  <c:v>12.433152473999996</c:v>
                </c:pt>
                <c:pt idx="20">
                  <c:v>2.9052841525000019</c:v>
                </c:pt>
                <c:pt idx="21">
                  <c:v>-2.3914562299000011</c:v>
                </c:pt>
                <c:pt idx="22">
                  <c:v>-4.8730479777999989</c:v>
                </c:pt>
                <c:pt idx="23">
                  <c:v>-0.99576249449999921</c:v>
                </c:pt>
                <c:pt idx="24">
                  <c:v>4.5372733083000014</c:v>
                </c:pt>
                <c:pt idx="25">
                  <c:v>3.973817590799996</c:v>
                </c:pt>
                <c:pt idx="26">
                  <c:v>4.913717146099998</c:v>
                </c:pt>
                <c:pt idx="27">
                  <c:v>1.1531009624000035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D2-465D-8770-A907B23BFC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112768128"/>
        <c:axId val="112769664"/>
      </c:barChart>
      <c:lineChart>
        <c:grouping val="standard"/>
        <c:varyColors val="0"/>
        <c:ser>
          <c:idx val="1"/>
          <c:order val="1"/>
          <c:tx>
            <c:strRef>
              <c:f>'výkonnost odvětví 2'!$A$37</c:f>
              <c:strCache>
                <c:ptCount val="1"/>
                <c:pt idx="0">
                  <c:v>z toho: zakázky z tuzemska</c:v>
                </c:pt>
              </c:strCache>
            </c:strRef>
          </c:tx>
          <c:spPr>
            <a:ln w="15875">
              <a:noFill/>
              <a:prstDash val="sysDot"/>
            </a:ln>
          </c:spPr>
          <c:marker>
            <c:symbol val="diamond"/>
            <c:size val="5"/>
            <c:spPr>
              <a:solidFill>
                <a:srgbClr val="984807"/>
              </a:solidFill>
              <a:ln>
                <a:noFill/>
              </a:ln>
            </c:spPr>
          </c:marker>
          <c:cat>
            <c:multiLvlStrRef>
              <c:f>'výkonnost odvětví 2'!$AD$34:$BF$35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  <c:pt idx="24">
                    <c:v>2024</c:v>
                  </c:pt>
                  <c:pt idx="28">
                    <c:v>2025</c:v>
                  </c:pt>
                </c:lvl>
              </c:multiLvlStrCache>
            </c:multiLvlStrRef>
          </c:cat>
          <c:val>
            <c:numRef>
              <c:f>'výkonnost odvětví 2'!$AD$37:$BF$37</c:f>
              <c:numCache>
                <c:formatCode>##0.0</c:formatCode>
                <c:ptCount val="29"/>
                <c:pt idx="0">
                  <c:v>2.1530605192999985</c:v>
                </c:pt>
                <c:pt idx="1">
                  <c:v>2.440306231799994</c:v>
                </c:pt>
                <c:pt idx="2">
                  <c:v>4.7510172912000002</c:v>
                </c:pt>
                <c:pt idx="3">
                  <c:v>3.3084884759999937</c:v>
                </c:pt>
                <c:pt idx="4">
                  <c:v>7.6964313707999992</c:v>
                </c:pt>
                <c:pt idx="5">
                  <c:v>5.9656126075999936</c:v>
                </c:pt>
                <c:pt idx="6">
                  <c:v>0.2850715043000065</c:v>
                </c:pt>
                <c:pt idx="7">
                  <c:v>-0.84674153630000148</c:v>
                </c:pt>
                <c:pt idx="8">
                  <c:v>0.84542569580000304</c:v>
                </c:pt>
                <c:pt idx="9">
                  <c:v>-25.680778364399998</c:v>
                </c:pt>
                <c:pt idx="10">
                  <c:v>-3.379983194199994</c:v>
                </c:pt>
                <c:pt idx="11">
                  <c:v>5.566224000099993</c:v>
                </c:pt>
                <c:pt idx="12">
                  <c:v>2.1984888990999991</c:v>
                </c:pt>
                <c:pt idx="13">
                  <c:v>42.282763352500012</c:v>
                </c:pt>
                <c:pt idx="14">
                  <c:v>9.2435624139999959</c:v>
                </c:pt>
                <c:pt idx="15">
                  <c:v>5.7946060289000059</c:v>
                </c:pt>
                <c:pt idx="16">
                  <c:v>8.7628335220999958</c:v>
                </c:pt>
                <c:pt idx="17">
                  <c:v>15.459617554999994</c:v>
                </c:pt>
                <c:pt idx="18">
                  <c:v>26.231847318299998</c:v>
                </c:pt>
                <c:pt idx="19">
                  <c:v>19.254464608299998</c:v>
                </c:pt>
                <c:pt idx="20">
                  <c:v>12.015611591400003</c:v>
                </c:pt>
                <c:pt idx="21">
                  <c:v>2.2971826952999947</c:v>
                </c:pt>
                <c:pt idx="22">
                  <c:v>-6.8090795378000024</c:v>
                </c:pt>
                <c:pt idx="23">
                  <c:v>-0.66200910400000623</c:v>
                </c:pt>
                <c:pt idx="24">
                  <c:v>4.0524108900000044</c:v>
                </c:pt>
                <c:pt idx="25">
                  <c:v>3.1106756708999939</c:v>
                </c:pt>
                <c:pt idx="26">
                  <c:v>7.9767878582999998</c:v>
                </c:pt>
                <c:pt idx="27">
                  <c:v>2.422567383599997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FD2-465D-8770-A907B23BFC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768128"/>
        <c:axId val="112769664"/>
      </c:lineChart>
      <c:lineChart>
        <c:grouping val="standard"/>
        <c:varyColors val="0"/>
        <c:ser>
          <c:idx val="2"/>
          <c:order val="2"/>
          <c:tx>
            <c:strRef>
              <c:f>'výkonnost odvětví 2'!$A$38</c:f>
              <c:strCache>
                <c:ptCount val="1"/>
                <c:pt idx="0">
                  <c:v>Využití výrob. kapacit v průmyslu celkem</c:v>
                </c:pt>
              </c:strCache>
            </c:strRef>
          </c:tx>
          <c:spPr>
            <a:ln w="15875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multiLvlStrRef>
              <c:f>'výkonnost odvětví 2'!$AD$34:$BF$35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  <c:pt idx="24">
                    <c:v>2024</c:v>
                  </c:pt>
                  <c:pt idx="28">
                    <c:v>2025</c:v>
                  </c:pt>
                </c:lvl>
              </c:multiLvlStrCache>
            </c:multiLvlStrRef>
          </c:cat>
          <c:val>
            <c:numRef>
              <c:f>'výkonnost odvětví 2'!$AD$38:$BF$38</c:f>
              <c:numCache>
                <c:formatCode>##0.0</c:formatCode>
                <c:ptCount val="29"/>
                <c:pt idx="0">
                  <c:v>85.33</c:v>
                </c:pt>
                <c:pt idx="1">
                  <c:v>84.89</c:v>
                </c:pt>
                <c:pt idx="2">
                  <c:v>85.13</c:v>
                </c:pt>
                <c:pt idx="3">
                  <c:v>84.76</c:v>
                </c:pt>
                <c:pt idx="4">
                  <c:v>84.93</c:v>
                </c:pt>
                <c:pt idx="5">
                  <c:v>85.19</c:v>
                </c:pt>
                <c:pt idx="6">
                  <c:v>83.6</c:v>
                </c:pt>
                <c:pt idx="7">
                  <c:v>83.7</c:v>
                </c:pt>
                <c:pt idx="8">
                  <c:v>84.2</c:v>
                </c:pt>
                <c:pt idx="9">
                  <c:v>70.400000000000006</c:v>
                </c:pt>
                <c:pt idx="10">
                  <c:v>76.3</c:v>
                </c:pt>
                <c:pt idx="11">
                  <c:v>82.7</c:v>
                </c:pt>
                <c:pt idx="12">
                  <c:v>85.8</c:v>
                </c:pt>
                <c:pt idx="13">
                  <c:v>84.4</c:v>
                </c:pt>
                <c:pt idx="14">
                  <c:v>86.41</c:v>
                </c:pt>
                <c:pt idx="15">
                  <c:v>77.599999999999994</c:v>
                </c:pt>
                <c:pt idx="16">
                  <c:v>83.6</c:v>
                </c:pt>
                <c:pt idx="17">
                  <c:v>82.17</c:v>
                </c:pt>
                <c:pt idx="18">
                  <c:v>83.5</c:v>
                </c:pt>
                <c:pt idx="19">
                  <c:v>81.099999999999994</c:v>
                </c:pt>
                <c:pt idx="20">
                  <c:v>81.400000000000006</c:v>
                </c:pt>
                <c:pt idx="21">
                  <c:v>83.7</c:v>
                </c:pt>
                <c:pt idx="22">
                  <c:v>83.5</c:v>
                </c:pt>
                <c:pt idx="23">
                  <c:v>83.6</c:v>
                </c:pt>
                <c:pt idx="24">
                  <c:v>83.1</c:v>
                </c:pt>
                <c:pt idx="25">
                  <c:v>83</c:v>
                </c:pt>
                <c:pt idx="26">
                  <c:v>80.599999999999994</c:v>
                </c:pt>
                <c:pt idx="27">
                  <c:v>82.47</c:v>
                </c:pt>
                <c:pt idx="28">
                  <c:v>82.7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FD2-465D-8770-A907B23BFCDE}"/>
            </c:ext>
          </c:extLst>
        </c:ser>
        <c:ser>
          <c:idx val="3"/>
          <c:order val="3"/>
          <c:tx>
            <c:strRef>
              <c:f>'výkonnost odvětví 2'!$A$39</c:f>
              <c:strCache>
                <c:ptCount val="1"/>
                <c:pt idx="0">
                  <c:v>Využití výrob. kapacit v automobil. prům.</c:v>
                </c:pt>
              </c:strCache>
            </c:strRef>
          </c:tx>
          <c:spPr>
            <a:ln w="15875">
              <a:solidFill>
                <a:schemeClr val="accent6">
                  <a:lumMod val="75000"/>
                </a:schemeClr>
              </a:solidFill>
              <a:prstDash val="sysDash"/>
            </a:ln>
          </c:spPr>
          <c:marker>
            <c:symbol val="none"/>
          </c:marker>
          <c:cat>
            <c:multiLvlStrRef>
              <c:f>'výkonnost odvětví 2'!$AD$34:$BF$35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  <c:pt idx="24">
                    <c:v>2024</c:v>
                  </c:pt>
                  <c:pt idx="28">
                    <c:v>2025</c:v>
                  </c:pt>
                </c:lvl>
              </c:multiLvlStrCache>
            </c:multiLvlStrRef>
          </c:cat>
          <c:val>
            <c:numRef>
              <c:f>'výkonnost odvětví 2'!$AD$39:$BF$39</c:f>
              <c:numCache>
                <c:formatCode>##0.0</c:formatCode>
                <c:ptCount val="29"/>
                <c:pt idx="0">
                  <c:v>91.4</c:v>
                </c:pt>
                <c:pt idx="1">
                  <c:v>91.3</c:v>
                </c:pt>
                <c:pt idx="2">
                  <c:v>92.9</c:v>
                </c:pt>
                <c:pt idx="3">
                  <c:v>92.5</c:v>
                </c:pt>
                <c:pt idx="4">
                  <c:v>92.9</c:v>
                </c:pt>
                <c:pt idx="5">
                  <c:v>92.7</c:v>
                </c:pt>
                <c:pt idx="6">
                  <c:v>92.8</c:v>
                </c:pt>
                <c:pt idx="7">
                  <c:v>93</c:v>
                </c:pt>
                <c:pt idx="8">
                  <c:v>90.6</c:v>
                </c:pt>
                <c:pt idx="9">
                  <c:v>45</c:v>
                </c:pt>
                <c:pt idx="10">
                  <c:v>79.099999999999994</c:v>
                </c:pt>
                <c:pt idx="11">
                  <c:v>96.9</c:v>
                </c:pt>
                <c:pt idx="12">
                  <c:v>94.9</c:v>
                </c:pt>
                <c:pt idx="13">
                  <c:v>89.6</c:v>
                </c:pt>
                <c:pt idx="14">
                  <c:v>95.3</c:v>
                </c:pt>
                <c:pt idx="15">
                  <c:v>55.8</c:v>
                </c:pt>
                <c:pt idx="16">
                  <c:v>84.5</c:v>
                </c:pt>
                <c:pt idx="17">
                  <c:v>76.7</c:v>
                </c:pt>
                <c:pt idx="18">
                  <c:v>79</c:v>
                </c:pt>
                <c:pt idx="19">
                  <c:v>74.099999999999994</c:v>
                </c:pt>
                <c:pt idx="20">
                  <c:v>79.400000000000006</c:v>
                </c:pt>
                <c:pt idx="21">
                  <c:v>92.7</c:v>
                </c:pt>
                <c:pt idx="22">
                  <c:v>92.2</c:v>
                </c:pt>
                <c:pt idx="23">
                  <c:v>92.2</c:v>
                </c:pt>
                <c:pt idx="24">
                  <c:v>92.7</c:v>
                </c:pt>
                <c:pt idx="25">
                  <c:v>93.5</c:v>
                </c:pt>
                <c:pt idx="26">
                  <c:v>89.9</c:v>
                </c:pt>
                <c:pt idx="27">
                  <c:v>92.9</c:v>
                </c:pt>
                <c:pt idx="28">
                  <c:v>93.100000000000009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FD2-465D-8770-A907B23BFCDE}"/>
            </c:ext>
          </c:extLst>
        </c:ser>
        <c:ser>
          <c:idx val="4"/>
          <c:order val="4"/>
          <c:tx>
            <c:strRef>
              <c:f>'výkonnost odvětví 2'!$A$40</c:f>
              <c:strCache>
                <c:ptCount val="1"/>
                <c:pt idx="0">
                  <c:v>Bariéra růstu: nedostatečná poptávka</c:v>
                </c:pt>
              </c:strCache>
            </c:strRef>
          </c:tx>
          <c:spPr>
            <a:ln w="15875">
              <a:solidFill>
                <a:srgbClr val="00B050"/>
              </a:solidFill>
              <a:prstDash val="solid"/>
            </a:ln>
          </c:spPr>
          <c:marker>
            <c:symbol val="none"/>
          </c:marker>
          <c:cat>
            <c:multiLvlStrRef>
              <c:f>'výkonnost odvětví 2'!$AD$34:$BF$35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  <c:pt idx="24">
                    <c:v>2024</c:v>
                  </c:pt>
                  <c:pt idx="28">
                    <c:v>2025</c:v>
                  </c:pt>
                </c:lvl>
              </c:multiLvlStrCache>
            </c:multiLvlStrRef>
          </c:cat>
          <c:val>
            <c:numRef>
              <c:f>'výkonnost odvětví 2'!$AD$40:$BF$40</c:f>
              <c:numCache>
                <c:formatCode>#\ ##0.0</c:formatCode>
                <c:ptCount val="29"/>
                <c:pt idx="0">
                  <c:v>35.4</c:v>
                </c:pt>
                <c:pt idx="1">
                  <c:v>36.299999999999997</c:v>
                </c:pt>
                <c:pt idx="2">
                  <c:v>32.4</c:v>
                </c:pt>
                <c:pt idx="3">
                  <c:v>32.9</c:v>
                </c:pt>
                <c:pt idx="4">
                  <c:v>33.799999999999997</c:v>
                </c:pt>
                <c:pt idx="5">
                  <c:v>36.200000000000003</c:v>
                </c:pt>
                <c:pt idx="6">
                  <c:v>41</c:v>
                </c:pt>
                <c:pt idx="7">
                  <c:v>47.1</c:v>
                </c:pt>
                <c:pt idx="8">
                  <c:v>49.8</c:v>
                </c:pt>
                <c:pt idx="9">
                  <c:v>58.8</c:v>
                </c:pt>
                <c:pt idx="10">
                  <c:v>63</c:v>
                </c:pt>
                <c:pt idx="11">
                  <c:v>44.4</c:v>
                </c:pt>
                <c:pt idx="12">
                  <c:v>46.9</c:v>
                </c:pt>
                <c:pt idx="13">
                  <c:v>38.700000000000003</c:v>
                </c:pt>
                <c:pt idx="14">
                  <c:v>25.4</c:v>
                </c:pt>
                <c:pt idx="15">
                  <c:v>27.9</c:v>
                </c:pt>
                <c:pt idx="16">
                  <c:v>29.9</c:v>
                </c:pt>
                <c:pt idx="17">
                  <c:v>21.3</c:v>
                </c:pt>
                <c:pt idx="18">
                  <c:v>18.7</c:v>
                </c:pt>
                <c:pt idx="19">
                  <c:v>29.4</c:v>
                </c:pt>
                <c:pt idx="20">
                  <c:v>42.5</c:v>
                </c:pt>
                <c:pt idx="21">
                  <c:v>42</c:v>
                </c:pt>
                <c:pt idx="22">
                  <c:v>44.3</c:v>
                </c:pt>
                <c:pt idx="23">
                  <c:v>46.2</c:v>
                </c:pt>
                <c:pt idx="24">
                  <c:v>47.5</c:v>
                </c:pt>
                <c:pt idx="25">
                  <c:v>49.8</c:v>
                </c:pt>
                <c:pt idx="26">
                  <c:v>52</c:v>
                </c:pt>
                <c:pt idx="27">
                  <c:v>49</c:v>
                </c:pt>
                <c:pt idx="28">
                  <c:v>63.5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FD2-465D-8770-A907B23BFCDE}"/>
            </c:ext>
          </c:extLst>
        </c:ser>
        <c:ser>
          <c:idx val="5"/>
          <c:order val="5"/>
          <c:tx>
            <c:strRef>
              <c:f>'výkonnost odvětví 2'!$A$41</c:f>
              <c:strCache>
                <c:ptCount val="1"/>
                <c:pt idx="0">
                  <c:v>Bariéra růstu: nedostatek pracovníků</c:v>
                </c:pt>
              </c:strCache>
            </c:strRef>
          </c:tx>
          <c:spPr>
            <a:ln w="15875">
              <a:solidFill>
                <a:srgbClr val="6FE772"/>
              </a:solidFill>
              <a:prstDash val="solid"/>
            </a:ln>
          </c:spPr>
          <c:marker>
            <c:symbol val="none"/>
          </c:marker>
          <c:cat>
            <c:multiLvlStrRef>
              <c:f>'výkonnost odvětví 2'!$AD$34:$BF$35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  <c:pt idx="24">
                    <c:v>2024</c:v>
                  </c:pt>
                  <c:pt idx="28">
                    <c:v>2025</c:v>
                  </c:pt>
                </c:lvl>
              </c:multiLvlStrCache>
            </c:multiLvlStrRef>
          </c:cat>
          <c:val>
            <c:numRef>
              <c:f>'výkonnost odvětví 2'!$AD$41:$BF$41</c:f>
              <c:numCache>
                <c:formatCode>#\ ##0.0</c:formatCode>
                <c:ptCount val="29"/>
                <c:pt idx="0">
                  <c:v>43.5</c:v>
                </c:pt>
                <c:pt idx="1">
                  <c:v>42.3</c:v>
                </c:pt>
                <c:pt idx="2">
                  <c:v>43.2</c:v>
                </c:pt>
                <c:pt idx="3">
                  <c:v>46.3</c:v>
                </c:pt>
                <c:pt idx="4">
                  <c:v>39</c:v>
                </c:pt>
                <c:pt idx="5">
                  <c:v>35.1</c:v>
                </c:pt>
                <c:pt idx="6">
                  <c:v>40.200000000000003</c:v>
                </c:pt>
                <c:pt idx="7">
                  <c:v>39.200000000000003</c:v>
                </c:pt>
                <c:pt idx="8">
                  <c:v>27.7</c:v>
                </c:pt>
                <c:pt idx="9">
                  <c:v>13.5</c:v>
                </c:pt>
                <c:pt idx="10">
                  <c:v>16.7</c:v>
                </c:pt>
                <c:pt idx="11">
                  <c:v>17.600000000000001</c:v>
                </c:pt>
                <c:pt idx="12">
                  <c:v>22</c:v>
                </c:pt>
                <c:pt idx="13">
                  <c:v>18.399999999999999</c:v>
                </c:pt>
                <c:pt idx="14">
                  <c:v>27.6</c:v>
                </c:pt>
                <c:pt idx="15">
                  <c:v>22.6</c:v>
                </c:pt>
                <c:pt idx="16">
                  <c:v>24.9</c:v>
                </c:pt>
                <c:pt idx="17">
                  <c:v>18.600000000000001</c:v>
                </c:pt>
                <c:pt idx="18">
                  <c:v>26.1</c:v>
                </c:pt>
                <c:pt idx="19">
                  <c:v>24.9</c:v>
                </c:pt>
                <c:pt idx="20">
                  <c:v>16.600000000000001</c:v>
                </c:pt>
                <c:pt idx="21">
                  <c:v>20.6</c:v>
                </c:pt>
                <c:pt idx="22">
                  <c:v>18.899999999999999</c:v>
                </c:pt>
                <c:pt idx="23">
                  <c:v>22.5</c:v>
                </c:pt>
                <c:pt idx="24">
                  <c:v>14.6</c:v>
                </c:pt>
                <c:pt idx="25">
                  <c:v>11.8</c:v>
                </c:pt>
                <c:pt idx="26">
                  <c:v>12.8</c:v>
                </c:pt>
                <c:pt idx="27">
                  <c:v>17.8</c:v>
                </c:pt>
                <c:pt idx="28">
                  <c:v>13.2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FD2-465D-8770-A907B23BFCDE}"/>
            </c:ext>
          </c:extLst>
        </c:ser>
        <c:ser>
          <c:idx val="6"/>
          <c:order val="6"/>
          <c:tx>
            <c:strRef>
              <c:f>'výkonnost odvětví 2'!$A$42</c:f>
              <c:strCache>
                <c:ptCount val="1"/>
                <c:pt idx="0">
                  <c:v>Bariéra růstu: nedost. materiálu a zařízení</c:v>
                </c:pt>
              </c:strCache>
            </c:strRef>
          </c:tx>
          <c:spPr>
            <a:ln w="15875">
              <a:solidFill>
                <a:schemeClr val="accent3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multiLvlStrRef>
              <c:f>'výkonnost odvětví 2'!$AD$34:$BF$35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  <c:pt idx="24">
                    <c:v>2024</c:v>
                  </c:pt>
                  <c:pt idx="28">
                    <c:v>2025</c:v>
                  </c:pt>
                </c:lvl>
              </c:multiLvlStrCache>
            </c:multiLvlStrRef>
          </c:cat>
          <c:val>
            <c:numRef>
              <c:f>'výkonnost odvětví 2'!$AD$42:$BF$42</c:f>
              <c:numCache>
                <c:formatCode>#\ ##0.0</c:formatCode>
                <c:ptCount val="29"/>
                <c:pt idx="0">
                  <c:v>11.9</c:v>
                </c:pt>
                <c:pt idx="1">
                  <c:v>11.7</c:v>
                </c:pt>
                <c:pt idx="2">
                  <c:v>13.9</c:v>
                </c:pt>
                <c:pt idx="3">
                  <c:v>23.5</c:v>
                </c:pt>
                <c:pt idx="4">
                  <c:v>26.4</c:v>
                </c:pt>
                <c:pt idx="5">
                  <c:v>24.7</c:v>
                </c:pt>
                <c:pt idx="6">
                  <c:v>22</c:v>
                </c:pt>
                <c:pt idx="7">
                  <c:v>10.5</c:v>
                </c:pt>
                <c:pt idx="8">
                  <c:v>17.899999999999999</c:v>
                </c:pt>
                <c:pt idx="9">
                  <c:v>10.199999999999999</c:v>
                </c:pt>
                <c:pt idx="10">
                  <c:v>6.7</c:v>
                </c:pt>
                <c:pt idx="11">
                  <c:v>10.9</c:v>
                </c:pt>
                <c:pt idx="12">
                  <c:v>23.1</c:v>
                </c:pt>
                <c:pt idx="13">
                  <c:v>32.1</c:v>
                </c:pt>
                <c:pt idx="14">
                  <c:v>45.9</c:v>
                </c:pt>
                <c:pt idx="15">
                  <c:v>41.2</c:v>
                </c:pt>
                <c:pt idx="16">
                  <c:v>39.299999999999997</c:v>
                </c:pt>
                <c:pt idx="17">
                  <c:v>47.8</c:v>
                </c:pt>
                <c:pt idx="18">
                  <c:v>53.4</c:v>
                </c:pt>
                <c:pt idx="19">
                  <c:v>46.4</c:v>
                </c:pt>
                <c:pt idx="20">
                  <c:v>37.4</c:v>
                </c:pt>
                <c:pt idx="21">
                  <c:v>32.5</c:v>
                </c:pt>
                <c:pt idx="22">
                  <c:v>20.6</c:v>
                </c:pt>
                <c:pt idx="23">
                  <c:v>17.100000000000001</c:v>
                </c:pt>
                <c:pt idx="24">
                  <c:v>32.700000000000003</c:v>
                </c:pt>
                <c:pt idx="25">
                  <c:v>28.1</c:v>
                </c:pt>
                <c:pt idx="26">
                  <c:v>13</c:v>
                </c:pt>
                <c:pt idx="27">
                  <c:v>24.7</c:v>
                </c:pt>
                <c:pt idx="28">
                  <c:v>11.9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4FD2-465D-8770-A907B23BFCDE}"/>
            </c:ext>
          </c:extLst>
        </c:ser>
        <c:ser>
          <c:idx val="7"/>
          <c:order val="7"/>
          <c:tx>
            <c:strRef>
              <c:f>'výkonnost odvětví 2'!$A$43</c:f>
              <c:strCache>
                <c:ptCount val="1"/>
                <c:pt idx="0">
                  <c:v>Saldo souhrn. indik. důvěry v průmyslu</c:v>
                </c:pt>
              </c:strCache>
            </c:strRef>
          </c:tx>
          <c:spPr>
            <a:ln w="15875">
              <a:solidFill>
                <a:schemeClr val="bg1">
                  <a:lumMod val="65000"/>
                </a:schemeClr>
              </a:solidFill>
              <a:prstDash val="sysDot"/>
            </a:ln>
          </c:spPr>
          <c:marker>
            <c:symbol val="circle"/>
            <c:size val="5"/>
            <c:spPr>
              <a:solidFill>
                <a:srgbClr val="FFFF00"/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marker>
          <c:cat>
            <c:multiLvlStrRef>
              <c:f>'výkonnost odvětví 2'!$AD$34:$BF$35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  <c:pt idx="24">
                    <c:v>2024</c:v>
                  </c:pt>
                  <c:pt idx="28">
                    <c:v>2025</c:v>
                  </c:pt>
                </c:lvl>
              </c:multiLvlStrCache>
            </c:multiLvlStrRef>
          </c:cat>
          <c:val>
            <c:numRef>
              <c:f>'výkonnost odvětví 2'!$AD$43:$BF$43</c:f>
              <c:numCache>
                <c:formatCode>#\ ##0.0</c:formatCode>
                <c:ptCount val="29"/>
                <c:pt idx="0">
                  <c:v>3.7</c:v>
                </c:pt>
                <c:pt idx="1">
                  <c:v>2</c:v>
                </c:pt>
                <c:pt idx="2">
                  <c:v>2.2999999999999998</c:v>
                </c:pt>
                <c:pt idx="3">
                  <c:v>2.2999999999999998</c:v>
                </c:pt>
                <c:pt idx="4">
                  <c:v>0.3</c:v>
                </c:pt>
                <c:pt idx="5">
                  <c:v>-2</c:v>
                </c:pt>
                <c:pt idx="6">
                  <c:v>-3</c:v>
                </c:pt>
                <c:pt idx="7">
                  <c:v>-6.7</c:v>
                </c:pt>
                <c:pt idx="8">
                  <c:v>-5</c:v>
                </c:pt>
                <c:pt idx="9">
                  <c:v>-25</c:v>
                </c:pt>
                <c:pt idx="10">
                  <c:v>-6.3</c:v>
                </c:pt>
                <c:pt idx="11">
                  <c:v>-10</c:v>
                </c:pt>
                <c:pt idx="12">
                  <c:v>-1.3</c:v>
                </c:pt>
                <c:pt idx="13">
                  <c:v>5.3</c:v>
                </c:pt>
                <c:pt idx="14">
                  <c:v>-1.3</c:v>
                </c:pt>
                <c:pt idx="15">
                  <c:v>-5.3</c:v>
                </c:pt>
                <c:pt idx="16">
                  <c:v>-0.3</c:v>
                </c:pt>
                <c:pt idx="17">
                  <c:v>8.3000000000000007</c:v>
                </c:pt>
                <c:pt idx="18">
                  <c:v>-1.7</c:v>
                </c:pt>
                <c:pt idx="19">
                  <c:v>-8.3000000000000007</c:v>
                </c:pt>
                <c:pt idx="20">
                  <c:v>-10.1</c:v>
                </c:pt>
                <c:pt idx="21">
                  <c:v>-7</c:v>
                </c:pt>
                <c:pt idx="22">
                  <c:v>-7</c:v>
                </c:pt>
                <c:pt idx="23">
                  <c:v>-6</c:v>
                </c:pt>
                <c:pt idx="24">
                  <c:v>-14</c:v>
                </c:pt>
                <c:pt idx="25">
                  <c:v>-8.6999999999999993</c:v>
                </c:pt>
                <c:pt idx="26">
                  <c:v>-7.7</c:v>
                </c:pt>
                <c:pt idx="27">
                  <c:v>-8.3000000000000007</c:v>
                </c:pt>
                <c:pt idx="28">
                  <c:v>-6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4FD2-465D-8770-A907B23BFC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9819375"/>
        <c:axId val="1239826863"/>
      </c:lineChart>
      <c:catAx>
        <c:axId val="112768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crossAx val="112769664"/>
        <c:crosses val="autoZero"/>
        <c:auto val="1"/>
        <c:lblAlgn val="ctr"/>
        <c:lblOffset val="0"/>
        <c:noMultiLvlLbl val="0"/>
      </c:catAx>
      <c:valAx>
        <c:axId val="112769664"/>
        <c:scaling>
          <c:orientation val="minMax"/>
          <c:max val="90"/>
          <c:min val="-40"/>
        </c:scaling>
        <c:delete val="0"/>
        <c:axPos val="l"/>
        <c:majorGridlines>
          <c:spPr>
            <a:ln>
              <a:solidFill>
                <a:srgbClr val="BEBEBE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Zakázky</a:t>
                </a:r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nextTo"/>
        <c:crossAx val="112768128"/>
        <c:crosses val="autoZero"/>
        <c:crossBetween val="between"/>
        <c:majorUnit val="10"/>
      </c:valAx>
      <c:valAx>
        <c:axId val="1239826863"/>
        <c:scaling>
          <c:orientation val="minMax"/>
          <c:max val="100"/>
          <c:min val="-30"/>
        </c:scaling>
        <c:delete val="0"/>
        <c:axPos val="r"/>
        <c:title>
          <c:tx>
            <c:rich>
              <a:bodyPr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700" b="0" i="1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sz="700" b="0" i="1"/>
                  <a:t>Využití výrob.</a:t>
                </a:r>
                <a:r>
                  <a:rPr lang="cs-CZ" sz="700" b="0" i="1" baseline="0"/>
                  <a:t> </a:t>
                </a:r>
                <a:r>
                  <a:rPr lang="cs-CZ" sz="700" b="0" i="1"/>
                  <a:t>kapacit, bariéry růstu, </a:t>
                </a:r>
                <a:r>
                  <a:rPr lang="cs-CZ" sz="700" b="0" i="1" baseline="0">
                    <a:effectLst/>
                  </a:rPr>
                  <a:t>saldo důvěry</a:t>
                </a:r>
                <a:endParaRPr lang="cs-CZ" sz="700" i="1">
                  <a:effectLst/>
                </a:endParaRPr>
              </a:p>
            </c:rich>
          </c:tx>
          <c:layout/>
          <c:overlay val="0"/>
        </c:title>
        <c:numFmt formatCode="#,##0" sourceLinked="0"/>
        <c:majorTickMark val="out"/>
        <c:minorTickMark val="none"/>
        <c:tickLblPos val="nextTo"/>
        <c:crossAx val="1239819375"/>
        <c:crosses val="max"/>
        <c:crossBetween val="between"/>
        <c:majorUnit val="10"/>
      </c:valAx>
      <c:catAx>
        <c:axId val="1239819375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39826863"/>
        <c:crosses val="autoZero"/>
        <c:auto val="1"/>
        <c:lblAlgn val="ctr"/>
        <c:lblOffset val="100"/>
        <c:noMultiLvlLbl val="0"/>
      </c:catAx>
      <c:spPr>
        <a:noFill/>
        <a:ln w="6350">
          <a:solidFill>
            <a:prstClr val="black">
              <a:lumMod val="95000"/>
              <a:lumOff val="5000"/>
            </a:prstClr>
          </a:solidFill>
        </a:ln>
      </c:spPr>
    </c:plotArea>
    <c:legend>
      <c:legendPos val="r"/>
      <c:layout>
        <c:manualLayout>
          <c:xMode val="edge"/>
          <c:yMode val="edge"/>
          <c:x val="5.0624233317308007E-3"/>
          <c:y val="0.85586452851148542"/>
          <c:w val="0.99016081878579243"/>
          <c:h val="0.13715127117944995"/>
        </c:manualLayout>
      </c:layout>
      <c:overlay val="0"/>
      <c:spPr>
        <a:ln w="6350">
          <a:solidFill>
            <a:prstClr val="black">
              <a:lumMod val="95000"/>
              <a:lumOff val="5000"/>
            </a:prstClr>
          </a:solidFill>
        </a:ln>
      </c:spPr>
      <c:txPr>
        <a:bodyPr/>
        <a:lstStyle/>
        <a:p>
          <a:pPr>
            <a:defRPr sz="78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695346289980312E-2"/>
          <c:y val="1.5663550999370279E-2"/>
          <c:w val="0.85237839893753009"/>
          <c:h val="0.75413191483370345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'výkonnost odvětví 3'!$Y$10</c:f>
              <c:strCache>
                <c:ptCount val="1"/>
                <c:pt idx="0">
                  <c:v>Pozemní stavitelství (příspěvek v p. b.)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</c:spPr>
          <c:invertIfNegative val="0"/>
          <c:cat>
            <c:multiLvlStrRef>
              <c:f>'výkonnost odvětví 3'!$V$31:$W$71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'výkonnost odvětví 3'!$Y$31:$Y$71</c:f>
              <c:numCache>
                <c:formatCode>0.0</c:formatCode>
                <c:ptCount val="41"/>
                <c:pt idx="0">
                  <c:v>5.748716579411445</c:v>
                </c:pt>
                <c:pt idx="1">
                  <c:v>4.7489923277143378</c:v>
                </c:pt>
                <c:pt idx="2">
                  <c:v>0.72860376801438353</c:v>
                </c:pt>
                <c:pt idx="3">
                  <c:v>-1.5997494872130962</c:v>
                </c:pt>
                <c:pt idx="4">
                  <c:v>-4.5800585311347017</c:v>
                </c:pt>
                <c:pt idx="5">
                  <c:v>-4.8364432126044203</c:v>
                </c:pt>
                <c:pt idx="6">
                  <c:v>0.7673453632215238</c:v>
                </c:pt>
                <c:pt idx="7">
                  <c:v>3.5913890122868475</c:v>
                </c:pt>
                <c:pt idx="8">
                  <c:v>1.818439140996319</c:v>
                </c:pt>
                <c:pt idx="9">
                  <c:v>9.5161866462127662</c:v>
                </c:pt>
                <c:pt idx="10">
                  <c:v>3.2650480956647083</c:v>
                </c:pt>
                <c:pt idx="11">
                  <c:v>2.30805126241866</c:v>
                </c:pt>
                <c:pt idx="12">
                  <c:v>13.039459362857237</c:v>
                </c:pt>
                <c:pt idx="13">
                  <c:v>5.6850806062932753</c:v>
                </c:pt>
                <c:pt idx="14">
                  <c:v>7.036028465591686</c:v>
                </c:pt>
                <c:pt idx="15">
                  <c:v>2.3869078764089537</c:v>
                </c:pt>
                <c:pt idx="16">
                  <c:v>2.4727635166988868</c:v>
                </c:pt>
                <c:pt idx="17">
                  <c:v>2.9341574628565144</c:v>
                </c:pt>
                <c:pt idx="18">
                  <c:v>-0.67535503037810629</c:v>
                </c:pt>
                <c:pt idx="19">
                  <c:v>1.7116954805541678</c:v>
                </c:pt>
                <c:pt idx="20">
                  <c:v>-0.69584807703082285</c:v>
                </c:pt>
                <c:pt idx="21">
                  <c:v>-7.7523651483361782</c:v>
                </c:pt>
                <c:pt idx="22">
                  <c:v>-7.0746219815718145</c:v>
                </c:pt>
                <c:pt idx="23">
                  <c:v>-7.7412314636348389</c:v>
                </c:pt>
                <c:pt idx="24">
                  <c:v>-5.0641975026487787</c:v>
                </c:pt>
                <c:pt idx="25">
                  <c:v>2.4686114215313406</c:v>
                </c:pt>
                <c:pt idx="26">
                  <c:v>2.7039460751579787</c:v>
                </c:pt>
                <c:pt idx="27">
                  <c:v>5.3901043052775774</c:v>
                </c:pt>
                <c:pt idx="28">
                  <c:v>7.2623756026241066</c:v>
                </c:pt>
                <c:pt idx="29">
                  <c:v>3.5226467380079853</c:v>
                </c:pt>
                <c:pt idx="30">
                  <c:v>-0.76089367968381272</c:v>
                </c:pt>
                <c:pt idx="31">
                  <c:v>-1.4458047635776528</c:v>
                </c:pt>
                <c:pt idx="32">
                  <c:v>2.0832552278460348</c:v>
                </c:pt>
                <c:pt idx="33">
                  <c:v>-1.8028342486885289</c:v>
                </c:pt>
                <c:pt idx="34">
                  <c:v>-0.44895734326731668</c:v>
                </c:pt>
                <c:pt idx="35">
                  <c:v>-2.3451012647049301</c:v>
                </c:pt>
                <c:pt idx="36">
                  <c:v>-4.8382296506486542</c:v>
                </c:pt>
                <c:pt idx="37">
                  <c:v>-3.1423406804938172</c:v>
                </c:pt>
                <c:pt idx="38">
                  <c:v>-1.8669557036141273</c:v>
                </c:pt>
                <c:pt idx="39">
                  <c:v>1.6859130817420198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75-4B2B-A8BB-F0EA8A4334B5}"/>
            </c:ext>
          </c:extLst>
        </c:ser>
        <c:ser>
          <c:idx val="2"/>
          <c:order val="2"/>
          <c:tx>
            <c:strRef>
              <c:f>'výkonnost odvětví 3'!$Z$10</c:f>
              <c:strCache>
                <c:ptCount val="1"/>
                <c:pt idx="0">
                  <c:v>Inženýrské stavitelství (příspěvek v p. b.)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</c:spPr>
          <c:invertIfNegative val="0"/>
          <c:cat>
            <c:multiLvlStrRef>
              <c:f>'výkonnost odvětví 3'!$V$31:$W$71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'výkonnost odvětví 3'!$Z$31:$Z$71</c:f>
              <c:numCache>
                <c:formatCode>0.0</c:formatCode>
                <c:ptCount val="41"/>
                <c:pt idx="0">
                  <c:v>3.8654453061663498</c:v>
                </c:pt>
                <c:pt idx="1">
                  <c:v>8.4074328223660437</c:v>
                </c:pt>
                <c:pt idx="2">
                  <c:v>8.536513170572011</c:v>
                </c:pt>
                <c:pt idx="3">
                  <c:v>3.3830353457973681</c:v>
                </c:pt>
                <c:pt idx="4">
                  <c:v>-1.4655710356774887</c:v>
                </c:pt>
                <c:pt idx="5">
                  <c:v>-6.4494987337786789</c:v>
                </c:pt>
                <c:pt idx="6">
                  <c:v>-8.0288007564184198</c:v>
                </c:pt>
                <c:pt idx="7">
                  <c:v>-6.8710829128275535</c:v>
                </c:pt>
                <c:pt idx="8">
                  <c:v>-4.1473356084740605</c:v>
                </c:pt>
                <c:pt idx="9">
                  <c:v>-1.1362269417632547</c:v>
                </c:pt>
                <c:pt idx="10">
                  <c:v>-1.6997694917449739</c:v>
                </c:pt>
                <c:pt idx="11">
                  <c:v>0.18912136047288933</c:v>
                </c:pt>
                <c:pt idx="12">
                  <c:v>2.313855161184069</c:v>
                </c:pt>
                <c:pt idx="13">
                  <c:v>1.4433818342413158</c:v>
                </c:pt>
                <c:pt idx="14">
                  <c:v>5.805340800033207</c:v>
                </c:pt>
                <c:pt idx="15">
                  <c:v>2.0257219814852485</c:v>
                </c:pt>
                <c:pt idx="16">
                  <c:v>2.8832113797347176</c:v>
                </c:pt>
                <c:pt idx="17">
                  <c:v>2.2916559515195796</c:v>
                </c:pt>
                <c:pt idx="18">
                  <c:v>0.1275103650053056</c:v>
                </c:pt>
                <c:pt idx="19">
                  <c:v>0.80716183036284428</c:v>
                </c:pt>
                <c:pt idx="20">
                  <c:v>2.6239699221333534</c:v>
                </c:pt>
                <c:pt idx="21">
                  <c:v>0.26317252359280197</c:v>
                </c:pt>
                <c:pt idx="22">
                  <c:v>-3.3347591135837273</c:v>
                </c:pt>
                <c:pt idx="23">
                  <c:v>-0.42839192125115316</c:v>
                </c:pt>
                <c:pt idx="24">
                  <c:v>-0.39271300493205069</c:v>
                </c:pt>
                <c:pt idx="25">
                  <c:v>1.8656417213430043</c:v>
                </c:pt>
                <c:pt idx="26">
                  <c:v>0.51733150492014313</c:v>
                </c:pt>
                <c:pt idx="27">
                  <c:v>-1.0537686221660534</c:v>
                </c:pt>
                <c:pt idx="28">
                  <c:v>5.358400328070565</c:v>
                </c:pt>
                <c:pt idx="29">
                  <c:v>1.3483477190828432</c:v>
                </c:pt>
                <c:pt idx="30">
                  <c:v>0.66790441347725993</c:v>
                </c:pt>
                <c:pt idx="31">
                  <c:v>1.4140192158313873</c:v>
                </c:pt>
                <c:pt idx="32">
                  <c:v>-3.8377803274302602</c:v>
                </c:pt>
                <c:pt idx="33">
                  <c:v>-2.3734546360443498</c:v>
                </c:pt>
                <c:pt idx="34">
                  <c:v>-0.1386838999559698</c:v>
                </c:pt>
                <c:pt idx="35">
                  <c:v>-0.56173564084297578</c:v>
                </c:pt>
                <c:pt idx="36">
                  <c:v>1.2662423560224092</c:v>
                </c:pt>
                <c:pt idx="37">
                  <c:v>-1.4597213726065921</c:v>
                </c:pt>
                <c:pt idx="38">
                  <c:v>0.28895473079141204</c:v>
                </c:pt>
                <c:pt idx="39">
                  <c:v>1.5102548903099675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75-4B2B-A8BB-F0EA8A4334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112768128"/>
        <c:axId val="112769664"/>
      </c:barChart>
      <c:lineChart>
        <c:grouping val="standard"/>
        <c:varyColors val="0"/>
        <c:ser>
          <c:idx val="0"/>
          <c:order val="0"/>
          <c:tx>
            <c:strRef>
              <c:f>'výkonnost odvětví 3'!$X$10</c:f>
              <c:strCache>
                <c:ptCount val="1"/>
                <c:pt idx="0">
                  <c:v>Celková stavební produkce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5"/>
            <c:spPr>
              <a:solidFill>
                <a:schemeClr val="bg1"/>
              </a:solidFill>
              <a:ln>
                <a:solidFill>
                  <a:schemeClr val="tx1">
                    <a:lumMod val="95000"/>
                    <a:lumOff val="5000"/>
                  </a:schemeClr>
                </a:solidFill>
              </a:ln>
            </c:spPr>
          </c:marker>
          <c:cat>
            <c:multiLvlStrRef>
              <c:f>'výkonnost odvětví 3'!$V$31:$W$71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'výkonnost odvětví 3'!$X$31:$X$71</c:f>
              <c:numCache>
                <c:formatCode>0.0</c:formatCode>
                <c:ptCount val="41"/>
                <c:pt idx="0">
                  <c:v>9.6141618855778006</c:v>
                </c:pt>
                <c:pt idx="1">
                  <c:v>13.156425150080381</c:v>
                </c:pt>
                <c:pt idx="2">
                  <c:v>9.2651169385864023</c:v>
                </c:pt>
                <c:pt idx="3">
                  <c:v>1.7832858585842644</c:v>
                </c:pt>
                <c:pt idx="4">
                  <c:v>-6.0456295668121669</c:v>
                </c:pt>
                <c:pt idx="5">
                  <c:v>-11.28594194638309</c:v>
                </c:pt>
                <c:pt idx="6">
                  <c:v>-7.2614553931968828</c:v>
                </c:pt>
                <c:pt idx="7">
                  <c:v>-3.2796939005406927</c:v>
                </c:pt>
                <c:pt idx="8">
                  <c:v>-2.3288964674777475</c:v>
                </c:pt>
                <c:pt idx="9">
                  <c:v>8.3799597044495187</c:v>
                </c:pt>
                <c:pt idx="10">
                  <c:v>1.5652786039197224</c:v>
                </c:pt>
                <c:pt idx="11">
                  <c:v>2.4971726228915543</c:v>
                </c:pt>
                <c:pt idx="12">
                  <c:v>15.353314524041295</c:v>
                </c:pt>
                <c:pt idx="13">
                  <c:v>7.1284624405345767</c:v>
                </c:pt>
                <c:pt idx="14">
                  <c:v>12.84136926562492</c:v>
                </c:pt>
                <c:pt idx="15">
                  <c:v>4.4126298578941885</c:v>
                </c:pt>
                <c:pt idx="16">
                  <c:v>5.355974896433608</c:v>
                </c:pt>
                <c:pt idx="17">
                  <c:v>5.2258134143760913</c:v>
                </c:pt>
                <c:pt idx="18">
                  <c:v>-0.54784466537279286</c:v>
                </c:pt>
                <c:pt idx="19">
                  <c:v>2.5188573109170278</c:v>
                </c:pt>
                <c:pt idx="20">
                  <c:v>1.9281218451025097</c:v>
                </c:pt>
                <c:pt idx="21">
                  <c:v>-7.4891926247433531</c:v>
                </c:pt>
                <c:pt idx="22">
                  <c:v>-10.409381095155553</c:v>
                </c:pt>
                <c:pt idx="23">
                  <c:v>-8.1696233848860089</c:v>
                </c:pt>
                <c:pt idx="24">
                  <c:v>-5.466636542981135</c:v>
                </c:pt>
                <c:pt idx="25">
                  <c:v>4.3235198503092249</c:v>
                </c:pt>
                <c:pt idx="26">
                  <c:v>3.2106587838742087</c:v>
                </c:pt>
                <c:pt idx="27">
                  <c:v>4.3256021763069583</c:v>
                </c:pt>
                <c:pt idx="28">
                  <c:v>12.620775930694663</c:v>
                </c:pt>
                <c:pt idx="29">
                  <c:v>4.8709944570908021</c:v>
                </c:pt>
                <c:pt idx="30">
                  <c:v>-9.2989266206558341E-2</c:v>
                </c:pt>
                <c:pt idx="31">
                  <c:v>-3.1785547746267184E-2</c:v>
                </c:pt>
                <c:pt idx="32">
                  <c:v>-1.7545250995842139</c:v>
                </c:pt>
                <c:pt idx="33">
                  <c:v>-4.1762888847328838</c:v>
                </c:pt>
                <c:pt idx="34">
                  <c:v>-0.58764124322328826</c:v>
                </c:pt>
                <c:pt idx="35">
                  <c:v>-2.9068369055479195</c:v>
                </c:pt>
                <c:pt idx="36">
                  <c:v>-3.5719872946262115</c:v>
                </c:pt>
                <c:pt idx="37">
                  <c:v>-4.6020620531004113</c:v>
                </c:pt>
                <c:pt idx="38">
                  <c:v>-1.5780009728227213</c:v>
                </c:pt>
                <c:pt idx="39">
                  <c:v>3.1961679720519811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C75-4B2B-A8BB-F0EA8A4334B5}"/>
            </c:ext>
          </c:extLst>
        </c:ser>
        <c:ser>
          <c:idx val="3"/>
          <c:order val="3"/>
          <c:tx>
            <c:strRef>
              <c:f>'výkonnost odvětví 3'!$AA$10</c:f>
              <c:strCache>
                <c:ptCount val="1"/>
                <c:pt idx="0">
                  <c:v>Nové stavební zakázky v tuzemsku</c:v>
                </c:pt>
              </c:strCache>
            </c:strRef>
          </c:tx>
          <c:spPr>
            <a:ln w="9525">
              <a:solidFill>
                <a:srgbClr val="984807"/>
              </a:solidFill>
              <a:prstDash val="sysDot"/>
            </a:ln>
          </c:spPr>
          <c:marker>
            <c:symbol val="diamond"/>
            <c:size val="4"/>
            <c:spPr>
              <a:solidFill>
                <a:srgbClr val="996633"/>
              </a:solidFill>
              <a:ln>
                <a:solidFill>
                  <a:srgbClr val="984807"/>
                </a:solidFill>
              </a:ln>
            </c:spPr>
          </c:marker>
          <c:cat>
            <c:multiLvlStrRef>
              <c:f>'výkonnost odvětví 3'!$V$31:$W$71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'výkonnost odvětví 3'!$AA$31:$AA$71</c:f>
              <c:numCache>
                <c:formatCode>0.0</c:formatCode>
                <c:ptCount val="41"/>
                <c:pt idx="0">
                  <c:v>-3.1547956675580053</c:v>
                </c:pt>
                <c:pt idx="1">
                  <c:v>9.7504961091663205</c:v>
                </c:pt>
                <c:pt idx="2">
                  <c:v>-1.097606022761255</c:v>
                </c:pt>
                <c:pt idx="3">
                  <c:v>-2.3987783410040464</c:v>
                </c:pt>
                <c:pt idx="4">
                  <c:v>-6.6406358945753823</c:v>
                </c:pt>
                <c:pt idx="5">
                  <c:v>-0.49977652269311079</c:v>
                </c:pt>
                <c:pt idx="6">
                  <c:v>-7.0322087253454839</c:v>
                </c:pt>
                <c:pt idx="7">
                  <c:v>10.122126124559955</c:v>
                </c:pt>
                <c:pt idx="8">
                  <c:v>16.177217458847437</c:v>
                </c:pt>
                <c:pt idx="9">
                  <c:v>9.5350878984013008</c:v>
                </c:pt>
                <c:pt idx="10">
                  <c:v>-1.2817324431350698</c:v>
                </c:pt>
                <c:pt idx="11">
                  <c:v>15.620806693503823</c:v>
                </c:pt>
                <c:pt idx="12">
                  <c:v>30.10697387368856</c:v>
                </c:pt>
                <c:pt idx="13">
                  <c:v>32.836878110611963</c:v>
                </c:pt>
                <c:pt idx="14">
                  <c:v>5.2768249907951201</c:v>
                </c:pt>
                <c:pt idx="15">
                  <c:v>1.8944565811032277</c:v>
                </c:pt>
                <c:pt idx="16">
                  <c:v>14.157245632065781</c:v>
                </c:pt>
                <c:pt idx="17">
                  <c:v>-9.3849543241233135</c:v>
                </c:pt>
                <c:pt idx="18">
                  <c:v>17.407871000993993</c:v>
                </c:pt>
                <c:pt idx="19">
                  <c:v>5.8323004254463768</c:v>
                </c:pt>
                <c:pt idx="20">
                  <c:v>-12.441635069859245</c:v>
                </c:pt>
                <c:pt idx="21">
                  <c:v>7.497345722028669</c:v>
                </c:pt>
                <c:pt idx="22">
                  <c:v>2.0599736606932879</c:v>
                </c:pt>
                <c:pt idx="23">
                  <c:v>7.5507850088630164</c:v>
                </c:pt>
                <c:pt idx="24">
                  <c:v>28.856340981154403</c:v>
                </c:pt>
                <c:pt idx="25">
                  <c:v>22.047871359987184</c:v>
                </c:pt>
                <c:pt idx="26">
                  <c:v>10.015015612184257</c:v>
                </c:pt>
                <c:pt idx="27">
                  <c:v>1.0053213537781147</c:v>
                </c:pt>
                <c:pt idx="28">
                  <c:v>13.067478460417874</c:v>
                </c:pt>
                <c:pt idx="29">
                  <c:v>17.619163607261129</c:v>
                </c:pt>
                <c:pt idx="30">
                  <c:v>12.421954480552543</c:v>
                </c:pt>
                <c:pt idx="31">
                  <c:v>13.031852753748723</c:v>
                </c:pt>
                <c:pt idx="32">
                  <c:v>-10.144501025957553</c:v>
                </c:pt>
                <c:pt idx="33">
                  <c:v>-18.697561390531931</c:v>
                </c:pt>
                <c:pt idx="34">
                  <c:v>27.514816854662854</c:v>
                </c:pt>
                <c:pt idx="35">
                  <c:v>9.3063425617587683</c:v>
                </c:pt>
                <c:pt idx="36">
                  <c:v>30.48574840110382</c:v>
                </c:pt>
                <c:pt idx="37">
                  <c:v>24.810378988741093</c:v>
                </c:pt>
                <c:pt idx="38">
                  <c:v>-2.1445567903011948</c:v>
                </c:pt>
                <c:pt idx="39">
                  <c:v>17.246427278094785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C75-4B2B-A8BB-F0EA8A4334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768128"/>
        <c:axId val="112769664"/>
      </c:lineChart>
      <c:lineChart>
        <c:grouping val="standard"/>
        <c:varyColors val="0"/>
        <c:ser>
          <c:idx val="4"/>
          <c:order val="4"/>
          <c:tx>
            <c:strRef>
              <c:f>'výkonnost odvětví 3'!$AB$10</c:f>
              <c:strCache>
                <c:ptCount val="1"/>
                <c:pt idx="0">
                  <c:v>Bariéra růstu: nedostatečná poptávka</c:v>
                </c:pt>
              </c:strCache>
            </c:strRef>
          </c:tx>
          <c:spPr>
            <a:ln w="15875">
              <a:solidFill>
                <a:srgbClr val="00B050"/>
              </a:solidFill>
              <a:prstDash val="solid"/>
            </a:ln>
          </c:spPr>
          <c:marker>
            <c:symbol val="none"/>
          </c:marker>
          <c:cat>
            <c:multiLvlStrRef>
              <c:f>'výkonnost odvětví 3'!$V$31:$W$71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'výkonnost odvětví 3'!$AB$31:$AB$71</c:f>
              <c:numCache>
                <c:formatCode>#\ ##0.0</c:formatCode>
                <c:ptCount val="41"/>
                <c:pt idx="0">
                  <c:v>67.3</c:v>
                </c:pt>
                <c:pt idx="1">
                  <c:v>60.7</c:v>
                </c:pt>
                <c:pt idx="2">
                  <c:v>58.6</c:v>
                </c:pt>
                <c:pt idx="3">
                  <c:v>58.2</c:v>
                </c:pt>
                <c:pt idx="4">
                  <c:v>58.5</c:v>
                </c:pt>
                <c:pt idx="5">
                  <c:v>62.6</c:v>
                </c:pt>
                <c:pt idx="6">
                  <c:v>60.3</c:v>
                </c:pt>
                <c:pt idx="7">
                  <c:v>55.7</c:v>
                </c:pt>
                <c:pt idx="8">
                  <c:v>55.7</c:v>
                </c:pt>
                <c:pt idx="9">
                  <c:v>54.8</c:v>
                </c:pt>
                <c:pt idx="10">
                  <c:v>49.1</c:v>
                </c:pt>
                <c:pt idx="11">
                  <c:v>47.1</c:v>
                </c:pt>
                <c:pt idx="12">
                  <c:v>40.1</c:v>
                </c:pt>
                <c:pt idx="13">
                  <c:v>39.4</c:v>
                </c:pt>
                <c:pt idx="14">
                  <c:v>33</c:v>
                </c:pt>
                <c:pt idx="15">
                  <c:v>23.3</c:v>
                </c:pt>
                <c:pt idx="16">
                  <c:v>26.5</c:v>
                </c:pt>
                <c:pt idx="17">
                  <c:v>26.7</c:v>
                </c:pt>
                <c:pt idx="18">
                  <c:v>18.899999999999999</c:v>
                </c:pt>
                <c:pt idx="19">
                  <c:v>19.600000000000001</c:v>
                </c:pt>
                <c:pt idx="20">
                  <c:v>31.6</c:v>
                </c:pt>
                <c:pt idx="21">
                  <c:v>31.3</c:v>
                </c:pt>
                <c:pt idx="22">
                  <c:v>38.6</c:v>
                </c:pt>
                <c:pt idx="23" formatCode="General">
                  <c:v>39.200000000000003</c:v>
                </c:pt>
                <c:pt idx="24">
                  <c:v>30.8</c:v>
                </c:pt>
                <c:pt idx="25">
                  <c:v>35.9</c:v>
                </c:pt>
                <c:pt idx="26">
                  <c:v>23.2</c:v>
                </c:pt>
                <c:pt idx="27">
                  <c:v>19.5</c:v>
                </c:pt>
                <c:pt idx="28">
                  <c:v>21.3</c:v>
                </c:pt>
                <c:pt idx="29">
                  <c:v>21.1</c:v>
                </c:pt>
                <c:pt idx="30">
                  <c:v>19.3</c:v>
                </c:pt>
                <c:pt idx="31">
                  <c:v>20.6</c:v>
                </c:pt>
                <c:pt idx="32">
                  <c:v>31.9</c:v>
                </c:pt>
                <c:pt idx="33">
                  <c:v>32.299999999999997</c:v>
                </c:pt>
                <c:pt idx="34">
                  <c:v>36.299999999999997</c:v>
                </c:pt>
                <c:pt idx="35">
                  <c:v>29.2</c:v>
                </c:pt>
                <c:pt idx="36" formatCode="0.0">
                  <c:v>20.5</c:v>
                </c:pt>
                <c:pt idx="37" formatCode="0.0">
                  <c:v>22.3</c:v>
                </c:pt>
                <c:pt idx="38" formatCode="0.0">
                  <c:v>24</c:v>
                </c:pt>
                <c:pt idx="39" formatCode="0.0">
                  <c:v>25.3</c:v>
                </c:pt>
                <c:pt idx="40" formatCode="0.0">
                  <c:v>24.1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C75-4B2B-A8BB-F0EA8A4334B5}"/>
            </c:ext>
          </c:extLst>
        </c:ser>
        <c:ser>
          <c:idx val="5"/>
          <c:order val="5"/>
          <c:tx>
            <c:strRef>
              <c:f>'výkonnost odvětví 3'!$AC$10</c:f>
              <c:strCache>
                <c:ptCount val="1"/>
                <c:pt idx="0">
                  <c:v>Bariéra růstu: nedostatek pracovníků</c:v>
                </c:pt>
              </c:strCache>
            </c:strRef>
          </c:tx>
          <c:spPr>
            <a:ln w="15875">
              <a:solidFill>
                <a:schemeClr val="accent3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multiLvlStrRef>
              <c:f>'výkonnost odvětví 3'!$V$31:$W$71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'výkonnost odvětví 3'!$AC$31:$AC$71</c:f>
              <c:numCache>
                <c:formatCode>#\ ##0.0</c:formatCode>
                <c:ptCount val="41"/>
                <c:pt idx="0">
                  <c:v>8.1999999999999993</c:v>
                </c:pt>
                <c:pt idx="1">
                  <c:v>8.1</c:v>
                </c:pt>
                <c:pt idx="2">
                  <c:v>6.2</c:v>
                </c:pt>
                <c:pt idx="3">
                  <c:v>6</c:v>
                </c:pt>
                <c:pt idx="4">
                  <c:v>6.4</c:v>
                </c:pt>
                <c:pt idx="5">
                  <c:v>7.2</c:v>
                </c:pt>
                <c:pt idx="6">
                  <c:v>7.2</c:v>
                </c:pt>
                <c:pt idx="7">
                  <c:v>10.5</c:v>
                </c:pt>
                <c:pt idx="8">
                  <c:v>13.7</c:v>
                </c:pt>
                <c:pt idx="9">
                  <c:v>14.9</c:v>
                </c:pt>
                <c:pt idx="10">
                  <c:v>21.8</c:v>
                </c:pt>
                <c:pt idx="11">
                  <c:v>21.3</c:v>
                </c:pt>
                <c:pt idx="12">
                  <c:v>26.7</c:v>
                </c:pt>
                <c:pt idx="13">
                  <c:v>30.2</c:v>
                </c:pt>
                <c:pt idx="14">
                  <c:v>28.6</c:v>
                </c:pt>
                <c:pt idx="15">
                  <c:v>38.6</c:v>
                </c:pt>
                <c:pt idx="16">
                  <c:v>36</c:v>
                </c:pt>
                <c:pt idx="17">
                  <c:v>43.4</c:v>
                </c:pt>
                <c:pt idx="18">
                  <c:v>50.7</c:v>
                </c:pt>
                <c:pt idx="19">
                  <c:v>46.7</c:v>
                </c:pt>
                <c:pt idx="20">
                  <c:v>51.2</c:v>
                </c:pt>
                <c:pt idx="21">
                  <c:v>46</c:v>
                </c:pt>
                <c:pt idx="22">
                  <c:v>36.1</c:v>
                </c:pt>
                <c:pt idx="23" formatCode="0.0">
                  <c:v>32.299999999999997</c:v>
                </c:pt>
                <c:pt idx="24">
                  <c:v>47.3</c:v>
                </c:pt>
                <c:pt idx="25">
                  <c:v>31.7</c:v>
                </c:pt>
                <c:pt idx="26">
                  <c:v>41.7</c:v>
                </c:pt>
                <c:pt idx="27">
                  <c:v>42.8</c:v>
                </c:pt>
                <c:pt idx="28">
                  <c:v>56.4</c:v>
                </c:pt>
                <c:pt idx="29">
                  <c:v>44.3</c:v>
                </c:pt>
                <c:pt idx="30">
                  <c:v>39.799999999999997</c:v>
                </c:pt>
                <c:pt idx="31">
                  <c:v>47.7</c:v>
                </c:pt>
                <c:pt idx="32">
                  <c:v>39</c:v>
                </c:pt>
                <c:pt idx="33">
                  <c:v>35.5</c:v>
                </c:pt>
                <c:pt idx="34">
                  <c:v>30.6</c:v>
                </c:pt>
                <c:pt idx="35">
                  <c:v>31.2</c:v>
                </c:pt>
                <c:pt idx="36" formatCode="0.0">
                  <c:v>53.5</c:v>
                </c:pt>
                <c:pt idx="37" formatCode="0.0">
                  <c:v>46.7</c:v>
                </c:pt>
                <c:pt idx="38" formatCode="0.0">
                  <c:v>42.5</c:v>
                </c:pt>
                <c:pt idx="39" formatCode="0.0">
                  <c:v>42.2</c:v>
                </c:pt>
                <c:pt idx="40" formatCode="0.0">
                  <c:v>54.5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C75-4B2B-A8BB-F0EA8A4334B5}"/>
            </c:ext>
          </c:extLst>
        </c:ser>
        <c:ser>
          <c:idx val="6"/>
          <c:order val="6"/>
          <c:tx>
            <c:strRef>
              <c:f>'výkonnost odvětví 3'!$AD$10</c:f>
              <c:strCache>
                <c:ptCount val="1"/>
                <c:pt idx="0">
                  <c:v>Bariéra růstu: nedost. materiálu a vybavení</c:v>
                </c:pt>
              </c:strCache>
            </c:strRef>
          </c:tx>
          <c:spPr>
            <a:ln w="15875">
              <a:solidFill>
                <a:srgbClr val="37DD3B"/>
              </a:solidFill>
              <a:prstDash val="sysDash"/>
            </a:ln>
          </c:spPr>
          <c:marker>
            <c:symbol val="none"/>
          </c:marker>
          <c:cat>
            <c:multiLvlStrRef>
              <c:f>'výkonnost odvětví 3'!$V$31:$W$71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'výkonnost odvětví 3'!$AD$31:$AD$71</c:f>
              <c:numCache>
                <c:formatCode>#\ ##0.0</c:formatCode>
                <c:ptCount val="41"/>
                <c:pt idx="0">
                  <c:v>0.1</c:v>
                </c:pt>
                <c:pt idx="1">
                  <c:v>0.4</c:v>
                </c:pt>
                <c:pt idx="2">
                  <c:v>4</c:v>
                </c:pt>
                <c:pt idx="3">
                  <c:v>0.5</c:v>
                </c:pt>
                <c:pt idx="4">
                  <c:v>0.4</c:v>
                </c:pt>
                <c:pt idx="5">
                  <c:v>0.5</c:v>
                </c:pt>
                <c:pt idx="6">
                  <c:v>0.5</c:v>
                </c:pt>
                <c:pt idx="7">
                  <c:v>1.5</c:v>
                </c:pt>
                <c:pt idx="8">
                  <c:v>0.3</c:v>
                </c:pt>
                <c:pt idx="9">
                  <c:v>0.3</c:v>
                </c:pt>
                <c:pt idx="10">
                  <c:v>3.3</c:v>
                </c:pt>
                <c:pt idx="11">
                  <c:v>4.2</c:v>
                </c:pt>
                <c:pt idx="12">
                  <c:v>5.5</c:v>
                </c:pt>
                <c:pt idx="13">
                  <c:v>1.2</c:v>
                </c:pt>
                <c:pt idx="14">
                  <c:v>6.8</c:v>
                </c:pt>
                <c:pt idx="15">
                  <c:v>3.5</c:v>
                </c:pt>
                <c:pt idx="16">
                  <c:v>4.3</c:v>
                </c:pt>
                <c:pt idx="17">
                  <c:v>5.7</c:v>
                </c:pt>
                <c:pt idx="18">
                  <c:v>5.3</c:v>
                </c:pt>
                <c:pt idx="19">
                  <c:v>4</c:v>
                </c:pt>
                <c:pt idx="20">
                  <c:v>1.9</c:v>
                </c:pt>
                <c:pt idx="21">
                  <c:v>3.4</c:v>
                </c:pt>
                <c:pt idx="22">
                  <c:v>1.3</c:v>
                </c:pt>
                <c:pt idx="23">
                  <c:v>0.8</c:v>
                </c:pt>
                <c:pt idx="24">
                  <c:v>1.3</c:v>
                </c:pt>
                <c:pt idx="25">
                  <c:v>4.3</c:v>
                </c:pt>
                <c:pt idx="26">
                  <c:v>16.3</c:v>
                </c:pt>
                <c:pt idx="27">
                  <c:v>22.8</c:v>
                </c:pt>
                <c:pt idx="28">
                  <c:v>24.7</c:v>
                </c:pt>
                <c:pt idx="29">
                  <c:v>41.3</c:v>
                </c:pt>
                <c:pt idx="30">
                  <c:v>38.6</c:v>
                </c:pt>
                <c:pt idx="31">
                  <c:v>23.4</c:v>
                </c:pt>
                <c:pt idx="32">
                  <c:v>19.5</c:v>
                </c:pt>
                <c:pt idx="33">
                  <c:v>17</c:v>
                </c:pt>
                <c:pt idx="34">
                  <c:v>13</c:v>
                </c:pt>
                <c:pt idx="35">
                  <c:v>13.9</c:v>
                </c:pt>
                <c:pt idx="36" formatCode="0.0">
                  <c:v>22.5</c:v>
                </c:pt>
                <c:pt idx="37" formatCode="0.0">
                  <c:v>22.2</c:v>
                </c:pt>
                <c:pt idx="38" formatCode="0.0">
                  <c:v>22.2</c:v>
                </c:pt>
                <c:pt idx="39" formatCode="0.0">
                  <c:v>18</c:v>
                </c:pt>
                <c:pt idx="40" formatCode="0.0">
                  <c:v>15.5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3C75-4B2B-A8BB-F0EA8A4334B5}"/>
            </c:ext>
          </c:extLst>
        </c:ser>
        <c:ser>
          <c:idx val="7"/>
          <c:order val="7"/>
          <c:tx>
            <c:strRef>
              <c:f>'výkonnost odvětví 3'!$AE$10</c:f>
              <c:strCache>
                <c:ptCount val="1"/>
                <c:pt idx="0">
                  <c:v>Saldo indikátoru důvěry ve stavebnictví</c:v>
                </c:pt>
              </c:strCache>
            </c:strRef>
          </c:tx>
          <c:spPr>
            <a:ln w="15875">
              <a:solidFill>
                <a:schemeClr val="bg1">
                  <a:lumMod val="65000"/>
                </a:schemeClr>
              </a:solidFill>
              <a:prstDash val="sysDot"/>
            </a:ln>
          </c:spPr>
          <c:marker>
            <c:symbol val="circle"/>
            <c:size val="5"/>
            <c:spPr>
              <a:solidFill>
                <a:srgbClr val="FFFF00"/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marker>
          <c:cat>
            <c:multiLvlStrRef>
              <c:f>'výkonnost odvětví 3'!$V$31:$W$71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'výkonnost odvětví 3'!$AE$31:$AE$71</c:f>
              <c:numCache>
                <c:formatCode>0.0</c:formatCode>
                <c:ptCount val="41"/>
                <c:pt idx="0">
                  <c:v>-21</c:v>
                </c:pt>
                <c:pt idx="1">
                  <c:v>-16</c:v>
                </c:pt>
                <c:pt idx="2">
                  <c:v>-20</c:v>
                </c:pt>
                <c:pt idx="3">
                  <c:v>-14.5</c:v>
                </c:pt>
                <c:pt idx="4">
                  <c:v>-14.5</c:v>
                </c:pt>
                <c:pt idx="5">
                  <c:v>-25.5</c:v>
                </c:pt>
                <c:pt idx="6">
                  <c:v>-24.5</c:v>
                </c:pt>
                <c:pt idx="7">
                  <c:v>-23</c:v>
                </c:pt>
                <c:pt idx="8">
                  <c:v>-22.5</c:v>
                </c:pt>
                <c:pt idx="9">
                  <c:v>-24.5</c:v>
                </c:pt>
                <c:pt idx="10">
                  <c:v>-18.5</c:v>
                </c:pt>
                <c:pt idx="11">
                  <c:v>-15</c:v>
                </c:pt>
                <c:pt idx="12">
                  <c:v>-9</c:v>
                </c:pt>
                <c:pt idx="13">
                  <c:v>-6</c:v>
                </c:pt>
                <c:pt idx="14">
                  <c:v>-2</c:v>
                </c:pt>
                <c:pt idx="15">
                  <c:v>1</c:v>
                </c:pt>
                <c:pt idx="16">
                  <c:v>3.5</c:v>
                </c:pt>
                <c:pt idx="17">
                  <c:v>4</c:v>
                </c:pt>
                <c:pt idx="18">
                  <c:v>-1</c:v>
                </c:pt>
                <c:pt idx="19">
                  <c:v>1</c:v>
                </c:pt>
                <c:pt idx="20">
                  <c:v>-3</c:v>
                </c:pt>
                <c:pt idx="21">
                  <c:v>-15</c:v>
                </c:pt>
                <c:pt idx="22">
                  <c:v>-13</c:v>
                </c:pt>
                <c:pt idx="23">
                  <c:v>-11.5</c:v>
                </c:pt>
                <c:pt idx="24">
                  <c:v>-6</c:v>
                </c:pt>
                <c:pt idx="25">
                  <c:v>-5.5</c:v>
                </c:pt>
                <c:pt idx="26">
                  <c:v>-4.5</c:v>
                </c:pt>
                <c:pt idx="27">
                  <c:v>-6.5</c:v>
                </c:pt>
                <c:pt idx="28">
                  <c:v>6.5</c:v>
                </c:pt>
                <c:pt idx="29">
                  <c:v>-2</c:v>
                </c:pt>
                <c:pt idx="30">
                  <c:v>-9</c:v>
                </c:pt>
                <c:pt idx="31">
                  <c:v>-4.5</c:v>
                </c:pt>
                <c:pt idx="32">
                  <c:v>-11.5</c:v>
                </c:pt>
                <c:pt idx="33">
                  <c:v>-15.5</c:v>
                </c:pt>
                <c:pt idx="34">
                  <c:v>-16.5</c:v>
                </c:pt>
                <c:pt idx="35">
                  <c:v>-11</c:v>
                </c:pt>
                <c:pt idx="36">
                  <c:v>-7</c:v>
                </c:pt>
                <c:pt idx="37">
                  <c:v>-14</c:v>
                </c:pt>
                <c:pt idx="38">
                  <c:v>-12</c:v>
                </c:pt>
                <c:pt idx="39">
                  <c:v>-5</c:v>
                </c:pt>
                <c:pt idx="40">
                  <c:v>-4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3C75-4B2B-A8BB-F0EA8A4334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8074639"/>
        <c:axId val="1118080463"/>
      </c:lineChart>
      <c:catAx>
        <c:axId val="112768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12769664"/>
        <c:crosses val="autoZero"/>
        <c:auto val="1"/>
        <c:lblAlgn val="ctr"/>
        <c:lblOffset val="0"/>
        <c:noMultiLvlLbl val="0"/>
      </c:catAx>
      <c:valAx>
        <c:axId val="112769664"/>
        <c:scaling>
          <c:orientation val="minMax"/>
          <c:max val="70"/>
          <c:min val="-20"/>
        </c:scaling>
        <c:delete val="0"/>
        <c:axPos val="l"/>
        <c:majorGridlines>
          <c:spPr>
            <a:ln>
              <a:solidFill>
                <a:srgbClr val="BEBEBE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 i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cs-CZ" sz="700" b="0" i="1">
                    <a:latin typeface="Arial" panose="020B0604020202020204" pitchFamily="34" charset="0"/>
                    <a:cs typeface="Arial" panose="020B0604020202020204" pitchFamily="34" charset="0"/>
                  </a:rPr>
                  <a:t>Zakázky, příspěvky k změně stavební produkce</a:t>
                </a:r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12768128"/>
        <c:crosses val="autoZero"/>
        <c:crossBetween val="between"/>
        <c:majorUnit val="10"/>
      </c:valAx>
      <c:valAx>
        <c:axId val="1118080463"/>
        <c:scaling>
          <c:orientation val="minMax"/>
          <c:max val="80"/>
          <c:min val="-100"/>
        </c:scaling>
        <c:delete val="0"/>
        <c:axPos val="r"/>
        <c:title>
          <c:tx>
            <c:rich>
              <a:bodyPr/>
              <a:lstStyle/>
              <a:p>
                <a:pPr>
                  <a:defRPr sz="700" b="0" i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cs-CZ" sz="700" b="0" i="1">
                    <a:latin typeface="Arial" panose="020B0604020202020204" pitchFamily="34" charset="0"/>
                    <a:cs typeface="Arial" panose="020B0604020202020204" pitchFamily="34" charset="0"/>
                  </a:rPr>
                  <a:t>Saldo důvěry, bariéry růstu</a:t>
                </a:r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1118074639"/>
        <c:crosses val="max"/>
        <c:crossBetween val="between"/>
        <c:majorUnit val="20"/>
      </c:valAx>
      <c:catAx>
        <c:axId val="1118074639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18080463"/>
        <c:crosses val="autoZero"/>
        <c:auto val="1"/>
        <c:lblAlgn val="ctr"/>
        <c:lblOffset val="100"/>
        <c:noMultiLvlLbl val="0"/>
      </c:catAx>
      <c:spPr>
        <a:noFill/>
        <a:ln w="6350">
          <a:solidFill>
            <a:prstClr val="black">
              <a:lumMod val="95000"/>
              <a:lumOff val="5000"/>
            </a:prstClr>
          </a:solidFill>
        </a:ln>
      </c:spPr>
    </c:plotArea>
    <c:legend>
      <c:legendPos val="r"/>
      <c:layout>
        <c:manualLayout>
          <c:xMode val="edge"/>
          <c:yMode val="edge"/>
          <c:x val="7.6126793553942364E-3"/>
          <c:y val="0.85936703322638608"/>
          <c:w val="0.9801437714811797"/>
          <c:h val="0.13362821778942557"/>
        </c:manualLayout>
      </c:layout>
      <c:overlay val="0"/>
      <c:spPr>
        <a:ln w="6350">
          <a:solidFill>
            <a:prstClr val="black">
              <a:lumMod val="95000"/>
              <a:lumOff val="5000"/>
            </a:prstClr>
          </a:solidFill>
        </a:ln>
      </c:spPr>
      <c:txPr>
        <a:bodyPr/>
        <a:lstStyle/>
        <a:p>
          <a:pPr>
            <a:defRPr sz="750">
              <a:latin typeface="Arial" pitchFamily="34" charset="0"/>
              <a:cs typeface="Arial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385677352723435E-2"/>
          <c:y val="1.5803328678987455E-2"/>
          <c:w val="0.83979584077702996"/>
          <c:h val="0.69902590308489432"/>
        </c:manualLayout>
      </c:layout>
      <c:barChart>
        <c:barDir val="col"/>
        <c:grouping val="stacked"/>
        <c:varyColors val="0"/>
        <c:ser>
          <c:idx val="0"/>
          <c:order val="1"/>
          <c:tx>
            <c:strRef>
              <c:f>'Služby-příspěvky k růstu-4'!$D$33</c:f>
              <c:strCache>
                <c:ptCount val="1"/>
                <c:pt idx="0">
                  <c:v>Doprava a skladování (p. b.)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</c:spPr>
          <c:invertIfNegative val="0"/>
          <c:cat>
            <c:multiLvlStrRef>
              <c:f>'Služby-příspěvky k růstu-4'!$A$46:$B$86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'Služby-příspěvky k růstu-4'!$D$46:$D$86</c:f>
              <c:numCache>
                <c:formatCode>0.0</c:formatCode>
                <c:ptCount val="41"/>
                <c:pt idx="0">
                  <c:v>0.28583707131499864</c:v>
                </c:pt>
                <c:pt idx="1">
                  <c:v>9.9073319502600551E-2</c:v>
                </c:pt>
                <c:pt idx="2">
                  <c:v>0.31769782750540138</c:v>
                </c:pt>
                <c:pt idx="3">
                  <c:v>0.12210619116400009</c:v>
                </c:pt>
                <c:pt idx="4">
                  <c:v>0.28220883268199926</c:v>
                </c:pt>
                <c:pt idx="5">
                  <c:v>6.1181950046598127E-2</c:v>
                </c:pt>
                <c:pt idx="6">
                  <c:v>0.16591602609100148</c:v>
                </c:pt>
                <c:pt idx="7">
                  <c:v>0.78068825847900136</c:v>
                </c:pt>
                <c:pt idx="8">
                  <c:v>1.5613141921709988</c:v>
                </c:pt>
                <c:pt idx="9">
                  <c:v>1.122930781783998</c:v>
                </c:pt>
                <c:pt idx="10">
                  <c:v>1.0641446548009998</c:v>
                </c:pt>
                <c:pt idx="11">
                  <c:v>0.59189353382399879</c:v>
                </c:pt>
                <c:pt idx="12">
                  <c:v>1.6915596254819993</c:v>
                </c:pt>
                <c:pt idx="13">
                  <c:v>1.8149616493690008</c:v>
                </c:pt>
                <c:pt idx="14">
                  <c:v>1.4972066301569984</c:v>
                </c:pt>
                <c:pt idx="15">
                  <c:v>0.48435757114800193</c:v>
                </c:pt>
                <c:pt idx="16">
                  <c:v>8.7680447270998052E-2</c:v>
                </c:pt>
                <c:pt idx="17">
                  <c:v>-0.13218522120399967</c:v>
                </c:pt>
                <c:pt idx="18">
                  <c:v>-0.30882816758200105</c:v>
                </c:pt>
                <c:pt idx="19">
                  <c:v>-7.2429796977600117E-2</c:v>
                </c:pt>
                <c:pt idx="20">
                  <c:v>-1.5388901719333996</c:v>
                </c:pt>
                <c:pt idx="21">
                  <c:v>-6.3630415493666987</c:v>
                </c:pt>
                <c:pt idx="22">
                  <c:v>-3.9404740003479741</c:v>
                </c:pt>
                <c:pt idx="23">
                  <c:v>-1.3606128435167992</c:v>
                </c:pt>
                <c:pt idx="24">
                  <c:v>0.4088656896211989</c:v>
                </c:pt>
                <c:pt idx="25">
                  <c:v>6.4764937929024002</c:v>
                </c:pt>
                <c:pt idx="26">
                  <c:v>3.6894021043711978</c:v>
                </c:pt>
                <c:pt idx="27">
                  <c:v>3.3161613281704816</c:v>
                </c:pt>
                <c:pt idx="28">
                  <c:v>3.9415319244440563</c:v>
                </c:pt>
                <c:pt idx="29">
                  <c:v>4.0147374068873427</c:v>
                </c:pt>
                <c:pt idx="30">
                  <c:v>3.2326582654640639</c:v>
                </c:pt>
                <c:pt idx="31">
                  <c:v>0.69681855970799866</c:v>
                </c:pt>
                <c:pt idx="32">
                  <c:v>-1.2185276536319998</c:v>
                </c:pt>
                <c:pt idx="33">
                  <c:v>-3.0875052672391559</c:v>
                </c:pt>
                <c:pt idx="34">
                  <c:v>-3.4635195368510443</c:v>
                </c:pt>
                <c:pt idx="35">
                  <c:v>-2.6097941119313268</c:v>
                </c:pt>
                <c:pt idx="36">
                  <c:v>0.16494056157849463</c:v>
                </c:pt>
                <c:pt idx="37">
                  <c:v>1.1308906822011455</c:v>
                </c:pt>
                <c:pt idx="38">
                  <c:v>1.589128813838234</c:v>
                </c:pt>
                <c:pt idx="39">
                  <c:v>1.3973082438572044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78-47B3-BD04-C44E66A5C96B}"/>
            </c:ext>
          </c:extLst>
        </c:ser>
        <c:ser>
          <c:idx val="1"/>
          <c:order val="2"/>
          <c:tx>
            <c:strRef>
              <c:f>'Služby-příspěvky k růstu-4'!$E$33</c:f>
              <c:strCache>
                <c:ptCount val="1"/>
                <c:pt idx="0">
                  <c:v>Ubytování, stravování a pohostinství (p. b.)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</c:spPr>
          <c:invertIfNegative val="0"/>
          <c:cat>
            <c:multiLvlStrRef>
              <c:f>'Služby-příspěvky k růstu-4'!$A$46:$B$86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'Služby-příspěvky k růstu-4'!$E$46:$E$86</c:f>
              <c:numCache>
                <c:formatCode>0.0</c:formatCode>
                <c:ptCount val="41"/>
                <c:pt idx="0">
                  <c:v>0.22716240604080018</c:v>
                </c:pt>
                <c:pt idx="1">
                  <c:v>0.65001523589900034</c:v>
                </c:pt>
                <c:pt idx="2">
                  <c:v>0.65043885271950042</c:v>
                </c:pt>
                <c:pt idx="3">
                  <c:v>0.40286531384040036</c:v>
                </c:pt>
                <c:pt idx="4">
                  <c:v>0.47082926396040031</c:v>
                </c:pt>
                <c:pt idx="5">
                  <c:v>0.17677577920749962</c:v>
                </c:pt>
                <c:pt idx="6">
                  <c:v>0.57113528170200001</c:v>
                </c:pt>
                <c:pt idx="7">
                  <c:v>0.60157631975219972</c:v>
                </c:pt>
                <c:pt idx="8">
                  <c:v>0.9154231899449996</c:v>
                </c:pt>
                <c:pt idx="9">
                  <c:v>1.2344281014258005</c:v>
                </c:pt>
                <c:pt idx="10">
                  <c:v>0.55621615324820017</c:v>
                </c:pt>
                <c:pt idx="11">
                  <c:v>0.45646654612940007</c:v>
                </c:pt>
                <c:pt idx="12">
                  <c:v>0.20372087178279991</c:v>
                </c:pt>
                <c:pt idx="13">
                  <c:v>5.3418687620000245E-2</c:v>
                </c:pt>
                <c:pt idx="14">
                  <c:v>6.3072083089999523E-2</c:v>
                </c:pt>
                <c:pt idx="15">
                  <c:v>-3.690856285000052E-2</c:v>
                </c:pt>
                <c:pt idx="16">
                  <c:v>-0.36352759744700047</c:v>
                </c:pt>
                <c:pt idx="17">
                  <c:v>-0.66972254409340026</c:v>
                </c:pt>
                <c:pt idx="18">
                  <c:v>0.55939150605359955</c:v>
                </c:pt>
                <c:pt idx="19">
                  <c:v>0.81136645955399955</c:v>
                </c:pt>
                <c:pt idx="20">
                  <c:v>-1.02121923221554</c:v>
                </c:pt>
                <c:pt idx="21">
                  <c:v>-4.7572576440565006</c:v>
                </c:pt>
                <c:pt idx="22">
                  <c:v>-1.8794605145432095</c:v>
                </c:pt>
                <c:pt idx="23">
                  <c:v>-4.4951618716172961</c:v>
                </c:pt>
                <c:pt idx="24">
                  <c:v>-3.6368266071500002</c:v>
                </c:pt>
                <c:pt idx="25">
                  <c:v>1.403393156328441</c:v>
                </c:pt>
                <c:pt idx="26">
                  <c:v>0.6598381955792999</c:v>
                </c:pt>
                <c:pt idx="27">
                  <c:v>2.8955998605449214</c:v>
                </c:pt>
                <c:pt idx="28">
                  <c:v>2.8319505685055999</c:v>
                </c:pt>
                <c:pt idx="29">
                  <c:v>2.4351367431930284</c:v>
                </c:pt>
                <c:pt idx="30">
                  <c:v>-0.4578554378915255</c:v>
                </c:pt>
                <c:pt idx="31">
                  <c:v>0.56708776868759969</c:v>
                </c:pt>
                <c:pt idx="32">
                  <c:v>0.47225441264799972</c:v>
                </c:pt>
                <c:pt idx="33">
                  <c:v>-2.9316566566892487E-2</c:v>
                </c:pt>
                <c:pt idx="34">
                  <c:v>0.13048974572998381</c:v>
                </c:pt>
                <c:pt idx="35">
                  <c:v>7.6423660532273313E-2</c:v>
                </c:pt>
                <c:pt idx="36">
                  <c:v>0.1848493231119803</c:v>
                </c:pt>
                <c:pt idx="37">
                  <c:v>0.17228374675569749</c:v>
                </c:pt>
                <c:pt idx="38" formatCode="0.00">
                  <c:v>-0.15240558895996556</c:v>
                </c:pt>
                <c:pt idx="39">
                  <c:v>-2.022758040197273E-3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78-47B3-BD04-C44E66A5C96B}"/>
            </c:ext>
          </c:extLst>
        </c:ser>
        <c:ser>
          <c:idx val="2"/>
          <c:order val="3"/>
          <c:tx>
            <c:strRef>
              <c:f>'Služby-příspěvky k růstu-4'!$F$33</c:f>
              <c:strCache>
                <c:ptCount val="1"/>
                <c:pt idx="0">
                  <c:v>Informační a komunikační činnosti (p. b.)</c:v>
                </c:pt>
              </c:strCache>
            </c:strRef>
          </c:tx>
          <c:spPr>
            <a:solidFill>
              <a:srgbClr val="E6E100"/>
            </a:solidFill>
            <a:ln>
              <a:noFill/>
            </a:ln>
          </c:spPr>
          <c:invertIfNegative val="0"/>
          <c:cat>
            <c:multiLvlStrRef>
              <c:f>'Služby-příspěvky k růstu-4'!$A$46:$B$86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'Služby-příspěvky k růstu-4'!$F$46:$F$86</c:f>
              <c:numCache>
                <c:formatCode>0.0</c:formatCode>
                <c:ptCount val="41"/>
                <c:pt idx="0">
                  <c:v>1.3475600006119992</c:v>
                </c:pt>
                <c:pt idx="1">
                  <c:v>0.66866302459200067</c:v>
                </c:pt>
                <c:pt idx="2">
                  <c:v>0.76957802431699907</c:v>
                </c:pt>
                <c:pt idx="3">
                  <c:v>1.4886414789369995</c:v>
                </c:pt>
                <c:pt idx="4">
                  <c:v>0.31877743705500039</c:v>
                </c:pt>
                <c:pt idx="5">
                  <c:v>0.20661529177999968</c:v>
                </c:pt>
                <c:pt idx="6">
                  <c:v>0.33414735394100048</c:v>
                </c:pt>
                <c:pt idx="7">
                  <c:v>-1.5907952160003447E-3</c:v>
                </c:pt>
                <c:pt idx="8">
                  <c:v>0.81368973776000075</c:v>
                </c:pt>
                <c:pt idx="9">
                  <c:v>0.85417546131300082</c:v>
                </c:pt>
                <c:pt idx="10">
                  <c:v>0.70502890964199894</c:v>
                </c:pt>
                <c:pt idx="11">
                  <c:v>0.57956639880599936</c:v>
                </c:pt>
                <c:pt idx="12">
                  <c:v>1.4478889516160005</c:v>
                </c:pt>
                <c:pt idx="13">
                  <c:v>0.80994689822300014</c:v>
                </c:pt>
                <c:pt idx="14">
                  <c:v>1.4688126825399994</c:v>
                </c:pt>
                <c:pt idx="15">
                  <c:v>1.086122449493</c:v>
                </c:pt>
                <c:pt idx="16">
                  <c:v>0.58941772132699954</c:v>
                </c:pt>
                <c:pt idx="17">
                  <c:v>1.4226829106699992</c:v>
                </c:pt>
                <c:pt idx="18">
                  <c:v>1.6743952337219994</c:v>
                </c:pt>
                <c:pt idx="19">
                  <c:v>0.80346819102189926</c:v>
                </c:pt>
                <c:pt idx="20">
                  <c:v>0.70778641415200061</c:v>
                </c:pt>
                <c:pt idx="21">
                  <c:v>-0.1282918788954005</c:v>
                </c:pt>
                <c:pt idx="22">
                  <c:v>-0.45078576191000025</c:v>
                </c:pt>
                <c:pt idx="23">
                  <c:v>-0.76558883395124844</c:v>
                </c:pt>
                <c:pt idx="24">
                  <c:v>0.7323319913259988</c:v>
                </c:pt>
                <c:pt idx="25">
                  <c:v>1.7146685449672157</c:v>
                </c:pt>
                <c:pt idx="26">
                  <c:v>1.7390352765915991</c:v>
                </c:pt>
                <c:pt idx="27">
                  <c:v>2.1094183846328769</c:v>
                </c:pt>
                <c:pt idx="28">
                  <c:v>1.7462317635008986</c:v>
                </c:pt>
                <c:pt idx="29">
                  <c:v>0.98445967195199957</c:v>
                </c:pt>
                <c:pt idx="30">
                  <c:v>0.77337609083225878</c:v>
                </c:pt>
                <c:pt idx="31">
                  <c:v>0.38147059089411911</c:v>
                </c:pt>
                <c:pt idx="32">
                  <c:v>0.58107099629639936</c:v>
                </c:pt>
                <c:pt idx="33">
                  <c:v>-4.8041419345950746E-3</c:v>
                </c:pt>
                <c:pt idx="34">
                  <c:v>-0.79090249402026913</c:v>
                </c:pt>
                <c:pt idx="35">
                  <c:v>-0.79098952511955656</c:v>
                </c:pt>
                <c:pt idx="36">
                  <c:v>0.17906498409731675</c:v>
                </c:pt>
                <c:pt idx="37">
                  <c:v>0.47783399153316797</c:v>
                </c:pt>
                <c:pt idx="38">
                  <c:v>0.83732198648409195</c:v>
                </c:pt>
                <c:pt idx="39">
                  <c:v>0.51255147083949859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78-47B3-BD04-C44E66A5C96B}"/>
            </c:ext>
          </c:extLst>
        </c:ser>
        <c:ser>
          <c:idx val="4"/>
          <c:order val="4"/>
          <c:tx>
            <c:strRef>
              <c:f>'Služby-příspěvky k růstu-4'!$G$33</c:f>
              <c:strCache>
                <c:ptCount val="1"/>
                <c:pt idx="0">
                  <c:v>Činnosti v oblasti nemovitostí (p. b.)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  <a:prstDash val="sysDash"/>
            </a:ln>
          </c:spPr>
          <c:invertIfNegative val="0"/>
          <c:cat>
            <c:multiLvlStrRef>
              <c:f>'Služby-příspěvky k růstu-4'!$A$46:$B$86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'Služby-příspěvky k růstu-4'!$G$46:$G$86</c:f>
              <c:numCache>
                <c:formatCode>0.0</c:formatCode>
                <c:ptCount val="41"/>
                <c:pt idx="0">
                  <c:v>4.746770298419966E-2</c:v>
                </c:pt>
                <c:pt idx="1">
                  <c:v>-7.1736494634002381E-3</c:v>
                </c:pt>
                <c:pt idx="2">
                  <c:v>0.12594742008660062</c:v>
                </c:pt>
                <c:pt idx="3">
                  <c:v>2.5503553016999546E-2</c:v>
                </c:pt>
                <c:pt idx="4">
                  <c:v>0.25581412202700016</c:v>
                </c:pt>
                <c:pt idx="5">
                  <c:v>-5.8871280300053285E-4</c:v>
                </c:pt>
                <c:pt idx="6">
                  <c:v>0.14820611830979977</c:v>
                </c:pt>
                <c:pt idx="7">
                  <c:v>-6.673245353100031E-2</c:v>
                </c:pt>
                <c:pt idx="8">
                  <c:v>0.21337518275449996</c:v>
                </c:pt>
                <c:pt idx="9">
                  <c:v>0.44510148149939993</c:v>
                </c:pt>
                <c:pt idx="10">
                  <c:v>-2.3161044655499695E-2</c:v>
                </c:pt>
                <c:pt idx="11">
                  <c:v>0.13973557355700003</c:v>
                </c:pt>
                <c:pt idx="12">
                  <c:v>2.4776891451000493E-2</c:v>
                </c:pt>
                <c:pt idx="13">
                  <c:v>-0.24771466350479987</c:v>
                </c:pt>
                <c:pt idx="14">
                  <c:v>-0.12634060942140016</c:v>
                </c:pt>
                <c:pt idx="15">
                  <c:v>-0.22296155792339972</c:v>
                </c:pt>
                <c:pt idx="16">
                  <c:v>-0.59230274151539974</c:v>
                </c:pt>
                <c:pt idx="17">
                  <c:v>-0.14941666489739952</c:v>
                </c:pt>
                <c:pt idx="18">
                  <c:v>0.15857003378880019</c:v>
                </c:pt>
                <c:pt idx="19">
                  <c:v>0.41231320665960003</c:v>
                </c:pt>
                <c:pt idx="20">
                  <c:v>0.43752910629419994</c:v>
                </c:pt>
                <c:pt idx="21">
                  <c:v>-0.31303453713669938</c:v>
                </c:pt>
                <c:pt idx="22">
                  <c:v>-0.26031344919999999</c:v>
                </c:pt>
                <c:pt idx="23">
                  <c:v>-0.23208025015669992</c:v>
                </c:pt>
                <c:pt idx="24">
                  <c:v>-0.20727484949260061</c:v>
                </c:pt>
                <c:pt idx="25">
                  <c:v>0.47370519994304983</c:v>
                </c:pt>
                <c:pt idx="26">
                  <c:v>-3.6755858435000024E-3</c:v>
                </c:pt>
                <c:pt idx="27">
                  <c:v>0.24022375891920059</c:v>
                </c:pt>
                <c:pt idx="28">
                  <c:v>0.94375719852960038</c:v>
                </c:pt>
                <c:pt idx="29">
                  <c:v>0.47234436927200024</c:v>
                </c:pt>
                <c:pt idx="30">
                  <c:v>0.21995623369736816</c:v>
                </c:pt>
                <c:pt idx="31">
                  <c:v>0.35020828853333319</c:v>
                </c:pt>
                <c:pt idx="32">
                  <c:v>0.14392327619039993</c:v>
                </c:pt>
                <c:pt idx="33">
                  <c:v>-0.1535664718109308</c:v>
                </c:pt>
                <c:pt idx="34">
                  <c:v>-0.26289383434401792</c:v>
                </c:pt>
                <c:pt idx="35">
                  <c:v>-0.2058550959691883</c:v>
                </c:pt>
                <c:pt idx="36">
                  <c:v>-0.13908627763966458</c:v>
                </c:pt>
                <c:pt idx="37">
                  <c:v>0.25695615851757753</c:v>
                </c:pt>
                <c:pt idx="38">
                  <c:v>-0.17471502977673614</c:v>
                </c:pt>
                <c:pt idx="39">
                  <c:v>-3.1665190432808026E-3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978-47B3-BD04-C44E66A5C96B}"/>
            </c:ext>
          </c:extLst>
        </c:ser>
        <c:ser>
          <c:idx val="5"/>
          <c:order val="5"/>
          <c:tx>
            <c:strRef>
              <c:f>'Služby-příspěvky k růstu-4'!$H$33</c:f>
              <c:strCache>
                <c:ptCount val="1"/>
                <c:pt idx="0">
                  <c:v>Profesní, vědecké a technické činnosti (p. b.)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</c:spPr>
          <c:invertIfNegative val="0"/>
          <c:cat>
            <c:multiLvlStrRef>
              <c:f>'Služby-příspěvky k růstu-4'!$A$46:$B$86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'Služby-příspěvky k růstu-4'!$H$46:$H$86</c:f>
              <c:numCache>
                <c:formatCode>0.0</c:formatCode>
                <c:ptCount val="41"/>
                <c:pt idx="0">
                  <c:v>1.0880520996029996</c:v>
                </c:pt>
                <c:pt idx="1">
                  <c:v>0.74361697973999985</c:v>
                </c:pt>
                <c:pt idx="2">
                  <c:v>1.1124163133600007</c:v>
                </c:pt>
                <c:pt idx="3">
                  <c:v>-4.565689538760101E-2</c:v>
                </c:pt>
                <c:pt idx="4">
                  <c:v>-0.42777544952319951</c:v>
                </c:pt>
                <c:pt idx="5">
                  <c:v>-1.3881659651599989</c:v>
                </c:pt>
                <c:pt idx="6">
                  <c:v>3.2450629870800683E-2</c:v>
                </c:pt>
                <c:pt idx="7">
                  <c:v>-0.31316142237530059</c:v>
                </c:pt>
                <c:pt idx="8">
                  <c:v>0.97301367041999931</c:v>
                </c:pt>
                <c:pt idx="9">
                  <c:v>0.61036630698759931</c:v>
                </c:pt>
                <c:pt idx="10">
                  <c:v>0.29822562376110068</c:v>
                </c:pt>
                <c:pt idx="11">
                  <c:v>0.39661775964799895</c:v>
                </c:pt>
                <c:pt idx="12">
                  <c:v>1.0432277278803002</c:v>
                </c:pt>
                <c:pt idx="13">
                  <c:v>0.5277616084097011</c:v>
                </c:pt>
                <c:pt idx="14">
                  <c:v>0.33063617776669868</c:v>
                </c:pt>
                <c:pt idx="15">
                  <c:v>-0.3275368981885991</c:v>
                </c:pt>
                <c:pt idx="16">
                  <c:v>-0.22084952351709861</c:v>
                </c:pt>
                <c:pt idx="17">
                  <c:v>0.93052352491439916</c:v>
                </c:pt>
                <c:pt idx="18">
                  <c:v>-1.1995249704883002</c:v>
                </c:pt>
                <c:pt idx="19">
                  <c:v>0.1316248734900006</c:v>
                </c:pt>
                <c:pt idx="20">
                  <c:v>-1.2601566612770994</c:v>
                </c:pt>
                <c:pt idx="21">
                  <c:v>-3.4366386991859987</c:v>
                </c:pt>
                <c:pt idx="22">
                  <c:v>-1.7291196666688515</c:v>
                </c:pt>
                <c:pt idx="23">
                  <c:v>-1.6772597720676004</c:v>
                </c:pt>
                <c:pt idx="24">
                  <c:v>-1.8347622986275864</c:v>
                </c:pt>
                <c:pt idx="25">
                  <c:v>2.6531876759010991</c:v>
                </c:pt>
                <c:pt idx="26">
                  <c:v>1.7505045923527998</c:v>
                </c:pt>
                <c:pt idx="27">
                  <c:v>2.2451866810505154</c:v>
                </c:pt>
                <c:pt idx="28">
                  <c:v>2.2898640824340011</c:v>
                </c:pt>
                <c:pt idx="29">
                  <c:v>1.3871387656222238</c:v>
                </c:pt>
                <c:pt idx="30">
                  <c:v>0.9921896123260866</c:v>
                </c:pt>
                <c:pt idx="31">
                  <c:v>0.14074578420000097</c:v>
                </c:pt>
                <c:pt idx="32">
                  <c:v>0.82031999790419874</c:v>
                </c:pt>
                <c:pt idx="33">
                  <c:v>0.78145474556333916</c:v>
                </c:pt>
                <c:pt idx="34">
                  <c:v>0.12880900106180337</c:v>
                </c:pt>
                <c:pt idx="35">
                  <c:v>0.82761557316941203</c:v>
                </c:pt>
                <c:pt idx="36">
                  <c:v>0.47952504555295244</c:v>
                </c:pt>
                <c:pt idx="37">
                  <c:v>0.70023975529588289</c:v>
                </c:pt>
                <c:pt idx="38">
                  <c:v>0.30650736077845059</c:v>
                </c:pt>
                <c:pt idx="39">
                  <c:v>3.4664741728812364E-2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978-47B3-BD04-C44E66A5C96B}"/>
            </c:ext>
          </c:extLst>
        </c:ser>
        <c:ser>
          <c:idx val="6"/>
          <c:order val="6"/>
          <c:tx>
            <c:strRef>
              <c:f>'Služby-příspěvky k růstu-4'!$I$33</c:f>
              <c:strCache>
                <c:ptCount val="1"/>
                <c:pt idx="0">
                  <c:v>Administr. a podpůrné čin. (příspěvek v p. b.)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noFill/>
            </a:ln>
          </c:spPr>
          <c:invertIfNegative val="0"/>
          <c:cat>
            <c:multiLvlStrRef>
              <c:f>'Služby-příspěvky k růstu-4'!$A$46:$B$86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'Služby-příspěvky k růstu-4'!$I$46:$I$86</c:f>
              <c:numCache>
                <c:formatCode>0.0</c:formatCode>
                <c:ptCount val="41"/>
                <c:pt idx="0">
                  <c:v>0.43712925900860061</c:v>
                </c:pt>
                <c:pt idx="1">
                  <c:v>0.52715289377499985</c:v>
                </c:pt>
                <c:pt idx="2">
                  <c:v>0.30410241097500013</c:v>
                </c:pt>
                <c:pt idx="3">
                  <c:v>0.36652377459450047</c:v>
                </c:pt>
                <c:pt idx="4">
                  <c:v>0.38200556495039989</c:v>
                </c:pt>
                <c:pt idx="5">
                  <c:v>5.5683904032899467E-2</c:v>
                </c:pt>
                <c:pt idx="6">
                  <c:v>0.25322776738810082</c:v>
                </c:pt>
                <c:pt idx="7">
                  <c:v>0.50752865690419957</c:v>
                </c:pt>
                <c:pt idx="8">
                  <c:v>1.2867283782210006</c:v>
                </c:pt>
                <c:pt idx="9">
                  <c:v>1.1106873038032994</c:v>
                </c:pt>
                <c:pt idx="10">
                  <c:v>0.67802933227800077</c:v>
                </c:pt>
                <c:pt idx="11">
                  <c:v>0.27967830350980011</c:v>
                </c:pt>
                <c:pt idx="12">
                  <c:v>0.54732406709499937</c:v>
                </c:pt>
                <c:pt idx="13">
                  <c:v>0.38206091352559962</c:v>
                </c:pt>
                <c:pt idx="14">
                  <c:v>0.39483194314119968</c:v>
                </c:pt>
                <c:pt idx="15">
                  <c:v>-3.3562302980400686E-2</c:v>
                </c:pt>
                <c:pt idx="16">
                  <c:v>-1.2004885543983994</c:v>
                </c:pt>
                <c:pt idx="17">
                  <c:v>0.45312965092039981</c:v>
                </c:pt>
                <c:pt idx="18">
                  <c:v>-0.39654158277710005</c:v>
                </c:pt>
                <c:pt idx="19">
                  <c:v>1.3094816479706997</c:v>
                </c:pt>
                <c:pt idx="20">
                  <c:v>-1.1435941660679998</c:v>
                </c:pt>
                <c:pt idx="21">
                  <c:v>-5.2829127749359994</c:v>
                </c:pt>
                <c:pt idx="22">
                  <c:v>-4.9399258629473684</c:v>
                </c:pt>
                <c:pt idx="23">
                  <c:v>-2.9775292557339998</c:v>
                </c:pt>
                <c:pt idx="24">
                  <c:v>-1.3827342045416995</c:v>
                </c:pt>
                <c:pt idx="25">
                  <c:v>2.2514763070671724</c:v>
                </c:pt>
                <c:pt idx="26">
                  <c:v>2.1164669904299998</c:v>
                </c:pt>
                <c:pt idx="27">
                  <c:v>1.4326921666442753</c:v>
                </c:pt>
                <c:pt idx="28">
                  <c:v>1.7121091434735483</c:v>
                </c:pt>
                <c:pt idx="29">
                  <c:v>3.1131989760350476</c:v>
                </c:pt>
                <c:pt idx="30">
                  <c:v>2.2147837357919</c:v>
                </c:pt>
                <c:pt idx="31">
                  <c:v>0.75846719128319973</c:v>
                </c:pt>
                <c:pt idx="32">
                  <c:v>0.44415530147160037</c:v>
                </c:pt>
                <c:pt idx="33">
                  <c:v>0.17226054152411027</c:v>
                </c:pt>
                <c:pt idx="34">
                  <c:v>-0.14183696776571372</c:v>
                </c:pt>
                <c:pt idx="35">
                  <c:v>-4.4421597776438851E-2</c:v>
                </c:pt>
                <c:pt idx="36">
                  <c:v>0.33217177581089563</c:v>
                </c:pt>
                <c:pt idx="37">
                  <c:v>0.14258852893206106</c:v>
                </c:pt>
                <c:pt idx="38">
                  <c:v>0.42584558638501663</c:v>
                </c:pt>
                <c:pt idx="39">
                  <c:v>0.17528641369990824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978-47B3-BD04-C44E66A5C9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overlap val="100"/>
        <c:axId val="156100864"/>
        <c:axId val="156573696"/>
      </c:barChart>
      <c:lineChart>
        <c:grouping val="standard"/>
        <c:varyColors val="0"/>
        <c:ser>
          <c:idx val="3"/>
          <c:order val="0"/>
          <c:tx>
            <c:strRef>
              <c:f>'Služby-příspěvky k růstu-4'!$C$33</c:f>
              <c:strCache>
                <c:ptCount val="1"/>
                <c:pt idx="0">
                  <c:v>Služby celkem (meziroční růst v %)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7"/>
            <c:spPr>
              <a:solidFill>
                <a:schemeClr val="tx1">
                  <a:lumMod val="95000"/>
                  <a:lumOff val="5000"/>
                </a:schemeClr>
              </a:solidFill>
              <a:ln>
                <a:noFill/>
              </a:ln>
            </c:spPr>
          </c:marker>
          <c:cat>
            <c:multiLvlStrRef>
              <c:f>'Služby-příspěvky k růstu-4'!$A$46:$B$86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'Služby-příspěvky k růstu-4'!$C$46:$C$86</c:f>
              <c:numCache>
                <c:formatCode>0.0</c:formatCode>
                <c:ptCount val="41"/>
                <c:pt idx="0">
                  <c:v>3.4824690008999966</c:v>
                </c:pt>
                <c:pt idx="1">
                  <c:v>2.7934385740000067</c:v>
                </c:pt>
                <c:pt idx="2">
                  <c:v>3.3397363911000042</c:v>
                </c:pt>
                <c:pt idx="3">
                  <c:v>2.4240605071999966</c:v>
                </c:pt>
                <c:pt idx="4">
                  <c:v>1.3060861837000033</c:v>
                </c:pt>
                <c:pt idx="5">
                  <c:v>-1.1913006246000037</c:v>
                </c:pt>
                <c:pt idx="6">
                  <c:v>1.5541405019999956</c:v>
                </c:pt>
                <c:pt idx="7">
                  <c:v>1.2878413721000044</c:v>
                </c:pt>
                <c:pt idx="8">
                  <c:v>5.6991785797000034</c:v>
                </c:pt>
                <c:pt idx="9">
                  <c:v>5.5722364333000058</c:v>
                </c:pt>
                <c:pt idx="10">
                  <c:v>3.3112064832999977</c:v>
                </c:pt>
                <c:pt idx="11">
                  <c:v>2.4385054390999983</c:v>
                </c:pt>
                <c:pt idx="12">
                  <c:v>4.8776432854999996</c:v>
                </c:pt>
                <c:pt idx="13">
                  <c:v>3.1428894752999952</c:v>
                </c:pt>
                <c:pt idx="14">
                  <c:v>3.5062767616000059</c:v>
                </c:pt>
                <c:pt idx="15">
                  <c:v>0.9447540274999966</c:v>
                </c:pt>
                <c:pt idx="16" formatCode="##0.0">
                  <c:v>-2.0638978244000015</c:v>
                </c:pt>
                <c:pt idx="17" formatCode="##0.0">
                  <c:v>2.0119271263999963</c:v>
                </c:pt>
                <c:pt idx="18" formatCode="##0.0">
                  <c:v>0.46201626920000649</c:v>
                </c:pt>
                <c:pt idx="19" formatCode="##0.0">
                  <c:v>3.6792793010999958</c:v>
                </c:pt>
                <c:pt idx="20" formatCode="##0.0">
                  <c:v>-3.7161332750000042</c:v>
                </c:pt>
                <c:pt idx="21" formatCode="##0.0">
                  <c:v>-20.482789201800003</c:v>
                </c:pt>
                <c:pt idx="22" formatCode="##0.0">
                  <c:v>-13.818107271499997</c:v>
                </c:pt>
                <c:pt idx="23" formatCode="##0.0">
                  <c:v>-12.693117899800001</c:v>
                </c:pt>
                <c:pt idx="24" formatCode="##0.0">
                  <c:v>-6.3698525254999936</c:v>
                </c:pt>
                <c:pt idx="25" formatCode="##0.0">
                  <c:v>14.462384940000007</c:v>
                </c:pt>
                <c:pt idx="26" formatCode="##0.0">
                  <c:v>9.8443933221000037</c:v>
                </c:pt>
                <c:pt idx="27" formatCode="##0.0">
                  <c:v>12.457643459600007</c:v>
                </c:pt>
                <c:pt idx="28" formatCode="##0.0">
                  <c:v>13.589852453700004</c:v>
                </c:pt>
                <c:pt idx="29" formatCode="##0.0">
                  <c:v>12.575755002999998</c:v>
                </c:pt>
                <c:pt idx="30" formatCode="##0.0">
                  <c:v>6.8797862188000067</c:v>
                </c:pt>
                <c:pt idx="31" formatCode="##0.0">
                  <c:v>3.1568527814000049</c:v>
                </c:pt>
                <c:pt idx="32" formatCode="##0.0">
                  <c:v>1.5841028919000024</c:v>
                </c:pt>
                <c:pt idx="33" formatCode="##0.0">
                  <c:v>-1.6412497806999937</c:v>
                </c:pt>
                <c:pt idx="34" formatCode="##0.0">
                  <c:v>-3.8314228784000051</c:v>
                </c:pt>
                <c:pt idx="35" formatCode="##0.0">
                  <c:v>-2.196201762900003</c:v>
                </c:pt>
                <c:pt idx="36" formatCode="##0.0">
                  <c:v>1.2016603921999973</c:v>
                </c:pt>
                <c:pt idx="37" formatCode="##0.0">
                  <c:v>2.8808157910000034</c:v>
                </c:pt>
                <c:pt idx="38" formatCode="##0.0">
                  <c:v>2.8318567584999954</c:v>
                </c:pt>
                <c:pt idx="39" formatCode="##0.0">
                  <c:v>2.1145871080999967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D978-47B3-BD04-C44E66A5C9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100864"/>
        <c:axId val="156573696"/>
      </c:lineChart>
      <c:lineChart>
        <c:grouping val="standard"/>
        <c:varyColors val="0"/>
        <c:ser>
          <c:idx val="7"/>
          <c:order val="7"/>
          <c:tx>
            <c:strRef>
              <c:f>'Služby-příspěvky k růstu-4'!$J$33</c:f>
              <c:strCache>
                <c:ptCount val="1"/>
                <c:pt idx="0">
                  <c:v>Saldo indikátoru důvěry ve službách</c:v>
                </c:pt>
              </c:strCache>
            </c:strRef>
          </c:tx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  <c:marker>
            <c:symbol val="diamond"/>
            <c:size val="5"/>
            <c:spPr>
              <a:solidFill>
                <a:srgbClr val="FFFF00"/>
              </a:solidFill>
              <a:ln w="6350">
                <a:solidFill>
                  <a:schemeClr val="tx1">
                    <a:lumMod val="85000"/>
                    <a:lumOff val="15000"/>
                  </a:schemeClr>
                </a:solidFill>
              </a:ln>
            </c:spPr>
          </c:marker>
          <c:cat>
            <c:multiLvlStrRef>
              <c:f>'Služby-příspěvky k růstu-4'!$A$46:$B$86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'Služby-příspěvky k růstu-4'!$J$46:$J$86</c:f>
              <c:numCache>
                <c:formatCode>#\ ##0.0</c:formatCode>
                <c:ptCount val="41"/>
                <c:pt idx="0">
                  <c:v>29.7</c:v>
                </c:pt>
                <c:pt idx="1">
                  <c:v>28.7</c:v>
                </c:pt>
                <c:pt idx="2">
                  <c:v>31.3</c:v>
                </c:pt>
                <c:pt idx="3">
                  <c:v>32.700000000000003</c:v>
                </c:pt>
                <c:pt idx="4">
                  <c:v>32.299999999999997</c:v>
                </c:pt>
                <c:pt idx="5">
                  <c:v>33</c:v>
                </c:pt>
                <c:pt idx="6">
                  <c:v>33</c:v>
                </c:pt>
                <c:pt idx="7">
                  <c:v>37.700000000000003</c:v>
                </c:pt>
                <c:pt idx="8">
                  <c:v>35.299999999999997</c:v>
                </c:pt>
                <c:pt idx="9">
                  <c:v>37.700000000000003</c:v>
                </c:pt>
                <c:pt idx="10">
                  <c:v>37.299999999999997</c:v>
                </c:pt>
                <c:pt idx="11">
                  <c:v>35.700000000000003</c:v>
                </c:pt>
                <c:pt idx="12">
                  <c:v>38.299999999999997</c:v>
                </c:pt>
                <c:pt idx="13">
                  <c:v>37</c:v>
                </c:pt>
                <c:pt idx="14">
                  <c:v>38.299999999999997</c:v>
                </c:pt>
                <c:pt idx="15">
                  <c:v>40.700000000000003</c:v>
                </c:pt>
                <c:pt idx="16">
                  <c:v>39.299999999999997</c:v>
                </c:pt>
                <c:pt idx="17">
                  <c:v>33.700000000000003</c:v>
                </c:pt>
                <c:pt idx="18">
                  <c:v>35</c:v>
                </c:pt>
                <c:pt idx="19">
                  <c:v>32.700000000000003</c:v>
                </c:pt>
                <c:pt idx="20">
                  <c:v>29</c:v>
                </c:pt>
                <c:pt idx="21">
                  <c:v>-13.3</c:v>
                </c:pt>
                <c:pt idx="22">
                  <c:v>1</c:v>
                </c:pt>
                <c:pt idx="23">
                  <c:v>-5</c:v>
                </c:pt>
                <c:pt idx="24">
                  <c:v>8</c:v>
                </c:pt>
                <c:pt idx="25">
                  <c:v>22.3</c:v>
                </c:pt>
                <c:pt idx="26">
                  <c:v>24.3</c:v>
                </c:pt>
                <c:pt idx="27">
                  <c:v>27</c:v>
                </c:pt>
                <c:pt idx="28">
                  <c:v>31</c:v>
                </c:pt>
                <c:pt idx="29">
                  <c:v>40</c:v>
                </c:pt>
                <c:pt idx="30">
                  <c:v>27.7</c:v>
                </c:pt>
                <c:pt idx="31">
                  <c:v>21.3</c:v>
                </c:pt>
                <c:pt idx="32">
                  <c:v>24</c:v>
                </c:pt>
                <c:pt idx="33" formatCode="0.0">
                  <c:v>28</c:v>
                </c:pt>
                <c:pt idx="34" formatCode="0.0">
                  <c:v>25.7</c:v>
                </c:pt>
                <c:pt idx="35" formatCode="0.0">
                  <c:v>22.7</c:v>
                </c:pt>
                <c:pt idx="36" formatCode="0.0">
                  <c:v>21.3</c:v>
                </c:pt>
                <c:pt idx="37" formatCode="0.0">
                  <c:v>30.1</c:v>
                </c:pt>
                <c:pt idx="38" formatCode="0.0">
                  <c:v>21.7</c:v>
                </c:pt>
                <c:pt idx="39" formatCode="0.0">
                  <c:v>33.700000000000003</c:v>
                </c:pt>
                <c:pt idx="40" formatCode="0.0">
                  <c:v>31.3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D978-47B3-BD04-C44E66A5C96B}"/>
            </c:ext>
          </c:extLst>
        </c:ser>
        <c:ser>
          <c:idx val="8"/>
          <c:order val="8"/>
          <c:tx>
            <c:strRef>
              <c:f>'Služby-příspěvky k růstu-4'!$K$33</c:f>
              <c:strCache>
                <c:ptCount val="1"/>
                <c:pt idx="0">
                  <c:v>Bariéra růstu: nedostatečná poptávka</c:v>
                </c:pt>
              </c:strCache>
            </c:strRef>
          </c:tx>
          <c:spPr>
            <a:ln w="15875">
              <a:solidFill>
                <a:srgbClr val="CA945E"/>
              </a:solidFill>
              <a:prstDash val="solid"/>
            </a:ln>
          </c:spPr>
          <c:marker>
            <c:symbol val="none"/>
          </c:marker>
          <c:cat>
            <c:multiLvlStrRef>
              <c:f>'Služby-příspěvky k růstu-4'!$A$46:$B$86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'Služby-příspěvky k růstu-4'!$K$46:$K$86</c:f>
              <c:numCache>
                <c:formatCode>#\ ##0.0</c:formatCode>
                <c:ptCount val="41"/>
                <c:pt idx="0">
                  <c:v>26</c:v>
                </c:pt>
                <c:pt idx="1">
                  <c:v>29.3</c:v>
                </c:pt>
                <c:pt idx="2">
                  <c:v>26.1</c:v>
                </c:pt>
                <c:pt idx="3">
                  <c:v>24.7</c:v>
                </c:pt>
                <c:pt idx="4">
                  <c:v>23.3</c:v>
                </c:pt>
                <c:pt idx="5">
                  <c:v>25.1</c:v>
                </c:pt>
                <c:pt idx="6">
                  <c:v>20.2</c:v>
                </c:pt>
                <c:pt idx="7">
                  <c:v>24.4</c:v>
                </c:pt>
                <c:pt idx="8">
                  <c:v>25.8</c:v>
                </c:pt>
                <c:pt idx="9">
                  <c:v>20.5</c:v>
                </c:pt>
                <c:pt idx="10">
                  <c:v>18.399999999999999</c:v>
                </c:pt>
                <c:pt idx="11">
                  <c:v>21.6</c:v>
                </c:pt>
                <c:pt idx="12">
                  <c:v>16.899999999999999</c:v>
                </c:pt>
                <c:pt idx="13">
                  <c:v>19.399999999999999</c:v>
                </c:pt>
                <c:pt idx="14">
                  <c:v>17.899999999999999</c:v>
                </c:pt>
                <c:pt idx="15">
                  <c:v>20.7</c:v>
                </c:pt>
                <c:pt idx="16">
                  <c:v>20.6</c:v>
                </c:pt>
                <c:pt idx="17">
                  <c:v>16.899999999999999</c:v>
                </c:pt>
                <c:pt idx="18">
                  <c:v>20.5</c:v>
                </c:pt>
                <c:pt idx="19">
                  <c:v>14.4</c:v>
                </c:pt>
                <c:pt idx="20">
                  <c:v>21.3</c:v>
                </c:pt>
                <c:pt idx="21">
                  <c:v>30.2</c:v>
                </c:pt>
                <c:pt idx="22">
                  <c:v>30.4</c:v>
                </c:pt>
                <c:pt idx="23">
                  <c:v>39.200000000000003</c:v>
                </c:pt>
                <c:pt idx="24">
                  <c:v>34.799999999999997</c:v>
                </c:pt>
                <c:pt idx="25">
                  <c:v>36.799999999999997</c:v>
                </c:pt>
                <c:pt idx="26">
                  <c:v>28.9</c:v>
                </c:pt>
                <c:pt idx="27">
                  <c:v>26.3</c:v>
                </c:pt>
                <c:pt idx="28">
                  <c:v>31.6</c:v>
                </c:pt>
                <c:pt idx="29">
                  <c:v>15</c:v>
                </c:pt>
                <c:pt idx="30">
                  <c:v>30.2</c:v>
                </c:pt>
                <c:pt idx="31">
                  <c:v>17.600000000000001</c:v>
                </c:pt>
                <c:pt idx="32">
                  <c:v>25.4</c:v>
                </c:pt>
                <c:pt idx="33">
                  <c:v>19.100000000000001</c:v>
                </c:pt>
                <c:pt idx="34">
                  <c:v>26</c:v>
                </c:pt>
                <c:pt idx="35">
                  <c:v>23</c:v>
                </c:pt>
                <c:pt idx="36">
                  <c:v>18.5</c:v>
                </c:pt>
                <c:pt idx="37">
                  <c:v>19.2</c:v>
                </c:pt>
                <c:pt idx="38">
                  <c:v>17.8</c:v>
                </c:pt>
                <c:pt idx="39">
                  <c:v>29.6</c:v>
                </c:pt>
                <c:pt idx="40">
                  <c:v>24.4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D978-47B3-BD04-C44E66A5C96B}"/>
            </c:ext>
          </c:extLst>
        </c:ser>
        <c:ser>
          <c:idx val="9"/>
          <c:order val="9"/>
          <c:tx>
            <c:strRef>
              <c:f>'Služby-příspěvky k růstu-4'!$L$33</c:f>
              <c:strCache>
                <c:ptCount val="1"/>
                <c:pt idx="0">
                  <c:v>Bariéra růstu: nedostatek pracovníků</c:v>
                </c:pt>
              </c:strCache>
            </c:strRef>
          </c:tx>
          <c:spPr>
            <a:ln w="15875">
              <a:solidFill>
                <a:srgbClr val="CA945E"/>
              </a:solidFill>
              <a:prstDash val="sysDash"/>
            </a:ln>
          </c:spPr>
          <c:marker>
            <c:symbol val="none"/>
          </c:marker>
          <c:cat>
            <c:multiLvlStrRef>
              <c:f>'Služby-příspěvky k růstu-4'!$A$46:$B$86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'Služby-příspěvky k růstu-4'!$L$46:$L$86</c:f>
              <c:numCache>
                <c:formatCode>#\ ##0.0</c:formatCode>
                <c:ptCount val="41"/>
                <c:pt idx="0">
                  <c:v>1.3</c:v>
                </c:pt>
                <c:pt idx="1">
                  <c:v>6</c:v>
                </c:pt>
                <c:pt idx="2">
                  <c:v>7.2</c:v>
                </c:pt>
                <c:pt idx="3">
                  <c:v>5.6</c:v>
                </c:pt>
                <c:pt idx="4">
                  <c:v>7.5</c:v>
                </c:pt>
                <c:pt idx="5">
                  <c:v>4.5</c:v>
                </c:pt>
                <c:pt idx="6">
                  <c:v>7.9</c:v>
                </c:pt>
                <c:pt idx="7">
                  <c:v>9.5</c:v>
                </c:pt>
                <c:pt idx="8">
                  <c:v>9.4</c:v>
                </c:pt>
                <c:pt idx="9">
                  <c:v>9.6999999999999993</c:v>
                </c:pt>
                <c:pt idx="10">
                  <c:v>9.8000000000000007</c:v>
                </c:pt>
                <c:pt idx="11">
                  <c:v>12.8</c:v>
                </c:pt>
                <c:pt idx="12">
                  <c:v>13.9</c:v>
                </c:pt>
                <c:pt idx="13">
                  <c:v>16.3</c:v>
                </c:pt>
                <c:pt idx="14">
                  <c:v>17.5</c:v>
                </c:pt>
                <c:pt idx="15">
                  <c:v>18.899999999999999</c:v>
                </c:pt>
                <c:pt idx="16">
                  <c:v>19.3</c:v>
                </c:pt>
                <c:pt idx="17">
                  <c:v>15</c:v>
                </c:pt>
                <c:pt idx="18">
                  <c:v>21.5</c:v>
                </c:pt>
                <c:pt idx="19">
                  <c:v>19.8</c:v>
                </c:pt>
                <c:pt idx="20">
                  <c:v>19.5</c:v>
                </c:pt>
                <c:pt idx="21">
                  <c:v>10</c:v>
                </c:pt>
                <c:pt idx="22">
                  <c:v>10</c:v>
                </c:pt>
                <c:pt idx="23">
                  <c:v>12.6</c:v>
                </c:pt>
                <c:pt idx="24">
                  <c:v>12.7</c:v>
                </c:pt>
                <c:pt idx="25">
                  <c:v>8.5</c:v>
                </c:pt>
                <c:pt idx="26">
                  <c:v>17.399999999999999</c:v>
                </c:pt>
                <c:pt idx="27">
                  <c:v>20.6</c:v>
                </c:pt>
                <c:pt idx="28">
                  <c:v>20.2</c:v>
                </c:pt>
                <c:pt idx="29">
                  <c:v>10.9</c:v>
                </c:pt>
                <c:pt idx="30">
                  <c:v>17.899999999999999</c:v>
                </c:pt>
                <c:pt idx="31">
                  <c:v>6.6</c:v>
                </c:pt>
                <c:pt idx="32">
                  <c:v>9.3000000000000007</c:v>
                </c:pt>
                <c:pt idx="33">
                  <c:v>9.7000000000000011</c:v>
                </c:pt>
                <c:pt idx="34">
                  <c:v>9.2000000000000011</c:v>
                </c:pt>
                <c:pt idx="35">
                  <c:v>12.3</c:v>
                </c:pt>
                <c:pt idx="36">
                  <c:v>8.3000000000000007</c:v>
                </c:pt>
                <c:pt idx="37">
                  <c:v>8.1</c:v>
                </c:pt>
                <c:pt idx="38">
                  <c:v>8.3000000000000007</c:v>
                </c:pt>
                <c:pt idx="39">
                  <c:v>15.3</c:v>
                </c:pt>
                <c:pt idx="40">
                  <c:v>12.9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D978-47B3-BD04-C44E66A5C96B}"/>
            </c:ext>
          </c:extLst>
        </c:ser>
        <c:ser>
          <c:idx val="10"/>
          <c:order val="10"/>
          <c:tx>
            <c:strRef>
              <c:f>'Služby-příspěvky k růstu-4'!$M$33</c:f>
              <c:strCache>
                <c:ptCount val="1"/>
                <c:pt idx="0">
                  <c:v>Tržby celkem (báze 2021=100, stálé ceny)</c:v>
                </c:pt>
              </c:strCache>
            </c:strRef>
          </c:tx>
          <c:spPr>
            <a:ln w="15875">
              <a:solidFill>
                <a:schemeClr val="tx1"/>
              </a:solidFill>
            </a:ln>
          </c:spPr>
          <c:marker>
            <c:symbol val="none"/>
          </c:marker>
          <c:cat>
            <c:multiLvlStrRef>
              <c:f>'Služby-příspěvky k růstu-4'!$A$46:$B$86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'Služby-příspěvky k růstu-4'!$M$46:$M$86</c:f>
              <c:numCache>
                <c:formatCode>0.0</c:formatCode>
                <c:ptCount val="41"/>
                <c:pt idx="0">
                  <c:v>96.573148776699995</c:v>
                </c:pt>
                <c:pt idx="1">
                  <c:v>97.567742240000001</c:v>
                </c:pt>
                <c:pt idx="2">
                  <c:v>97.872994153299999</c:v>
                </c:pt>
                <c:pt idx="3">
                  <c:v>98.145121336700001</c:v>
                </c:pt>
                <c:pt idx="4">
                  <c:v>97.141074036700005</c:v>
                </c:pt>
                <c:pt idx="5">
                  <c:v>97.220842383299996</c:v>
                </c:pt>
                <c:pt idx="6">
                  <c:v>99.043083436700002</c:v>
                </c:pt>
                <c:pt idx="7">
                  <c:v>100.26520352</c:v>
                </c:pt>
                <c:pt idx="8">
                  <c:v>101.4620500267</c:v>
                </c:pt>
                <c:pt idx="9">
                  <c:v>102.45930216329999</c:v>
                </c:pt>
                <c:pt idx="10">
                  <c:v>102.1784036567</c:v>
                </c:pt>
                <c:pt idx="11">
                  <c:v>103.2635152233</c:v>
                </c:pt>
                <c:pt idx="12">
                  <c:v>106.70430386</c:v>
                </c:pt>
                <c:pt idx="13">
                  <c:v>105.25291280330001</c:v>
                </c:pt>
                <c:pt idx="14">
                  <c:v>105.36498890670001</c:v>
                </c:pt>
                <c:pt idx="15">
                  <c:v>103.79346463</c:v>
                </c:pt>
                <c:pt idx="16">
                  <c:v>104.82319352330001</c:v>
                </c:pt>
                <c:pt idx="17">
                  <c:v>107.08876361</c:v>
                </c:pt>
                <c:pt idx="18">
                  <c:v>106.1526654733</c:v>
                </c:pt>
                <c:pt idx="19">
                  <c:v>106.10865794670001</c:v>
                </c:pt>
                <c:pt idx="20">
                  <c:v>100.92295789329999</c:v>
                </c:pt>
                <c:pt idx="21">
                  <c:v>86.568180609999999</c:v>
                </c:pt>
                <c:pt idx="22">
                  <c:v>93.956559496699995</c:v>
                </c:pt>
                <c:pt idx="23">
                  <c:v>92.2317662767</c:v>
                </c:pt>
                <c:pt idx="24">
                  <c:v>92.861550433299996</c:v>
                </c:pt>
                <c:pt idx="25">
                  <c:v>98.053015853299996</c:v>
                </c:pt>
                <c:pt idx="26">
                  <c:v>102.3923559</c:v>
                </c:pt>
                <c:pt idx="27">
                  <c:v>104.3636372533</c:v>
                </c:pt>
                <c:pt idx="28">
                  <c:v>106.32485133669999</c:v>
                </c:pt>
                <c:pt idx="29">
                  <c:v>108.97929560670001</c:v>
                </c:pt>
                <c:pt idx="30">
                  <c:v>109.4814719467</c:v>
                </c:pt>
                <c:pt idx="31">
                  <c:v>108.8597698933</c:v>
                </c:pt>
                <c:pt idx="32">
                  <c:v>107.9770567633</c:v>
                </c:pt>
                <c:pt idx="33">
                  <c:v>106.61241936330001</c:v>
                </c:pt>
                <c:pt idx="34">
                  <c:v>105.9703234067</c:v>
                </c:pt>
                <c:pt idx="35">
                  <c:v>106.67647866999999</c:v>
                </c:pt>
                <c:pt idx="36">
                  <c:v>108.76876138670001</c:v>
                </c:pt>
                <c:pt idx="37">
                  <c:v>109.3549500667</c:v>
                </c:pt>
                <c:pt idx="38">
                  <c:v>109.0776774867</c:v>
                </c:pt>
                <c:pt idx="39">
                  <c:v>109.3883682933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D978-47B3-BD04-C44E66A5C96B}"/>
            </c:ext>
          </c:extLst>
        </c:ser>
        <c:ser>
          <c:idx val="11"/>
          <c:order val="11"/>
          <c:tx>
            <c:strRef>
              <c:f>'Služby-příspěvky k růstu-4'!$N$33</c:f>
              <c:strCache>
                <c:ptCount val="1"/>
                <c:pt idx="0">
                  <c:v>Tržby celkem (báze 2021=100, běžné ceny)</c:v>
                </c:pt>
              </c:strCache>
            </c:strRef>
          </c:tx>
          <c:spPr>
            <a:ln w="15875">
              <a:solidFill>
                <a:schemeClr val="bg2">
                  <a:lumMod val="25000"/>
                </a:schemeClr>
              </a:solidFill>
              <a:prstDash val="sysDash"/>
            </a:ln>
          </c:spPr>
          <c:marker>
            <c:symbol val="none"/>
          </c:marker>
          <c:cat>
            <c:multiLvlStrRef>
              <c:f>'Služby-příspěvky k růstu-4'!$A$46:$B$86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'Služby-příspěvky k růstu-4'!$N$46:$N$86</c:f>
              <c:numCache>
                <c:formatCode>0.0</c:formatCode>
                <c:ptCount val="41"/>
                <c:pt idx="0">
                  <c:v>87.046193000000002</c:v>
                </c:pt>
                <c:pt idx="1">
                  <c:v>87.966015923300006</c:v>
                </c:pt>
                <c:pt idx="2">
                  <c:v>88.361381390000005</c:v>
                </c:pt>
                <c:pt idx="3">
                  <c:v>88.613649859999995</c:v>
                </c:pt>
                <c:pt idx="4">
                  <c:v>87.737272153299998</c:v>
                </c:pt>
                <c:pt idx="5">
                  <c:v>88.010316869999997</c:v>
                </c:pt>
                <c:pt idx="6">
                  <c:v>89.813972136700002</c:v>
                </c:pt>
                <c:pt idx="7">
                  <c:v>91.206303489999996</c:v>
                </c:pt>
                <c:pt idx="8">
                  <c:v>92.831140320000003</c:v>
                </c:pt>
                <c:pt idx="9">
                  <c:v>94.084719190000001</c:v>
                </c:pt>
                <c:pt idx="10">
                  <c:v>94.352925536699999</c:v>
                </c:pt>
                <c:pt idx="11">
                  <c:v>95.836781003300004</c:v>
                </c:pt>
                <c:pt idx="12">
                  <c:v>99.320277939999997</c:v>
                </c:pt>
                <c:pt idx="13">
                  <c:v>98.6848122233</c:v>
                </c:pt>
                <c:pt idx="14">
                  <c:v>99.610745516700007</c:v>
                </c:pt>
                <c:pt idx="15">
                  <c:v>98.775679409999995</c:v>
                </c:pt>
                <c:pt idx="16">
                  <c:v>99.816231270000003</c:v>
                </c:pt>
                <c:pt idx="17">
                  <c:v>103.18033488330001</c:v>
                </c:pt>
                <c:pt idx="18">
                  <c:v>102.9398626967</c:v>
                </c:pt>
                <c:pt idx="19">
                  <c:v>103.5312898067</c:v>
                </c:pt>
                <c:pt idx="20">
                  <c:v>98.588248460000003</c:v>
                </c:pt>
                <c:pt idx="21">
                  <c:v>84.899543543299998</c:v>
                </c:pt>
                <c:pt idx="22">
                  <c:v>92.649802966699994</c:v>
                </c:pt>
                <c:pt idx="23">
                  <c:v>91.452913469999999</c:v>
                </c:pt>
                <c:pt idx="24">
                  <c:v>92.2149716033</c:v>
                </c:pt>
                <c:pt idx="25">
                  <c:v>97.192779639999998</c:v>
                </c:pt>
                <c:pt idx="26">
                  <c:v>102.3840544567</c:v>
                </c:pt>
                <c:pt idx="27">
                  <c:v>105.9870768533</c:v>
                </c:pt>
                <c:pt idx="28">
                  <c:v>109.93905873670001</c:v>
                </c:pt>
                <c:pt idx="29">
                  <c:v>115.00765799</c:v>
                </c:pt>
                <c:pt idx="30">
                  <c:v>118.06088069</c:v>
                </c:pt>
                <c:pt idx="31">
                  <c:v>119.4895265</c:v>
                </c:pt>
                <c:pt idx="32">
                  <c:v>120.76102421669999</c:v>
                </c:pt>
                <c:pt idx="33">
                  <c:v>121.18209966329999</c:v>
                </c:pt>
                <c:pt idx="34">
                  <c:v>121.8204864333</c:v>
                </c:pt>
                <c:pt idx="35">
                  <c:v>124.03672827</c:v>
                </c:pt>
                <c:pt idx="36">
                  <c:v>127.1990938767</c:v>
                </c:pt>
                <c:pt idx="37">
                  <c:v>128.75702011999999</c:v>
                </c:pt>
                <c:pt idx="38">
                  <c:v>129.6820186567</c:v>
                </c:pt>
                <c:pt idx="39">
                  <c:v>131.1853904367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D978-47B3-BD04-C44E66A5C9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576768"/>
        <c:axId val="156575232"/>
      </c:lineChart>
      <c:catAx>
        <c:axId val="156100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cs-CZ"/>
          </a:p>
        </c:txPr>
        <c:crossAx val="156573696"/>
        <c:crosses val="autoZero"/>
        <c:auto val="1"/>
        <c:lblAlgn val="ctr"/>
        <c:lblOffset val="0"/>
        <c:noMultiLvlLbl val="0"/>
      </c:catAx>
      <c:valAx>
        <c:axId val="156573696"/>
        <c:scaling>
          <c:orientation val="minMax"/>
          <c:max val="15"/>
          <c:min val="-3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Tržby (příspěvky k</a:t>
                </a:r>
                <a:r>
                  <a:rPr lang="cs-CZ" sz="700" b="0" i="1" baseline="0"/>
                  <a:t> meziroční změně)</a:t>
                </a:r>
                <a:endParaRPr lang="cs-CZ" sz="700" b="0" i="1"/>
              </a:p>
            </c:rich>
          </c:tx>
          <c:layout>
            <c:manualLayout>
              <c:xMode val="edge"/>
              <c:yMode val="edge"/>
              <c:x val="0"/>
              <c:y val="0.1364926551121953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56100864"/>
        <c:crosses val="autoZero"/>
        <c:crossBetween val="between"/>
        <c:majorUnit val="5"/>
      </c:valAx>
      <c:valAx>
        <c:axId val="156575232"/>
        <c:scaling>
          <c:orientation val="minMax"/>
          <c:max val="150"/>
          <c:min val="-30"/>
        </c:scaling>
        <c:delete val="0"/>
        <c:axPos val="r"/>
        <c:title>
          <c:tx>
            <c:rich>
              <a:bodyPr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700" b="0" i="1" u="none" strike="noStrike" kern="1200" baseline="0">
                    <a:solidFill>
                      <a:sysClr val="windowText" lastClr="000000"/>
                    </a:solidFill>
                    <a:latin typeface="Arial" pitchFamily="34" charset="0"/>
                    <a:ea typeface="+mn-ea"/>
                    <a:cs typeface="+mn-cs"/>
                  </a:defRPr>
                </a:pPr>
                <a:r>
                  <a:rPr lang="cs-CZ" sz="700" b="0" i="1" baseline="0">
                    <a:effectLst/>
                  </a:rPr>
                  <a:t>Tržby (báze 2021=100)</a:t>
                </a:r>
                <a:r>
                  <a:rPr lang="cs-CZ" sz="700" b="0" i="1"/>
                  <a:t>,</a:t>
                </a:r>
                <a:r>
                  <a:rPr lang="cs-CZ" sz="700" b="0" i="1" baseline="0"/>
                  <a:t> s</a:t>
                </a:r>
                <a:r>
                  <a:rPr lang="cs-CZ" sz="700" b="0" i="1"/>
                  <a:t>aldo důvěry, bariéry růstu</a:t>
                </a:r>
              </a:p>
            </c:rich>
          </c:tx>
          <c:layout>
            <c:manualLayout>
              <c:xMode val="edge"/>
              <c:yMode val="edge"/>
              <c:x val="0.97059962406015032"/>
              <c:y val="7.2968499427262329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56576768"/>
        <c:crosses val="max"/>
        <c:crossBetween val="between"/>
        <c:majorUnit val="20"/>
      </c:valAx>
      <c:catAx>
        <c:axId val="1565767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56575232"/>
        <c:crosses val="autoZero"/>
        <c:auto val="1"/>
        <c:lblAlgn val="ctr"/>
        <c:lblOffset val="100"/>
        <c:noMultiLvlLbl val="0"/>
      </c:catAx>
      <c:spPr>
        <a:ln>
          <a:solidFill>
            <a:schemeClr val="tx1">
              <a:lumMod val="75000"/>
              <a:lumOff val="2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2.7894149438737266E-3"/>
          <c:y val="0.80683901693256121"/>
          <c:w val="0.99229354112783008"/>
          <c:h val="0.18952404020147029"/>
        </c:manualLayout>
      </c:layout>
      <c:overlay val="0"/>
      <c:spPr>
        <a:ln w="6350">
          <a:solidFill>
            <a:schemeClr val="tx1"/>
          </a:solidFill>
        </a:ln>
      </c:spPr>
      <c:txPr>
        <a:bodyPr/>
        <a:lstStyle/>
        <a:p>
          <a:pPr>
            <a:defRPr sz="72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5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461666861125732E-2"/>
          <c:y val="1.5803328678987455E-2"/>
          <c:w val="0.85878628700879256"/>
          <c:h val="0.73450542783153383"/>
        </c:manualLayout>
      </c:layout>
      <c:barChart>
        <c:barDir val="col"/>
        <c:grouping val="stacked"/>
        <c:varyColors val="0"/>
        <c:ser>
          <c:idx val="0"/>
          <c:order val="1"/>
          <c:tx>
            <c:strRef>
              <c:f>'výkonnost odvětví 5a'!$E$66</c:f>
              <c:strCache>
                <c:ptCount val="1"/>
                <c:pt idx="0">
                  <c:v>Maloobchod s potravinami (příspěvek)</c:v>
                </c:pt>
              </c:strCache>
            </c:strRef>
          </c:tx>
          <c:spPr>
            <a:solidFill>
              <a:srgbClr val="92D050"/>
            </a:solidFill>
            <a:ln w="15875">
              <a:noFill/>
            </a:ln>
          </c:spPr>
          <c:invertIfNegative val="0"/>
          <c:cat>
            <c:multiLvlStrRef>
              <c:f>'výkonnost odvětví 5a'!$B$67:$C$107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'výkonnost odvětví 5a'!$E$67:$E$107</c:f>
              <c:numCache>
                <c:formatCode>#\ ##0.0</c:formatCode>
                <c:ptCount val="41"/>
                <c:pt idx="0">
                  <c:v>1.7523817972228575</c:v>
                </c:pt>
                <c:pt idx="1">
                  <c:v>1.1495538604575486</c:v>
                </c:pt>
                <c:pt idx="2">
                  <c:v>1.851654245012579</c:v>
                </c:pt>
                <c:pt idx="3">
                  <c:v>1.4230053336458297</c:v>
                </c:pt>
                <c:pt idx="4">
                  <c:v>1.7335386338403211</c:v>
                </c:pt>
                <c:pt idx="5">
                  <c:v>1.4057978539692639</c:v>
                </c:pt>
                <c:pt idx="6">
                  <c:v>1.0226992305466713</c:v>
                </c:pt>
                <c:pt idx="7">
                  <c:v>-4.5727948098357493E-2</c:v>
                </c:pt>
                <c:pt idx="8">
                  <c:v>0.76530947894932633</c:v>
                </c:pt>
                <c:pt idx="9">
                  <c:v>1.3628557482991555</c:v>
                </c:pt>
                <c:pt idx="10">
                  <c:v>1.1031113273196382</c:v>
                </c:pt>
                <c:pt idx="11">
                  <c:v>0.92620191285996878</c:v>
                </c:pt>
                <c:pt idx="12">
                  <c:v>1.4716867951941146</c:v>
                </c:pt>
                <c:pt idx="13">
                  <c:v>0.53065594307662001</c:v>
                </c:pt>
                <c:pt idx="14">
                  <c:v>0.93178458575098189</c:v>
                </c:pt>
                <c:pt idx="15">
                  <c:v>0.38805043936963324</c:v>
                </c:pt>
                <c:pt idx="16">
                  <c:v>-0.29388750825225862</c:v>
                </c:pt>
                <c:pt idx="17">
                  <c:v>1.4252855332899248</c:v>
                </c:pt>
                <c:pt idx="18">
                  <c:v>0.13007735319413302</c:v>
                </c:pt>
                <c:pt idx="19">
                  <c:v>1.4154025710079869</c:v>
                </c:pt>
                <c:pt idx="20">
                  <c:v>0.68707923703683382</c:v>
                </c:pt>
                <c:pt idx="21">
                  <c:v>-1.8614966729136802</c:v>
                </c:pt>
                <c:pt idx="22">
                  <c:v>-0.64766112448952962</c:v>
                </c:pt>
                <c:pt idx="23">
                  <c:v>-0.28286695735560252</c:v>
                </c:pt>
                <c:pt idx="24">
                  <c:v>-0.60121870783760478</c:v>
                </c:pt>
                <c:pt idx="25">
                  <c:v>0.49300881291411702</c:v>
                </c:pt>
                <c:pt idx="26">
                  <c:v>-0.28564410601975815</c:v>
                </c:pt>
                <c:pt idx="27">
                  <c:v>-1.0317436636125908E-3</c:v>
                </c:pt>
                <c:pt idx="28">
                  <c:v>-5.9197399174827602E-2</c:v>
                </c:pt>
                <c:pt idx="29">
                  <c:v>-1.1087252811442561</c:v>
                </c:pt>
                <c:pt idx="30">
                  <c:v>-2.2895662443160094</c:v>
                </c:pt>
                <c:pt idx="31">
                  <c:v>-3.2398418649393386</c:v>
                </c:pt>
                <c:pt idx="32">
                  <c:v>-3.1058872757345446</c:v>
                </c:pt>
                <c:pt idx="33">
                  <c:v>-2.8459554389635842</c:v>
                </c:pt>
                <c:pt idx="34">
                  <c:v>-1.687503215997407</c:v>
                </c:pt>
                <c:pt idx="35">
                  <c:v>-0.73679006414570936</c:v>
                </c:pt>
                <c:pt idx="36">
                  <c:v>0.88475516381226071</c:v>
                </c:pt>
                <c:pt idx="37">
                  <c:v>1.0867833547584524</c:v>
                </c:pt>
                <c:pt idx="38">
                  <c:v>0.86313827352128258</c:v>
                </c:pt>
                <c:pt idx="39">
                  <c:v>0.64821192863651345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B1-47AF-8DE0-6BC36E71BE94}"/>
            </c:ext>
          </c:extLst>
        </c:ser>
        <c:ser>
          <c:idx val="1"/>
          <c:order val="2"/>
          <c:tx>
            <c:strRef>
              <c:f>'výkonnost odvětví 5a'!$F$66</c:f>
              <c:strCache>
                <c:ptCount val="1"/>
                <c:pt idx="0">
                  <c:v>Mal. s nepotravinářským zbož. (příspěvek)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 w="15875">
              <a:noFill/>
            </a:ln>
          </c:spPr>
          <c:invertIfNegative val="0"/>
          <c:cat>
            <c:multiLvlStrRef>
              <c:f>'výkonnost odvětví 5a'!$B$67:$C$107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'výkonnost odvětví 5a'!$F$67:$F$107</c:f>
              <c:numCache>
                <c:formatCode>#\ ##0.0</c:formatCode>
                <c:ptCount val="41"/>
                <c:pt idx="0">
                  <c:v>3.196375922725744</c:v>
                </c:pt>
                <c:pt idx="1">
                  <c:v>3.8741896087490026</c:v>
                </c:pt>
                <c:pt idx="2">
                  <c:v>2.6728850705219784</c:v>
                </c:pt>
                <c:pt idx="3">
                  <c:v>3.6626826182851304</c:v>
                </c:pt>
                <c:pt idx="4">
                  <c:v>2.7862532923580798</c:v>
                </c:pt>
                <c:pt idx="5">
                  <c:v>2.5540667218407971</c:v>
                </c:pt>
                <c:pt idx="6">
                  <c:v>3.2508787600372759</c:v>
                </c:pt>
                <c:pt idx="7">
                  <c:v>3.4435667776451586</c:v>
                </c:pt>
                <c:pt idx="8">
                  <c:v>4.1783561564843161</c:v>
                </c:pt>
                <c:pt idx="9">
                  <c:v>4.4153226755500015</c:v>
                </c:pt>
                <c:pt idx="10">
                  <c:v>4.0607561596078439</c:v>
                </c:pt>
                <c:pt idx="11">
                  <c:v>4.5695527698288956</c:v>
                </c:pt>
                <c:pt idx="12">
                  <c:v>3.963036260303999</c:v>
                </c:pt>
                <c:pt idx="13">
                  <c:v>3.3542121185564358</c:v>
                </c:pt>
                <c:pt idx="14">
                  <c:v>2.577047135089233</c:v>
                </c:pt>
                <c:pt idx="15">
                  <c:v>3.7162196737466258</c:v>
                </c:pt>
                <c:pt idx="16">
                  <c:v>1.303288764236783</c:v>
                </c:pt>
                <c:pt idx="17">
                  <c:v>2.4531469805048736</c:v>
                </c:pt>
                <c:pt idx="18">
                  <c:v>4.2934983663490245</c:v>
                </c:pt>
                <c:pt idx="19">
                  <c:v>5.6709230985066315</c:v>
                </c:pt>
                <c:pt idx="20">
                  <c:v>-5.7511622856734265E-2</c:v>
                </c:pt>
                <c:pt idx="21">
                  <c:v>-0.33300612932107432</c:v>
                </c:pt>
                <c:pt idx="22">
                  <c:v>1.4198268570219985</c:v>
                </c:pt>
                <c:pt idx="23">
                  <c:v>-1.8469460892868841</c:v>
                </c:pt>
                <c:pt idx="24">
                  <c:v>0.21099379405042692</c:v>
                </c:pt>
                <c:pt idx="25">
                  <c:v>5.5767742933608266</c:v>
                </c:pt>
                <c:pt idx="26">
                  <c:v>3.6259767824065627</c:v>
                </c:pt>
                <c:pt idx="27">
                  <c:v>5.6697956328619608</c:v>
                </c:pt>
                <c:pt idx="28">
                  <c:v>5.9916951255438091</c:v>
                </c:pt>
                <c:pt idx="29">
                  <c:v>-0.95184646820475938</c:v>
                </c:pt>
                <c:pt idx="30">
                  <c:v>-3.9413234892071625</c:v>
                </c:pt>
                <c:pt idx="31">
                  <c:v>-5.6393554144880262</c:v>
                </c:pt>
                <c:pt idx="32">
                  <c:v>-4.7819505017048138</c:v>
                </c:pt>
                <c:pt idx="33">
                  <c:v>-4.4919683860435722</c:v>
                </c:pt>
                <c:pt idx="34">
                  <c:v>-2.4587164782992463</c:v>
                </c:pt>
                <c:pt idx="35">
                  <c:v>0.45451552309497045</c:v>
                </c:pt>
                <c:pt idx="36">
                  <c:v>2.4020325514449445</c:v>
                </c:pt>
                <c:pt idx="37">
                  <c:v>2.5871340990230038</c:v>
                </c:pt>
                <c:pt idx="38">
                  <c:v>3.3682940037494875</c:v>
                </c:pt>
                <c:pt idx="39">
                  <c:v>3.5077646184735642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B1-47AF-8DE0-6BC36E71BE94}"/>
            </c:ext>
          </c:extLst>
        </c:ser>
        <c:ser>
          <c:idx val="4"/>
          <c:order val="3"/>
          <c:tx>
            <c:strRef>
              <c:f>'výkonnost odvětví 5a'!$G$66</c:f>
              <c:strCache>
                <c:ptCount val="1"/>
                <c:pt idx="0">
                  <c:v>Maloobchodní prodej PHM (příspěvek)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 w="15875">
              <a:noFill/>
            </a:ln>
          </c:spPr>
          <c:invertIfNegative val="0"/>
          <c:cat>
            <c:multiLvlStrRef>
              <c:f>'výkonnost odvětví 5a'!$B$67:$C$107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'výkonnost odvětví 5a'!$G$67:$G$107</c:f>
              <c:numCache>
                <c:formatCode>#\ ##0.0</c:formatCode>
                <c:ptCount val="41"/>
                <c:pt idx="0">
                  <c:v>0.75440023430656378</c:v>
                </c:pt>
                <c:pt idx="1">
                  <c:v>0.588112843666875</c:v>
                </c:pt>
                <c:pt idx="2">
                  <c:v>0.78402402568450724</c:v>
                </c:pt>
                <c:pt idx="3">
                  <c:v>0.94331728244946667</c:v>
                </c:pt>
                <c:pt idx="4">
                  <c:v>0.6744248436917698</c:v>
                </c:pt>
                <c:pt idx="5">
                  <c:v>0.72348584188138532</c:v>
                </c:pt>
                <c:pt idx="6">
                  <c:v>0.62302098548854723</c:v>
                </c:pt>
                <c:pt idx="7">
                  <c:v>0.62533415443375595</c:v>
                </c:pt>
                <c:pt idx="8">
                  <c:v>0.54805568528260806</c:v>
                </c:pt>
                <c:pt idx="9">
                  <c:v>0.75356148860252614</c:v>
                </c:pt>
                <c:pt idx="10">
                  <c:v>0.84316485479481218</c:v>
                </c:pt>
                <c:pt idx="11">
                  <c:v>0.68534345825768528</c:v>
                </c:pt>
                <c:pt idx="12">
                  <c:v>0.66536323714663226</c:v>
                </c:pt>
                <c:pt idx="13">
                  <c:v>0.59516252422904425</c:v>
                </c:pt>
                <c:pt idx="14">
                  <c:v>0.3739332000264744</c:v>
                </c:pt>
                <c:pt idx="15">
                  <c:v>0.43257407692417521</c:v>
                </c:pt>
                <c:pt idx="16">
                  <c:v>0.17809135629917194</c:v>
                </c:pt>
                <c:pt idx="17">
                  <c:v>0.36908315571938399</c:v>
                </c:pt>
                <c:pt idx="18">
                  <c:v>0.27107333589466731</c:v>
                </c:pt>
                <c:pt idx="19">
                  <c:v>0.19660561540526125</c:v>
                </c:pt>
                <c:pt idx="20">
                  <c:v>-0.75718611502805722</c:v>
                </c:pt>
                <c:pt idx="21">
                  <c:v>-1.9736345702533769</c:v>
                </c:pt>
                <c:pt idx="22">
                  <c:v>8.4968496843834063E-2</c:v>
                </c:pt>
                <c:pt idx="23">
                  <c:v>-1.074545645994486</c:v>
                </c:pt>
                <c:pt idx="24">
                  <c:v>-0.67667659437567496</c:v>
                </c:pt>
                <c:pt idx="25">
                  <c:v>1.0679612780323529</c:v>
                </c:pt>
                <c:pt idx="26">
                  <c:v>0.36966869026499932</c:v>
                </c:pt>
                <c:pt idx="27">
                  <c:v>0.92369652323847462</c:v>
                </c:pt>
                <c:pt idx="28">
                  <c:v>1.2444383160060355</c:v>
                </c:pt>
                <c:pt idx="29">
                  <c:v>-0.71068574306119192</c:v>
                </c:pt>
                <c:pt idx="30">
                  <c:v>-1.4489877068463355</c:v>
                </c:pt>
                <c:pt idx="31">
                  <c:v>-0.43102805460389659</c:v>
                </c:pt>
                <c:pt idx="32">
                  <c:v>9.5538508920041287E-2</c:v>
                </c:pt>
                <c:pt idx="33">
                  <c:v>1.0458071040757027</c:v>
                </c:pt>
                <c:pt idx="34">
                  <c:v>1.0241877772285994</c:v>
                </c:pt>
                <c:pt idx="35">
                  <c:v>0.21081099532690847</c:v>
                </c:pt>
                <c:pt idx="36">
                  <c:v>0.4443197064674741</c:v>
                </c:pt>
                <c:pt idx="37">
                  <c:v>0.25010717577860625</c:v>
                </c:pt>
                <c:pt idx="38">
                  <c:v>0.4373133537160287</c:v>
                </c:pt>
                <c:pt idx="39">
                  <c:v>1.0777773729124482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B1-47AF-8DE0-6BC36E71BE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overlap val="100"/>
        <c:axId val="156100864"/>
        <c:axId val="156573696"/>
      </c:barChart>
      <c:lineChart>
        <c:grouping val="standard"/>
        <c:varyColors val="0"/>
        <c:ser>
          <c:idx val="3"/>
          <c:order val="0"/>
          <c:tx>
            <c:strRef>
              <c:f>'výkonnost odvětví 5a'!$D$66</c:f>
              <c:strCache>
                <c:ptCount val="1"/>
                <c:pt idx="0">
                  <c:v>Maloobchod celkem (meziroční růst)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7"/>
            <c:spPr>
              <a:solidFill>
                <a:schemeClr val="tx1">
                  <a:lumMod val="85000"/>
                  <a:lumOff val="15000"/>
                </a:schemeClr>
              </a:solidFill>
              <a:ln w="6350">
                <a:noFill/>
              </a:ln>
            </c:spPr>
          </c:marker>
          <c:cat>
            <c:multiLvlStrRef>
              <c:f>'výkonnost odvětví 5a'!$B$67:$C$107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'výkonnost odvětví 5a'!$D$67:$D$107</c:f>
              <c:numCache>
                <c:formatCode>#\ ##0.0</c:formatCode>
                <c:ptCount val="41"/>
                <c:pt idx="0">
                  <c:v>5.5650157121000063</c:v>
                </c:pt>
                <c:pt idx="1">
                  <c:v>5.3140316102000043</c:v>
                </c:pt>
                <c:pt idx="2">
                  <c:v>5.261668949500006</c:v>
                </c:pt>
                <c:pt idx="3">
                  <c:v>5.8260167462999988</c:v>
                </c:pt>
                <c:pt idx="4">
                  <c:v>5.1163484119999936</c:v>
                </c:pt>
                <c:pt idx="5">
                  <c:v>4.584747701699996</c:v>
                </c:pt>
                <c:pt idx="6">
                  <c:v>4.6478731618999944</c:v>
                </c:pt>
                <c:pt idx="7">
                  <c:v>3.5966109598000031</c:v>
                </c:pt>
                <c:pt idx="8">
                  <c:v>5.068305469799995</c:v>
                </c:pt>
                <c:pt idx="9">
                  <c:v>6.2034114922000043</c:v>
                </c:pt>
                <c:pt idx="10">
                  <c:v>5.6856724027999945</c:v>
                </c:pt>
                <c:pt idx="11">
                  <c:v>5.8244576314999961</c:v>
                </c:pt>
                <c:pt idx="12">
                  <c:v>5.9658330699000004</c:v>
                </c:pt>
                <c:pt idx="13">
                  <c:v>4.3854129643000022</c:v>
                </c:pt>
                <c:pt idx="14">
                  <c:v>3.8380531616000013</c:v>
                </c:pt>
                <c:pt idx="15">
                  <c:v>4.3570454750999943</c:v>
                </c:pt>
                <c:pt idx="16">
                  <c:v>1.1052891966999994</c:v>
                </c:pt>
                <c:pt idx="17">
                  <c:v>4.2167027101999963</c:v>
                </c:pt>
                <c:pt idx="18">
                  <c:v>4.5117376484000005</c:v>
                </c:pt>
                <c:pt idx="19">
                  <c:v>7.2113533302999997</c:v>
                </c:pt>
                <c:pt idx="20">
                  <c:v>-0.15887647600000321</c:v>
                </c:pt>
                <c:pt idx="21">
                  <c:v>-4.2817243594000018</c:v>
                </c:pt>
                <c:pt idx="22">
                  <c:v>0.81643935670000189</c:v>
                </c:pt>
                <c:pt idx="23">
                  <c:v>-3.1393056612999999</c:v>
                </c:pt>
                <c:pt idx="24">
                  <c:v>-1.1390059782000037</c:v>
                </c:pt>
                <c:pt idx="25">
                  <c:v>6.9683389970000036</c:v>
                </c:pt>
                <c:pt idx="26">
                  <c:v>3.5948086528999994</c:v>
                </c:pt>
                <c:pt idx="27">
                  <c:v>6.4926559471000047</c:v>
                </c:pt>
                <c:pt idx="28">
                  <c:v>6.7801738019999931</c:v>
                </c:pt>
                <c:pt idx="29">
                  <c:v>-2.8122346765999993</c:v>
                </c:pt>
                <c:pt idx="30">
                  <c:v>-7.6591434073999949</c:v>
                </c:pt>
                <c:pt idx="31">
                  <c:v>-9.3108768615999935</c:v>
                </c:pt>
                <c:pt idx="32">
                  <c:v>-7.7724312829000013</c:v>
                </c:pt>
                <c:pt idx="33">
                  <c:v>-6.2778325892000026</c:v>
                </c:pt>
                <c:pt idx="34">
                  <c:v>-3.1396454685999942</c:v>
                </c:pt>
                <c:pt idx="35">
                  <c:v>-0.13504823690000478</c:v>
                </c:pt>
                <c:pt idx="36">
                  <c:v>3.7304554369000016</c:v>
                </c:pt>
                <c:pt idx="37">
                  <c:v>3.9244924088000062</c:v>
                </c:pt>
                <c:pt idx="38">
                  <c:v>4.6684929422000039</c:v>
                </c:pt>
                <c:pt idx="39">
                  <c:v>5.232709919100003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1B1-47AF-8DE0-6BC36E71BE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100864"/>
        <c:axId val="156573696"/>
      </c:lineChart>
      <c:lineChart>
        <c:grouping val="standard"/>
        <c:varyColors val="0"/>
        <c:ser>
          <c:idx val="5"/>
          <c:order val="4"/>
          <c:tx>
            <c:strRef>
              <c:f>'výkonnost odvětví 5a'!$H$66</c:f>
              <c:strCache>
                <c:ptCount val="1"/>
                <c:pt idx="0">
                  <c:v>Maloobchod, bez motor. segm. (2021=100)</c:v>
                </c:pt>
              </c:strCache>
            </c:strRef>
          </c:tx>
          <c:spPr>
            <a:ln w="15875">
              <a:solidFill>
                <a:schemeClr val="tx1">
                  <a:lumMod val="95000"/>
                  <a:lumOff val="5000"/>
                </a:schemeClr>
              </a:solidFill>
              <a:prstDash val="solid"/>
            </a:ln>
          </c:spPr>
          <c:marker>
            <c:symbol val="none"/>
          </c:marker>
          <c:cat>
            <c:multiLvlStrRef>
              <c:f>'výkonnost odvětví 5a'!$B$67:$C$107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'výkonnost odvětví 5a'!$H$67:$H$107</c:f>
              <c:numCache>
                <c:formatCode>#\ ##0.0</c:formatCode>
                <c:ptCount val="41"/>
                <c:pt idx="0">
                  <c:v>79.387113156699996</c:v>
                </c:pt>
                <c:pt idx="1">
                  <c:v>80.299595063300004</c:v>
                </c:pt>
                <c:pt idx="2">
                  <c:v>81.210689013299998</c:v>
                </c:pt>
                <c:pt idx="3">
                  <c:v>82.830505383299993</c:v>
                </c:pt>
                <c:pt idx="4">
                  <c:v>83.364694713299997</c:v>
                </c:pt>
                <c:pt idx="5">
                  <c:v>84.093873386699997</c:v>
                </c:pt>
                <c:pt idx="6">
                  <c:v>85.181594756699994</c:v>
                </c:pt>
                <c:pt idx="7">
                  <c:v>85.888972366700003</c:v>
                </c:pt>
                <c:pt idx="8">
                  <c:v>87.495099866700002</c:v>
                </c:pt>
                <c:pt idx="9">
                  <c:v>89.138431163299998</c:v>
                </c:pt>
                <c:pt idx="10">
                  <c:v>90.161633323299995</c:v>
                </c:pt>
                <c:pt idx="11">
                  <c:v>90.497394953300002</c:v>
                </c:pt>
                <c:pt idx="12">
                  <c:v>93.094801029999999</c:v>
                </c:pt>
                <c:pt idx="13">
                  <c:v>93.18768412</c:v>
                </c:pt>
                <c:pt idx="14">
                  <c:v>93.508700056699993</c:v>
                </c:pt>
                <c:pt idx="15">
                  <c:v>93.474682340000001</c:v>
                </c:pt>
                <c:pt idx="16">
                  <c:v>95.051863356699997</c:v>
                </c:pt>
                <c:pt idx="17">
                  <c:v>97.727929486700006</c:v>
                </c:pt>
                <c:pt idx="18">
                  <c:v>97.382384529999996</c:v>
                </c:pt>
                <c:pt idx="19">
                  <c:v>98.750010893300001</c:v>
                </c:pt>
                <c:pt idx="20">
                  <c:v>95.168453310000004</c:v>
                </c:pt>
                <c:pt idx="21">
                  <c:v>94.223485960000005</c:v>
                </c:pt>
                <c:pt idx="22">
                  <c:v>98.290064009999995</c:v>
                </c:pt>
                <c:pt idx="23">
                  <c:v>95.235280143300002</c:v>
                </c:pt>
                <c:pt idx="24">
                  <c:v>93.056198660000007</c:v>
                </c:pt>
                <c:pt idx="25">
                  <c:v>100.71855261330001</c:v>
                </c:pt>
                <c:pt idx="26">
                  <c:v>102.10578841669999</c:v>
                </c:pt>
                <c:pt idx="27">
                  <c:v>101.62434467</c:v>
                </c:pt>
                <c:pt idx="28">
                  <c:v>99.622569900000002</c:v>
                </c:pt>
                <c:pt idx="29">
                  <c:v>97.819975119999995</c:v>
                </c:pt>
                <c:pt idx="30">
                  <c:v>94.936353766699995</c:v>
                </c:pt>
                <c:pt idx="31">
                  <c:v>92.897011860000006</c:v>
                </c:pt>
                <c:pt idx="32">
                  <c:v>91.701573813300001</c:v>
                </c:pt>
                <c:pt idx="33">
                  <c:v>91.402636296699995</c:v>
                </c:pt>
                <c:pt idx="34">
                  <c:v>91.843365140000003</c:v>
                </c:pt>
                <c:pt idx="35">
                  <c:v>92.751257643299994</c:v>
                </c:pt>
                <c:pt idx="36">
                  <c:v>94.767650900000007</c:v>
                </c:pt>
                <c:pt idx="37">
                  <c:v>95.380431169999994</c:v>
                </c:pt>
                <c:pt idx="38">
                  <c:v>96.268009820000003</c:v>
                </c:pt>
                <c:pt idx="39">
                  <c:v>96.989086173299995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1B1-47AF-8DE0-6BC36E71BE94}"/>
            </c:ext>
          </c:extLst>
        </c:ser>
        <c:ser>
          <c:idx val="2"/>
          <c:order val="5"/>
          <c:tx>
            <c:strRef>
              <c:f>'výkonnost odvětví 5a'!$I$66</c:f>
              <c:strCache>
                <c:ptCount val="1"/>
                <c:pt idx="0">
                  <c:v>z toho: maloobchod.prodej PHM (2021=100)</c:v>
                </c:pt>
              </c:strCache>
            </c:strRef>
          </c:tx>
          <c:spPr>
            <a:ln w="15875">
              <a:solidFill>
                <a:schemeClr val="bg2">
                  <a:lumMod val="50000"/>
                </a:schemeClr>
              </a:solidFill>
              <a:prstDash val="sysDash"/>
            </a:ln>
          </c:spPr>
          <c:marker>
            <c:symbol val="none"/>
          </c:marker>
          <c:cat>
            <c:multiLvlStrRef>
              <c:f>'výkonnost odvětví 5a'!$B$67:$C$107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'výkonnost odvětví 5a'!$I$67:$I$107</c:f>
              <c:numCache>
                <c:formatCode>#\ ##0.0</c:formatCode>
                <c:ptCount val="41"/>
                <c:pt idx="0">
                  <c:v>86.513334323300001</c:v>
                </c:pt>
                <c:pt idx="1">
                  <c:v>87.409107353300001</c:v>
                </c:pt>
                <c:pt idx="2">
                  <c:v>89.066211690000003</c:v>
                </c:pt>
                <c:pt idx="3">
                  <c:v>90.657614006700001</c:v>
                </c:pt>
                <c:pt idx="4">
                  <c:v>91.403393813299999</c:v>
                </c:pt>
                <c:pt idx="5">
                  <c:v>92.482947960000004</c:v>
                </c:pt>
                <c:pt idx="6">
                  <c:v>93.464554906700002</c:v>
                </c:pt>
                <c:pt idx="7">
                  <c:v>94.7986735633</c:v>
                </c:pt>
                <c:pt idx="8">
                  <c:v>96.055973429999995</c:v>
                </c:pt>
                <c:pt idx="9">
                  <c:v>97.663561083299996</c:v>
                </c:pt>
                <c:pt idx="10">
                  <c:v>99.232546576700003</c:v>
                </c:pt>
                <c:pt idx="11">
                  <c:v>100.27997863669999</c:v>
                </c:pt>
                <c:pt idx="12">
                  <c:v>101.92380869669999</c:v>
                </c:pt>
                <c:pt idx="13">
                  <c:v>102.3573869567</c:v>
                </c:pt>
                <c:pt idx="14">
                  <c:v>101.9803127767</c:v>
                </c:pt>
                <c:pt idx="15">
                  <c:v>101.9116452767</c:v>
                </c:pt>
                <c:pt idx="16">
                  <c:v>105.5158907133</c:v>
                </c:pt>
                <c:pt idx="17">
                  <c:v>106.7628022633</c:v>
                </c:pt>
                <c:pt idx="18">
                  <c:v>102.2787380533</c:v>
                </c:pt>
                <c:pt idx="19">
                  <c:v>102.40340343</c:v>
                </c:pt>
                <c:pt idx="20">
                  <c:v>101.81614777999999</c:v>
                </c:pt>
                <c:pt idx="21">
                  <c:v>89.515623356700004</c:v>
                </c:pt>
                <c:pt idx="22">
                  <c:v>98.569475176699996</c:v>
                </c:pt>
                <c:pt idx="23">
                  <c:v>92.226775443299999</c:v>
                </c:pt>
                <c:pt idx="24">
                  <c:v>96.297841703299994</c:v>
                </c:pt>
                <c:pt idx="25">
                  <c:v>101.05387241</c:v>
                </c:pt>
                <c:pt idx="26">
                  <c:v>102.23884433329999</c:v>
                </c:pt>
                <c:pt idx="27">
                  <c:v>100.1584467733</c:v>
                </c:pt>
                <c:pt idx="28">
                  <c:v>100.6056909033</c:v>
                </c:pt>
                <c:pt idx="29">
                  <c:v>95.997505566699999</c:v>
                </c:pt>
                <c:pt idx="30">
                  <c:v>95.311740683300002</c:v>
                </c:pt>
                <c:pt idx="31">
                  <c:v>98.04038362</c:v>
                </c:pt>
                <c:pt idx="32">
                  <c:v>99.189966953300001</c:v>
                </c:pt>
                <c:pt idx="33">
                  <c:v>101.93542943</c:v>
                </c:pt>
                <c:pt idx="34">
                  <c:v>102.8324174033</c:v>
                </c:pt>
                <c:pt idx="35">
                  <c:v>101.6759088533</c:v>
                </c:pt>
                <c:pt idx="36">
                  <c:v>103.9303077233</c:v>
                </c:pt>
                <c:pt idx="37">
                  <c:v>104.93109456329999</c:v>
                </c:pt>
                <c:pt idx="38">
                  <c:v>106.5936671267</c:v>
                </c:pt>
                <c:pt idx="39">
                  <c:v>109.5549369233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1B1-47AF-8DE0-6BC36E71BE94}"/>
            </c:ext>
          </c:extLst>
        </c:ser>
        <c:ser>
          <c:idx val="6"/>
          <c:order val="6"/>
          <c:tx>
            <c:strRef>
              <c:f>'výkonnost odvětví 5a'!$J$66</c:f>
              <c:strCache>
                <c:ptCount val="1"/>
                <c:pt idx="0">
                  <c:v>Obchod a opravy motor. vozidel (2021=100)</c:v>
                </c:pt>
              </c:strCache>
            </c:strRef>
          </c:tx>
          <c:spPr>
            <a:ln w="15875">
              <a:solidFill>
                <a:srgbClr val="984807"/>
              </a:solidFill>
              <a:prstDash val="solid"/>
            </a:ln>
          </c:spPr>
          <c:marker>
            <c:symbol val="none"/>
          </c:marker>
          <c:cat>
            <c:multiLvlStrRef>
              <c:f>'výkonnost odvětví 5a'!$B$67:$C$107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'výkonnost odvětví 5a'!$J$67:$J$107</c:f>
              <c:numCache>
                <c:formatCode>#\ ##0.0</c:formatCode>
                <c:ptCount val="41"/>
                <c:pt idx="0">
                  <c:v>94.913481453299994</c:v>
                </c:pt>
                <c:pt idx="1">
                  <c:v>97.717227756699998</c:v>
                </c:pt>
                <c:pt idx="2">
                  <c:v>100.0982957133</c:v>
                </c:pt>
                <c:pt idx="3">
                  <c:v>102.97888301330001</c:v>
                </c:pt>
                <c:pt idx="4">
                  <c:v>104.2565601933</c:v>
                </c:pt>
                <c:pt idx="5">
                  <c:v>105.7851700267</c:v>
                </c:pt>
                <c:pt idx="6">
                  <c:v>107.86503048669999</c:v>
                </c:pt>
                <c:pt idx="7">
                  <c:v>108.42391503</c:v>
                </c:pt>
                <c:pt idx="8">
                  <c:v>109.6931493133</c:v>
                </c:pt>
                <c:pt idx="9">
                  <c:v>110.1404259533</c:v>
                </c:pt>
                <c:pt idx="10">
                  <c:v>109.35124661330001</c:v>
                </c:pt>
                <c:pt idx="11">
                  <c:v>110.30069229670001</c:v>
                </c:pt>
                <c:pt idx="12">
                  <c:v>108.8070253133</c:v>
                </c:pt>
                <c:pt idx="13">
                  <c:v>108.53626257000001</c:v>
                </c:pt>
                <c:pt idx="14">
                  <c:v>108.41447377999999</c:v>
                </c:pt>
                <c:pt idx="15">
                  <c:v>106.84909192000001</c:v>
                </c:pt>
                <c:pt idx="16">
                  <c:v>108.70853031670001</c:v>
                </c:pt>
                <c:pt idx="17">
                  <c:v>109.27449573</c:v>
                </c:pt>
                <c:pt idx="18">
                  <c:v>107.5435867133</c:v>
                </c:pt>
                <c:pt idx="19">
                  <c:v>107.39297555</c:v>
                </c:pt>
                <c:pt idx="20">
                  <c:v>95.102227563300005</c:v>
                </c:pt>
                <c:pt idx="21">
                  <c:v>78.841400570000005</c:v>
                </c:pt>
                <c:pt idx="22">
                  <c:v>99.650671279999997</c:v>
                </c:pt>
                <c:pt idx="23">
                  <c:v>99.510519133299994</c:v>
                </c:pt>
                <c:pt idx="24">
                  <c:v>101.4670520367</c:v>
                </c:pt>
                <c:pt idx="25">
                  <c:v>101.2139933333</c:v>
                </c:pt>
                <c:pt idx="26">
                  <c:v>98.609812059999996</c:v>
                </c:pt>
                <c:pt idx="27">
                  <c:v>97.384993243300002</c:v>
                </c:pt>
                <c:pt idx="28">
                  <c:v>96.620315829999996</c:v>
                </c:pt>
                <c:pt idx="29">
                  <c:v>95.563957500000001</c:v>
                </c:pt>
                <c:pt idx="30">
                  <c:v>95.584840990000004</c:v>
                </c:pt>
                <c:pt idx="31">
                  <c:v>96.063800796699994</c:v>
                </c:pt>
                <c:pt idx="32">
                  <c:v>98.777264826700005</c:v>
                </c:pt>
                <c:pt idx="33">
                  <c:v>99.577286090000001</c:v>
                </c:pt>
                <c:pt idx="34">
                  <c:v>101.02246594330001</c:v>
                </c:pt>
                <c:pt idx="35">
                  <c:v>101.5367980967</c:v>
                </c:pt>
                <c:pt idx="36">
                  <c:v>101.5043079133</c:v>
                </c:pt>
                <c:pt idx="37">
                  <c:v>101.03711375330001</c:v>
                </c:pt>
                <c:pt idx="38">
                  <c:v>100.71004181000001</c:v>
                </c:pt>
                <c:pt idx="39">
                  <c:v>101.13551972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1B1-47AF-8DE0-6BC36E71BE94}"/>
            </c:ext>
          </c:extLst>
        </c:ser>
        <c:ser>
          <c:idx val="7"/>
          <c:order val="7"/>
          <c:tx>
            <c:strRef>
              <c:f>'výkonnost odvětví 5a'!$K$66</c:f>
              <c:strCache>
                <c:ptCount val="1"/>
              </c:strCache>
            </c:strRef>
          </c:tx>
          <c:spPr>
            <a:ln w="3175">
              <a:noFill/>
              <a:prstDash val="sysDash"/>
            </a:ln>
          </c:spPr>
          <c:marker>
            <c:symbol val="none"/>
          </c:marker>
          <c:cat>
            <c:multiLvlStrRef>
              <c:f>'výkonnost odvětví 5a'!$B$67:$C$107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'výkonnost odvětví 5a'!$K$67:$K$107</c:f>
              <c:numCache>
                <c:formatCode>#\ ##0.0</c:formatCode>
                <c:ptCount val="41"/>
                <c:pt idx="0">
                  <c:v>-0.13814224215515869</c:v>
                </c:pt>
                <c:pt idx="1">
                  <c:v>-0.2978247026734222</c:v>
                </c:pt>
                <c:pt idx="2">
                  <c:v>-4.6894391719058737E-2</c:v>
                </c:pt>
                <c:pt idx="3">
                  <c:v>-0.20298848808042824</c:v>
                </c:pt>
                <c:pt idx="4">
                  <c:v>-7.7868357890176987E-2</c:v>
                </c:pt>
                <c:pt idx="5">
                  <c:v>-9.8602715991450318E-2</c:v>
                </c:pt>
                <c:pt idx="6">
                  <c:v>-0.24872581417250006</c:v>
                </c:pt>
                <c:pt idx="7">
                  <c:v>-0.426562024180554</c:v>
                </c:pt>
                <c:pt idx="8">
                  <c:v>-0.42341585091625589</c:v>
                </c:pt>
                <c:pt idx="9">
                  <c:v>-0.32832842025167897</c:v>
                </c:pt>
                <c:pt idx="10">
                  <c:v>-0.32135993892229975</c:v>
                </c:pt>
                <c:pt idx="11">
                  <c:v>-0.35664050944655357</c:v>
                </c:pt>
                <c:pt idx="12">
                  <c:v>-0.13425322274474594</c:v>
                </c:pt>
                <c:pt idx="13">
                  <c:v>-9.4617621562097631E-2</c:v>
                </c:pt>
                <c:pt idx="14">
                  <c:v>-4.4711759266687967E-2</c:v>
                </c:pt>
                <c:pt idx="15">
                  <c:v>-0.17979871494044003</c:v>
                </c:pt>
                <c:pt idx="16">
                  <c:v>-8.2203415583696815E-2</c:v>
                </c:pt>
                <c:pt idx="17">
                  <c:v>-3.0812959314186039E-2</c:v>
                </c:pt>
                <c:pt idx="18">
                  <c:v>-0.18291140703782394</c:v>
                </c:pt>
                <c:pt idx="19">
                  <c:v>-7.1577954619879952E-2</c:v>
                </c:pt>
                <c:pt idx="20">
                  <c:v>-3.1257975152045536E-2</c:v>
                </c:pt>
                <c:pt idx="21">
                  <c:v>-0.11358698691187041</c:v>
                </c:pt>
                <c:pt idx="22">
                  <c:v>-4.0694872676301064E-2</c:v>
                </c:pt>
                <c:pt idx="23">
                  <c:v>6.5053031336972822E-2</c:v>
                </c:pt>
                <c:pt idx="24">
                  <c:v>-7.2104470037150925E-2</c:v>
                </c:pt>
                <c:pt idx="25">
                  <c:v>-0.16940538730729293</c:v>
                </c:pt>
                <c:pt idx="26">
                  <c:v>-0.11519271375180434</c:v>
                </c:pt>
                <c:pt idx="27">
                  <c:v>-9.9804465336817971E-2</c:v>
                </c:pt>
                <c:pt idx="28">
                  <c:v>-0.39676224037502394</c:v>
                </c:pt>
                <c:pt idx="29">
                  <c:v>-4.0977184189791904E-2</c:v>
                </c:pt>
                <c:pt idx="30">
                  <c:v>2.0734032969512928E-2</c:v>
                </c:pt>
                <c:pt idx="31">
                  <c:v>-6.5152756873254614E-4</c:v>
                </c:pt>
                <c:pt idx="32">
                  <c:v>1.9867985619315853E-2</c:v>
                </c:pt>
                <c:pt idx="33">
                  <c:v>1.4284131731451044E-2</c:v>
                </c:pt>
                <c:pt idx="34">
                  <c:v>-1.7613551531940219E-2</c:v>
                </c:pt>
                <c:pt idx="35">
                  <c:v>-6.3584691176174352E-2</c:v>
                </c:pt>
                <c:pt idx="36">
                  <c:v>-6.5198482467787588E-4</c:v>
                </c:pt>
                <c:pt idx="37">
                  <c:v>4.6777923994362203E-4</c:v>
                </c:pt>
                <c:pt idx="38">
                  <c:v>-2.5268878679501894E-4</c:v>
                </c:pt>
                <c:pt idx="39">
                  <c:v>-1.0440009225227698E-3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51B1-47AF-8DE0-6BC36E71BE94}"/>
            </c:ext>
          </c:extLst>
        </c:ser>
        <c:ser>
          <c:idx val="8"/>
          <c:order val="8"/>
          <c:tx>
            <c:strRef>
              <c:f>'výkonnost odvětví 5a'!$L$66</c:f>
              <c:strCache>
                <c:ptCount val="1"/>
                <c:pt idx="0">
                  <c:v>Saldo indikátoru důvěry spotřebitelů</c:v>
                </c:pt>
              </c:strCache>
            </c:strRef>
          </c:tx>
          <c:spPr>
            <a:ln w="12700">
              <a:solidFill>
                <a:schemeClr val="bg1">
                  <a:lumMod val="50000"/>
                </a:schemeClr>
              </a:solidFill>
              <a:prstDash val="sysDot"/>
            </a:ln>
          </c:spPr>
          <c:marker>
            <c:symbol val="circle"/>
            <c:size val="5"/>
            <c:spPr>
              <a:solidFill>
                <a:srgbClr val="FFFF00"/>
              </a:solidFill>
              <a:ln>
                <a:solidFill>
                  <a:schemeClr val="bg1">
                    <a:lumMod val="50000"/>
                  </a:schemeClr>
                </a:solidFill>
              </a:ln>
            </c:spPr>
          </c:marker>
          <c:cat>
            <c:multiLvlStrRef>
              <c:f>'výkonnost odvětví 5a'!$B$67:$C$107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'výkonnost odvětví 5a'!$L$67:$L$107</c:f>
              <c:numCache>
                <c:formatCode>0.0</c:formatCode>
                <c:ptCount val="41"/>
                <c:pt idx="0">
                  <c:v>-1.75</c:v>
                </c:pt>
                <c:pt idx="1">
                  <c:v>0.25</c:v>
                </c:pt>
                <c:pt idx="2">
                  <c:v>-3.75</c:v>
                </c:pt>
                <c:pt idx="3">
                  <c:v>-0.25</c:v>
                </c:pt>
                <c:pt idx="4">
                  <c:v>-1.5</c:v>
                </c:pt>
                <c:pt idx="5">
                  <c:v>0</c:v>
                </c:pt>
                <c:pt idx="6">
                  <c:v>-2.25</c:v>
                </c:pt>
                <c:pt idx="7">
                  <c:v>0.75</c:v>
                </c:pt>
                <c:pt idx="8">
                  <c:v>1.25</c:v>
                </c:pt>
                <c:pt idx="9">
                  <c:v>-0.5</c:v>
                </c:pt>
                <c:pt idx="10">
                  <c:v>0.5</c:v>
                </c:pt>
                <c:pt idx="11">
                  <c:v>5</c:v>
                </c:pt>
                <c:pt idx="12">
                  <c:v>3.75</c:v>
                </c:pt>
                <c:pt idx="13">
                  <c:v>6</c:v>
                </c:pt>
                <c:pt idx="14">
                  <c:v>4</c:v>
                </c:pt>
                <c:pt idx="15">
                  <c:v>1</c:v>
                </c:pt>
                <c:pt idx="16">
                  <c:v>3.25</c:v>
                </c:pt>
                <c:pt idx="17">
                  <c:v>0</c:v>
                </c:pt>
                <c:pt idx="18">
                  <c:v>2.25</c:v>
                </c:pt>
                <c:pt idx="19">
                  <c:v>-0.5</c:v>
                </c:pt>
                <c:pt idx="20">
                  <c:v>-1.75</c:v>
                </c:pt>
                <c:pt idx="21">
                  <c:v>-9.25</c:v>
                </c:pt>
                <c:pt idx="22">
                  <c:v>-8.75</c:v>
                </c:pt>
                <c:pt idx="23">
                  <c:v>-18.5</c:v>
                </c:pt>
                <c:pt idx="24">
                  <c:v>-16.25</c:v>
                </c:pt>
                <c:pt idx="25">
                  <c:v>-6.75</c:v>
                </c:pt>
                <c:pt idx="26">
                  <c:v>-4.5</c:v>
                </c:pt>
                <c:pt idx="27">
                  <c:v>-17</c:v>
                </c:pt>
                <c:pt idx="28">
                  <c:v>-16.5</c:v>
                </c:pt>
                <c:pt idx="29">
                  <c:v>-31</c:v>
                </c:pt>
                <c:pt idx="30">
                  <c:v>-29.8</c:v>
                </c:pt>
                <c:pt idx="31">
                  <c:v>-30.8</c:v>
                </c:pt>
                <c:pt idx="32">
                  <c:v>-21</c:v>
                </c:pt>
                <c:pt idx="33">
                  <c:v>-20.3</c:v>
                </c:pt>
                <c:pt idx="34">
                  <c:v>-18</c:v>
                </c:pt>
                <c:pt idx="35">
                  <c:v>-18.3</c:v>
                </c:pt>
                <c:pt idx="36">
                  <c:v>-15.8</c:v>
                </c:pt>
                <c:pt idx="37">
                  <c:v>-9</c:v>
                </c:pt>
                <c:pt idx="38">
                  <c:v>-12.8</c:v>
                </c:pt>
                <c:pt idx="39">
                  <c:v>-9</c:v>
                </c:pt>
                <c:pt idx="40">
                  <c:v>-13.5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51B1-47AF-8DE0-6BC36E71BE94}"/>
            </c:ext>
          </c:extLst>
        </c:ser>
        <c:ser>
          <c:idx val="9"/>
          <c:order val="9"/>
          <c:tx>
            <c:strRef>
              <c:f>'výkonnost odvětví 5a'!$M$66</c:f>
              <c:strCache>
                <c:ptCount val="1"/>
                <c:pt idx="0">
                  <c:v>Saldo indikátoru důvěry obchodníků</c:v>
                </c:pt>
              </c:strCache>
            </c:strRef>
          </c:tx>
          <c:spPr>
            <a:ln w="6350">
              <a:solidFill>
                <a:schemeClr val="bg1">
                  <a:lumMod val="50000"/>
                </a:schemeClr>
              </a:solidFill>
              <a:prstDash val="sysDash"/>
            </a:ln>
          </c:spPr>
          <c:marker>
            <c:symbol val="triangle"/>
            <c:size val="5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</c:spPr>
          </c:marker>
          <c:cat>
            <c:multiLvlStrRef>
              <c:f>'výkonnost odvětví 5a'!$B$67:$C$107</c:f>
              <c:multiLvlStrCache>
                <c:ptCount val="4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'výkonnost odvětví 5a'!$M$67:$M$107</c:f>
              <c:numCache>
                <c:formatCode>0.0</c:formatCode>
                <c:ptCount val="41"/>
                <c:pt idx="0">
                  <c:v>20</c:v>
                </c:pt>
                <c:pt idx="1">
                  <c:v>20.7</c:v>
                </c:pt>
                <c:pt idx="2">
                  <c:v>17.600000000000001</c:v>
                </c:pt>
                <c:pt idx="3">
                  <c:v>19.7</c:v>
                </c:pt>
                <c:pt idx="4">
                  <c:v>22.7</c:v>
                </c:pt>
                <c:pt idx="5">
                  <c:v>17.7</c:v>
                </c:pt>
                <c:pt idx="6">
                  <c:v>17.7</c:v>
                </c:pt>
                <c:pt idx="7">
                  <c:v>21</c:v>
                </c:pt>
                <c:pt idx="8">
                  <c:v>24.3</c:v>
                </c:pt>
                <c:pt idx="9">
                  <c:v>17.3</c:v>
                </c:pt>
                <c:pt idx="10">
                  <c:v>22.7</c:v>
                </c:pt>
                <c:pt idx="11">
                  <c:v>21.7</c:v>
                </c:pt>
                <c:pt idx="12">
                  <c:v>23.3</c:v>
                </c:pt>
                <c:pt idx="13">
                  <c:v>17.3</c:v>
                </c:pt>
                <c:pt idx="14">
                  <c:v>15.6</c:v>
                </c:pt>
                <c:pt idx="15">
                  <c:v>15</c:v>
                </c:pt>
                <c:pt idx="16">
                  <c:v>12.7</c:v>
                </c:pt>
                <c:pt idx="17">
                  <c:v>12.3</c:v>
                </c:pt>
                <c:pt idx="18">
                  <c:v>14.7</c:v>
                </c:pt>
                <c:pt idx="19">
                  <c:v>14.7</c:v>
                </c:pt>
                <c:pt idx="20">
                  <c:v>18.7</c:v>
                </c:pt>
                <c:pt idx="21">
                  <c:v>-1</c:v>
                </c:pt>
                <c:pt idx="22">
                  <c:v>12</c:v>
                </c:pt>
                <c:pt idx="23">
                  <c:v>7</c:v>
                </c:pt>
                <c:pt idx="24">
                  <c:v>1.3</c:v>
                </c:pt>
                <c:pt idx="25">
                  <c:v>15</c:v>
                </c:pt>
                <c:pt idx="26">
                  <c:v>18.3</c:v>
                </c:pt>
                <c:pt idx="27">
                  <c:v>21.3</c:v>
                </c:pt>
                <c:pt idx="28">
                  <c:v>19.7</c:v>
                </c:pt>
                <c:pt idx="29">
                  <c:v>19.600000000000001</c:v>
                </c:pt>
                <c:pt idx="30">
                  <c:v>10.3</c:v>
                </c:pt>
                <c:pt idx="31">
                  <c:v>14.7</c:v>
                </c:pt>
                <c:pt idx="32">
                  <c:v>9.3000000000000007</c:v>
                </c:pt>
                <c:pt idx="33">
                  <c:v>13.3</c:v>
                </c:pt>
                <c:pt idx="34">
                  <c:v>5.7</c:v>
                </c:pt>
                <c:pt idx="35">
                  <c:v>3.3</c:v>
                </c:pt>
                <c:pt idx="36">
                  <c:v>1.7</c:v>
                </c:pt>
                <c:pt idx="37">
                  <c:v>11.3</c:v>
                </c:pt>
                <c:pt idx="38">
                  <c:v>9.3000000000000007</c:v>
                </c:pt>
                <c:pt idx="39">
                  <c:v>11.3</c:v>
                </c:pt>
                <c:pt idx="40">
                  <c:v>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51B1-47AF-8DE0-6BC36E71BE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75570767"/>
        <c:axId val="1875563695"/>
      </c:lineChart>
      <c:catAx>
        <c:axId val="156100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cs-CZ"/>
          </a:p>
        </c:txPr>
        <c:crossAx val="156573696"/>
        <c:crosses val="autoZero"/>
        <c:auto val="1"/>
        <c:lblAlgn val="ctr"/>
        <c:lblOffset val="0"/>
        <c:noMultiLvlLbl val="0"/>
      </c:catAx>
      <c:valAx>
        <c:axId val="156573696"/>
        <c:scaling>
          <c:orientation val="minMax"/>
          <c:max val="12"/>
          <c:min val="-1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50" b="0" i="1"/>
                </a:pPr>
                <a:r>
                  <a:rPr lang="cs-CZ" sz="750" b="0" i="1"/>
                  <a:t>Tržby</a:t>
                </a:r>
                <a:r>
                  <a:rPr lang="cs-CZ" sz="750" b="0" i="1" baseline="0"/>
                  <a:t> (příspěvky k meziroč. změně)</a:t>
                </a:r>
                <a:endParaRPr lang="cs-CZ" sz="750" b="0" i="1"/>
              </a:p>
            </c:rich>
          </c:tx>
          <c:layout>
            <c:manualLayout>
              <c:xMode val="edge"/>
              <c:yMode val="edge"/>
              <c:x val="2.6086947381477195E-3"/>
              <c:y val="0.16393316671713359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56100864"/>
        <c:crosses val="autoZero"/>
        <c:crossBetween val="between"/>
        <c:majorUnit val="2"/>
      </c:valAx>
      <c:valAx>
        <c:axId val="1875563695"/>
        <c:scaling>
          <c:orientation val="minMax"/>
          <c:max val="125"/>
          <c:min val="-40"/>
        </c:scaling>
        <c:delete val="0"/>
        <c:axPos val="r"/>
        <c:title>
          <c:tx>
            <c:rich>
              <a:bodyPr/>
              <a:lstStyle/>
              <a:p>
                <a:pPr>
                  <a:defRPr sz="750" b="0" i="1"/>
                </a:pPr>
                <a:r>
                  <a:rPr lang="cs-CZ" sz="750" b="0" i="1">
                    <a:latin typeface="Arial" panose="020B0604020202020204" pitchFamily="34" charset="0"/>
                    <a:cs typeface="Arial" panose="020B0604020202020204" pitchFamily="34" charset="0"/>
                  </a:rPr>
                  <a:t>Tržby</a:t>
                </a:r>
                <a:r>
                  <a:rPr lang="cs-CZ" sz="750" b="0" i="1" baseline="0">
                    <a:latin typeface="Arial" panose="020B0604020202020204" pitchFamily="34" charset="0"/>
                    <a:cs typeface="Arial" panose="020B0604020202020204" pitchFamily="34" charset="0"/>
                  </a:rPr>
                  <a:t> (rok 2021=100), </a:t>
                </a:r>
                <a:r>
                  <a:rPr lang="cs-CZ" sz="750" b="0" i="1" u="none" strike="noStrike" baseline="0">
                    <a:effectLst/>
                    <a:latin typeface="Arial" panose="020B0604020202020204" pitchFamily="34" charset="0"/>
                    <a:cs typeface="Arial" panose="020B0604020202020204" pitchFamily="34" charset="0"/>
                  </a:rPr>
                  <a:t>saldo důvěry</a:t>
                </a:r>
                <a:endParaRPr lang="cs-CZ" sz="750" b="0" i="1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0.96896265019335537"/>
              <c:y val="0.174339711750961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875570767"/>
        <c:crosses val="max"/>
        <c:crossBetween val="between"/>
        <c:majorUnit val="15"/>
      </c:valAx>
      <c:catAx>
        <c:axId val="187557076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75563695"/>
        <c:crosses val="autoZero"/>
        <c:auto val="1"/>
        <c:lblAlgn val="ctr"/>
        <c:lblOffset val="100"/>
        <c:noMultiLvlLbl val="0"/>
      </c:catAx>
      <c:spPr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5.1385534144624996E-3"/>
          <c:y val="0.837216076019483"/>
          <c:w val="0.98691543107779145"/>
          <c:h val="0.15565653623547093"/>
        </c:manualLayout>
      </c:layout>
      <c:overlay val="0"/>
      <c:spPr>
        <a:ln w="6350">
          <a:solidFill>
            <a:schemeClr val="tx1"/>
          </a:solidFill>
        </a:ln>
      </c:spPr>
      <c:txPr>
        <a:bodyPr/>
        <a:lstStyle/>
        <a:p>
          <a:pPr>
            <a:defRPr sz="75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5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4C7C21F48A488F44995C5F8FB06D" ma:contentTypeVersion="11" ma:contentTypeDescription="Vytvoří nový dokument" ma:contentTypeScope="" ma:versionID="1df8c39b067b5d25b5f5e865a8e6deb3">
  <xsd:schema xmlns:xsd="http://www.w3.org/2001/XMLSchema" xmlns:xs="http://www.w3.org/2001/XMLSchema" xmlns:p="http://schemas.microsoft.com/office/2006/metadata/properties" xmlns:ns3="b8c0c86d-151e-4fca-b0d5-747e6692fa1d" targetNamespace="http://schemas.microsoft.com/office/2006/metadata/properties" ma:root="true" ma:fieldsID="0a1e36cc980726b26aea9439dfb6e5b7" ns3:_="">
    <xsd:import namespace="b8c0c86d-151e-4fca-b0d5-747e6692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c86d-151e-4fca-b0d5-747e6692f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A1E1-1E99-4B4F-B9B5-70567730AA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681AD-41B0-431A-9D34-CF6700A12FAC}">
  <ds:schemaRefs>
    <ds:schemaRef ds:uri="http://purl.org/dc/terms/"/>
    <ds:schemaRef ds:uri="http://www.w3.org/XML/1998/namespace"/>
    <ds:schemaRef ds:uri="b8c0c86d-151e-4fca-b0d5-747e6692fa1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187BB0-665D-4788-984B-3D69493B5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c86d-151e-4fca-b0d5-747e6692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A7AB5-500F-4957-85F0-6D93B8DB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5208</Words>
  <Characters>30730</Characters>
  <Application>Microsoft Office Word</Application>
  <DocSecurity>0</DocSecurity>
  <Lines>256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35867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Jana</dc:creator>
  <cp:keywords/>
  <cp:lastModifiedBy>Zábojníková Karolína</cp:lastModifiedBy>
  <cp:revision>4</cp:revision>
  <cp:lastPrinted>2014-07-17T14:07:00Z</cp:lastPrinted>
  <dcterms:created xsi:type="dcterms:W3CDTF">2025-03-20T11:47:00Z</dcterms:created>
  <dcterms:modified xsi:type="dcterms:W3CDTF">2025-03-20T12:00:00Z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0x01010070204C7C21F48A488F44995C5F8FB06D</vt:lpwstr>
  </property>
  <property fmtid="{D5CDD505-2E9C-101B-9397-08002B2CF9AE}" pid="3" name="Názevformuláře">
    <vt:lpwstr>Publikace CZ barevné - vícetematické analýzy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Manuál ke zveřejňování produktů ČSÚ
</vt:lpwstr>
  </property>
  <property fmtid="{D5CDD505-2E9C-101B-9397-08002B2CF9AE}" pid="6" name="Ustanovení">
    <vt:lpwstr>část první čl. 2, odst. 3b,c; část pátá; příloha 1
</vt:lpwstr>
  </property>
  <property fmtid="{D5CDD505-2E9C-101B-9397-08002B2CF9AE}" pid="7" name="Účinnostod">
    <vt:filetime>2018-04-17T07:00:00Z</vt:filetime>
  </property>
  <property fmtid="{D5CDD505-2E9C-101B-9397-08002B2CF9AE}" pid="8" name="Označení">
    <vt:lpwstr>Form_c444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