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190" w:rsidRDefault="00C31190" w:rsidP="00C31190">
      <w:pPr>
        <w:pStyle w:val="Nadpis1"/>
      </w:pPr>
      <w:bookmarkStart w:id="0" w:name="_Toc492470822"/>
      <w:r>
        <w:t>5. Vnější ekonomické vztahy</w:t>
      </w:r>
      <w:bookmarkEnd w:id="0"/>
    </w:p>
    <w:p w:rsidR="00C31190" w:rsidRPr="002139F8" w:rsidRDefault="00C31190" w:rsidP="00C31190">
      <w:pPr>
        <w:pStyle w:val="Nadpis2"/>
        <w:rPr>
          <w:szCs w:val="28"/>
        </w:rPr>
      </w:pPr>
      <w:bookmarkStart w:id="1" w:name="_Toc492470823"/>
      <w:r>
        <w:rPr>
          <w:szCs w:val="28"/>
        </w:rPr>
        <w:t>5</w:t>
      </w:r>
      <w:r w:rsidRPr="002139F8">
        <w:rPr>
          <w:szCs w:val="28"/>
        </w:rPr>
        <w:t xml:space="preserve">.1. </w:t>
      </w:r>
      <w:r>
        <w:rPr>
          <w:szCs w:val="28"/>
        </w:rPr>
        <w:t>Zahraniční obchod a jeho struktura</w:t>
      </w:r>
      <w:bookmarkEnd w:id="1"/>
    </w:p>
    <w:tbl>
      <w:tblPr>
        <w:tblW w:w="5000" w:type="pct"/>
        <w:tblLayout w:type="fixed"/>
        <w:tblLook w:val="00A0"/>
      </w:tblPr>
      <w:tblGrid>
        <w:gridCol w:w="2057"/>
        <w:gridCol w:w="20"/>
        <w:gridCol w:w="272"/>
        <w:gridCol w:w="10"/>
        <w:gridCol w:w="1151"/>
        <w:gridCol w:w="6344"/>
      </w:tblGrid>
      <w:tr w:rsidR="00C31190" w:rsidRPr="00ED61AD" w:rsidTr="00127FD1">
        <w:tc>
          <w:tcPr>
            <w:tcW w:w="1054" w:type="pct"/>
            <w:gridSpan w:val="2"/>
          </w:tcPr>
          <w:p w:rsidR="00C31190" w:rsidRPr="00ED61AD" w:rsidRDefault="00C31190" w:rsidP="00127FD1">
            <w:pPr>
              <w:spacing w:line="240" w:lineRule="auto"/>
              <w:rPr>
                <w:sz w:val="16"/>
                <w:szCs w:val="16"/>
              </w:rPr>
            </w:pPr>
            <w:r>
              <w:rPr>
                <w:sz w:val="16"/>
                <w:szCs w:val="16"/>
              </w:rPr>
              <w:t>Po recesi v roce 2009 se obnovil silný růst českého exportu. Ten se stal primárním zdrojem růstu HDP.</w:t>
            </w:r>
          </w:p>
        </w:tc>
        <w:tc>
          <w:tcPr>
            <w:tcW w:w="143" w:type="pct"/>
            <w:gridSpan w:val="2"/>
          </w:tcPr>
          <w:p w:rsidR="00C31190" w:rsidRPr="00ED61AD" w:rsidRDefault="00C31190" w:rsidP="00127FD1">
            <w:pPr>
              <w:pStyle w:val="Textpoznpodarou"/>
              <w:jc w:val="both"/>
            </w:pPr>
          </w:p>
        </w:tc>
        <w:tc>
          <w:tcPr>
            <w:tcW w:w="3803" w:type="pct"/>
            <w:gridSpan w:val="2"/>
          </w:tcPr>
          <w:p w:rsidR="00C31190" w:rsidRDefault="00C31190" w:rsidP="00127FD1">
            <w:pPr>
              <w:pStyle w:val="Textpoznpodarou"/>
              <w:jc w:val="both"/>
              <w:rPr>
                <w:sz w:val="16"/>
                <w:szCs w:val="16"/>
              </w:rPr>
            </w:pPr>
            <w:r>
              <w:t>Geografická poloha České republiky přirozeně implikuje její intenzivní zapojení do mezinárodního obchodu. Po vstupu do Evropské unie a uvolnění tržních bariér nastalo období výrazného růstu objemu exportu i importu přerušené jen ekonomickou recesí v roce 2009. V roce 2016 činila hodnota vyvezeného zboží 3312 mld. korun</w:t>
            </w:r>
            <w:r>
              <w:rPr>
                <w:rStyle w:val="Znakapoznpodarou"/>
              </w:rPr>
              <w:footnoteReference w:id="1"/>
            </w:r>
            <w:r>
              <w:t>, hodnota dovozu dosáhla 3145 mld. korun. Hodnota exportu se oproti roku 2015 zvýšila o 1,5 % a přes mírné zpomalení tempa růstu se rok 2016 stal dosavadním vrcholem pro české exportéry. Meziroční nárůst exportu v roce 2015 činil 3,5 % a v roce 2014 dokonce 11,5 %. Zde se však projevilo oslabení koruny, které se přímo promítlo do nominálního vyjádření a meziroční nárůst navýšilo. Vývoj importu do ČR měl podobnou dynamiku jako export, od roku 2011 však tempo růstu hodnoty dovozu pravidelně zaostává za vývozem. Přirozeně tak roste kladné saldo bilance zahraničního obchodu. V roce 2016 dosáhl přebytek 167,0 mld. korun, nejvíce v historii samostatné ČR.</w:t>
            </w:r>
          </w:p>
          <w:p w:rsidR="00C31190" w:rsidRPr="003E2FDA" w:rsidRDefault="00C31190" w:rsidP="00127FD1">
            <w:pPr>
              <w:pStyle w:val="Textpoznpodarou"/>
              <w:jc w:val="both"/>
              <w:rPr>
                <w:sz w:val="16"/>
                <w:szCs w:val="16"/>
              </w:rPr>
            </w:pPr>
          </w:p>
        </w:tc>
      </w:tr>
      <w:tr w:rsidR="00C31190" w:rsidRPr="00ED61AD" w:rsidTr="00127FD1">
        <w:tc>
          <w:tcPr>
            <w:tcW w:w="1054" w:type="pct"/>
            <w:gridSpan w:val="2"/>
          </w:tcPr>
          <w:p w:rsidR="00C31190" w:rsidRPr="00ED61AD" w:rsidRDefault="00C31190" w:rsidP="00127FD1">
            <w:pPr>
              <w:spacing w:line="240" w:lineRule="auto"/>
              <w:rPr>
                <w:sz w:val="16"/>
                <w:szCs w:val="16"/>
              </w:rPr>
            </w:pPr>
            <w:r>
              <w:rPr>
                <w:sz w:val="16"/>
                <w:szCs w:val="16"/>
              </w:rPr>
              <w:t xml:space="preserve">V průběhu posledních let rostl rozdíl mezi </w:t>
            </w:r>
            <w:proofErr w:type="spellStart"/>
            <w:r>
              <w:rPr>
                <w:sz w:val="16"/>
                <w:szCs w:val="16"/>
              </w:rPr>
              <w:t>přeshraničním</w:t>
            </w:r>
            <w:proofErr w:type="spellEnd"/>
            <w:r>
              <w:rPr>
                <w:sz w:val="16"/>
                <w:szCs w:val="16"/>
              </w:rPr>
              <w:t xml:space="preserve"> a národním pojetím zahraničního obchodu.</w:t>
            </w:r>
          </w:p>
        </w:tc>
        <w:tc>
          <w:tcPr>
            <w:tcW w:w="143" w:type="pct"/>
            <w:gridSpan w:val="2"/>
          </w:tcPr>
          <w:p w:rsidR="00C31190" w:rsidRPr="00ED61AD" w:rsidRDefault="00C31190" w:rsidP="00127FD1">
            <w:pPr>
              <w:pStyle w:val="Textpoznpodarou"/>
              <w:jc w:val="both"/>
            </w:pPr>
          </w:p>
        </w:tc>
        <w:tc>
          <w:tcPr>
            <w:tcW w:w="3803" w:type="pct"/>
            <w:gridSpan w:val="2"/>
          </w:tcPr>
          <w:p w:rsidR="00C31190" w:rsidRDefault="00C31190" w:rsidP="00127FD1">
            <w:pPr>
              <w:pStyle w:val="Textpoznpodarou"/>
              <w:jc w:val="both"/>
              <w:rPr>
                <w:sz w:val="16"/>
                <w:szCs w:val="16"/>
              </w:rPr>
            </w:pPr>
            <w:r>
              <w:t>Hodnota obchodu ČR v </w:t>
            </w:r>
            <w:proofErr w:type="spellStart"/>
            <w:r>
              <w:t>přeshraničním</w:t>
            </w:r>
            <w:proofErr w:type="spellEnd"/>
            <w:r>
              <w:t xml:space="preserve"> pojetí rostla podobně jako dovoz a vývoz v národním pojetí, v průběhu let se však rozdíl mezi oběma pojetími zahraničního obchodu prohluboval</w:t>
            </w:r>
            <w:r>
              <w:rPr>
                <w:rStyle w:val="Znakapoznpodarou"/>
              </w:rPr>
              <w:footnoteReference w:id="2"/>
            </w:r>
            <w:r>
              <w:t>. Rostla nejen jeho nominální hodnota tohoto rozdílu, ale i jeho podíl na celkovém dovozu a vývozu. Hodnota zboží, které nebylo nakoupeno od rezidentů a bylo vyvezeno z Česka nerezidenty, v roce 2016 dosáhla 663,7 mld. korun. To představuje 16,7 % z celkové hodnoty vývozu v </w:t>
            </w:r>
            <w:proofErr w:type="spellStart"/>
            <w:r>
              <w:t>přeshraničním</w:t>
            </w:r>
            <w:proofErr w:type="spellEnd"/>
            <w:r>
              <w:t xml:space="preserve"> pojetí. Rozdíl mezi </w:t>
            </w:r>
            <w:proofErr w:type="spellStart"/>
            <w:r>
              <w:t>přeshraničním</w:t>
            </w:r>
            <w:proofErr w:type="spellEnd"/>
            <w:r>
              <w:t xml:space="preserve"> a národním pojetím dovozu se v posledních dvou letech rovněž zvýšil. V roce 2016 se vyšplhal na 343,3 mld. korun.</w:t>
            </w:r>
          </w:p>
          <w:p w:rsidR="00C31190" w:rsidRPr="00EC647B" w:rsidRDefault="00C31190" w:rsidP="00127FD1">
            <w:pPr>
              <w:pStyle w:val="Textpoznpodarou"/>
              <w:jc w:val="both"/>
              <w:rPr>
                <w:sz w:val="16"/>
                <w:szCs w:val="16"/>
              </w:rPr>
            </w:pPr>
          </w:p>
        </w:tc>
      </w:tr>
      <w:tr w:rsidR="00C31190" w:rsidRPr="00CE283F" w:rsidTr="00127FD1">
        <w:tc>
          <w:tcPr>
            <w:tcW w:w="1054" w:type="pct"/>
            <w:gridSpan w:val="2"/>
          </w:tcPr>
          <w:p w:rsidR="00C31190" w:rsidRPr="00CE283F" w:rsidRDefault="00C31190" w:rsidP="00127FD1">
            <w:pPr>
              <w:spacing w:line="240" w:lineRule="auto"/>
              <w:rPr>
                <w:szCs w:val="20"/>
              </w:rPr>
            </w:pPr>
          </w:p>
        </w:tc>
        <w:tc>
          <w:tcPr>
            <w:tcW w:w="143" w:type="pct"/>
            <w:gridSpan w:val="2"/>
          </w:tcPr>
          <w:p w:rsidR="00C31190" w:rsidRPr="00CE283F" w:rsidRDefault="00C31190" w:rsidP="00127FD1">
            <w:pPr>
              <w:pStyle w:val="Textpoznpodarou"/>
              <w:jc w:val="both"/>
            </w:pPr>
          </w:p>
        </w:tc>
        <w:tc>
          <w:tcPr>
            <w:tcW w:w="584" w:type="pct"/>
          </w:tcPr>
          <w:p w:rsidR="00C31190" w:rsidRPr="00CE283F" w:rsidRDefault="00C31190" w:rsidP="00127FD1">
            <w:pPr>
              <w:pStyle w:val="Textpoznpodarou"/>
              <w:jc w:val="both"/>
            </w:pPr>
            <w:r w:rsidRPr="00CE283F">
              <w:t>Graf 5.1.1</w:t>
            </w:r>
          </w:p>
        </w:tc>
        <w:tc>
          <w:tcPr>
            <w:tcW w:w="3219" w:type="pct"/>
          </w:tcPr>
          <w:p w:rsidR="00C31190" w:rsidRPr="00CE283F" w:rsidRDefault="00C31190" w:rsidP="00127FD1">
            <w:pPr>
              <w:pStyle w:val="Textpoznpodarou"/>
              <w:rPr>
                <w:lang w:eastAsia="en-US"/>
              </w:rPr>
            </w:pPr>
            <w:r w:rsidRPr="00CE283F">
              <w:rPr>
                <w:b/>
                <w:lang w:eastAsia="en-US"/>
              </w:rPr>
              <w:t>Vývoj zahraničního obchodu a bilance</w:t>
            </w:r>
            <w:r w:rsidRPr="00CE283F">
              <w:rPr>
                <w:lang w:eastAsia="en-US"/>
              </w:rPr>
              <w:t xml:space="preserve"> (v mld. korun, běžné ceny)</w:t>
            </w:r>
          </w:p>
        </w:tc>
      </w:tr>
      <w:tr w:rsidR="00C31190" w:rsidRPr="00ED61AD" w:rsidTr="00127FD1">
        <w:tc>
          <w:tcPr>
            <w:tcW w:w="1054" w:type="pct"/>
            <w:gridSpan w:val="2"/>
          </w:tcPr>
          <w:p w:rsidR="00C31190" w:rsidRDefault="00C31190" w:rsidP="00127FD1">
            <w:pPr>
              <w:spacing w:line="240" w:lineRule="auto"/>
              <w:rPr>
                <w:sz w:val="16"/>
                <w:szCs w:val="16"/>
              </w:rPr>
            </w:pPr>
          </w:p>
        </w:tc>
        <w:tc>
          <w:tcPr>
            <w:tcW w:w="143" w:type="pct"/>
            <w:gridSpan w:val="2"/>
          </w:tcPr>
          <w:p w:rsidR="00C31190" w:rsidRPr="00ED61AD" w:rsidRDefault="00C31190" w:rsidP="00127FD1">
            <w:pPr>
              <w:pStyle w:val="Textpoznpodarou"/>
              <w:jc w:val="both"/>
            </w:pPr>
          </w:p>
        </w:tc>
        <w:tc>
          <w:tcPr>
            <w:tcW w:w="3803" w:type="pct"/>
            <w:gridSpan w:val="2"/>
          </w:tcPr>
          <w:p w:rsidR="00C31190" w:rsidRDefault="00C31190" w:rsidP="00127FD1">
            <w:pPr>
              <w:pStyle w:val="Textpoznpodarou"/>
              <w:ind w:left="-92"/>
              <w:jc w:val="both"/>
            </w:pPr>
            <w:r w:rsidRPr="002115D2">
              <w:rPr>
                <w:noProof/>
              </w:rPr>
              <w:drawing>
                <wp:inline distT="0" distB="0" distL="0" distR="0">
                  <wp:extent cx="4737600" cy="3553200"/>
                  <wp:effectExtent l="0" t="0" r="5850" b="0"/>
                  <wp:docPr id="25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31190" w:rsidRDefault="00C31190" w:rsidP="00127FD1">
            <w:pPr>
              <w:pStyle w:val="Textpoznpodarou"/>
              <w:ind w:left="-92"/>
              <w:jc w:val="right"/>
              <w:rPr>
                <w:sz w:val="14"/>
                <w:szCs w:val="14"/>
              </w:rPr>
            </w:pPr>
            <w:r>
              <w:rPr>
                <w:sz w:val="14"/>
                <w:szCs w:val="14"/>
              </w:rPr>
              <w:t>Zdroj: ČSÚ</w:t>
            </w:r>
          </w:p>
          <w:p w:rsidR="00C31190" w:rsidRPr="003B087D" w:rsidRDefault="00C31190" w:rsidP="00127FD1">
            <w:pPr>
              <w:pStyle w:val="Textpoznpodarou"/>
              <w:ind w:left="-92"/>
              <w:jc w:val="right"/>
              <w:rPr>
                <w:sz w:val="14"/>
                <w:szCs w:val="14"/>
              </w:rPr>
            </w:pPr>
          </w:p>
        </w:tc>
      </w:tr>
      <w:tr w:rsidR="00C31190" w:rsidRPr="00ED61AD" w:rsidTr="00127FD1">
        <w:tc>
          <w:tcPr>
            <w:tcW w:w="1044" w:type="pct"/>
          </w:tcPr>
          <w:p w:rsidR="00C31190" w:rsidRPr="00ED61AD" w:rsidRDefault="00C31190" w:rsidP="00127FD1">
            <w:pPr>
              <w:spacing w:line="240" w:lineRule="auto"/>
              <w:rPr>
                <w:sz w:val="16"/>
                <w:szCs w:val="16"/>
              </w:rPr>
            </w:pPr>
            <w:r>
              <w:rPr>
                <w:sz w:val="16"/>
                <w:szCs w:val="16"/>
              </w:rPr>
              <w:lastRenderedPageBreak/>
              <w:t xml:space="preserve">Podobně jako u průmyslové produkce, i pro český export jsou klíčová motorová vozidla. </w:t>
            </w:r>
          </w:p>
        </w:tc>
        <w:tc>
          <w:tcPr>
            <w:tcW w:w="148" w:type="pct"/>
            <w:gridSpan w:val="2"/>
          </w:tcPr>
          <w:p w:rsidR="00C31190" w:rsidRPr="00ED61AD" w:rsidRDefault="00C31190" w:rsidP="00127FD1">
            <w:pPr>
              <w:pStyle w:val="Textpoznpodarou"/>
              <w:jc w:val="both"/>
            </w:pPr>
          </w:p>
        </w:tc>
        <w:tc>
          <w:tcPr>
            <w:tcW w:w="3808" w:type="pct"/>
            <w:gridSpan w:val="3"/>
          </w:tcPr>
          <w:p w:rsidR="00C31190" w:rsidRDefault="00C31190" w:rsidP="00127FD1">
            <w:pPr>
              <w:pStyle w:val="Textpoznpodarou"/>
              <w:jc w:val="both"/>
              <w:rPr>
                <w:sz w:val="16"/>
                <w:szCs w:val="16"/>
              </w:rPr>
            </w:pPr>
            <w:r>
              <w:t xml:space="preserve">Nejvýznamnějším artiklem českého exportu jsou motorová vozidla. V roce 2006 tvořila 18,5 % exportu a během deseti let jejich podíl vzrostl o 9,3 </w:t>
            </w:r>
            <w:proofErr w:type="spellStart"/>
            <w:proofErr w:type="gramStart"/>
            <w:r>
              <w:t>p.b</w:t>
            </w:r>
            <w:proofErr w:type="spellEnd"/>
            <w:r>
              <w:t>.</w:t>
            </w:r>
            <w:proofErr w:type="gramEnd"/>
            <w:r>
              <w:t xml:space="preserve"> Skutečně klíčovými se tak stala v roce 2015, kdy tvořila 26,0 % hodnoty vyvezeného zboží a v roce 2016, když se tento podíl zvýšil na 27,8 %. Došlo tak ke snížení významu druhého nejvýznamnějšího oddílu, tedy strojů a zařízení, které v roce 2016 představovaly 11,0 % hodnoty vývozu (14,6 % v roce 2006). Za nimi se umístily počítače, elektronické a optické přístroje (9,2 %, 11,4 % v roce 2006) a elektrická zařízení (8,2 %, 8,7 % v roce 2006). Z vývoje struktury exportu je tedy patrné, že růst hodnoty vývozu i přebytku zahraničního obchodu byl založen na rostoucím vývozu motorových vozidel, který dále podporoval přidružená odvětví. Takové složení vývozu může představovat riziko, protože motorová vozidla patří mezi zboží, jehož pořízení spotřebitelé nejsnadněji odloží v případě obav z nepříznivého vývoje ekonomiky.</w:t>
            </w:r>
          </w:p>
          <w:p w:rsidR="00C31190" w:rsidRPr="000D3A46" w:rsidRDefault="00C31190" w:rsidP="00127FD1">
            <w:pPr>
              <w:pStyle w:val="Textpoznpodarou"/>
              <w:jc w:val="both"/>
              <w:rPr>
                <w:sz w:val="16"/>
                <w:szCs w:val="16"/>
              </w:rPr>
            </w:pPr>
            <w:r>
              <w:t xml:space="preserve">  </w:t>
            </w:r>
          </w:p>
        </w:tc>
      </w:tr>
      <w:tr w:rsidR="00C31190" w:rsidRPr="00ED61AD" w:rsidTr="00127FD1">
        <w:tc>
          <w:tcPr>
            <w:tcW w:w="1044" w:type="pct"/>
          </w:tcPr>
          <w:p w:rsidR="00C31190" w:rsidRPr="00ED61AD" w:rsidRDefault="00C31190" w:rsidP="00127FD1">
            <w:pPr>
              <w:spacing w:line="240" w:lineRule="auto"/>
              <w:rPr>
                <w:sz w:val="16"/>
                <w:szCs w:val="16"/>
              </w:rPr>
            </w:pPr>
            <w:r>
              <w:rPr>
                <w:sz w:val="16"/>
                <w:szCs w:val="16"/>
              </w:rPr>
              <w:t xml:space="preserve">Ve struktuře dovozu mají vyšší podíl suroviny, především ropa a zemní plyn.  </w:t>
            </w:r>
          </w:p>
        </w:tc>
        <w:tc>
          <w:tcPr>
            <w:tcW w:w="148" w:type="pct"/>
            <w:gridSpan w:val="2"/>
          </w:tcPr>
          <w:p w:rsidR="00C31190" w:rsidRPr="00ED61AD" w:rsidRDefault="00C31190" w:rsidP="00127FD1">
            <w:pPr>
              <w:pStyle w:val="Textpoznpodarou"/>
              <w:jc w:val="both"/>
            </w:pPr>
          </w:p>
        </w:tc>
        <w:tc>
          <w:tcPr>
            <w:tcW w:w="3808" w:type="pct"/>
            <w:gridSpan w:val="3"/>
          </w:tcPr>
          <w:p w:rsidR="00C31190" w:rsidRDefault="00C31190" w:rsidP="00127FD1">
            <w:pPr>
              <w:pStyle w:val="Textpoznpodarou"/>
              <w:jc w:val="both"/>
              <w:rPr>
                <w:sz w:val="16"/>
                <w:szCs w:val="16"/>
              </w:rPr>
            </w:pPr>
            <w:r>
              <w:t>Největší podíl na dovozu do České republiky v roce 2016 měla rovněž motorová vozidla, když dosáhla na 16,1 % importu. Již v roce 2015 překonala počítače, elektronické a optické přístroje, jejichž podíl na dovozu od roku 2010, kdy dosáhl vrcholu 18,0 %, postupně klesal (v roce 2016 dosáhl 11,7 %). Třetím nejvýznamnějším dovozním artiklem jsou stroje a zařízení (9,5 % importu v roce 2016). Kromě výrobků, jejichž dovoz je kryt vývozem, ČR dováží chybějící suroviny, především ropu a zemní plyn. Vývoj jejich ceny, která se v posledních dvou letech významně snižovala, se podepsal i na hodnotě dovozu. V roce 2016 tvořila ropa a zemní plyn 2,8 % dovozu. Lze však říct, že obvyklejší úrovní podílu na dovozu je hodnota mezi 6–7  %, kterou import této suroviny dosahoval v předchozích letech. Závislost na surovinách se ukazuje i na struktuře bilance podle oddílů zboží CZ-CPA. Kladné bilance dosahuje obchod s motorovými vozidly a stroji a zařízeními. Negativní saldo má obchod s již zmíněnou ropou a</w:t>
            </w:r>
            <w:r>
              <w:rPr>
                <w:spacing w:val="-4"/>
              </w:rPr>
              <w:t> </w:t>
            </w:r>
            <w:r>
              <w:t>zemním plynem a základními kovy. V souvislosti s poklesem české výroby chemických látek a přípravků se v posledních dvou letech prohloubilo i negativní saldo obchodu s nimi.</w:t>
            </w:r>
          </w:p>
          <w:p w:rsidR="00C31190" w:rsidRPr="00EC647B" w:rsidRDefault="00C31190" w:rsidP="00127FD1">
            <w:pPr>
              <w:pStyle w:val="Textpoznpodarou"/>
              <w:jc w:val="both"/>
              <w:rPr>
                <w:sz w:val="16"/>
                <w:szCs w:val="16"/>
              </w:rPr>
            </w:pPr>
          </w:p>
        </w:tc>
      </w:tr>
      <w:tr w:rsidR="00C31190" w:rsidRPr="00B03E3F" w:rsidTr="00127FD1">
        <w:tc>
          <w:tcPr>
            <w:tcW w:w="1044" w:type="pct"/>
          </w:tcPr>
          <w:p w:rsidR="00C31190" w:rsidRPr="00B03E3F" w:rsidRDefault="00C31190" w:rsidP="00127FD1">
            <w:pPr>
              <w:spacing w:line="240" w:lineRule="auto"/>
              <w:rPr>
                <w:szCs w:val="20"/>
              </w:rPr>
            </w:pPr>
          </w:p>
        </w:tc>
        <w:tc>
          <w:tcPr>
            <w:tcW w:w="148" w:type="pct"/>
            <w:gridSpan w:val="2"/>
          </w:tcPr>
          <w:p w:rsidR="00C31190" w:rsidRPr="00B03E3F" w:rsidRDefault="00C31190" w:rsidP="00127FD1">
            <w:pPr>
              <w:pStyle w:val="Textpoznpodarou"/>
              <w:jc w:val="both"/>
            </w:pPr>
          </w:p>
        </w:tc>
        <w:tc>
          <w:tcPr>
            <w:tcW w:w="589" w:type="pct"/>
            <w:gridSpan w:val="2"/>
          </w:tcPr>
          <w:p w:rsidR="00C31190" w:rsidRPr="00B03E3F" w:rsidRDefault="00C31190" w:rsidP="00127FD1">
            <w:pPr>
              <w:pStyle w:val="Textpoznpodarou"/>
              <w:jc w:val="both"/>
            </w:pPr>
            <w:r w:rsidRPr="00640197">
              <w:t xml:space="preserve">Graf </w:t>
            </w:r>
            <w:r>
              <w:t>5.1.2</w:t>
            </w:r>
          </w:p>
        </w:tc>
        <w:tc>
          <w:tcPr>
            <w:tcW w:w="3219" w:type="pct"/>
          </w:tcPr>
          <w:p w:rsidR="00C31190" w:rsidRDefault="00C31190" w:rsidP="00127FD1">
            <w:pPr>
              <w:pStyle w:val="Textpoznpodarou"/>
              <w:jc w:val="both"/>
              <w:rPr>
                <w:b/>
                <w:spacing w:val="-2"/>
                <w:lang w:eastAsia="en-US"/>
              </w:rPr>
            </w:pPr>
            <w:r w:rsidRPr="00B03E3F">
              <w:rPr>
                <w:b/>
                <w:spacing w:val="-2"/>
                <w:lang w:eastAsia="en-US"/>
              </w:rPr>
              <w:t xml:space="preserve">Bilance zahraničního obchodu a její struktura </w:t>
            </w:r>
          </w:p>
          <w:p w:rsidR="00C31190" w:rsidRPr="00B03E3F" w:rsidRDefault="00C31190" w:rsidP="00127FD1">
            <w:pPr>
              <w:pStyle w:val="Textpoznpodarou"/>
              <w:jc w:val="both"/>
            </w:pPr>
            <w:r w:rsidRPr="00B03E3F">
              <w:rPr>
                <w:spacing w:val="-2"/>
                <w:lang w:eastAsia="en-US"/>
              </w:rPr>
              <w:t>(v mld. korun,</w:t>
            </w:r>
            <w:r w:rsidRPr="00B03E3F">
              <w:rPr>
                <w:b/>
                <w:spacing w:val="-2"/>
                <w:lang w:eastAsia="en-US"/>
              </w:rPr>
              <w:t xml:space="preserve"> </w:t>
            </w:r>
            <w:r w:rsidRPr="00B03E3F">
              <w:rPr>
                <w:spacing w:val="-2"/>
                <w:lang w:eastAsia="en-US"/>
              </w:rPr>
              <w:t>vybrané oddíly</w:t>
            </w:r>
            <w:r>
              <w:rPr>
                <w:b/>
                <w:spacing w:val="-2"/>
                <w:lang w:eastAsia="en-US"/>
              </w:rPr>
              <w:t xml:space="preserve"> </w:t>
            </w:r>
            <w:r w:rsidRPr="00B03E3F">
              <w:rPr>
                <w:spacing w:val="-2"/>
                <w:lang w:eastAsia="en-US"/>
              </w:rPr>
              <w:t xml:space="preserve">klasifikace </w:t>
            </w:r>
            <w:r>
              <w:rPr>
                <w:spacing w:val="-2"/>
                <w:lang w:eastAsia="en-US"/>
              </w:rPr>
              <w:t>CZ-</w:t>
            </w:r>
            <w:r w:rsidRPr="00B03E3F">
              <w:rPr>
                <w:spacing w:val="-2"/>
                <w:lang w:eastAsia="en-US"/>
              </w:rPr>
              <w:t>CPA)</w:t>
            </w:r>
          </w:p>
        </w:tc>
      </w:tr>
      <w:tr w:rsidR="00C31190" w:rsidRPr="00ED61AD" w:rsidTr="00127FD1">
        <w:tc>
          <w:tcPr>
            <w:tcW w:w="1044" w:type="pct"/>
          </w:tcPr>
          <w:p w:rsidR="00C31190" w:rsidRPr="00ED61AD" w:rsidRDefault="00C31190" w:rsidP="00127FD1">
            <w:pPr>
              <w:spacing w:line="240" w:lineRule="auto"/>
              <w:rPr>
                <w:sz w:val="16"/>
                <w:szCs w:val="16"/>
              </w:rPr>
            </w:pPr>
          </w:p>
        </w:tc>
        <w:tc>
          <w:tcPr>
            <w:tcW w:w="148" w:type="pct"/>
            <w:gridSpan w:val="2"/>
          </w:tcPr>
          <w:p w:rsidR="00C31190" w:rsidRPr="00ED61AD" w:rsidRDefault="00C31190" w:rsidP="00127FD1">
            <w:pPr>
              <w:pStyle w:val="Textpoznpodarou"/>
              <w:jc w:val="both"/>
            </w:pPr>
          </w:p>
        </w:tc>
        <w:tc>
          <w:tcPr>
            <w:tcW w:w="3808" w:type="pct"/>
            <w:gridSpan w:val="3"/>
          </w:tcPr>
          <w:p w:rsidR="00C31190" w:rsidRDefault="00C31190" w:rsidP="00127FD1">
            <w:pPr>
              <w:pStyle w:val="Textpoznpodarou"/>
              <w:ind w:left="-81"/>
              <w:jc w:val="both"/>
            </w:pPr>
            <w:r w:rsidRPr="00B03E3F">
              <w:rPr>
                <w:noProof/>
              </w:rPr>
              <w:drawing>
                <wp:inline distT="0" distB="0" distL="0" distR="0">
                  <wp:extent cx="4737600" cy="3553200"/>
                  <wp:effectExtent l="19050" t="0" r="0" b="0"/>
                  <wp:docPr id="25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31190" w:rsidRDefault="00C31190" w:rsidP="00127FD1">
            <w:pPr>
              <w:pStyle w:val="Textpoznpodarou"/>
              <w:ind w:left="-81"/>
              <w:jc w:val="right"/>
              <w:rPr>
                <w:sz w:val="14"/>
                <w:szCs w:val="14"/>
              </w:rPr>
            </w:pPr>
            <w:r w:rsidRPr="00B03E3F">
              <w:rPr>
                <w:sz w:val="14"/>
                <w:szCs w:val="14"/>
              </w:rPr>
              <w:t>Zdroj: ČSÚ</w:t>
            </w:r>
          </w:p>
          <w:p w:rsidR="00C31190" w:rsidRPr="00B03E3F" w:rsidRDefault="00C31190" w:rsidP="00127FD1">
            <w:pPr>
              <w:pStyle w:val="Textpoznpodarou"/>
              <w:ind w:left="-81"/>
              <w:jc w:val="right"/>
              <w:rPr>
                <w:sz w:val="14"/>
                <w:szCs w:val="14"/>
              </w:rPr>
            </w:pPr>
          </w:p>
        </w:tc>
      </w:tr>
      <w:tr w:rsidR="00C31190" w:rsidRPr="00ED61AD" w:rsidTr="00127FD1">
        <w:tc>
          <w:tcPr>
            <w:tcW w:w="1044" w:type="pct"/>
          </w:tcPr>
          <w:p w:rsidR="00C31190" w:rsidRDefault="00C31190" w:rsidP="00127FD1">
            <w:pPr>
              <w:spacing w:line="240" w:lineRule="auto"/>
              <w:rPr>
                <w:sz w:val="16"/>
                <w:szCs w:val="16"/>
              </w:rPr>
            </w:pPr>
            <w:r>
              <w:rPr>
                <w:sz w:val="16"/>
                <w:szCs w:val="16"/>
              </w:rPr>
              <w:t>Klíčovým obchodním partnerem Česka je EU. Třetina vývozu směřuje do Německa.</w:t>
            </w:r>
          </w:p>
          <w:p w:rsidR="00C31190" w:rsidRDefault="00C31190" w:rsidP="00127FD1">
            <w:pPr>
              <w:spacing w:line="240" w:lineRule="auto"/>
              <w:rPr>
                <w:sz w:val="16"/>
                <w:szCs w:val="16"/>
              </w:rPr>
            </w:pPr>
          </w:p>
          <w:p w:rsidR="00C31190" w:rsidRDefault="00C31190" w:rsidP="00127FD1">
            <w:pPr>
              <w:spacing w:line="240" w:lineRule="auto"/>
              <w:rPr>
                <w:sz w:val="16"/>
                <w:szCs w:val="16"/>
              </w:rPr>
            </w:pPr>
          </w:p>
          <w:p w:rsidR="00C31190" w:rsidRDefault="00C31190" w:rsidP="00127FD1">
            <w:pPr>
              <w:spacing w:line="240" w:lineRule="auto"/>
              <w:rPr>
                <w:sz w:val="16"/>
                <w:szCs w:val="16"/>
              </w:rPr>
            </w:pPr>
          </w:p>
          <w:p w:rsidR="00C31190" w:rsidRPr="00ED61AD" w:rsidRDefault="00C31190" w:rsidP="00127FD1">
            <w:pPr>
              <w:spacing w:line="240" w:lineRule="auto"/>
              <w:rPr>
                <w:sz w:val="16"/>
                <w:szCs w:val="16"/>
              </w:rPr>
            </w:pPr>
            <w:r>
              <w:rPr>
                <w:sz w:val="16"/>
                <w:szCs w:val="16"/>
              </w:rPr>
              <w:t xml:space="preserve">Teritoriální struktura dovozu odráží import surovin z destinací mimo EU. Česko má s těmito zeměmi zápornou obchodní bilanci. </w:t>
            </w:r>
          </w:p>
        </w:tc>
        <w:tc>
          <w:tcPr>
            <w:tcW w:w="148" w:type="pct"/>
            <w:gridSpan w:val="2"/>
          </w:tcPr>
          <w:p w:rsidR="00C31190" w:rsidRPr="00ED61AD" w:rsidRDefault="00C31190" w:rsidP="00127FD1">
            <w:pPr>
              <w:pStyle w:val="Textpoznpodarou"/>
              <w:jc w:val="both"/>
            </w:pPr>
          </w:p>
        </w:tc>
        <w:tc>
          <w:tcPr>
            <w:tcW w:w="3808" w:type="pct"/>
            <w:gridSpan w:val="3"/>
          </w:tcPr>
          <w:p w:rsidR="00C31190" w:rsidRDefault="00C31190" w:rsidP="00127FD1">
            <w:pPr>
              <w:pStyle w:val="Textpoznpodarou"/>
              <w:jc w:val="both"/>
            </w:pPr>
            <w:r>
              <w:t xml:space="preserve">Teritoriální struktura českého exportu se přirozeně odvíjí od geografické polohy i členství v Evropské unii. Největší část hodnoty vývozu v roce 2016 mířila do EU (84 %), přesněji k našim sousedům – do Německa (32,2 %), na Slovensko </w:t>
            </w:r>
            <w:r>
              <w:lastRenderedPageBreak/>
              <w:t>(9,7</w:t>
            </w:r>
            <w:r>
              <w:rPr>
                <w:spacing w:val="-4"/>
              </w:rPr>
              <w:t> </w:t>
            </w:r>
            <w:r>
              <w:t>%), do Polska (6,2 %) a do Rakouska (4,2 %). Z evropských zemí jsou pro nás důležité i Francie (5,0 %) a Velká Británie (5,0 %). Vývoz mimo Evropskou unii v posledních dvou letech mírně ubral na významu, především kvůli propadu obchodu s Ruskem. Vzhledem k nutnosti dovážet suroviny, které mají původ v destinacích mimo EU, je podíl hodnoty zboží dováženého ze zemí mimo EU významnější než v případě exportů. V roce 2016 to bylo 30,2 % a šlo o nejnižší číslo od roku 2007. Stojí za tím kombinace hospodářských sankcí uvalených na Rusko a propadu cen ropy a zemního plynu. Dovoz surovin se promítá i do bilance zahraničního obchodu s jednotlivými obchodními partnery. S výjimkou Polska, se kterým ČR dlouhodobě prohlubuje deficit (v roce 2016 činil 73,1 mld.), je saldo obchodu s Evropskou unií kladné (v roce 2016 dosáhlo 610,0 mld. korun). Obchod se zeměmi mimo EU je v dlouhodobém deficitu, na kterém se nejvýznamněji podílí Čína (deficit v roce 2016 ve výši 285,8 mld. korun) a Rusko (-21,0 mld. korun). V případě Ruska jde o mimořádně nízkou hodnotu schodku. Před rokem 2014 se saldo obchodu s Ruskem v jednotlivých letech pohybovalo mezi 48 až 75 mld. korun.</w:t>
            </w:r>
          </w:p>
          <w:p w:rsidR="00C31190" w:rsidRPr="00EC647B" w:rsidRDefault="00C31190" w:rsidP="00127FD1">
            <w:pPr>
              <w:pStyle w:val="Textpoznpodarou"/>
              <w:jc w:val="both"/>
            </w:pPr>
          </w:p>
        </w:tc>
      </w:tr>
    </w:tbl>
    <w:p w:rsidR="00C31190" w:rsidRPr="002139F8" w:rsidRDefault="00C31190" w:rsidP="00C31190">
      <w:pPr>
        <w:pStyle w:val="Nadpis2"/>
        <w:rPr>
          <w:szCs w:val="28"/>
        </w:rPr>
      </w:pPr>
      <w:bookmarkStart w:id="2" w:name="_Toc492470824"/>
      <w:r>
        <w:rPr>
          <w:szCs w:val="28"/>
        </w:rPr>
        <w:lastRenderedPageBreak/>
        <w:t>5</w:t>
      </w:r>
      <w:r w:rsidRPr="002139F8">
        <w:rPr>
          <w:szCs w:val="28"/>
        </w:rPr>
        <w:t xml:space="preserve">.2. </w:t>
      </w:r>
      <w:r>
        <w:rPr>
          <w:szCs w:val="28"/>
        </w:rPr>
        <w:t>Saldo běžného a finančního účtu platební bilance</w:t>
      </w:r>
      <w:bookmarkEnd w:id="2"/>
    </w:p>
    <w:tbl>
      <w:tblPr>
        <w:tblW w:w="5000" w:type="pct"/>
        <w:tblLayout w:type="fixed"/>
        <w:tblLook w:val="00A0"/>
      </w:tblPr>
      <w:tblGrid>
        <w:gridCol w:w="2077"/>
        <w:gridCol w:w="282"/>
        <w:gridCol w:w="1151"/>
        <w:gridCol w:w="6344"/>
      </w:tblGrid>
      <w:tr w:rsidR="00C31190" w:rsidRPr="00ED61AD" w:rsidTr="00127FD1">
        <w:tc>
          <w:tcPr>
            <w:tcW w:w="1054" w:type="pct"/>
          </w:tcPr>
          <w:p w:rsidR="00C31190" w:rsidRPr="00ED61AD" w:rsidRDefault="00C31190" w:rsidP="00127FD1">
            <w:pPr>
              <w:spacing w:line="240" w:lineRule="auto"/>
              <w:rPr>
                <w:sz w:val="16"/>
                <w:szCs w:val="16"/>
              </w:rPr>
            </w:pPr>
            <w:r>
              <w:rPr>
                <w:sz w:val="16"/>
                <w:szCs w:val="16"/>
              </w:rPr>
              <w:t xml:space="preserve">Saldo běžného účtu platební bilance bylo tři roky kladné. </w:t>
            </w:r>
            <w:proofErr w:type="spellStart"/>
            <w:r>
              <w:rPr>
                <w:sz w:val="16"/>
                <w:szCs w:val="16"/>
              </w:rPr>
              <w:t>Příčíst</w:t>
            </w:r>
            <w:proofErr w:type="spellEnd"/>
            <w:r>
              <w:rPr>
                <w:sz w:val="16"/>
                <w:szCs w:val="16"/>
              </w:rPr>
              <w:t xml:space="preserve"> to lze rostoucímu přebytku obchodu se zbožím.</w:t>
            </w:r>
          </w:p>
        </w:tc>
        <w:tc>
          <w:tcPr>
            <w:tcW w:w="143" w:type="pct"/>
          </w:tcPr>
          <w:p w:rsidR="00C31190" w:rsidRPr="00ED61AD" w:rsidRDefault="00C31190" w:rsidP="00127FD1">
            <w:pPr>
              <w:pStyle w:val="Textpoznpodarou"/>
              <w:jc w:val="both"/>
            </w:pPr>
          </w:p>
        </w:tc>
        <w:tc>
          <w:tcPr>
            <w:tcW w:w="3803" w:type="pct"/>
            <w:gridSpan w:val="2"/>
          </w:tcPr>
          <w:p w:rsidR="00C31190" w:rsidRDefault="00C31190" w:rsidP="00127FD1">
            <w:pPr>
              <w:pStyle w:val="Textpoznpodarou"/>
              <w:jc w:val="both"/>
              <w:rPr>
                <w:sz w:val="16"/>
                <w:szCs w:val="16"/>
              </w:rPr>
            </w:pPr>
            <w:r>
              <w:t>Již třetím rokem bylo saldo běžného účtu platební bilance (PB) kladné, když v roce 2016 dosáhlo 52,6 mld. korun. Při pohledu na vývoj běžného účtu PB je patrné, že je takový stav výjimečný. Běžný účet byl v přebytku v roce 1993 a po letech v deficitu se nad nulu vrátil až v roce 2014, kdy kladné saldo činilo 7,9 mld. korun. Za změnou v dlouhodobém trendu jednoznačně stojí rostoucí přebytek obchodu se zbožím. Naopak obchod se službami dosahuje stabilních přebytků, které však nejsou dost vysoké na to, aby dlouhodobě výrazné deficity prvotních důchodů kompenzovaly. V roce 2016 dosáhl přebytek obchodu se zbožím 250,6</w:t>
            </w:r>
            <w:r>
              <w:rPr>
                <w:spacing w:val="-4"/>
              </w:rPr>
              <w:t> </w:t>
            </w:r>
            <w:r>
              <w:t>mld. korun a převýšil tak saldo z roku 2015 o 62,6 mld. korun a saldo z roku 2014 (do té doby nejvyšší) o 30,7 mld. korun. Obchod se službami v roce 2016 rovněž dosáhl nejvyššího přebytku v historii. Hodnota 101,1 mld. korun převýšila saldo z předchozího roku o 23,0 mld. korun.</w:t>
            </w:r>
          </w:p>
          <w:p w:rsidR="00C31190" w:rsidRPr="00EE3E74" w:rsidRDefault="00C31190" w:rsidP="00127FD1">
            <w:pPr>
              <w:pStyle w:val="Textpoznpodarou"/>
              <w:jc w:val="both"/>
              <w:rPr>
                <w:sz w:val="16"/>
                <w:szCs w:val="16"/>
              </w:rPr>
            </w:pPr>
          </w:p>
        </w:tc>
      </w:tr>
      <w:tr w:rsidR="00C31190" w:rsidRPr="00CE283F" w:rsidTr="00127FD1">
        <w:tc>
          <w:tcPr>
            <w:tcW w:w="1054" w:type="pct"/>
          </w:tcPr>
          <w:p w:rsidR="00C31190" w:rsidRPr="00CE283F" w:rsidRDefault="00C31190" w:rsidP="00127FD1">
            <w:pPr>
              <w:spacing w:line="240" w:lineRule="auto"/>
              <w:rPr>
                <w:szCs w:val="20"/>
              </w:rPr>
            </w:pPr>
          </w:p>
        </w:tc>
        <w:tc>
          <w:tcPr>
            <w:tcW w:w="143" w:type="pct"/>
          </w:tcPr>
          <w:p w:rsidR="00C31190" w:rsidRPr="00CE283F" w:rsidRDefault="00C31190" w:rsidP="00127FD1">
            <w:pPr>
              <w:pStyle w:val="Textpoznpodarou"/>
              <w:jc w:val="both"/>
            </w:pPr>
          </w:p>
        </w:tc>
        <w:tc>
          <w:tcPr>
            <w:tcW w:w="584" w:type="pct"/>
          </w:tcPr>
          <w:p w:rsidR="00C31190" w:rsidRPr="00CE283F" w:rsidRDefault="00C31190" w:rsidP="00127FD1">
            <w:pPr>
              <w:pStyle w:val="Textpoznpodarou"/>
              <w:jc w:val="both"/>
            </w:pPr>
            <w:r w:rsidRPr="00CE283F">
              <w:t>Graf 5.2.1</w:t>
            </w:r>
          </w:p>
        </w:tc>
        <w:tc>
          <w:tcPr>
            <w:tcW w:w="3219" w:type="pct"/>
          </w:tcPr>
          <w:p w:rsidR="00C31190" w:rsidRPr="00CE283F" w:rsidRDefault="00C31190" w:rsidP="00127FD1">
            <w:pPr>
              <w:pStyle w:val="Textpoznpodarou"/>
              <w:jc w:val="both"/>
            </w:pPr>
            <w:r w:rsidRPr="00CE283F">
              <w:rPr>
                <w:b/>
                <w:lang w:eastAsia="en-US"/>
              </w:rPr>
              <w:t>Saldo běžného účtu platební bilance</w:t>
            </w:r>
            <w:r w:rsidRPr="00CE283F">
              <w:rPr>
                <w:lang w:eastAsia="en-US"/>
              </w:rPr>
              <w:t xml:space="preserve"> (v mld. korun)</w:t>
            </w:r>
          </w:p>
        </w:tc>
      </w:tr>
      <w:tr w:rsidR="00C31190" w:rsidRPr="00ED61AD" w:rsidTr="00127FD1">
        <w:tc>
          <w:tcPr>
            <w:tcW w:w="1054" w:type="pct"/>
          </w:tcPr>
          <w:p w:rsidR="00C31190" w:rsidRPr="00ED61AD" w:rsidRDefault="00C31190" w:rsidP="00127FD1">
            <w:pPr>
              <w:spacing w:line="240" w:lineRule="auto"/>
              <w:rPr>
                <w:sz w:val="16"/>
                <w:szCs w:val="16"/>
              </w:rPr>
            </w:pPr>
          </w:p>
        </w:tc>
        <w:tc>
          <w:tcPr>
            <w:tcW w:w="143" w:type="pct"/>
          </w:tcPr>
          <w:p w:rsidR="00C31190" w:rsidRPr="00ED61AD" w:rsidRDefault="00C31190" w:rsidP="00127FD1">
            <w:pPr>
              <w:pStyle w:val="Textpoznpodarou"/>
              <w:jc w:val="both"/>
            </w:pPr>
          </w:p>
        </w:tc>
        <w:tc>
          <w:tcPr>
            <w:tcW w:w="3803" w:type="pct"/>
            <w:gridSpan w:val="2"/>
          </w:tcPr>
          <w:p w:rsidR="00C31190" w:rsidRDefault="00C31190" w:rsidP="00127FD1">
            <w:pPr>
              <w:pStyle w:val="Textpoznpodarou"/>
              <w:ind w:left="-91"/>
              <w:jc w:val="both"/>
            </w:pPr>
            <w:r w:rsidRPr="00B51E0B">
              <w:rPr>
                <w:noProof/>
              </w:rPr>
              <w:drawing>
                <wp:inline distT="0" distB="0" distL="0" distR="0">
                  <wp:extent cx="4733925" cy="3552825"/>
                  <wp:effectExtent l="0" t="0" r="0" b="0"/>
                  <wp:docPr id="3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31190" w:rsidRDefault="00C31190" w:rsidP="00127FD1">
            <w:pPr>
              <w:pStyle w:val="Textpoznpodarou"/>
              <w:ind w:left="-91"/>
              <w:jc w:val="right"/>
              <w:rPr>
                <w:sz w:val="14"/>
                <w:szCs w:val="14"/>
              </w:rPr>
            </w:pPr>
            <w:r w:rsidRPr="008E6AC1">
              <w:rPr>
                <w:sz w:val="14"/>
                <w:szCs w:val="14"/>
              </w:rPr>
              <w:t>Zdroj: ČNB</w:t>
            </w:r>
          </w:p>
          <w:p w:rsidR="00C31190" w:rsidRPr="008E6AC1" w:rsidRDefault="00C31190" w:rsidP="00127FD1">
            <w:pPr>
              <w:pStyle w:val="Textpoznpodarou"/>
              <w:ind w:left="-91"/>
              <w:jc w:val="right"/>
              <w:rPr>
                <w:sz w:val="14"/>
                <w:szCs w:val="14"/>
              </w:rPr>
            </w:pPr>
          </w:p>
        </w:tc>
      </w:tr>
      <w:tr w:rsidR="00C31190" w:rsidRPr="00ED61AD" w:rsidTr="00127FD1">
        <w:tc>
          <w:tcPr>
            <w:tcW w:w="1054" w:type="pct"/>
          </w:tcPr>
          <w:p w:rsidR="00C31190" w:rsidRPr="00ED61AD" w:rsidRDefault="00C31190" w:rsidP="00127FD1">
            <w:pPr>
              <w:spacing w:line="240" w:lineRule="auto"/>
              <w:rPr>
                <w:sz w:val="16"/>
                <w:szCs w:val="16"/>
              </w:rPr>
            </w:pPr>
            <w:r>
              <w:rPr>
                <w:sz w:val="16"/>
                <w:szCs w:val="16"/>
              </w:rPr>
              <w:t xml:space="preserve">Saldo prvotních důchodů je tradičně záporné. Čistý odliv tvoří především důchody z přímých </w:t>
            </w:r>
            <w:r>
              <w:rPr>
                <w:sz w:val="16"/>
                <w:szCs w:val="16"/>
              </w:rPr>
              <w:lastRenderedPageBreak/>
              <w:t>investic.</w:t>
            </w:r>
          </w:p>
        </w:tc>
        <w:tc>
          <w:tcPr>
            <w:tcW w:w="143" w:type="pct"/>
          </w:tcPr>
          <w:p w:rsidR="00C31190" w:rsidRPr="00ED61AD" w:rsidRDefault="00C31190" w:rsidP="00127FD1">
            <w:pPr>
              <w:pStyle w:val="Textpoznpodarou"/>
              <w:jc w:val="both"/>
            </w:pPr>
          </w:p>
        </w:tc>
        <w:tc>
          <w:tcPr>
            <w:tcW w:w="3803" w:type="pct"/>
            <w:gridSpan w:val="2"/>
          </w:tcPr>
          <w:p w:rsidR="00C31190" w:rsidRDefault="00C31190" w:rsidP="00127FD1">
            <w:pPr>
              <w:pStyle w:val="Textpoznpodarou"/>
              <w:jc w:val="both"/>
              <w:rPr>
                <w:sz w:val="16"/>
                <w:szCs w:val="16"/>
              </w:rPr>
            </w:pPr>
            <w:r>
              <w:t xml:space="preserve">Pravidelný čistý odliv prvotních důchodů do zahraničí v průběhu posledních let dosahoval stabilně přes 250 mld. korun a každý rok se zvyšoval. V roce 2016 to bylo 271,8 mld. korun. Největší část tohoto odlivu tvoří důchody z přímých </w:t>
            </w:r>
            <w:r>
              <w:lastRenderedPageBreak/>
              <w:t>investic, jejichž záporné saldo se pravidelně prohlubovalo a v roce 2016 dosáhlo 344,3 mld. korun. V posledních sedmi letech k deficitu stabilně přispívaly i</w:t>
            </w:r>
            <w:r>
              <w:rPr>
                <w:spacing w:val="-4"/>
              </w:rPr>
              <w:t> </w:t>
            </w:r>
            <w:r>
              <w:t>důchody z portfoliových investic (19,0 mld. v roce 2016). Ve směru přebytku působily náhrady zaměstnancům (35,0 mld. korun v roce 2016), jejichž kladné saldo v posledních čtyřech letech rostlo, přesto ani zdaleka nemohlo převýšit odliv investičních zisků.</w:t>
            </w:r>
          </w:p>
          <w:p w:rsidR="00C31190" w:rsidRPr="008D1CB1" w:rsidRDefault="00C31190" w:rsidP="00127FD1">
            <w:pPr>
              <w:pStyle w:val="Textpoznpodarou"/>
              <w:jc w:val="both"/>
              <w:rPr>
                <w:sz w:val="16"/>
                <w:szCs w:val="16"/>
              </w:rPr>
            </w:pPr>
          </w:p>
        </w:tc>
      </w:tr>
      <w:tr w:rsidR="00C31190" w:rsidRPr="00ED61AD" w:rsidTr="00127FD1">
        <w:tc>
          <w:tcPr>
            <w:tcW w:w="1054" w:type="pct"/>
          </w:tcPr>
          <w:p w:rsidR="00C31190" w:rsidRPr="00ED61AD" w:rsidRDefault="00C31190" w:rsidP="00127FD1">
            <w:pPr>
              <w:spacing w:line="240" w:lineRule="auto"/>
              <w:rPr>
                <w:sz w:val="16"/>
                <w:szCs w:val="16"/>
              </w:rPr>
            </w:pPr>
            <w:r>
              <w:rPr>
                <w:sz w:val="16"/>
                <w:szCs w:val="16"/>
              </w:rPr>
              <w:lastRenderedPageBreak/>
              <w:t>Finanční účet platební bilance byl v přebytku od roku 2012. Veškeré faktory působící deficitně byly převáženy nárůstem rezervních aktiv.</w:t>
            </w:r>
          </w:p>
        </w:tc>
        <w:tc>
          <w:tcPr>
            <w:tcW w:w="143" w:type="pct"/>
          </w:tcPr>
          <w:p w:rsidR="00C31190" w:rsidRPr="00ED61AD" w:rsidRDefault="00C31190" w:rsidP="00127FD1">
            <w:pPr>
              <w:pStyle w:val="Textpoznpodarou"/>
              <w:jc w:val="both"/>
            </w:pPr>
          </w:p>
        </w:tc>
        <w:tc>
          <w:tcPr>
            <w:tcW w:w="3803" w:type="pct"/>
            <w:gridSpan w:val="2"/>
          </w:tcPr>
          <w:p w:rsidR="00C31190" w:rsidRPr="0055420D" w:rsidRDefault="00C31190" w:rsidP="00127FD1">
            <w:pPr>
              <w:pStyle w:val="Textpoznpodarou"/>
              <w:jc w:val="both"/>
              <w:rPr>
                <w:spacing w:val="-3"/>
                <w:sz w:val="16"/>
                <w:szCs w:val="16"/>
              </w:rPr>
            </w:pPr>
            <w:r w:rsidRPr="0055420D">
              <w:rPr>
                <w:spacing w:val="-3"/>
              </w:rPr>
              <w:t>Na stavu finančního účtu platební bilance se v posledních letech výrazně podepisovala politika kurzových intervencí. Finanční účet je od roku 2012 v přebytku, který se až do roku 2016 zvyšoval. V loňském roce dosáhlo kladné saldo toků na finančním účtu 117,7 mld. korun a oproti roku 2015 se snížilo o 58,1 mld. korun. Deficitně působil prakticky stejnou silou čistý příliv přímých (141,0 mld. korun), portfoliových (169,5 mld. korun) i ostatních investic (146,6 mld. korun). Tyto faktory však byly výrazně převýšeny nárůstem rezervních aktiv o 563 mld. korun. Rezervní aktiva zaznamenala výrazný nárůst již v předchozím roce, když zrychlení ekonomiky vyžadovalo operace na devizovém trhu, které by udržely kurz koruny nad hranicí 27 CZK/EUR. Tehdy byl nárůst roven 351,3 mld. korun.</w:t>
            </w:r>
          </w:p>
          <w:p w:rsidR="00C31190" w:rsidRPr="006D55D2" w:rsidRDefault="00C31190" w:rsidP="00127FD1">
            <w:pPr>
              <w:pStyle w:val="Textpoznpodarou"/>
              <w:jc w:val="both"/>
              <w:rPr>
                <w:sz w:val="16"/>
                <w:szCs w:val="16"/>
              </w:rPr>
            </w:pPr>
          </w:p>
        </w:tc>
      </w:tr>
      <w:tr w:rsidR="00C31190" w:rsidRPr="00ED61AD" w:rsidTr="00127FD1">
        <w:tc>
          <w:tcPr>
            <w:tcW w:w="1054" w:type="pct"/>
          </w:tcPr>
          <w:p w:rsidR="00C31190" w:rsidRPr="00ED61AD" w:rsidRDefault="00C31190" w:rsidP="00127FD1">
            <w:pPr>
              <w:spacing w:line="240" w:lineRule="auto"/>
              <w:rPr>
                <w:sz w:val="16"/>
                <w:szCs w:val="16"/>
              </w:rPr>
            </w:pPr>
            <w:r>
              <w:rPr>
                <w:sz w:val="16"/>
                <w:szCs w:val="16"/>
              </w:rPr>
              <w:t>V roce 2016 došlo k velkému přílivu portfoliových investic prostřednictvím nákupů dluhových cenných papírů.</w:t>
            </w:r>
          </w:p>
        </w:tc>
        <w:tc>
          <w:tcPr>
            <w:tcW w:w="143" w:type="pct"/>
          </w:tcPr>
          <w:p w:rsidR="00C31190" w:rsidRPr="00ED61AD" w:rsidRDefault="00C31190" w:rsidP="00127FD1">
            <w:pPr>
              <w:pStyle w:val="Textpoznpodarou"/>
              <w:jc w:val="both"/>
            </w:pPr>
          </w:p>
        </w:tc>
        <w:tc>
          <w:tcPr>
            <w:tcW w:w="3803" w:type="pct"/>
            <w:gridSpan w:val="2"/>
          </w:tcPr>
          <w:p w:rsidR="00C31190" w:rsidRDefault="00C31190" w:rsidP="00127FD1">
            <w:pPr>
              <w:pStyle w:val="Textpoznpodarou"/>
              <w:tabs>
                <w:tab w:val="center" w:pos="3639"/>
              </w:tabs>
              <w:jc w:val="both"/>
              <w:rPr>
                <w:sz w:val="16"/>
                <w:szCs w:val="16"/>
              </w:rPr>
            </w:pPr>
            <w:r>
              <w:t>Zdrojem p</w:t>
            </w:r>
            <w:r w:rsidRPr="005F2389">
              <w:t>říliv</w:t>
            </w:r>
            <w:r>
              <w:t>u</w:t>
            </w:r>
            <w:r w:rsidRPr="005F2389">
              <w:t xml:space="preserve"> přímých investic v roce 2016 byl</w:t>
            </w:r>
            <w:r>
              <w:t>y</w:t>
            </w:r>
            <w:r w:rsidRPr="005F2389">
              <w:t xml:space="preserve"> </w:t>
            </w:r>
            <w:r>
              <w:t>zčásti reinvestice zisků na straně pasiv ve výši 113,1 mld. korun, důležitý byl i nárůst objemu dluhových nástrojů na straně pasiv ve výši 64,6 mld. korun a současné redukce na aktivní straně o 33,2 mld. korun (poprvé za dostupnou datovou řadu). Příliv portfoliových investic byl z největší část tvořen nákupy dluhových cenných papírů (celkem za 181,7 mld. korun, z toho vládní dluhopisy tvořily 121,7 mld. korun).</w:t>
            </w:r>
          </w:p>
          <w:p w:rsidR="00C31190" w:rsidRPr="008E6AC1" w:rsidRDefault="00C31190" w:rsidP="00127FD1">
            <w:pPr>
              <w:pStyle w:val="Textpoznpodarou"/>
              <w:tabs>
                <w:tab w:val="center" w:pos="3639"/>
              </w:tabs>
              <w:jc w:val="both"/>
              <w:rPr>
                <w:sz w:val="16"/>
                <w:szCs w:val="16"/>
              </w:rPr>
            </w:pPr>
          </w:p>
        </w:tc>
      </w:tr>
    </w:tbl>
    <w:p w:rsidR="00C31190" w:rsidRPr="002139F8" w:rsidRDefault="00C31190" w:rsidP="00C31190">
      <w:pPr>
        <w:pStyle w:val="Nadpis2"/>
        <w:rPr>
          <w:szCs w:val="28"/>
        </w:rPr>
      </w:pPr>
      <w:bookmarkStart w:id="3" w:name="_Toc492470825"/>
      <w:r>
        <w:rPr>
          <w:szCs w:val="28"/>
        </w:rPr>
        <w:t>5</w:t>
      </w:r>
      <w:r w:rsidRPr="002139F8">
        <w:rPr>
          <w:szCs w:val="28"/>
        </w:rPr>
        <w:t xml:space="preserve">.3. </w:t>
      </w:r>
      <w:r>
        <w:rPr>
          <w:szCs w:val="28"/>
        </w:rPr>
        <w:t>Investiční pozice a zahraniční dluh</w:t>
      </w:r>
      <w:bookmarkEnd w:id="3"/>
    </w:p>
    <w:tbl>
      <w:tblPr>
        <w:tblW w:w="5000" w:type="pct"/>
        <w:tblLayout w:type="fixed"/>
        <w:tblLook w:val="00A0"/>
      </w:tblPr>
      <w:tblGrid>
        <w:gridCol w:w="2077"/>
        <w:gridCol w:w="282"/>
        <w:gridCol w:w="7495"/>
      </w:tblGrid>
      <w:tr w:rsidR="00C31190" w:rsidRPr="00ED61AD" w:rsidTr="00127FD1">
        <w:tc>
          <w:tcPr>
            <w:tcW w:w="1054" w:type="pct"/>
          </w:tcPr>
          <w:p w:rsidR="00C31190" w:rsidRPr="00ED61AD" w:rsidRDefault="00C31190" w:rsidP="00127FD1">
            <w:pPr>
              <w:spacing w:line="240" w:lineRule="auto"/>
              <w:rPr>
                <w:sz w:val="16"/>
                <w:szCs w:val="16"/>
              </w:rPr>
            </w:pPr>
            <w:r>
              <w:rPr>
                <w:sz w:val="16"/>
                <w:szCs w:val="16"/>
              </w:rPr>
              <w:t xml:space="preserve">Investiční pozice ČR vůči zahraničí dosáhla v roce 2016 schodku. </w:t>
            </w:r>
          </w:p>
        </w:tc>
        <w:tc>
          <w:tcPr>
            <w:tcW w:w="143" w:type="pct"/>
          </w:tcPr>
          <w:p w:rsidR="00C31190" w:rsidRPr="00ED61AD" w:rsidRDefault="00C31190" w:rsidP="00127FD1">
            <w:pPr>
              <w:pStyle w:val="Textpoznpodarou"/>
              <w:jc w:val="both"/>
            </w:pPr>
          </w:p>
        </w:tc>
        <w:tc>
          <w:tcPr>
            <w:tcW w:w="3803" w:type="pct"/>
          </w:tcPr>
          <w:p w:rsidR="00C31190" w:rsidRDefault="00C31190" w:rsidP="00127FD1">
            <w:pPr>
              <w:pStyle w:val="Textpoznpodarou"/>
              <w:jc w:val="both"/>
              <w:rPr>
                <w:sz w:val="16"/>
                <w:szCs w:val="16"/>
              </w:rPr>
            </w:pPr>
            <w:r>
              <w:t>Schodek investiční pozice České republiky k 31. 12. 2016 činil 1 175,5 mld. korun. Od roku 2012, kdy tento schodek dosáhl své nejvyšší hodnoty (1 864,1 mld. korun), se jeho hodnota snižuje, především kvůli nárůstu objemu rezervních aktiv (od roku 2012 o 1 342,7 mld.). Minoritně působí i kladné saldo účastí a podílů v investičních fondech (212,4 mld. korun v roce 2016). Bez nárůstu rezervních aktiv by se schodek investiční pozice prohluboval – jeho nejvýznamnějším zdrojem jsou akcie a ostatní účasti, jejichž záporné saldo se každým rokem zvyšuje a loni dosáhlo 2 320,0 mld. korun. Prohlubuje se i deficit v položce dluhových papírů.</w:t>
            </w:r>
          </w:p>
          <w:p w:rsidR="00C31190" w:rsidRPr="006E558A" w:rsidRDefault="00C31190" w:rsidP="00127FD1">
            <w:pPr>
              <w:pStyle w:val="Textpoznpodarou"/>
              <w:jc w:val="both"/>
              <w:rPr>
                <w:sz w:val="16"/>
                <w:szCs w:val="16"/>
              </w:rPr>
            </w:pPr>
          </w:p>
        </w:tc>
      </w:tr>
      <w:tr w:rsidR="00C31190" w:rsidRPr="00ED61AD" w:rsidTr="00127FD1">
        <w:tc>
          <w:tcPr>
            <w:tcW w:w="1054" w:type="pct"/>
          </w:tcPr>
          <w:p w:rsidR="00C31190" w:rsidRPr="00ED61AD" w:rsidRDefault="00C31190" w:rsidP="00127FD1">
            <w:pPr>
              <w:spacing w:line="240" w:lineRule="auto"/>
              <w:rPr>
                <w:sz w:val="16"/>
                <w:szCs w:val="16"/>
              </w:rPr>
            </w:pPr>
            <w:r>
              <w:rPr>
                <w:sz w:val="16"/>
                <w:szCs w:val="16"/>
              </w:rPr>
              <w:t>Zahraniční dluh ČR meziročně vzrostl.</w:t>
            </w:r>
          </w:p>
        </w:tc>
        <w:tc>
          <w:tcPr>
            <w:tcW w:w="143" w:type="pct"/>
          </w:tcPr>
          <w:p w:rsidR="00C31190" w:rsidRPr="00ED61AD" w:rsidRDefault="00C31190" w:rsidP="00127FD1">
            <w:pPr>
              <w:pStyle w:val="Textpoznpodarou"/>
              <w:jc w:val="both"/>
            </w:pPr>
          </w:p>
        </w:tc>
        <w:tc>
          <w:tcPr>
            <w:tcW w:w="3803" w:type="pct"/>
          </w:tcPr>
          <w:p w:rsidR="00C31190" w:rsidRDefault="00C31190" w:rsidP="00127FD1">
            <w:pPr>
              <w:pStyle w:val="Textpoznpodarou"/>
              <w:jc w:val="both"/>
              <w:rPr>
                <w:sz w:val="16"/>
                <w:szCs w:val="16"/>
              </w:rPr>
            </w:pPr>
            <w:r>
              <w:t>Celkový zahraniční dluh ČR ke konci roku 2016 činil 3 528,1 mld. korun. Na nárůstu dluhu v roce 2016 se podílely především instituce přijímající vklady, kromě centrální banky (+249,7 mld. korun) a vládní instituce (+85,1 mld.), v menší míře centrální banka (+30,8 mld. korun). Ostatní sektory v ekonomice svůj zahraniční dluh snížily o 33,2 mld. korun, k poklesu jejich dluhu o 127,5 mld. korun však došlo už v roce 2015.</w:t>
            </w:r>
          </w:p>
          <w:p w:rsidR="00C31190" w:rsidRPr="00853620" w:rsidRDefault="00C31190" w:rsidP="00127FD1">
            <w:pPr>
              <w:pStyle w:val="Textpoznpodarou"/>
              <w:jc w:val="both"/>
              <w:rPr>
                <w:sz w:val="16"/>
                <w:szCs w:val="16"/>
              </w:rPr>
            </w:pPr>
          </w:p>
        </w:tc>
      </w:tr>
      <w:tr w:rsidR="00C31190" w:rsidRPr="00ED61AD" w:rsidTr="00127FD1">
        <w:tc>
          <w:tcPr>
            <w:tcW w:w="1054" w:type="pct"/>
          </w:tcPr>
          <w:p w:rsidR="00C31190" w:rsidRDefault="00C31190" w:rsidP="00127FD1">
            <w:pPr>
              <w:spacing w:line="240" w:lineRule="auto"/>
              <w:rPr>
                <w:sz w:val="16"/>
                <w:szCs w:val="16"/>
              </w:rPr>
            </w:pPr>
            <w:r>
              <w:rPr>
                <w:sz w:val="16"/>
                <w:szCs w:val="16"/>
              </w:rPr>
              <w:t>Podílely se na tom hlavně instituce přijímající vklady, které zvýšily svůj zahraniční dluh prostřednictvím oběživa a vkladů…</w:t>
            </w:r>
          </w:p>
        </w:tc>
        <w:tc>
          <w:tcPr>
            <w:tcW w:w="143" w:type="pct"/>
          </w:tcPr>
          <w:p w:rsidR="00C31190" w:rsidRPr="00ED61AD" w:rsidRDefault="00C31190" w:rsidP="00127FD1">
            <w:pPr>
              <w:pStyle w:val="Textpoznpodarou"/>
              <w:jc w:val="both"/>
            </w:pPr>
          </w:p>
        </w:tc>
        <w:tc>
          <w:tcPr>
            <w:tcW w:w="3803" w:type="pct"/>
          </w:tcPr>
          <w:p w:rsidR="00C31190" w:rsidRDefault="00C31190" w:rsidP="00127FD1">
            <w:pPr>
              <w:pStyle w:val="Textpoznpodarou"/>
              <w:jc w:val="both"/>
              <w:rPr>
                <w:sz w:val="16"/>
                <w:szCs w:val="16"/>
              </w:rPr>
            </w:pPr>
            <w:r>
              <w:t>V porovnání s rokem 2015 vzrostla v roce 2016 zadluženost institucí přijímajících vklady (dosáhla 1 097,0 mld. korun ke konci roku). Nárůst činil 249,7 mld. korun a</w:t>
            </w:r>
            <w:r>
              <w:rPr>
                <w:spacing w:val="-4"/>
              </w:rPr>
              <w:t> </w:t>
            </w:r>
            <w:r>
              <w:t>v jejich případě rostla výhradně krátkodobá zadluženost. V roce 2016 rostla celková krátkodobá zadluženost tohoto sektoru prostřednictvím oběživa a vkladů, již o rok dříve se skokově zvýšila hodnota dluhu v krátkodobých dluhopisech. Podíl institucí přijímajících vklady na zahraničním dluhu se zvýšil z 26,5 % v roce 2015 na 31,1 % v loňském roce.</w:t>
            </w:r>
          </w:p>
          <w:p w:rsidR="00C31190" w:rsidRPr="00A9021E" w:rsidRDefault="00C31190" w:rsidP="00127FD1">
            <w:pPr>
              <w:pStyle w:val="Textpoznpodarou"/>
              <w:jc w:val="both"/>
              <w:rPr>
                <w:sz w:val="16"/>
                <w:szCs w:val="16"/>
              </w:rPr>
            </w:pPr>
          </w:p>
        </w:tc>
      </w:tr>
      <w:tr w:rsidR="00C31190" w:rsidRPr="00ED61AD" w:rsidTr="00127FD1">
        <w:tc>
          <w:tcPr>
            <w:tcW w:w="1054" w:type="pct"/>
          </w:tcPr>
          <w:p w:rsidR="00C31190" w:rsidRDefault="00C31190" w:rsidP="00127FD1">
            <w:pPr>
              <w:spacing w:line="240" w:lineRule="auto"/>
              <w:rPr>
                <w:sz w:val="16"/>
                <w:szCs w:val="16"/>
              </w:rPr>
            </w:pPr>
            <w:r>
              <w:rPr>
                <w:sz w:val="16"/>
                <w:szCs w:val="16"/>
              </w:rPr>
              <w:t>… a vládní instituce, které vydávaly dlouhodobé dluhopisové cenné papíry.</w:t>
            </w:r>
          </w:p>
        </w:tc>
        <w:tc>
          <w:tcPr>
            <w:tcW w:w="143" w:type="pct"/>
          </w:tcPr>
          <w:p w:rsidR="00C31190" w:rsidRPr="00ED61AD" w:rsidRDefault="00C31190" w:rsidP="00127FD1">
            <w:pPr>
              <w:pStyle w:val="Textpoznpodarou"/>
              <w:jc w:val="both"/>
            </w:pPr>
          </w:p>
        </w:tc>
        <w:tc>
          <w:tcPr>
            <w:tcW w:w="3803" w:type="pct"/>
          </w:tcPr>
          <w:p w:rsidR="00C31190" w:rsidRDefault="00C31190" w:rsidP="00127FD1">
            <w:pPr>
              <w:pStyle w:val="Textpoznpodarou"/>
              <w:jc w:val="both"/>
              <w:rPr>
                <w:sz w:val="16"/>
                <w:szCs w:val="16"/>
              </w:rPr>
            </w:pPr>
            <w:r>
              <w:t xml:space="preserve">Zahraniční zadluženost vládních institucí činila 866,6 mld. korun a převážně měla dlouhodobou povahu. Na celkovém zahraničním dluhu měl vládní sektor podíl 24,6 %. Ten se od roku 2006 zvýšil o 6,7 </w:t>
            </w:r>
            <w:proofErr w:type="spellStart"/>
            <w:proofErr w:type="gramStart"/>
            <w:r>
              <w:t>p.b</w:t>
            </w:r>
            <w:proofErr w:type="spellEnd"/>
            <w:r>
              <w:t>.</w:t>
            </w:r>
            <w:proofErr w:type="gramEnd"/>
            <w:r>
              <w:t xml:space="preserve"> Přitom mezi lety 2014 a 2016 došlo k jeho nárůstu o 2,9 </w:t>
            </w:r>
            <w:proofErr w:type="spellStart"/>
            <w:proofErr w:type="gramStart"/>
            <w:r>
              <w:t>p.b</w:t>
            </w:r>
            <w:proofErr w:type="spellEnd"/>
            <w:r>
              <w:t>.</w:t>
            </w:r>
            <w:proofErr w:type="gramEnd"/>
            <w:r>
              <w:t xml:space="preserve"> Výrazně v uvedeném období narostl dlouhodobý zahraniční dluh. Ze složení podle instrumentů je patrné, že k tomu došlo prostřednictvím dlouhodobých dluhových cenných papírů. Hodnota krátkodobých dluhových cenných papírů v zahraničním dluhu přitom poklesla. Lze za tím vidět snahu vládních institucí využít mimořádně nízké výnosy, kterých v roce 2016 dosahovaly české vládní dluhopisy, částečně se projevily spekulativní nákupy před očekávaným ukončením kurzových intervencí.</w:t>
            </w:r>
          </w:p>
          <w:p w:rsidR="00C31190" w:rsidRPr="00853620" w:rsidRDefault="00C31190" w:rsidP="00127FD1">
            <w:pPr>
              <w:pStyle w:val="Textpoznpodarou"/>
              <w:jc w:val="both"/>
              <w:rPr>
                <w:sz w:val="16"/>
                <w:szCs w:val="16"/>
              </w:rPr>
            </w:pPr>
          </w:p>
        </w:tc>
      </w:tr>
    </w:tbl>
    <w:p w:rsidR="00C31190" w:rsidRPr="003C3694" w:rsidRDefault="00C31190" w:rsidP="00C31190">
      <w:pPr>
        <w:rPr>
          <w:sz w:val="2"/>
          <w:szCs w:val="2"/>
        </w:rPr>
      </w:pPr>
    </w:p>
    <w:sectPr w:rsidR="00C31190" w:rsidRPr="003C3694" w:rsidSect="0044391B">
      <w:headerReference w:type="even" r:id="rId11"/>
      <w:headerReference w:type="default" r:id="rId12"/>
      <w:footerReference w:type="even" r:id="rId13"/>
      <w:footerReference w:type="default" r:id="rId14"/>
      <w:pgSz w:w="11906" w:h="16838" w:code="9"/>
      <w:pgMar w:top="1134" w:right="1134" w:bottom="1418" w:left="1134" w:header="680" w:footer="680" w:gutter="0"/>
      <w:pgNumType w:start="2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C11" w:rsidRDefault="00A17C11" w:rsidP="00E71A58">
      <w:r>
        <w:separator/>
      </w:r>
    </w:p>
  </w:endnote>
  <w:endnote w:type="continuationSeparator" w:id="0">
    <w:p w:rsidR="00A17C11" w:rsidRDefault="00A17C11"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0B9" w:rsidRDefault="003E00B9" w:rsidP="00357449">
    <w:pPr>
      <w:pStyle w:val="Zpat"/>
      <w:tabs>
        <w:tab w:val="clear" w:pos="4536"/>
        <w:tab w:val="clear" w:pos="9072"/>
        <w:tab w:val="center" w:pos="4820"/>
        <w:tab w:val="right" w:pos="9639"/>
      </w:tabs>
    </w:pPr>
    <w:r>
      <w:rPr>
        <w:noProof/>
        <w:lang w:eastAsia="cs-CZ"/>
      </w:rPr>
      <w:drawing>
        <wp:anchor distT="0" distB="0" distL="114300" distR="114300" simplePos="0" relativeHeight="251657728" behindDoc="0" locked="0" layoutInCell="1" allowOverlap="1">
          <wp:simplePos x="0" y="0"/>
          <wp:positionH relativeFrom="column">
            <wp:posOffset>5660390</wp:posOffset>
          </wp:positionH>
          <wp:positionV relativeFrom="paragraph">
            <wp:posOffset>-52070</wp:posOffset>
          </wp:positionV>
          <wp:extent cx="466725" cy="219075"/>
          <wp:effectExtent l="19050" t="0" r="9525" b="0"/>
          <wp:wrapNone/>
          <wp:docPr id="2"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srcRect/>
                  <a:stretch>
                    <a:fillRect/>
                  </a:stretch>
                </pic:blipFill>
                <pic:spPr bwMode="auto">
                  <a:xfrm>
                    <a:off x="0" y="0"/>
                    <a:ext cx="466725" cy="219075"/>
                  </a:xfrm>
                  <a:prstGeom prst="rect">
                    <a:avLst/>
                  </a:prstGeom>
                  <a:noFill/>
                </pic:spPr>
              </pic:pic>
            </a:graphicData>
          </a:graphic>
        </wp:anchor>
      </w:drawing>
    </w:r>
    <w:r w:rsidR="00597897" w:rsidRPr="005A21E0">
      <w:rPr>
        <w:rFonts w:ascii="Arial" w:hAnsi="Arial" w:cs="Arial"/>
        <w:sz w:val="16"/>
        <w:szCs w:val="16"/>
      </w:rPr>
      <w:fldChar w:fldCharType="begin"/>
    </w:r>
    <w:r w:rsidRPr="005A21E0">
      <w:rPr>
        <w:rFonts w:ascii="Arial" w:hAnsi="Arial" w:cs="Arial"/>
        <w:sz w:val="16"/>
        <w:szCs w:val="16"/>
      </w:rPr>
      <w:instrText>PAGE   \* MERGEFORMAT</w:instrText>
    </w:r>
    <w:r w:rsidR="00597897" w:rsidRPr="005A21E0">
      <w:rPr>
        <w:rFonts w:ascii="Arial" w:hAnsi="Arial" w:cs="Arial"/>
        <w:sz w:val="16"/>
        <w:szCs w:val="16"/>
      </w:rPr>
      <w:fldChar w:fldCharType="separate"/>
    </w:r>
    <w:r w:rsidR="0044391B">
      <w:rPr>
        <w:rFonts w:ascii="Arial" w:hAnsi="Arial" w:cs="Arial"/>
        <w:noProof/>
        <w:sz w:val="16"/>
        <w:szCs w:val="16"/>
      </w:rPr>
      <w:t>26</w:t>
    </w:r>
    <w:r w:rsidR="00597897" w:rsidRPr="005A21E0">
      <w:rPr>
        <w:rFonts w:ascii="Arial" w:hAnsi="Arial" w:cs="Arial"/>
        <w:sz w:val="16"/>
        <w:szCs w:val="16"/>
      </w:rPr>
      <w:fldChar w:fldCharType="end"/>
    </w:r>
    <w:r>
      <w:rPr>
        <w:rFonts w:ascii="Arial" w:hAnsi="Arial" w:cs="Arial"/>
        <w:sz w:val="16"/>
        <w:szCs w:val="16"/>
      </w:rPr>
      <w:tab/>
      <w:t>2017</w:t>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0B9" w:rsidRDefault="003E00B9" w:rsidP="00357449">
    <w:pPr>
      <w:pStyle w:val="Zpat"/>
      <w:tabs>
        <w:tab w:val="clear" w:pos="4536"/>
        <w:tab w:val="clear" w:pos="9072"/>
        <w:tab w:val="left" w:pos="1134"/>
        <w:tab w:val="left" w:pos="1920"/>
        <w:tab w:val="center" w:pos="4820"/>
        <w:tab w:val="right" w:pos="9639"/>
      </w:tabs>
    </w:pPr>
    <w:r>
      <w:rPr>
        <w:noProof/>
        <w:lang w:eastAsia="cs-CZ"/>
      </w:rPr>
      <w:drawing>
        <wp:anchor distT="0" distB="0" distL="114300" distR="114300" simplePos="0" relativeHeight="251658752" behindDoc="0" locked="0" layoutInCell="1" allowOverlap="1">
          <wp:simplePos x="0" y="0"/>
          <wp:positionH relativeFrom="column">
            <wp:posOffset>3810</wp:posOffset>
          </wp:positionH>
          <wp:positionV relativeFrom="paragraph">
            <wp:posOffset>90170</wp:posOffset>
          </wp:positionV>
          <wp:extent cx="495300" cy="266700"/>
          <wp:effectExtent l="19050" t="0" r="0" b="0"/>
          <wp:wrapNone/>
          <wp:docPr id="3" name="obrázek 3"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3"/>
                  <pic:cNvPicPr>
                    <a:picLocks noChangeAspect="1" noChangeArrowheads="1"/>
                  </pic:cNvPicPr>
                </pic:nvPicPr>
                <pic:blipFill>
                  <a:blip r:embed="rId1"/>
                  <a:srcRect/>
                  <a:stretch>
                    <a:fillRect/>
                  </a:stretch>
                </pic:blipFill>
                <pic:spPr bwMode="auto">
                  <a:xfrm>
                    <a:off x="0" y="0"/>
                    <a:ext cx="495300" cy="266700"/>
                  </a:xfrm>
                  <a:prstGeom prst="rect">
                    <a:avLst/>
                  </a:prstGeom>
                  <a:noFill/>
                </pic:spPr>
              </pic:pic>
            </a:graphicData>
          </a:graphic>
        </wp:anchor>
      </w:drawing>
    </w:r>
    <w:r>
      <w:tab/>
    </w:r>
    <w:r>
      <w:tab/>
    </w:r>
    <w:r w:rsidRPr="00DC5B3B">
      <w:t xml:space="preserve">                              </w:t>
    </w:r>
  </w:p>
  <w:p w:rsidR="003E00B9" w:rsidRPr="00223E00" w:rsidRDefault="003E00B9"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2017</w:t>
    </w:r>
    <w:r>
      <w:rPr>
        <w:rFonts w:ascii="Arial" w:hAnsi="Arial" w:cs="Arial"/>
        <w:sz w:val="16"/>
        <w:szCs w:val="16"/>
      </w:rPr>
      <w:tab/>
    </w:r>
    <w:r w:rsidR="00597897"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00597897" w:rsidRPr="00223E00">
      <w:rPr>
        <w:rFonts w:ascii="Arial" w:hAnsi="Arial" w:cs="Arial"/>
        <w:sz w:val="16"/>
        <w:szCs w:val="16"/>
      </w:rPr>
      <w:fldChar w:fldCharType="separate"/>
    </w:r>
    <w:r w:rsidR="0044391B">
      <w:rPr>
        <w:rFonts w:ascii="Arial" w:hAnsi="Arial" w:cs="Arial"/>
        <w:noProof/>
        <w:sz w:val="16"/>
        <w:szCs w:val="16"/>
      </w:rPr>
      <w:t>27</w:t>
    </w:r>
    <w:r w:rsidR="00597897" w:rsidRPr="00223E00">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C11" w:rsidRDefault="00A17C11" w:rsidP="00E71A58">
      <w:r>
        <w:separator/>
      </w:r>
    </w:p>
  </w:footnote>
  <w:footnote w:type="continuationSeparator" w:id="0">
    <w:p w:rsidR="00A17C11" w:rsidRDefault="00A17C11" w:rsidP="00E71A58">
      <w:r>
        <w:continuationSeparator/>
      </w:r>
    </w:p>
  </w:footnote>
  <w:footnote w:id="1">
    <w:p w:rsidR="003E00B9" w:rsidRDefault="003E00B9" w:rsidP="00C31190">
      <w:pPr>
        <w:pStyle w:val="Textpoznpodarou"/>
      </w:pPr>
      <w:r>
        <w:rPr>
          <w:rStyle w:val="Znakapoznpodarou"/>
        </w:rPr>
        <w:footnoteRef/>
      </w:r>
      <w:r>
        <w:t xml:space="preserve"> </w:t>
      </w:r>
      <w:r w:rsidRPr="008C286A">
        <w:rPr>
          <w:sz w:val="16"/>
          <w:szCs w:val="16"/>
        </w:rPr>
        <w:t xml:space="preserve">Není-li uvedeno jinak, hodnoty uvedené v textu </w:t>
      </w:r>
      <w:r>
        <w:rPr>
          <w:sz w:val="16"/>
          <w:szCs w:val="16"/>
        </w:rPr>
        <w:t xml:space="preserve">jsou v </w:t>
      </w:r>
      <w:r w:rsidRPr="003279A7">
        <w:rPr>
          <w:sz w:val="16"/>
          <w:szCs w:val="16"/>
        </w:rPr>
        <w:t>národním pojetí v nominálním vyjádření zahrnující pouze obchod se zbožím. Hodnota vývozu je zachycena v cenách FOB, tj. včetně nákladů souvisejících s dopravou na hranice ČR. Dovoz je v cenách CIF, tj. včetně nákladů souvisejících s dopravou v zahraničí na hranice ČR</w:t>
      </w:r>
      <w:r>
        <w:rPr>
          <w:sz w:val="16"/>
          <w:szCs w:val="16"/>
        </w:rPr>
        <w:t>.</w:t>
      </w:r>
    </w:p>
  </w:footnote>
  <w:footnote w:id="2">
    <w:p w:rsidR="003E00B9" w:rsidRPr="00EA3282" w:rsidRDefault="003E00B9" w:rsidP="00C31190">
      <w:pPr>
        <w:pStyle w:val="Textpoznpodarou"/>
        <w:rPr>
          <w:sz w:val="16"/>
          <w:szCs w:val="16"/>
        </w:rPr>
      </w:pPr>
      <w:r>
        <w:rPr>
          <w:rStyle w:val="Znakapoznpodarou"/>
        </w:rPr>
        <w:footnoteRef/>
      </w:r>
      <w:r>
        <w:t xml:space="preserve"> </w:t>
      </w:r>
      <w:proofErr w:type="spellStart"/>
      <w:r w:rsidRPr="00505468">
        <w:rPr>
          <w:sz w:val="16"/>
          <w:szCs w:val="16"/>
        </w:rPr>
        <w:t>Přeshraniční</w:t>
      </w:r>
      <w:proofErr w:type="spellEnd"/>
      <w:r w:rsidRPr="00505468">
        <w:rPr>
          <w:sz w:val="16"/>
          <w:szCs w:val="16"/>
        </w:rPr>
        <w:t xml:space="preserve"> pojetí ZO zahrnuje všechen fyzický pohyb zboží přes hranice země. Při vytváření hodnot ZO v </w:t>
      </w:r>
      <w:proofErr w:type="gramStart"/>
      <w:r w:rsidRPr="00505468">
        <w:rPr>
          <w:sz w:val="16"/>
          <w:szCs w:val="16"/>
        </w:rPr>
        <w:t>národnímu</w:t>
      </w:r>
      <w:proofErr w:type="gramEnd"/>
      <w:r w:rsidRPr="00505468">
        <w:rPr>
          <w:sz w:val="16"/>
          <w:szCs w:val="16"/>
        </w:rPr>
        <w:t xml:space="preserve"> pojetí jsou započítány jen doložené transakce od rezidentů k nerezidentům a naopak.</w:t>
      </w:r>
      <w:r>
        <w:t xml:space="preserve"> </w:t>
      </w:r>
      <w:r w:rsidRPr="00EA3282">
        <w:rPr>
          <w:sz w:val="16"/>
          <w:szCs w:val="16"/>
        </w:rPr>
        <w:t>Export je</w:t>
      </w:r>
      <w:r>
        <w:rPr>
          <w:sz w:val="16"/>
          <w:szCs w:val="16"/>
        </w:rPr>
        <w:t xml:space="preserve"> tak</w:t>
      </w:r>
      <w:r w:rsidRPr="00EA3282">
        <w:rPr>
          <w:sz w:val="16"/>
          <w:szCs w:val="16"/>
        </w:rPr>
        <w:t xml:space="preserve"> očištěn od zboží vyvezeného nerezidenty (typicky zboží v meziskladech). Od importu je odečtena hodnota zboží, které bylo dovezeno, ale nedošlo k jeho prodeji rezidentům.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0B9" w:rsidRPr="003576A8" w:rsidRDefault="003E00B9" w:rsidP="003576A8">
    <w:pPr>
      <w:pStyle w:val="Zhlav"/>
      <w:tabs>
        <w:tab w:val="clear" w:pos="4536"/>
        <w:tab w:val="clear" w:pos="9072"/>
        <w:tab w:val="left" w:pos="-6379"/>
        <w:tab w:val="center" w:pos="4820"/>
        <w:tab w:val="right" w:pos="9639"/>
      </w:tabs>
      <w:rPr>
        <w:rFonts w:ascii="Arial" w:hAnsi="Arial" w:cs="Arial"/>
        <w:sz w:val="16"/>
        <w:szCs w:val="16"/>
      </w:rPr>
    </w:pPr>
    <w:r w:rsidRPr="00B031D9">
      <w:rPr>
        <w:rFonts w:ascii="Arial" w:hAnsi="Arial" w:cs="Arial"/>
        <w:sz w:val="16"/>
        <w:szCs w:val="16"/>
      </w:rPr>
      <w:t>Analýza společenského a hospodářského vývoje ČR v roce 2016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0B9" w:rsidRPr="003576A8" w:rsidRDefault="003E00B9" w:rsidP="003576A8">
    <w:pPr>
      <w:pStyle w:val="Zhlav"/>
      <w:tabs>
        <w:tab w:val="clear" w:pos="4536"/>
        <w:tab w:val="clear" w:pos="9072"/>
        <w:tab w:val="left" w:pos="-6379"/>
        <w:tab w:val="center" w:pos="4820"/>
        <w:tab w:val="right" w:pos="9639"/>
      </w:tabs>
      <w:rPr>
        <w:rFonts w:ascii="Arial" w:hAnsi="Arial" w:cs="Arial"/>
        <w:sz w:val="16"/>
        <w:szCs w:val="16"/>
      </w:rPr>
    </w:pPr>
    <w:r w:rsidRPr="00B031D9">
      <w:rPr>
        <w:rFonts w:ascii="Arial" w:hAnsi="Arial" w:cs="Arial"/>
        <w:sz w:val="16"/>
        <w:szCs w:val="16"/>
      </w:rPr>
      <w:t>Analýza společenského a hospodářského vývoje ČR v roce 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6.3pt;height:14.4pt;visibility:visible;mso-wrap-style:square" o:bullet="t">
        <v:imagedata r:id="rId1" o:title=""/>
      </v:shape>
    </w:pict>
  </w:numPicBullet>
  <w:numPicBullet w:numPicBulletId="1">
    <w:pict>
      <v:shape id="_x0000_i1039" type="#_x0000_t75" style="width:36.3pt;height:21.9pt;visibility:visible;mso-wrap-style:square" o:bullet="t">
        <v:imagedata r:id="rId2" o:title=""/>
      </v:shape>
    </w:pict>
  </w:numPicBullet>
  <w:abstractNum w:abstractNumId="0">
    <w:nsid w:val="05BB0A88"/>
    <w:multiLevelType w:val="hybridMultilevel"/>
    <w:tmpl w:val="5C64FE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680137A"/>
    <w:multiLevelType w:val="hybridMultilevel"/>
    <w:tmpl w:val="E56AB5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1812E9F"/>
    <w:multiLevelType w:val="hybridMultilevel"/>
    <w:tmpl w:val="7D9C602C"/>
    <w:lvl w:ilvl="0" w:tplc="FE5CA57A">
      <w:start w:val="1"/>
      <w:numFmt w:val="bullet"/>
      <w:lvlText w:val=""/>
      <w:lvlPicBulletId w:val="0"/>
      <w:lvlJc w:val="left"/>
      <w:pPr>
        <w:tabs>
          <w:tab w:val="num" w:pos="720"/>
        </w:tabs>
        <w:ind w:left="720" w:hanging="360"/>
      </w:pPr>
      <w:rPr>
        <w:rFonts w:ascii="Symbol" w:hAnsi="Symbol" w:hint="default"/>
      </w:rPr>
    </w:lvl>
    <w:lvl w:ilvl="1" w:tplc="BA668460" w:tentative="1">
      <w:start w:val="1"/>
      <w:numFmt w:val="bullet"/>
      <w:lvlText w:val=""/>
      <w:lvlJc w:val="left"/>
      <w:pPr>
        <w:tabs>
          <w:tab w:val="num" w:pos="1440"/>
        </w:tabs>
        <w:ind w:left="1440" w:hanging="360"/>
      </w:pPr>
      <w:rPr>
        <w:rFonts w:ascii="Symbol" w:hAnsi="Symbol" w:hint="default"/>
      </w:rPr>
    </w:lvl>
    <w:lvl w:ilvl="2" w:tplc="F7E6E3AC" w:tentative="1">
      <w:start w:val="1"/>
      <w:numFmt w:val="bullet"/>
      <w:lvlText w:val=""/>
      <w:lvlJc w:val="left"/>
      <w:pPr>
        <w:tabs>
          <w:tab w:val="num" w:pos="2160"/>
        </w:tabs>
        <w:ind w:left="2160" w:hanging="360"/>
      </w:pPr>
      <w:rPr>
        <w:rFonts w:ascii="Symbol" w:hAnsi="Symbol" w:hint="default"/>
      </w:rPr>
    </w:lvl>
    <w:lvl w:ilvl="3" w:tplc="DCF44058" w:tentative="1">
      <w:start w:val="1"/>
      <w:numFmt w:val="bullet"/>
      <w:lvlText w:val=""/>
      <w:lvlJc w:val="left"/>
      <w:pPr>
        <w:tabs>
          <w:tab w:val="num" w:pos="2880"/>
        </w:tabs>
        <w:ind w:left="2880" w:hanging="360"/>
      </w:pPr>
      <w:rPr>
        <w:rFonts w:ascii="Symbol" w:hAnsi="Symbol" w:hint="default"/>
      </w:rPr>
    </w:lvl>
    <w:lvl w:ilvl="4" w:tplc="ED522672" w:tentative="1">
      <w:start w:val="1"/>
      <w:numFmt w:val="bullet"/>
      <w:lvlText w:val=""/>
      <w:lvlJc w:val="left"/>
      <w:pPr>
        <w:tabs>
          <w:tab w:val="num" w:pos="3600"/>
        </w:tabs>
        <w:ind w:left="3600" w:hanging="360"/>
      </w:pPr>
      <w:rPr>
        <w:rFonts w:ascii="Symbol" w:hAnsi="Symbol" w:hint="default"/>
      </w:rPr>
    </w:lvl>
    <w:lvl w:ilvl="5" w:tplc="3476E1C0" w:tentative="1">
      <w:start w:val="1"/>
      <w:numFmt w:val="bullet"/>
      <w:lvlText w:val=""/>
      <w:lvlJc w:val="left"/>
      <w:pPr>
        <w:tabs>
          <w:tab w:val="num" w:pos="4320"/>
        </w:tabs>
        <w:ind w:left="4320" w:hanging="360"/>
      </w:pPr>
      <w:rPr>
        <w:rFonts w:ascii="Symbol" w:hAnsi="Symbol" w:hint="default"/>
      </w:rPr>
    </w:lvl>
    <w:lvl w:ilvl="6" w:tplc="33665C60" w:tentative="1">
      <w:start w:val="1"/>
      <w:numFmt w:val="bullet"/>
      <w:lvlText w:val=""/>
      <w:lvlJc w:val="left"/>
      <w:pPr>
        <w:tabs>
          <w:tab w:val="num" w:pos="5040"/>
        </w:tabs>
        <w:ind w:left="5040" w:hanging="360"/>
      </w:pPr>
      <w:rPr>
        <w:rFonts w:ascii="Symbol" w:hAnsi="Symbol" w:hint="default"/>
      </w:rPr>
    </w:lvl>
    <w:lvl w:ilvl="7" w:tplc="4EB4B50C" w:tentative="1">
      <w:start w:val="1"/>
      <w:numFmt w:val="bullet"/>
      <w:lvlText w:val=""/>
      <w:lvlJc w:val="left"/>
      <w:pPr>
        <w:tabs>
          <w:tab w:val="num" w:pos="5760"/>
        </w:tabs>
        <w:ind w:left="5760" w:hanging="360"/>
      </w:pPr>
      <w:rPr>
        <w:rFonts w:ascii="Symbol" w:hAnsi="Symbol" w:hint="default"/>
      </w:rPr>
    </w:lvl>
    <w:lvl w:ilvl="8" w:tplc="45E4C21C" w:tentative="1">
      <w:start w:val="1"/>
      <w:numFmt w:val="bullet"/>
      <w:lvlText w:val=""/>
      <w:lvlJc w:val="left"/>
      <w:pPr>
        <w:tabs>
          <w:tab w:val="num" w:pos="6480"/>
        </w:tabs>
        <w:ind w:left="6480" w:hanging="360"/>
      </w:pPr>
      <w:rPr>
        <w:rFonts w:ascii="Symbol" w:hAnsi="Symbol" w:hint="default"/>
      </w:rPr>
    </w:lvl>
  </w:abstractNum>
  <w:abstractNum w:abstractNumId="3">
    <w:nsid w:val="1635223D"/>
    <w:multiLevelType w:val="hybridMultilevel"/>
    <w:tmpl w:val="99FA97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93D37A1"/>
    <w:multiLevelType w:val="multilevel"/>
    <w:tmpl w:val="698C7F16"/>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nsid w:val="2ADC7537"/>
    <w:multiLevelType w:val="hybridMultilevel"/>
    <w:tmpl w:val="2BB2AC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8F83F12"/>
    <w:multiLevelType w:val="multilevel"/>
    <w:tmpl w:val="0B74C25A"/>
    <w:lvl w:ilvl="0">
      <w:start w:val="4"/>
      <w:numFmt w:val="decimal"/>
      <w:lvlText w:val="%1."/>
      <w:lvlJc w:val="left"/>
      <w:pPr>
        <w:ind w:left="540" w:hanging="54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7">
    <w:nsid w:val="3AB14BFE"/>
    <w:multiLevelType w:val="hybridMultilevel"/>
    <w:tmpl w:val="118A4438"/>
    <w:lvl w:ilvl="0" w:tplc="82DE1B68">
      <w:start w:val="1"/>
      <w:numFmt w:val="bullet"/>
      <w:lvlText w:val=""/>
      <w:lvlPicBulletId w:val="1"/>
      <w:lvlJc w:val="left"/>
      <w:pPr>
        <w:tabs>
          <w:tab w:val="num" w:pos="720"/>
        </w:tabs>
        <w:ind w:left="720" w:hanging="360"/>
      </w:pPr>
      <w:rPr>
        <w:rFonts w:ascii="Symbol" w:hAnsi="Symbol" w:hint="default"/>
      </w:rPr>
    </w:lvl>
    <w:lvl w:ilvl="1" w:tplc="AE0ED9CE" w:tentative="1">
      <w:start w:val="1"/>
      <w:numFmt w:val="bullet"/>
      <w:lvlText w:val=""/>
      <w:lvlJc w:val="left"/>
      <w:pPr>
        <w:tabs>
          <w:tab w:val="num" w:pos="1440"/>
        </w:tabs>
        <w:ind w:left="1440" w:hanging="360"/>
      </w:pPr>
      <w:rPr>
        <w:rFonts w:ascii="Symbol" w:hAnsi="Symbol" w:hint="default"/>
      </w:rPr>
    </w:lvl>
    <w:lvl w:ilvl="2" w:tplc="4934A9A0" w:tentative="1">
      <w:start w:val="1"/>
      <w:numFmt w:val="bullet"/>
      <w:lvlText w:val=""/>
      <w:lvlJc w:val="left"/>
      <w:pPr>
        <w:tabs>
          <w:tab w:val="num" w:pos="2160"/>
        </w:tabs>
        <w:ind w:left="2160" w:hanging="360"/>
      </w:pPr>
      <w:rPr>
        <w:rFonts w:ascii="Symbol" w:hAnsi="Symbol" w:hint="default"/>
      </w:rPr>
    </w:lvl>
    <w:lvl w:ilvl="3" w:tplc="DA360986" w:tentative="1">
      <w:start w:val="1"/>
      <w:numFmt w:val="bullet"/>
      <w:lvlText w:val=""/>
      <w:lvlJc w:val="left"/>
      <w:pPr>
        <w:tabs>
          <w:tab w:val="num" w:pos="2880"/>
        </w:tabs>
        <w:ind w:left="2880" w:hanging="360"/>
      </w:pPr>
      <w:rPr>
        <w:rFonts w:ascii="Symbol" w:hAnsi="Symbol" w:hint="default"/>
      </w:rPr>
    </w:lvl>
    <w:lvl w:ilvl="4" w:tplc="BDBECB06" w:tentative="1">
      <w:start w:val="1"/>
      <w:numFmt w:val="bullet"/>
      <w:lvlText w:val=""/>
      <w:lvlJc w:val="left"/>
      <w:pPr>
        <w:tabs>
          <w:tab w:val="num" w:pos="3600"/>
        </w:tabs>
        <w:ind w:left="3600" w:hanging="360"/>
      </w:pPr>
      <w:rPr>
        <w:rFonts w:ascii="Symbol" w:hAnsi="Symbol" w:hint="default"/>
      </w:rPr>
    </w:lvl>
    <w:lvl w:ilvl="5" w:tplc="3AFEAE6A" w:tentative="1">
      <w:start w:val="1"/>
      <w:numFmt w:val="bullet"/>
      <w:lvlText w:val=""/>
      <w:lvlJc w:val="left"/>
      <w:pPr>
        <w:tabs>
          <w:tab w:val="num" w:pos="4320"/>
        </w:tabs>
        <w:ind w:left="4320" w:hanging="360"/>
      </w:pPr>
      <w:rPr>
        <w:rFonts w:ascii="Symbol" w:hAnsi="Symbol" w:hint="default"/>
      </w:rPr>
    </w:lvl>
    <w:lvl w:ilvl="6" w:tplc="C2583FCE" w:tentative="1">
      <w:start w:val="1"/>
      <w:numFmt w:val="bullet"/>
      <w:lvlText w:val=""/>
      <w:lvlJc w:val="left"/>
      <w:pPr>
        <w:tabs>
          <w:tab w:val="num" w:pos="5040"/>
        </w:tabs>
        <w:ind w:left="5040" w:hanging="360"/>
      </w:pPr>
      <w:rPr>
        <w:rFonts w:ascii="Symbol" w:hAnsi="Symbol" w:hint="default"/>
      </w:rPr>
    </w:lvl>
    <w:lvl w:ilvl="7" w:tplc="10140CE6" w:tentative="1">
      <w:start w:val="1"/>
      <w:numFmt w:val="bullet"/>
      <w:lvlText w:val=""/>
      <w:lvlJc w:val="left"/>
      <w:pPr>
        <w:tabs>
          <w:tab w:val="num" w:pos="5760"/>
        </w:tabs>
        <w:ind w:left="5760" w:hanging="360"/>
      </w:pPr>
      <w:rPr>
        <w:rFonts w:ascii="Symbol" w:hAnsi="Symbol" w:hint="default"/>
      </w:rPr>
    </w:lvl>
    <w:lvl w:ilvl="8" w:tplc="390E427C" w:tentative="1">
      <w:start w:val="1"/>
      <w:numFmt w:val="bullet"/>
      <w:lvlText w:val=""/>
      <w:lvlJc w:val="left"/>
      <w:pPr>
        <w:tabs>
          <w:tab w:val="num" w:pos="6480"/>
        </w:tabs>
        <w:ind w:left="6480" w:hanging="360"/>
      </w:pPr>
      <w:rPr>
        <w:rFonts w:ascii="Symbol" w:hAnsi="Symbol" w:hint="default"/>
      </w:rPr>
    </w:lvl>
  </w:abstractNum>
  <w:abstractNum w:abstractNumId="8">
    <w:nsid w:val="5D4D0FE2"/>
    <w:multiLevelType w:val="hybridMultilevel"/>
    <w:tmpl w:val="03541CA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0393E7F"/>
    <w:multiLevelType w:val="hybridMultilevel"/>
    <w:tmpl w:val="CEA2AC42"/>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06E2984"/>
    <w:multiLevelType w:val="hybridMultilevel"/>
    <w:tmpl w:val="366AF43E"/>
    <w:lvl w:ilvl="0" w:tplc="FC1C587E">
      <w:start w:val="2"/>
      <w:numFmt w:val="bullet"/>
      <w:lvlText w:val="-"/>
      <w:lvlJc w:val="left"/>
      <w:pPr>
        <w:ind w:left="405" w:hanging="360"/>
      </w:pPr>
      <w:rPr>
        <w:rFonts w:ascii="Arial" w:eastAsia="Calibri" w:hAnsi="Arial" w:cs="Arial"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1">
    <w:nsid w:val="6761419E"/>
    <w:multiLevelType w:val="multilevel"/>
    <w:tmpl w:val="0B74C25A"/>
    <w:lvl w:ilvl="0">
      <w:start w:val="4"/>
      <w:numFmt w:val="decimal"/>
      <w:lvlText w:val="%1."/>
      <w:lvlJc w:val="left"/>
      <w:pPr>
        <w:ind w:left="540" w:hanging="54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2">
    <w:nsid w:val="696F0669"/>
    <w:multiLevelType w:val="hybridMultilevel"/>
    <w:tmpl w:val="6B98091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713E1652"/>
    <w:multiLevelType w:val="hybridMultilevel"/>
    <w:tmpl w:val="DA2A3836"/>
    <w:lvl w:ilvl="0" w:tplc="B790AC8A">
      <w:numFmt w:val="bullet"/>
      <w:lvlText w:val=""/>
      <w:lvlJc w:val="left"/>
      <w:pPr>
        <w:ind w:left="720" w:hanging="360"/>
      </w:pPr>
      <w:rPr>
        <w:rFonts w:ascii="Symbol" w:eastAsia="Calibri"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1CF6FB9"/>
    <w:multiLevelType w:val="hybridMultilevel"/>
    <w:tmpl w:val="490CAD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6C940DA"/>
    <w:multiLevelType w:val="hybridMultilevel"/>
    <w:tmpl w:val="D2C67DD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C550A0F"/>
    <w:multiLevelType w:val="hybridMultilevel"/>
    <w:tmpl w:val="A6E66A4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7">
    <w:nsid w:val="7FEE15A2"/>
    <w:multiLevelType w:val="hybridMultilevel"/>
    <w:tmpl w:val="B4BE78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6"/>
  </w:num>
  <w:num w:numId="3">
    <w:abstractNumId w:val="8"/>
  </w:num>
  <w:num w:numId="4">
    <w:abstractNumId w:val="15"/>
  </w:num>
  <w:num w:numId="5">
    <w:abstractNumId w:val="9"/>
  </w:num>
  <w:num w:numId="6">
    <w:abstractNumId w:val="17"/>
  </w:num>
  <w:num w:numId="7">
    <w:abstractNumId w:val="4"/>
  </w:num>
  <w:num w:numId="8">
    <w:abstractNumId w:val="11"/>
  </w:num>
  <w:num w:numId="9">
    <w:abstractNumId w:val="6"/>
  </w:num>
  <w:num w:numId="10">
    <w:abstractNumId w:val="13"/>
  </w:num>
  <w:num w:numId="11">
    <w:abstractNumId w:val="10"/>
  </w:num>
  <w:num w:numId="12">
    <w:abstractNumId w:val="0"/>
  </w:num>
  <w:num w:numId="13">
    <w:abstractNumId w:val="3"/>
  </w:num>
  <w:num w:numId="14">
    <w:abstractNumId w:val="2"/>
  </w:num>
  <w:num w:numId="15">
    <w:abstractNumId w:val="7"/>
  </w:num>
  <w:num w:numId="16">
    <w:abstractNumId w:val="5"/>
  </w:num>
  <w:num w:numId="17">
    <w:abstractNumId w:val="14"/>
  </w:num>
  <w:num w:numId="18">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1024"/>
  <w:defaultTabStop w:val="708"/>
  <w:hyphenationZone w:val="425"/>
  <w:evenAndOddHeaders/>
  <w:drawingGridHorizontalSpacing w:val="100"/>
  <w:displayHorizontalDrawingGridEvery w:val="2"/>
  <w:characterSpacingControl w:val="doNotCompress"/>
  <w:hdrShapeDefaults>
    <o:shapedefaults v:ext="edit" spidmax="25602"/>
  </w:hdrShapeDefaults>
  <w:footnotePr>
    <w:footnote w:id="-1"/>
    <w:footnote w:id="0"/>
  </w:footnotePr>
  <w:endnotePr>
    <w:endnote w:id="-1"/>
    <w:endnote w:id="0"/>
  </w:endnotePr>
  <w:compat/>
  <w:rsids>
    <w:rsidRoot w:val="009B70BD"/>
    <w:rsid w:val="0000023E"/>
    <w:rsid w:val="00000FA7"/>
    <w:rsid w:val="00001236"/>
    <w:rsid w:val="00001A7D"/>
    <w:rsid w:val="00001EFF"/>
    <w:rsid w:val="00003687"/>
    <w:rsid w:val="00003C43"/>
    <w:rsid w:val="00006ECF"/>
    <w:rsid w:val="00007498"/>
    <w:rsid w:val="0000767A"/>
    <w:rsid w:val="00010151"/>
    <w:rsid w:val="000101F5"/>
    <w:rsid w:val="000104B9"/>
    <w:rsid w:val="00010702"/>
    <w:rsid w:val="00011191"/>
    <w:rsid w:val="0001159B"/>
    <w:rsid w:val="00011778"/>
    <w:rsid w:val="000128C7"/>
    <w:rsid w:val="00012986"/>
    <w:rsid w:val="00014028"/>
    <w:rsid w:val="00015195"/>
    <w:rsid w:val="0001519F"/>
    <w:rsid w:val="0001572B"/>
    <w:rsid w:val="0001573E"/>
    <w:rsid w:val="000157DA"/>
    <w:rsid w:val="000162DB"/>
    <w:rsid w:val="00017F05"/>
    <w:rsid w:val="000202C6"/>
    <w:rsid w:val="00020946"/>
    <w:rsid w:val="00022081"/>
    <w:rsid w:val="0002292C"/>
    <w:rsid w:val="00022B41"/>
    <w:rsid w:val="0002434F"/>
    <w:rsid w:val="00024887"/>
    <w:rsid w:val="00024CBA"/>
    <w:rsid w:val="00025501"/>
    <w:rsid w:val="00026998"/>
    <w:rsid w:val="000304C4"/>
    <w:rsid w:val="0003066A"/>
    <w:rsid w:val="00030CAD"/>
    <w:rsid w:val="00030F14"/>
    <w:rsid w:val="000311C5"/>
    <w:rsid w:val="00031328"/>
    <w:rsid w:val="00032838"/>
    <w:rsid w:val="00032C12"/>
    <w:rsid w:val="00032E0C"/>
    <w:rsid w:val="000344C5"/>
    <w:rsid w:val="000350FB"/>
    <w:rsid w:val="00035CCF"/>
    <w:rsid w:val="00035FC6"/>
    <w:rsid w:val="00037667"/>
    <w:rsid w:val="0004075D"/>
    <w:rsid w:val="000411E1"/>
    <w:rsid w:val="000417FB"/>
    <w:rsid w:val="0004229A"/>
    <w:rsid w:val="00043E05"/>
    <w:rsid w:val="0004694F"/>
    <w:rsid w:val="000500DC"/>
    <w:rsid w:val="00052052"/>
    <w:rsid w:val="00052172"/>
    <w:rsid w:val="000531D0"/>
    <w:rsid w:val="00053CBA"/>
    <w:rsid w:val="00054382"/>
    <w:rsid w:val="00054E43"/>
    <w:rsid w:val="00055059"/>
    <w:rsid w:val="000553E4"/>
    <w:rsid w:val="00055FD3"/>
    <w:rsid w:val="000567FA"/>
    <w:rsid w:val="00056B26"/>
    <w:rsid w:val="00057C16"/>
    <w:rsid w:val="00060F26"/>
    <w:rsid w:val="00061733"/>
    <w:rsid w:val="00062D43"/>
    <w:rsid w:val="00062E81"/>
    <w:rsid w:val="00062EC5"/>
    <w:rsid w:val="00064256"/>
    <w:rsid w:val="000650C5"/>
    <w:rsid w:val="0007013D"/>
    <w:rsid w:val="000706A4"/>
    <w:rsid w:val="00070A0C"/>
    <w:rsid w:val="00071F80"/>
    <w:rsid w:val="00072118"/>
    <w:rsid w:val="00073173"/>
    <w:rsid w:val="000759A5"/>
    <w:rsid w:val="00075BA7"/>
    <w:rsid w:val="000779AC"/>
    <w:rsid w:val="0008046C"/>
    <w:rsid w:val="00083803"/>
    <w:rsid w:val="00084393"/>
    <w:rsid w:val="0008716A"/>
    <w:rsid w:val="00087634"/>
    <w:rsid w:val="000903B3"/>
    <w:rsid w:val="000907D0"/>
    <w:rsid w:val="00091237"/>
    <w:rsid w:val="0009191B"/>
    <w:rsid w:val="000920EC"/>
    <w:rsid w:val="00092208"/>
    <w:rsid w:val="00092505"/>
    <w:rsid w:val="00092C9A"/>
    <w:rsid w:val="0009464F"/>
    <w:rsid w:val="00095CD8"/>
    <w:rsid w:val="00097CF2"/>
    <w:rsid w:val="00097D02"/>
    <w:rsid w:val="000A1183"/>
    <w:rsid w:val="000A2121"/>
    <w:rsid w:val="000A2484"/>
    <w:rsid w:val="000A2493"/>
    <w:rsid w:val="000A36CE"/>
    <w:rsid w:val="000A5415"/>
    <w:rsid w:val="000A59BF"/>
    <w:rsid w:val="000A5B73"/>
    <w:rsid w:val="000A66C2"/>
    <w:rsid w:val="000B1CFE"/>
    <w:rsid w:val="000B210A"/>
    <w:rsid w:val="000B249B"/>
    <w:rsid w:val="000B3B01"/>
    <w:rsid w:val="000B3DB9"/>
    <w:rsid w:val="000B3F02"/>
    <w:rsid w:val="000B48A2"/>
    <w:rsid w:val="000B48E7"/>
    <w:rsid w:val="000B4F41"/>
    <w:rsid w:val="000B5230"/>
    <w:rsid w:val="000B5262"/>
    <w:rsid w:val="000B5782"/>
    <w:rsid w:val="000B7663"/>
    <w:rsid w:val="000C045E"/>
    <w:rsid w:val="000C11D3"/>
    <w:rsid w:val="000C12F5"/>
    <w:rsid w:val="000C2C40"/>
    <w:rsid w:val="000C2FAB"/>
    <w:rsid w:val="000C3408"/>
    <w:rsid w:val="000C5BF3"/>
    <w:rsid w:val="000C5C0F"/>
    <w:rsid w:val="000C5D56"/>
    <w:rsid w:val="000C6498"/>
    <w:rsid w:val="000C6C84"/>
    <w:rsid w:val="000D0D51"/>
    <w:rsid w:val="000D14B3"/>
    <w:rsid w:val="000D208B"/>
    <w:rsid w:val="000D2B8D"/>
    <w:rsid w:val="000D2E41"/>
    <w:rsid w:val="000D342A"/>
    <w:rsid w:val="000D353A"/>
    <w:rsid w:val="000D5E7A"/>
    <w:rsid w:val="000D5FAA"/>
    <w:rsid w:val="000D65A4"/>
    <w:rsid w:val="000D6AEF"/>
    <w:rsid w:val="000D6B09"/>
    <w:rsid w:val="000E025B"/>
    <w:rsid w:val="000E0ECB"/>
    <w:rsid w:val="000E153A"/>
    <w:rsid w:val="000E19A8"/>
    <w:rsid w:val="000E1EEA"/>
    <w:rsid w:val="000E214B"/>
    <w:rsid w:val="000E3E34"/>
    <w:rsid w:val="000E4A42"/>
    <w:rsid w:val="000E6476"/>
    <w:rsid w:val="000E78D2"/>
    <w:rsid w:val="000F3332"/>
    <w:rsid w:val="000F33EE"/>
    <w:rsid w:val="000F401E"/>
    <w:rsid w:val="000F5445"/>
    <w:rsid w:val="000F559E"/>
    <w:rsid w:val="000F5673"/>
    <w:rsid w:val="000F59DF"/>
    <w:rsid w:val="000F60D1"/>
    <w:rsid w:val="000F67B2"/>
    <w:rsid w:val="000F67E3"/>
    <w:rsid w:val="000F7639"/>
    <w:rsid w:val="000F790F"/>
    <w:rsid w:val="000F7E1B"/>
    <w:rsid w:val="00100014"/>
    <w:rsid w:val="0010039A"/>
    <w:rsid w:val="00101E94"/>
    <w:rsid w:val="00101FB2"/>
    <w:rsid w:val="00102CB8"/>
    <w:rsid w:val="00102F02"/>
    <w:rsid w:val="0010385D"/>
    <w:rsid w:val="00103E41"/>
    <w:rsid w:val="001041B6"/>
    <w:rsid w:val="00105F6B"/>
    <w:rsid w:val="001070EA"/>
    <w:rsid w:val="0011002A"/>
    <w:rsid w:val="001107CE"/>
    <w:rsid w:val="0011110A"/>
    <w:rsid w:val="001118AF"/>
    <w:rsid w:val="00111CA5"/>
    <w:rsid w:val="0011256E"/>
    <w:rsid w:val="0011352E"/>
    <w:rsid w:val="00113AE4"/>
    <w:rsid w:val="00114FC0"/>
    <w:rsid w:val="00115496"/>
    <w:rsid w:val="00116DB9"/>
    <w:rsid w:val="00116F28"/>
    <w:rsid w:val="001205E9"/>
    <w:rsid w:val="00121C39"/>
    <w:rsid w:val="001225F2"/>
    <w:rsid w:val="00123255"/>
    <w:rsid w:val="00124D2D"/>
    <w:rsid w:val="00124DA1"/>
    <w:rsid w:val="0012511D"/>
    <w:rsid w:val="00125326"/>
    <w:rsid w:val="001253DB"/>
    <w:rsid w:val="00125CB5"/>
    <w:rsid w:val="00127535"/>
    <w:rsid w:val="00127FD1"/>
    <w:rsid w:val="001307BE"/>
    <w:rsid w:val="00130C8F"/>
    <w:rsid w:val="001314F2"/>
    <w:rsid w:val="001317DA"/>
    <w:rsid w:val="001323BA"/>
    <w:rsid w:val="0013254D"/>
    <w:rsid w:val="00133AAC"/>
    <w:rsid w:val="00133FBD"/>
    <w:rsid w:val="00136561"/>
    <w:rsid w:val="001400E1"/>
    <w:rsid w:val="001405FA"/>
    <w:rsid w:val="00141346"/>
    <w:rsid w:val="001413B3"/>
    <w:rsid w:val="001425C3"/>
    <w:rsid w:val="00142F16"/>
    <w:rsid w:val="00143E03"/>
    <w:rsid w:val="00143E93"/>
    <w:rsid w:val="001441F1"/>
    <w:rsid w:val="0014428D"/>
    <w:rsid w:val="001500FC"/>
    <w:rsid w:val="00151AC0"/>
    <w:rsid w:val="00151B27"/>
    <w:rsid w:val="00152046"/>
    <w:rsid w:val="00154147"/>
    <w:rsid w:val="00155746"/>
    <w:rsid w:val="00156318"/>
    <w:rsid w:val="0015639A"/>
    <w:rsid w:val="001606CF"/>
    <w:rsid w:val="0016081D"/>
    <w:rsid w:val="00160CC3"/>
    <w:rsid w:val="00160CF3"/>
    <w:rsid w:val="00160E61"/>
    <w:rsid w:val="00160F90"/>
    <w:rsid w:val="00161DD7"/>
    <w:rsid w:val="001620FA"/>
    <w:rsid w:val="00162853"/>
    <w:rsid w:val="00163793"/>
    <w:rsid w:val="00167FB2"/>
    <w:rsid w:val="001707DE"/>
    <w:rsid w:val="00170B04"/>
    <w:rsid w:val="00170F47"/>
    <w:rsid w:val="001714F2"/>
    <w:rsid w:val="00172BC8"/>
    <w:rsid w:val="001735AF"/>
    <w:rsid w:val="00173642"/>
    <w:rsid w:val="00173AF4"/>
    <w:rsid w:val="00173CB0"/>
    <w:rsid w:val="00174CE8"/>
    <w:rsid w:val="00175351"/>
    <w:rsid w:val="00175854"/>
    <w:rsid w:val="0017598A"/>
    <w:rsid w:val="00175F60"/>
    <w:rsid w:val="00176050"/>
    <w:rsid w:val="001764D8"/>
    <w:rsid w:val="00176A8F"/>
    <w:rsid w:val="001809EB"/>
    <w:rsid w:val="00180D58"/>
    <w:rsid w:val="00181362"/>
    <w:rsid w:val="00182981"/>
    <w:rsid w:val="00184A20"/>
    <w:rsid w:val="00184CF9"/>
    <w:rsid w:val="00185010"/>
    <w:rsid w:val="001852EC"/>
    <w:rsid w:val="00186447"/>
    <w:rsid w:val="001874CF"/>
    <w:rsid w:val="0018770F"/>
    <w:rsid w:val="00190214"/>
    <w:rsid w:val="00190D9B"/>
    <w:rsid w:val="00191BAE"/>
    <w:rsid w:val="00193432"/>
    <w:rsid w:val="0019346C"/>
    <w:rsid w:val="00195444"/>
    <w:rsid w:val="001A199D"/>
    <w:rsid w:val="001A2A44"/>
    <w:rsid w:val="001A2BDB"/>
    <w:rsid w:val="001A30F4"/>
    <w:rsid w:val="001A4BF4"/>
    <w:rsid w:val="001A4C0D"/>
    <w:rsid w:val="001A4F20"/>
    <w:rsid w:val="001A552F"/>
    <w:rsid w:val="001A56F3"/>
    <w:rsid w:val="001A737B"/>
    <w:rsid w:val="001A750C"/>
    <w:rsid w:val="001A7F49"/>
    <w:rsid w:val="001B10C0"/>
    <w:rsid w:val="001B1B54"/>
    <w:rsid w:val="001B1D89"/>
    <w:rsid w:val="001B2512"/>
    <w:rsid w:val="001B3110"/>
    <w:rsid w:val="001B3F37"/>
    <w:rsid w:val="001B4198"/>
    <w:rsid w:val="001B44BC"/>
    <w:rsid w:val="001B4CCF"/>
    <w:rsid w:val="001B54FA"/>
    <w:rsid w:val="001B5888"/>
    <w:rsid w:val="001B618F"/>
    <w:rsid w:val="001B6545"/>
    <w:rsid w:val="001B681B"/>
    <w:rsid w:val="001B6A49"/>
    <w:rsid w:val="001B7231"/>
    <w:rsid w:val="001B74FB"/>
    <w:rsid w:val="001B77A1"/>
    <w:rsid w:val="001C0422"/>
    <w:rsid w:val="001C0E0E"/>
    <w:rsid w:val="001C0EB9"/>
    <w:rsid w:val="001C1219"/>
    <w:rsid w:val="001C357A"/>
    <w:rsid w:val="001C368C"/>
    <w:rsid w:val="001C3A37"/>
    <w:rsid w:val="001C4384"/>
    <w:rsid w:val="001C4C8D"/>
    <w:rsid w:val="001C4E7D"/>
    <w:rsid w:val="001C65FF"/>
    <w:rsid w:val="001C7FB7"/>
    <w:rsid w:val="001D1155"/>
    <w:rsid w:val="001D222C"/>
    <w:rsid w:val="001D47E5"/>
    <w:rsid w:val="001D584C"/>
    <w:rsid w:val="001D5E1B"/>
    <w:rsid w:val="001D66C1"/>
    <w:rsid w:val="001D7C6F"/>
    <w:rsid w:val="001E0024"/>
    <w:rsid w:val="001E0C65"/>
    <w:rsid w:val="001E23E3"/>
    <w:rsid w:val="001E387A"/>
    <w:rsid w:val="001E3DA4"/>
    <w:rsid w:val="001E5555"/>
    <w:rsid w:val="001E5563"/>
    <w:rsid w:val="001E5830"/>
    <w:rsid w:val="001E670D"/>
    <w:rsid w:val="001E684C"/>
    <w:rsid w:val="001E701C"/>
    <w:rsid w:val="001E7C03"/>
    <w:rsid w:val="001F01CF"/>
    <w:rsid w:val="001F02AF"/>
    <w:rsid w:val="001F0649"/>
    <w:rsid w:val="001F0A76"/>
    <w:rsid w:val="001F28F4"/>
    <w:rsid w:val="001F2CC6"/>
    <w:rsid w:val="001F2D59"/>
    <w:rsid w:val="001F3055"/>
    <w:rsid w:val="001F31BC"/>
    <w:rsid w:val="001F31F5"/>
    <w:rsid w:val="001F378E"/>
    <w:rsid w:val="001F3C79"/>
    <w:rsid w:val="001F3E68"/>
    <w:rsid w:val="001F3F8E"/>
    <w:rsid w:val="001F4597"/>
    <w:rsid w:val="001F4599"/>
    <w:rsid w:val="001F56A9"/>
    <w:rsid w:val="001F5C6A"/>
    <w:rsid w:val="001F5D00"/>
    <w:rsid w:val="001F670A"/>
    <w:rsid w:val="001F6CAA"/>
    <w:rsid w:val="00200D15"/>
    <w:rsid w:val="00201F3C"/>
    <w:rsid w:val="0020223B"/>
    <w:rsid w:val="0020297F"/>
    <w:rsid w:val="00203074"/>
    <w:rsid w:val="00203B46"/>
    <w:rsid w:val="002048E1"/>
    <w:rsid w:val="002056A8"/>
    <w:rsid w:val="00205DF4"/>
    <w:rsid w:val="0020609C"/>
    <w:rsid w:val="002075FA"/>
    <w:rsid w:val="00207DB6"/>
    <w:rsid w:val="00210278"/>
    <w:rsid w:val="00210CC2"/>
    <w:rsid w:val="00210F5B"/>
    <w:rsid w:val="00210FFA"/>
    <w:rsid w:val="00211262"/>
    <w:rsid w:val="002115F5"/>
    <w:rsid w:val="00211AC9"/>
    <w:rsid w:val="00211AF3"/>
    <w:rsid w:val="002122F8"/>
    <w:rsid w:val="002126AD"/>
    <w:rsid w:val="0021355B"/>
    <w:rsid w:val="00217965"/>
    <w:rsid w:val="002179F9"/>
    <w:rsid w:val="002205F2"/>
    <w:rsid w:val="0022080E"/>
    <w:rsid w:val="0022139E"/>
    <w:rsid w:val="0022221B"/>
    <w:rsid w:val="0022272B"/>
    <w:rsid w:val="00222A99"/>
    <w:rsid w:val="00223678"/>
    <w:rsid w:val="002236F7"/>
    <w:rsid w:val="00223E00"/>
    <w:rsid w:val="002252E0"/>
    <w:rsid w:val="002255F6"/>
    <w:rsid w:val="00226029"/>
    <w:rsid w:val="00226466"/>
    <w:rsid w:val="002266D0"/>
    <w:rsid w:val="00226887"/>
    <w:rsid w:val="002272B3"/>
    <w:rsid w:val="00230DAD"/>
    <w:rsid w:val="00231195"/>
    <w:rsid w:val="0023229C"/>
    <w:rsid w:val="00232FB4"/>
    <w:rsid w:val="0023355C"/>
    <w:rsid w:val="00234280"/>
    <w:rsid w:val="00235000"/>
    <w:rsid w:val="002350E3"/>
    <w:rsid w:val="00235330"/>
    <w:rsid w:val="00236443"/>
    <w:rsid w:val="00240773"/>
    <w:rsid w:val="00240815"/>
    <w:rsid w:val="00240A5B"/>
    <w:rsid w:val="00240C76"/>
    <w:rsid w:val="002411EF"/>
    <w:rsid w:val="00242730"/>
    <w:rsid w:val="002436BA"/>
    <w:rsid w:val="00243924"/>
    <w:rsid w:val="0024442C"/>
    <w:rsid w:val="002444ED"/>
    <w:rsid w:val="00244A15"/>
    <w:rsid w:val="00244D40"/>
    <w:rsid w:val="00246AE9"/>
    <w:rsid w:val="0024799E"/>
    <w:rsid w:val="00250521"/>
    <w:rsid w:val="00250C59"/>
    <w:rsid w:val="00250D82"/>
    <w:rsid w:val="00250E0D"/>
    <w:rsid w:val="00251D59"/>
    <w:rsid w:val="00252602"/>
    <w:rsid w:val="00252943"/>
    <w:rsid w:val="00252FDC"/>
    <w:rsid w:val="00257613"/>
    <w:rsid w:val="00261E5B"/>
    <w:rsid w:val="00262F34"/>
    <w:rsid w:val="0026319D"/>
    <w:rsid w:val="00263470"/>
    <w:rsid w:val="00263733"/>
    <w:rsid w:val="00264676"/>
    <w:rsid w:val="00265536"/>
    <w:rsid w:val="00265E54"/>
    <w:rsid w:val="0026658D"/>
    <w:rsid w:val="00266F3E"/>
    <w:rsid w:val="002702CC"/>
    <w:rsid w:val="00270785"/>
    <w:rsid w:val="002714E2"/>
    <w:rsid w:val="00272464"/>
    <w:rsid w:val="00272823"/>
    <w:rsid w:val="00273DCD"/>
    <w:rsid w:val="00274291"/>
    <w:rsid w:val="00276CFE"/>
    <w:rsid w:val="00277071"/>
    <w:rsid w:val="0027786C"/>
    <w:rsid w:val="00277BF7"/>
    <w:rsid w:val="002813A2"/>
    <w:rsid w:val="00281416"/>
    <w:rsid w:val="00281688"/>
    <w:rsid w:val="00283C84"/>
    <w:rsid w:val="00285CD3"/>
    <w:rsid w:val="00286220"/>
    <w:rsid w:val="0028686A"/>
    <w:rsid w:val="00286E66"/>
    <w:rsid w:val="002870B7"/>
    <w:rsid w:val="002919B5"/>
    <w:rsid w:val="00293441"/>
    <w:rsid w:val="0029390D"/>
    <w:rsid w:val="00294238"/>
    <w:rsid w:val="0029493E"/>
    <w:rsid w:val="002962E0"/>
    <w:rsid w:val="00296B2C"/>
    <w:rsid w:val="00296BB2"/>
    <w:rsid w:val="00296C2E"/>
    <w:rsid w:val="002A1B05"/>
    <w:rsid w:val="002A267F"/>
    <w:rsid w:val="002A2CAF"/>
    <w:rsid w:val="002A3354"/>
    <w:rsid w:val="002A35EA"/>
    <w:rsid w:val="002A37B6"/>
    <w:rsid w:val="002A3BD5"/>
    <w:rsid w:val="002A3F79"/>
    <w:rsid w:val="002A43A2"/>
    <w:rsid w:val="002A44ED"/>
    <w:rsid w:val="002A4612"/>
    <w:rsid w:val="002A4F70"/>
    <w:rsid w:val="002A5170"/>
    <w:rsid w:val="002A5263"/>
    <w:rsid w:val="002A6821"/>
    <w:rsid w:val="002A74D2"/>
    <w:rsid w:val="002A7CDA"/>
    <w:rsid w:val="002A7E0A"/>
    <w:rsid w:val="002A7F47"/>
    <w:rsid w:val="002B1544"/>
    <w:rsid w:val="002B22BD"/>
    <w:rsid w:val="002B2593"/>
    <w:rsid w:val="002B36C8"/>
    <w:rsid w:val="002B4A9C"/>
    <w:rsid w:val="002B71B4"/>
    <w:rsid w:val="002B7240"/>
    <w:rsid w:val="002B7590"/>
    <w:rsid w:val="002C0FF4"/>
    <w:rsid w:val="002C125A"/>
    <w:rsid w:val="002C2668"/>
    <w:rsid w:val="002C2BAF"/>
    <w:rsid w:val="002C43BD"/>
    <w:rsid w:val="002C493D"/>
    <w:rsid w:val="002C5261"/>
    <w:rsid w:val="002C6091"/>
    <w:rsid w:val="002D0562"/>
    <w:rsid w:val="002D1114"/>
    <w:rsid w:val="002D1B5A"/>
    <w:rsid w:val="002D2500"/>
    <w:rsid w:val="002D338A"/>
    <w:rsid w:val="002D399F"/>
    <w:rsid w:val="002D3F00"/>
    <w:rsid w:val="002D4D59"/>
    <w:rsid w:val="002D52D0"/>
    <w:rsid w:val="002D54BF"/>
    <w:rsid w:val="002D5579"/>
    <w:rsid w:val="002D5E94"/>
    <w:rsid w:val="002D632D"/>
    <w:rsid w:val="002D6CBA"/>
    <w:rsid w:val="002D6F36"/>
    <w:rsid w:val="002E02A1"/>
    <w:rsid w:val="002E0982"/>
    <w:rsid w:val="002E0DB9"/>
    <w:rsid w:val="002E270D"/>
    <w:rsid w:val="002E2CE4"/>
    <w:rsid w:val="002E34F3"/>
    <w:rsid w:val="002E3CC8"/>
    <w:rsid w:val="002E435E"/>
    <w:rsid w:val="002E73F2"/>
    <w:rsid w:val="002F33FB"/>
    <w:rsid w:val="002F38B5"/>
    <w:rsid w:val="002F4825"/>
    <w:rsid w:val="002F663A"/>
    <w:rsid w:val="002F68A4"/>
    <w:rsid w:val="002F7594"/>
    <w:rsid w:val="00300D6F"/>
    <w:rsid w:val="00301357"/>
    <w:rsid w:val="00301D04"/>
    <w:rsid w:val="00302033"/>
    <w:rsid w:val="00302429"/>
    <w:rsid w:val="00302CC5"/>
    <w:rsid w:val="003035D4"/>
    <w:rsid w:val="00303DCB"/>
    <w:rsid w:val="00304771"/>
    <w:rsid w:val="00305736"/>
    <w:rsid w:val="00306C5B"/>
    <w:rsid w:val="00306E3B"/>
    <w:rsid w:val="00307277"/>
    <w:rsid w:val="003119B6"/>
    <w:rsid w:val="00311A14"/>
    <w:rsid w:val="00312237"/>
    <w:rsid w:val="00312C3D"/>
    <w:rsid w:val="00314331"/>
    <w:rsid w:val="00314F9F"/>
    <w:rsid w:val="003165BF"/>
    <w:rsid w:val="00317538"/>
    <w:rsid w:val="00317E31"/>
    <w:rsid w:val="00320214"/>
    <w:rsid w:val="003209D6"/>
    <w:rsid w:val="0032109A"/>
    <w:rsid w:val="0032214F"/>
    <w:rsid w:val="00322164"/>
    <w:rsid w:val="00322A2F"/>
    <w:rsid w:val="00322CED"/>
    <w:rsid w:val="00323CF7"/>
    <w:rsid w:val="00323E61"/>
    <w:rsid w:val="0032513D"/>
    <w:rsid w:val="00325B20"/>
    <w:rsid w:val="00326251"/>
    <w:rsid w:val="0032739C"/>
    <w:rsid w:val="00327DEE"/>
    <w:rsid w:val="003302DA"/>
    <w:rsid w:val="00330EB0"/>
    <w:rsid w:val="00331544"/>
    <w:rsid w:val="00331785"/>
    <w:rsid w:val="003329F3"/>
    <w:rsid w:val="0033352E"/>
    <w:rsid w:val="00333690"/>
    <w:rsid w:val="00333D20"/>
    <w:rsid w:val="00333F53"/>
    <w:rsid w:val="003340EF"/>
    <w:rsid w:val="00334A49"/>
    <w:rsid w:val="0033536F"/>
    <w:rsid w:val="00335BB0"/>
    <w:rsid w:val="0033627B"/>
    <w:rsid w:val="003406BD"/>
    <w:rsid w:val="00343474"/>
    <w:rsid w:val="00343F84"/>
    <w:rsid w:val="00344135"/>
    <w:rsid w:val="003450E2"/>
    <w:rsid w:val="0034613F"/>
    <w:rsid w:val="00351B63"/>
    <w:rsid w:val="00351F7E"/>
    <w:rsid w:val="00352061"/>
    <w:rsid w:val="00352E57"/>
    <w:rsid w:val="003541B0"/>
    <w:rsid w:val="0035457E"/>
    <w:rsid w:val="00355885"/>
    <w:rsid w:val="0035605E"/>
    <w:rsid w:val="00356106"/>
    <w:rsid w:val="0035612B"/>
    <w:rsid w:val="00357449"/>
    <w:rsid w:val="003576A8"/>
    <w:rsid w:val="0036238B"/>
    <w:rsid w:val="00363A2A"/>
    <w:rsid w:val="003651A4"/>
    <w:rsid w:val="00365680"/>
    <w:rsid w:val="0036572A"/>
    <w:rsid w:val="003657F3"/>
    <w:rsid w:val="00366D4D"/>
    <w:rsid w:val="00367038"/>
    <w:rsid w:val="00370963"/>
    <w:rsid w:val="0037144E"/>
    <w:rsid w:val="003721D6"/>
    <w:rsid w:val="003736B5"/>
    <w:rsid w:val="00373809"/>
    <w:rsid w:val="00374F1E"/>
    <w:rsid w:val="00376CBB"/>
    <w:rsid w:val="00376DEC"/>
    <w:rsid w:val="00377200"/>
    <w:rsid w:val="0038034A"/>
    <w:rsid w:val="00380E04"/>
    <w:rsid w:val="00380E6C"/>
    <w:rsid w:val="00383227"/>
    <w:rsid w:val="00383926"/>
    <w:rsid w:val="00384D8F"/>
    <w:rsid w:val="00385D98"/>
    <w:rsid w:val="00385EC5"/>
    <w:rsid w:val="0038658E"/>
    <w:rsid w:val="00390561"/>
    <w:rsid w:val="0039066E"/>
    <w:rsid w:val="00391C95"/>
    <w:rsid w:val="0039462F"/>
    <w:rsid w:val="00394D49"/>
    <w:rsid w:val="003950BC"/>
    <w:rsid w:val="00396DAC"/>
    <w:rsid w:val="003A0214"/>
    <w:rsid w:val="003A027D"/>
    <w:rsid w:val="003A09DB"/>
    <w:rsid w:val="003A1D74"/>
    <w:rsid w:val="003A28DB"/>
    <w:rsid w:val="003A2B4D"/>
    <w:rsid w:val="003A2D2B"/>
    <w:rsid w:val="003A2DD4"/>
    <w:rsid w:val="003A3B1C"/>
    <w:rsid w:val="003A3E1C"/>
    <w:rsid w:val="003A4088"/>
    <w:rsid w:val="003A478C"/>
    <w:rsid w:val="003A4F82"/>
    <w:rsid w:val="003A5525"/>
    <w:rsid w:val="003A5648"/>
    <w:rsid w:val="003A6B38"/>
    <w:rsid w:val="003B2580"/>
    <w:rsid w:val="003B27D4"/>
    <w:rsid w:val="003B2E63"/>
    <w:rsid w:val="003B3189"/>
    <w:rsid w:val="003B3A9D"/>
    <w:rsid w:val="003B3DDD"/>
    <w:rsid w:val="003B5031"/>
    <w:rsid w:val="003B5A32"/>
    <w:rsid w:val="003B6105"/>
    <w:rsid w:val="003C03CC"/>
    <w:rsid w:val="003C04C4"/>
    <w:rsid w:val="003C26F4"/>
    <w:rsid w:val="003C3686"/>
    <w:rsid w:val="003C4852"/>
    <w:rsid w:val="003C5162"/>
    <w:rsid w:val="003C59F2"/>
    <w:rsid w:val="003C5BC7"/>
    <w:rsid w:val="003C601E"/>
    <w:rsid w:val="003C66C4"/>
    <w:rsid w:val="003D0765"/>
    <w:rsid w:val="003D2C4E"/>
    <w:rsid w:val="003D3600"/>
    <w:rsid w:val="003D3825"/>
    <w:rsid w:val="003D3EC4"/>
    <w:rsid w:val="003D3FB7"/>
    <w:rsid w:val="003D4760"/>
    <w:rsid w:val="003D49DC"/>
    <w:rsid w:val="003D4DD9"/>
    <w:rsid w:val="003D5D7A"/>
    <w:rsid w:val="003E00B9"/>
    <w:rsid w:val="003E0663"/>
    <w:rsid w:val="003E133F"/>
    <w:rsid w:val="003E49F6"/>
    <w:rsid w:val="003E4F5C"/>
    <w:rsid w:val="003E699C"/>
    <w:rsid w:val="003E69F3"/>
    <w:rsid w:val="003E6B1F"/>
    <w:rsid w:val="003E6CAF"/>
    <w:rsid w:val="003E782E"/>
    <w:rsid w:val="003E7A0B"/>
    <w:rsid w:val="003E7B2B"/>
    <w:rsid w:val="003F0297"/>
    <w:rsid w:val="003F0CE4"/>
    <w:rsid w:val="003F181F"/>
    <w:rsid w:val="003F1A48"/>
    <w:rsid w:val="003F1E23"/>
    <w:rsid w:val="003F2B0A"/>
    <w:rsid w:val="003F313C"/>
    <w:rsid w:val="003F341B"/>
    <w:rsid w:val="003F37FC"/>
    <w:rsid w:val="003F3A26"/>
    <w:rsid w:val="003F49A6"/>
    <w:rsid w:val="003F5098"/>
    <w:rsid w:val="003F5568"/>
    <w:rsid w:val="003F5A95"/>
    <w:rsid w:val="003F6D19"/>
    <w:rsid w:val="004000D5"/>
    <w:rsid w:val="00400244"/>
    <w:rsid w:val="004005C1"/>
    <w:rsid w:val="00401716"/>
    <w:rsid w:val="00401A09"/>
    <w:rsid w:val="0040273A"/>
    <w:rsid w:val="00402C25"/>
    <w:rsid w:val="004050D7"/>
    <w:rsid w:val="00405507"/>
    <w:rsid w:val="00405FC7"/>
    <w:rsid w:val="004078BD"/>
    <w:rsid w:val="00410132"/>
    <w:rsid w:val="00410BCD"/>
    <w:rsid w:val="00410DE5"/>
    <w:rsid w:val="0041175D"/>
    <w:rsid w:val="004123BE"/>
    <w:rsid w:val="00414CE5"/>
    <w:rsid w:val="00416673"/>
    <w:rsid w:val="004173A7"/>
    <w:rsid w:val="0042160D"/>
    <w:rsid w:val="00423A3C"/>
    <w:rsid w:val="0042570C"/>
    <w:rsid w:val="0042681B"/>
    <w:rsid w:val="00427193"/>
    <w:rsid w:val="0043068A"/>
    <w:rsid w:val="004306E0"/>
    <w:rsid w:val="00431D32"/>
    <w:rsid w:val="00431D54"/>
    <w:rsid w:val="00432041"/>
    <w:rsid w:val="004329BE"/>
    <w:rsid w:val="00432C38"/>
    <w:rsid w:val="004342EC"/>
    <w:rsid w:val="0043509C"/>
    <w:rsid w:val="00437C76"/>
    <w:rsid w:val="0044105C"/>
    <w:rsid w:val="004422DD"/>
    <w:rsid w:val="0044391B"/>
    <w:rsid w:val="00443E95"/>
    <w:rsid w:val="004441A0"/>
    <w:rsid w:val="00444268"/>
    <w:rsid w:val="00444326"/>
    <w:rsid w:val="004443BF"/>
    <w:rsid w:val="00444C19"/>
    <w:rsid w:val="00445218"/>
    <w:rsid w:val="00445CDD"/>
    <w:rsid w:val="004464D5"/>
    <w:rsid w:val="00446892"/>
    <w:rsid w:val="00447E36"/>
    <w:rsid w:val="00450326"/>
    <w:rsid w:val="00450700"/>
    <w:rsid w:val="0045095C"/>
    <w:rsid w:val="00450C30"/>
    <w:rsid w:val="00451AD1"/>
    <w:rsid w:val="00452819"/>
    <w:rsid w:val="004529C7"/>
    <w:rsid w:val="004540FF"/>
    <w:rsid w:val="004541F1"/>
    <w:rsid w:val="00455ECA"/>
    <w:rsid w:val="00456031"/>
    <w:rsid w:val="0045726E"/>
    <w:rsid w:val="00457296"/>
    <w:rsid w:val="00457320"/>
    <w:rsid w:val="00460164"/>
    <w:rsid w:val="0046039A"/>
    <w:rsid w:val="00460A6B"/>
    <w:rsid w:val="00461977"/>
    <w:rsid w:val="00461A3F"/>
    <w:rsid w:val="004629FD"/>
    <w:rsid w:val="00462AD2"/>
    <w:rsid w:val="00463B4B"/>
    <w:rsid w:val="00463F4D"/>
    <w:rsid w:val="004640FB"/>
    <w:rsid w:val="0046471F"/>
    <w:rsid w:val="00464BE8"/>
    <w:rsid w:val="00465019"/>
    <w:rsid w:val="00465FA4"/>
    <w:rsid w:val="0046613F"/>
    <w:rsid w:val="0046655D"/>
    <w:rsid w:val="0046765E"/>
    <w:rsid w:val="004676E2"/>
    <w:rsid w:val="00467FB8"/>
    <w:rsid w:val="00471EDD"/>
    <w:rsid w:val="00473E94"/>
    <w:rsid w:val="0047400C"/>
    <w:rsid w:val="004745D9"/>
    <w:rsid w:val="004762D8"/>
    <w:rsid w:val="004765B3"/>
    <w:rsid w:val="00476D29"/>
    <w:rsid w:val="00477241"/>
    <w:rsid w:val="00477D39"/>
    <w:rsid w:val="00477EAF"/>
    <w:rsid w:val="00477EE0"/>
    <w:rsid w:val="00480AB8"/>
    <w:rsid w:val="00480B92"/>
    <w:rsid w:val="0048139F"/>
    <w:rsid w:val="00481C00"/>
    <w:rsid w:val="00483053"/>
    <w:rsid w:val="0048414D"/>
    <w:rsid w:val="00484874"/>
    <w:rsid w:val="00485230"/>
    <w:rsid w:val="004859B2"/>
    <w:rsid w:val="004879E9"/>
    <w:rsid w:val="00487F81"/>
    <w:rsid w:val="00490247"/>
    <w:rsid w:val="0049104F"/>
    <w:rsid w:val="00491218"/>
    <w:rsid w:val="004914B2"/>
    <w:rsid w:val="00491CFD"/>
    <w:rsid w:val="00493362"/>
    <w:rsid w:val="00494343"/>
    <w:rsid w:val="00496C2F"/>
    <w:rsid w:val="0049740D"/>
    <w:rsid w:val="004978D3"/>
    <w:rsid w:val="004A11F8"/>
    <w:rsid w:val="004A22BD"/>
    <w:rsid w:val="004A22FA"/>
    <w:rsid w:val="004A269A"/>
    <w:rsid w:val="004A30FB"/>
    <w:rsid w:val="004A35DD"/>
    <w:rsid w:val="004A37D3"/>
    <w:rsid w:val="004A3AD6"/>
    <w:rsid w:val="004A5865"/>
    <w:rsid w:val="004A77DF"/>
    <w:rsid w:val="004B0295"/>
    <w:rsid w:val="004B0400"/>
    <w:rsid w:val="004B0803"/>
    <w:rsid w:val="004B10A8"/>
    <w:rsid w:val="004B22DA"/>
    <w:rsid w:val="004B3CB7"/>
    <w:rsid w:val="004B3D55"/>
    <w:rsid w:val="004B55B7"/>
    <w:rsid w:val="004B5836"/>
    <w:rsid w:val="004B623C"/>
    <w:rsid w:val="004B6A7F"/>
    <w:rsid w:val="004C00A6"/>
    <w:rsid w:val="004C0BBB"/>
    <w:rsid w:val="004C1AD6"/>
    <w:rsid w:val="004C1B86"/>
    <w:rsid w:val="004C2AF6"/>
    <w:rsid w:val="004C3382"/>
    <w:rsid w:val="004C3867"/>
    <w:rsid w:val="004C4AB7"/>
    <w:rsid w:val="004C4CD0"/>
    <w:rsid w:val="004C57B5"/>
    <w:rsid w:val="004C5C25"/>
    <w:rsid w:val="004C6717"/>
    <w:rsid w:val="004C6CFF"/>
    <w:rsid w:val="004C70DC"/>
    <w:rsid w:val="004C7268"/>
    <w:rsid w:val="004D0211"/>
    <w:rsid w:val="004D1C9C"/>
    <w:rsid w:val="004D4025"/>
    <w:rsid w:val="004D458D"/>
    <w:rsid w:val="004D504B"/>
    <w:rsid w:val="004D536E"/>
    <w:rsid w:val="004D5D6E"/>
    <w:rsid w:val="004D74FF"/>
    <w:rsid w:val="004D76CC"/>
    <w:rsid w:val="004E1803"/>
    <w:rsid w:val="004E1839"/>
    <w:rsid w:val="004E4A75"/>
    <w:rsid w:val="004E541A"/>
    <w:rsid w:val="004E5A5C"/>
    <w:rsid w:val="004E7007"/>
    <w:rsid w:val="004E76D6"/>
    <w:rsid w:val="004E7F57"/>
    <w:rsid w:val="004F0119"/>
    <w:rsid w:val="004F06F5"/>
    <w:rsid w:val="004F0C84"/>
    <w:rsid w:val="004F191F"/>
    <w:rsid w:val="004F2A73"/>
    <w:rsid w:val="004F33A0"/>
    <w:rsid w:val="004F4353"/>
    <w:rsid w:val="004F447D"/>
    <w:rsid w:val="004F4C28"/>
    <w:rsid w:val="004F4E82"/>
    <w:rsid w:val="004F5CC5"/>
    <w:rsid w:val="004F6350"/>
    <w:rsid w:val="004F67DF"/>
    <w:rsid w:val="00502230"/>
    <w:rsid w:val="005028E1"/>
    <w:rsid w:val="005029C3"/>
    <w:rsid w:val="0050692E"/>
    <w:rsid w:val="00507040"/>
    <w:rsid w:val="005079F8"/>
    <w:rsid w:val="00510189"/>
    <w:rsid w:val="005106F1"/>
    <w:rsid w:val="005108C0"/>
    <w:rsid w:val="00511873"/>
    <w:rsid w:val="0051367B"/>
    <w:rsid w:val="00513B7E"/>
    <w:rsid w:val="005140DE"/>
    <w:rsid w:val="00514474"/>
    <w:rsid w:val="005147E9"/>
    <w:rsid w:val="0051778E"/>
    <w:rsid w:val="005205A2"/>
    <w:rsid w:val="0052142D"/>
    <w:rsid w:val="005215EF"/>
    <w:rsid w:val="005230D0"/>
    <w:rsid w:val="00524637"/>
    <w:rsid w:val="00524E02"/>
    <w:rsid w:val="00524FDD"/>
    <w:rsid w:val="00525067"/>
    <w:rsid w:val="00525137"/>
    <w:rsid w:val="005251DD"/>
    <w:rsid w:val="005263D4"/>
    <w:rsid w:val="00526DB6"/>
    <w:rsid w:val="0053017A"/>
    <w:rsid w:val="00530492"/>
    <w:rsid w:val="00530C72"/>
    <w:rsid w:val="00532854"/>
    <w:rsid w:val="005350F2"/>
    <w:rsid w:val="00535152"/>
    <w:rsid w:val="00535359"/>
    <w:rsid w:val="005357A2"/>
    <w:rsid w:val="005359E3"/>
    <w:rsid w:val="00535D87"/>
    <w:rsid w:val="00535EF0"/>
    <w:rsid w:val="005363DF"/>
    <w:rsid w:val="0053734B"/>
    <w:rsid w:val="005375B1"/>
    <w:rsid w:val="00537A03"/>
    <w:rsid w:val="00537AFD"/>
    <w:rsid w:val="00537CB4"/>
    <w:rsid w:val="00541606"/>
    <w:rsid w:val="00542FA4"/>
    <w:rsid w:val="0054458F"/>
    <w:rsid w:val="0054495C"/>
    <w:rsid w:val="00544C1E"/>
    <w:rsid w:val="0054516B"/>
    <w:rsid w:val="0054559E"/>
    <w:rsid w:val="005513D5"/>
    <w:rsid w:val="005523B9"/>
    <w:rsid w:val="00552806"/>
    <w:rsid w:val="00553232"/>
    <w:rsid w:val="0055420D"/>
    <w:rsid w:val="005545E0"/>
    <w:rsid w:val="00554843"/>
    <w:rsid w:val="00554865"/>
    <w:rsid w:val="00554E57"/>
    <w:rsid w:val="00560403"/>
    <w:rsid w:val="00561B39"/>
    <w:rsid w:val="00562749"/>
    <w:rsid w:val="00562DE9"/>
    <w:rsid w:val="005638A5"/>
    <w:rsid w:val="00563BEB"/>
    <w:rsid w:val="00564AD6"/>
    <w:rsid w:val="00565109"/>
    <w:rsid w:val="00566381"/>
    <w:rsid w:val="00566A03"/>
    <w:rsid w:val="005703D7"/>
    <w:rsid w:val="00571932"/>
    <w:rsid w:val="00573C97"/>
    <w:rsid w:val="00574240"/>
    <w:rsid w:val="00575CDC"/>
    <w:rsid w:val="005765D5"/>
    <w:rsid w:val="00576A3E"/>
    <w:rsid w:val="0057703D"/>
    <w:rsid w:val="00583384"/>
    <w:rsid w:val="0058366F"/>
    <w:rsid w:val="00583D5B"/>
    <w:rsid w:val="00583FFD"/>
    <w:rsid w:val="00587CCD"/>
    <w:rsid w:val="00587E4C"/>
    <w:rsid w:val="00590502"/>
    <w:rsid w:val="005908AE"/>
    <w:rsid w:val="0059176E"/>
    <w:rsid w:val="00592854"/>
    <w:rsid w:val="00593152"/>
    <w:rsid w:val="00593CA3"/>
    <w:rsid w:val="00594161"/>
    <w:rsid w:val="00594969"/>
    <w:rsid w:val="00596C5E"/>
    <w:rsid w:val="00597897"/>
    <w:rsid w:val="005A2194"/>
    <w:rsid w:val="005A21E0"/>
    <w:rsid w:val="005A33A1"/>
    <w:rsid w:val="005A54EE"/>
    <w:rsid w:val="005A563B"/>
    <w:rsid w:val="005A6AB4"/>
    <w:rsid w:val="005A7500"/>
    <w:rsid w:val="005A77E4"/>
    <w:rsid w:val="005A7A7A"/>
    <w:rsid w:val="005B0DE8"/>
    <w:rsid w:val="005B1BDB"/>
    <w:rsid w:val="005B2BAA"/>
    <w:rsid w:val="005B2D53"/>
    <w:rsid w:val="005B3247"/>
    <w:rsid w:val="005B3409"/>
    <w:rsid w:val="005B3BB7"/>
    <w:rsid w:val="005B498A"/>
    <w:rsid w:val="005B4E00"/>
    <w:rsid w:val="005B60B5"/>
    <w:rsid w:val="005B7B12"/>
    <w:rsid w:val="005C0D93"/>
    <w:rsid w:val="005C16CB"/>
    <w:rsid w:val="005C21D6"/>
    <w:rsid w:val="005C3871"/>
    <w:rsid w:val="005C3F9F"/>
    <w:rsid w:val="005C406F"/>
    <w:rsid w:val="005C4A23"/>
    <w:rsid w:val="005C562C"/>
    <w:rsid w:val="005C5812"/>
    <w:rsid w:val="005C6400"/>
    <w:rsid w:val="005C7F1E"/>
    <w:rsid w:val="005D2B4D"/>
    <w:rsid w:val="005D374F"/>
    <w:rsid w:val="005D4336"/>
    <w:rsid w:val="005D5802"/>
    <w:rsid w:val="005D6CFC"/>
    <w:rsid w:val="005D73E2"/>
    <w:rsid w:val="005D757A"/>
    <w:rsid w:val="005D7C4B"/>
    <w:rsid w:val="005E116A"/>
    <w:rsid w:val="005E1E4B"/>
    <w:rsid w:val="005E214F"/>
    <w:rsid w:val="005E362D"/>
    <w:rsid w:val="005E3A0C"/>
    <w:rsid w:val="005E3CC9"/>
    <w:rsid w:val="005E3FAC"/>
    <w:rsid w:val="005E4177"/>
    <w:rsid w:val="005E492C"/>
    <w:rsid w:val="005E4BAA"/>
    <w:rsid w:val="005E52EF"/>
    <w:rsid w:val="005E5B56"/>
    <w:rsid w:val="005E6088"/>
    <w:rsid w:val="005E61DF"/>
    <w:rsid w:val="005E6B65"/>
    <w:rsid w:val="005E6B78"/>
    <w:rsid w:val="005E75B8"/>
    <w:rsid w:val="005E7CE4"/>
    <w:rsid w:val="005F0976"/>
    <w:rsid w:val="005F16C3"/>
    <w:rsid w:val="005F26CE"/>
    <w:rsid w:val="005F4057"/>
    <w:rsid w:val="005F4088"/>
    <w:rsid w:val="005F601D"/>
    <w:rsid w:val="005F6119"/>
    <w:rsid w:val="005F77CA"/>
    <w:rsid w:val="005F7940"/>
    <w:rsid w:val="00600E81"/>
    <w:rsid w:val="0060107A"/>
    <w:rsid w:val="00601AFF"/>
    <w:rsid w:val="00602D1D"/>
    <w:rsid w:val="00603A7F"/>
    <w:rsid w:val="00604307"/>
    <w:rsid w:val="0060487F"/>
    <w:rsid w:val="00605814"/>
    <w:rsid w:val="00606B93"/>
    <w:rsid w:val="006076A7"/>
    <w:rsid w:val="00607727"/>
    <w:rsid w:val="00610BD5"/>
    <w:rsid w:val="00611531"/>
    <w:rsid w:val="006118AA"/>
    <w:rsid w:val="006132A2"/>
    <w:rsid w:val="006135BC"/>
    <w:rsid w:val="006139C7"/>
    <w:rsid w:val="006153E3"/>
    <w:rsid w:val="00615EDF"/>
    <w:rsid w:val="00616542"/>
    <w:rsid w:val="006167AB"/>
    <w:rsid w:val="00616EA3"/>
    <w:rsid w:val="00617D13"/>
    <w:rsid w:val="00617D2D"/>
    <w:rsid w:val="00617D83"/>
    <w:rsid w:val="00617EC9"/>
    <w:rsid w:val="00620430"/>
    <w:rsid w:val="00620AC5"/>
    <w:rsid w:val="00621575"/>
    <w:rsid w:val="006215FC"/>
    <w:rsid w:val="006228BE"/>
    <w:rsid w:val="00623B77"/>
    <w:rsid w:val="00624093"/>
    <w:rsid w:val="00624EC8"/>
    <w:rsid w:val="00625E54"/>
    <w:rsid w:val="00627678"/>
    <w:rsid w:val="00630F66"/>
    <w:rsid w:val="00631562"/>
    <w:rsid w:val="00631FC2"/>
    <w:rsid w:val="00632171"/>
    <w:rsid w:val="0063332A"/>
    <w:rsid w:val="00633FBD"/>
    <w:rsid w:val="006347F9"/>
    <w:rsid w:val="0063494E"/>
    <w:rsid w:val="00634C90"/>
    <w:rsid w:val="00635E79"/>
    <w:rsid w:val="00636E5E"/>
    <w:rsid w:val="006379E0"/>
    <w:rsid w:val="006404A7"/>
    <w:rsid w:val="006407F3"/>
    <w:rsid w:val="006408EC"/>
    <w:rsid w:val="0064129B"/>
    <w:rsid w:val="00641DF7"/>
    <w:rsid w:val="0064354E"/>
    <w:rsid w:val="00643A80"/>
    <w:rsid w:val="006446CA"/>
    <w:rsid w:val="00644DFC"/>
    <w:rsid w:val="006451E4"/>
    <w:rsid w:val="006454B4"/>
    <w:rsid w:val="00645A9C"/>
    <w:rsid w:val="0064608E"/>
    <w:rsid w:val="006460B8"/>
    <w:rsid w:val="00647313"/>
    <w:rsid w:val="006502D1"/>
    <w:rsid w:val="006504A0"/>
    <w:rsid w:val="00650B18"/>
    <w:rsid w:val="006520C7"/>
    <w:rsid w:val="006520D5"/>
    <w:rsid w:val="00652CBB"/>
    <w:rsid w:val="006530B8"/>
    <w:rsid w:val="006535D6"/>
    <w:rsid w:val="00656716"/>
    <w:rsid w:val="006572ED"/>
    <w:rsid w:val="00657E87"/>
    <w:rsid w:val="00660457"/>
    <w:rsid w:val="00660E1E"/>
    <w:rsid w:val="006637B1"/>
    <w:rsid w:val="00664B64"/>
    <w:rsid w:val="00664C15"/>
    <w:rsid w:val="00665D67"/>
    <w:rsid w:val="00665D77"/>
    <w:rsid w:val="006660CD"/>
    <w:rsid w:val="00666EC8"/>
    <w:rsid w:val="00666F4B"/>
    <w:rsid w:val="006676D0"/>
    <w:rsid w:val="0066796E"/>
    <w:rsid w:val="00670FAC"/>
    <w:rsid w:val="006710C9"/>
    <w:rsid w:val="006716A5"/>
    <w:rsid w:val="006732A0"/>
    <w:rsid w:val="00673940"/>
    <w:rsid w:val="00675E37"/>
    <w:rsid w:val="00676AFC"/>
    <w:rsid w:val="00676F11"/>
    <w:rsid w:val="00680079"/>
    <w:rsid w:val="00680F68"/>
    <w:rsid w:val="006812E6"/>
    <w:rsid w:val="0068173A"/>
    <w:rsid w:val="0068260E"/>
    <w:rsid w:val="00682BD7"/>
    <w:rsid w:val="0068373D"/>
    <w:rsid w:val="00683BFE"/>
    <w:rsid w:val="00683C08"/>
    <w:rsid w:val="0068437D"/>
    <w:rsid w:val="006857DF"/>
    <w:rsid w:val="00685E66"/>
    <w:rsid w:val="00686B72"/>
    <w:rsid w:val="00686BF1"/>
    <w:rsid w:val="00687AE5"/>
    <w:rsid w:val="00690A09"/>
    <w:rsid w:val="00690A25"/>
    <w:rsid w:val="006914E4"/>
    <w:rsid w:val="00693313"/>
    <w:rsid w:val="006936AD"/>
    <w:rsid w:val="00693EA1"/>
    <w:rsid w:val="00693FEA"/>
    <w:rsid w:val="00694930"/>
    <w:rsid w:val="006949B2"/>
    <w:rsid w:val="00695170"/>
    <w:rsid w:val="00695BEF"/>
    <w:rsid w:val="006960D6"/>
    <w:rsid w:val="00696AA5"/>
    <w:rsid w:val="006977F6"/>
    <w:rsid w:val="00697A13"/>
    <w:rsid w:val="006A0256"/>
    <w:rsid w:val="006A0AA6"/>
    <w:rsid w:val="006A109C"/>
    <w:rsid w:val="006A18AE"/>
    <w:rsid w:val="006A2EE8"/>
    <w:rsid w:val="006A3CF3"/>
    <w:rsid w:val="006A568F"/>
    <w:rsid w:val="006A65EF"/>
    <w:rsid w:val="006A672B"/>
    <w:rsid w:val="006A7E01"/>
    <w:rsid w:val="006B23A9"/>
    <w:rsid w:val="006B262C"/>
    <w:rsid w:val="006B281D"/>
    <w:rsid w:val="006B3F8A"/>
    <w:rsid w:val="006B5CA3"/>
    <w:rsid w:val="006B6B3B"/>
    <w:rsid w:val="006B7248"/>
    <w:rsid w:val="006B7714"/>
    <w:rsid w:val="006B78D8"/>
    <w:rsid w:val="006C090F"/>
    <w:rsid w:val="006C0935"/>
    <w:rsid w:val="006C0BCE"/>
    <w:rsid w:val="006C113F"/>
    <w:rsid w:val="006C2AED"/>
    <w:rsid w:val="006C38DD"/>
    <w:rsid w:val="006C53C7"/>
    <w:rsid w:val="006C5440"/>
    <w:rsid w:val="006C5577"/>
    <w:rsid w:val="006C559A"/>
    <w:rsid w:val="006C58FA"/>
    <w:rsid w:val="006C7458"/>
    <w:rsid w:val="006C7600"/>
    <w:rsid w:val="006D042D"/>
    <w:rsid w:val="006D06EF"/>
    <w:rsid w:val="006D142E"/>
    <w:rsid w:val="006D3290"/>
    <w:rsid w:val="006D4497"/>
    <w:rsid w:val="006D4E6F"/>
    <w:rsid w:val="006D61F6"/>
    <w:rsid w:val="006D6D7D"/>
    <w:rsid w:val="006E0937"/>
    <w:rsid w:val="006E0EB0"/>
    <w:rsid w:val="006E1F4C"/>
    <w:rsid w:val="006E22C8"/>
    <w:rsid w:val="006E279A"/>
    <w:rsid w:val="006E2F3F"/>
    <w:rsid w:val="006E313B"/>
    <w:rsid w:val="006E442A"/>
    <w:rsid w:val="006E4434"/>
    <w:rsid w:val="006E59FC"/>
    <w:rsid w:val="006E5CFD"/>
    <w:rsid w:val="006E7E2C"/>
    <w:rsid w:val="006F1326"/>
    <w:rsid w:val="006F2BEE"/>
    <w:rsid w:val="006F3708"/>
    <w:rsid w:val="006F3E6B"/>
    <w:rsid w:val="006F4619"/>
    <w:rsid w:val="006F489F"/>
    <w:rsid w:val="006F4A59"/>
    <w:rsid w:val="006F59A3"/>
    <w:rsid w:val="00700232"/>
    <w:rsid w:val="007014C7"/>
    <w:rsid w:val="00702D6F"/>
    <w:rsid w:val="00703B6C"/>
    <w:rsid w:val="00703C6B"/>
    <w:rsid w:val="007047D5"/>
    <w:rsid w:val="00705025"/>
    <w:rsid w:val="00705D98"/>
    <w:rsid w:val="00707891"/>
    <w:rsid w:val="00707D43"/>
    <w:rsid w:val="00711CB9"/>
    <w:rsid w:val="00711EF1"/>
    <w:rsid w:val="0071229A"/>
    <w:rsid w:val="00712572"/>
    <w:rsid w:val="00713495"/>
    <w:rsid w:val="00713EEB"/>
    <w:rsid w:val="007159D2"/>
    <w:rsid w:val="007200D6"/>
    <w:rsid w:val="0072050E"/>
    <w:rsid w:val="00720FA2"/>
    <w:rsid w:val="007211F5"/>
    <w:rsid w:val="00724666"/>
    <w:rsid w:val="00725492"/>
    <w:rsid w:val="00726043"/>
    <w:rsid w:val="0072704A"/>
    <w:rsid w:val="007303DF"/>
    <w:rsid w:val="00730AE8"/>
    <w:rsid w:val="007315DA"/>
    <w:rsid w:val="00731963"/>
    <w:rsid w:val="00734321"/>
    <w:rsid w:val="0073532E"/>
    <w:rsid w:val="007377A7"/>
    <w:rsid w:val="00740310"/>
    <w:rsid w:val="00740652"/>
    <w:rsid w:val="00740F02"/>
    <w:rsid w:val="00740FEC"/>
    <w:rsid w:val="0074103A"/>
    <w:rsid w:val="0074132E"/>
    <w:rsid w:val="00741493"/>
    <w:rsid w:val="00741C92"/>
    <w:rsid w:val="007426B3"/>
    <w:rsid w:val="007426FD"/>
    <w:rsid w:val="0074329D"/>
    <w:rsid w:val="00743861"/>
    <w:rsid w:val="00744376"/>
    <w:rsid w:val="007449EA"/>
    <w:rsid w:val="00744D00"/>
    <w:rsid w:val="00745273"/>
    <w:rsid w:val="00746DD9"/>
    <w:rsid w:val="0075057A"/>
    <w:rsid w:val="00751771"/>
    <w:rsid w:val="00751C1C"/>
    <w:rsid w:val="00752180"/>
    <w:rsid w:val="007521A1"/>
    <w:rsid w:val="0075275A"/>
    <w:rsid w:val="00752BC3"/>
    <w:rsid w:val="0075315D"/>
    <w:rsid w:val="007538F9"/>
    <w:rsid w:val="00754253"/>
    <w:rsid w:val="00755045"/>
    <w:rsid w:val="007552BB"/>
    <w:rsid w:val="007558D3"/>
    <w:rsid w:val="007559D7"/>
    <w:rsid w:val="00755D3A"/>
    <w:rsid w:val="00760141"/>
    <w:rsid w:val="007609C6"/>
    <w:rsid w:val="007610A0"/>
    <w:rsid w:val="00761D43"/>
    <w:rsid w:val="00762036"/>
    <w:rsid w:val="007620F2"/>
    <w:rsid w:val="00762EBA"/>
    <w:rsid w:val="00763547"/>
    <w:rsid w:val="0076359D"/>
    <w:rsid w:val="007639E7"/>
    <w:rsid w:val="0077058D"/>
    <w:rsid w:val="007708DF"/>
    <w:rsid w:val="00772536"/>
    <w:rsid w:val="00773613"/>
    <w:rsid w:val="00774782"/>
    <w:rsid w:val="00776476"/>
    <w:rsid w:val="00776527"/>
    <w:rsid w:val="0077744C"/>
    <w:rsid w:val="007805E1"/>
    <w:rsid w:val="0078113E"/>
    <w:rsid w:val="00781834"/>
    <w:rsid w:val="007821DB"/>
    <w:rsid w:val="00782818"/>
    <w:rsid w:val="007838F1"/>
    <w:rsid w:val="00784712"/>
    <w:rsid w:val="00784C4A"/>
    <w:rsid w:val="00785FCA"/>
    <w:rsid w:val="00787432"/>
    <w:rsid w:val="00787507"/>
    <w:rsid w:val="0078777B"/>
    <w:rsid w:val="00787959"/>
    <w:rsid w:val="007879F2"/>
    <w:rsid w:val="00791CF8"/>
    <w:rsid w:val="00791E7B"/>
    <w:rsid w:val="00791EF9"/>
    <w:rsid w:val="00792262"/>
    <w:rsid w:val="00793387"/>
    <w:rsid w:val="00793BAE"/>
    <w:rsid w:val="00794E0A"/>
    <w:rsid w:val="007952D6"/>
    <w:rsid w:val="00796642"/>
    <w:rsid w:val="007A0BF4"/>
    <w:rsid w:val="007A11D9"/>
    <w:rsid w:val="007A327B"/>
    <w:rsid w:val="007A3BC7"/>
    <w:rsid w:val="007A4048"/>
    <w:rsid w:val="007A45B1"/>
    <w:rsid w:val="007A4606"/>
    <w:rsid w:val="007A48FC"/>
    <w:rsid w:val="007A5AC8"/>
    <w:rsid w:val="007B010B"/>
    <w:rsid w:val="007B06C4"/>
    <w:rsid w:val="007B089E"/>
    <w:rsid w:val="007B0D67"/>
    <w:rsid w:val="007B1966"/>
    <w:rsid w:val="007B19FC"/>
    <w:rsid w:val="007B2779"/>
    <w:rsid w:val="007B3DCC"/>
    <w:rsid w:val="007B4518"/>
    <w:rsid w:val="007B5031"/>
    <w:rsid w:val="007B573F"/>
    <w:rsid w:val="007B75A9"/>
    <w:rsid w:val="007B78F8"/>
    <w:rsid w:val="007C0065"/>
    <w:rsid w:val="007C010B"/>
    <w:rsid w:val="007C3AE3"/>
    <w:rsid w:val="007C605B"/>
    <w:rsid w:val="007D2A5A"/>
    <w:rsid w:val="007D2AD8"/>
    <w:rsid w:val="007D2C47"/>
    <w:rsid w:val="007D2F81"/>
    <w:rsid w:val="007D3167"/>
    <w:rsid w:val="007D4128"/>
    <w:rsid w:val="007D4281"/>
    <w:rsid w:val="007D42F5"/>
    <w:rsid w:val="007D44C3"/>
    <w:rsid w:val="007D4AA5"/>
    <w:rsid w:val="007D5947"/>
    <w:rsid w:val="007D65C1"/>
    <w:rsid w:val="007E0278"/>
    <w:rsid w:val="007E030F"/>
    <w:rsid w:val="007E0E59"/>
    <w:rsid w:val="007E0F4B"/>
    <w:rsid w:val="007E1D89"/>
    <w:rsid w:val="007E292E"/>
    <w:rsid w:val="007E3715"/>
    <w:rsid w:val="007E527B"/>
    <w:rsid w:val="007E54E8"/>
    <w:rsid w:val="007E6A56"/>
    <w:rsid w:val="007E7E61"/>
    <w:rsid w:val="007F0037"/>
    <w:rsid w:val="007F0845"/>
    <w:rsid w:val="007F123D"/>
    <w:rsid w:val="007F16F9"/>
    <w:rsid w:val="007F2732"/>
    <w:rsid w:val="007F2E1A"/>
    <w:rsid w:val="007F3E3E"/>
    <w:rsid w:val="007F4167"/>
    <w:rsid w:val="007F42E0"/>
    <w:rsid w:val="007F43A1"/>
    <w:rsid w:val="007F500D"/>
    <w:rsid w:val="007F5F14"/>
    <w:rsid w:val="007F7B54"/>
    <w:rsid w:val="00800073"/>
    <w:rsid w:val="008005D7"/>
    <w:rsid w:val="00801FDD"/>
    <w:rsid w:val="008020C2"/>
    <w:rsid w:val="0080255C"/>
    <w:rsid w:val="00803BD2"/>
    <w:rsid w:val="00804914"/>
    <w:rsid w:val="00806625"/>
    <w:rsid w:val="00806D07"/>
    <w:rsid w:val="00807B2D"/>
    <w:rsid w:val="00811859"/>
    <w:rsid w:val="0081187C"/>
    <w:rsid w:val="00811E24"/>
    <w:rsid w:val="00812386"/>
    <w:rsid w:val="00812E2B"/>
    <w:rsid w:val="008137CD"/>
    <w:rsid w:val="00813A70"/>
    <w:rsid w:val="00813FE6"/>
    <w:rsid w:val="00815C6E"/>
    <w:rsid w:val="0081645F"/>
    <w:rsid w:val="00816608"/>
    <w:rsid w:val="00816E02"/>
    <w:rsid w:val="00817702"/>
    <w:rsid w:val="00817755"/>
    <w:rsid w:val="008178C2"/>
    <w:rsid w:val="008178CF"/>
    <w:rsid w:val="00817C98"/>
    <w:rsid w:val="00820773"/>
    <w:rsid w:val="00820C9F"/>
    <w:rsid w:val="0082132B"/>
    <w:rsid w:val="00821FF6"/>
    <w:rsid w:val="00823AAF"/>
    <w:rsid w:val="0082401E"/>
    <w:rsid w:val="00824081"/>
    <w:rsid w:val="0082409A"/>
    <w:rsid w:val="008252D7"/>
    <w:rsid w:val="008253E0"/>
    <w:rsid w:val="00825C0F"/>
    <w:rsid w:val="00826ED1"/>
    <w:rsid w:val="00827181"/>
    <w:rsid w:val="0082733C"/>
    <w:rsid w:val="00827746"/>
    <w:rsid w:val="0083102D"/>
    <w:rsid w:val="0083143E"/>
    <w:rsid w:val="0083159D"/>
    <w:rsid w:val="008318FF"/>
    <w:rsid w:val="00831EF3"/>
    <w:rsid w:val="00832187"/>
    <w:rsid w:val="0083239D"/>
    <w:rsid w:val="00832493"/>
    <w:rsid w:val="008329BD"/>
    <w:rsid w:val="008336D8"/>
    <w:rsid w:val="008339C4"/>
    <w:rsid w:val="00834F0A"/>
    <w:rsid w:val="00834FAA"/>
    <w:rsid w:val="00835181"/>
    <w:rsid w:val="00835991"/>
    <w:rsid w:val="00836086"/>
    <w:rsid w:val="00840699"/>
    <w:rsid w:val="00841D9F"/>
    <w:rsid w:val="00842604"/>
    <w:rsid w:val="00843ECF"/>
    <w:rsid w:val="00845AB1"/>
    <w:rsid w:val="00846673"/>
    <w:rsid w:val="0085049D"/>
    <w:rsid w:val="008507C8"/>
    <w:rsid w:val="0085281A"/>
    <w:rsid w:val="008559FE"/>
    <w:rsid w:val="00855F63"/>
    <w:rsid w:val="00857339"/>
    <w:rsid w:val="00860706"/>
    <w:rsid w:val="0086158A"/>
    <w:rsid w:val="00861DCB"/>
    <w:rsid w:val="00862A7A"/>
    <w:rsid w:val="00863104"/>
    <w:rsid w:val="008636CD"/>
    <w:rsid w:val="00863D9E"/>
    <w:rsid w:val="00863FDC"/>
    <w:rsid w:val="008642AF"/>
    <w:rsid w:val="00865729"/>
    <w:rsid w:val="00865ED4"/>
    <w:rsid w:val="008669A7"/>
    <w:rsid w:val="00867E29"/>
    <w:rsid w:val="00870F2B"/>
    <w:rsid w:val="00871F03"/>
    <w:rsid w:val="008724FE"/>
    <w:rsid w:val="008746E6"/>
    <w:rsid w:val="00875174"/>
    <w:rsid w:val="0087594C"/>
    <w:rsid w:val="00876086"/>
    <w:rsid w:val="008765FA"/>
    <w:rsid w:val="008768D6"/>
    <w:rsid w:val="008775D1"/>
    <w:rsid w:val="008777BB"/>
    <w:rsid w:val="00877D68"/>
    <w:rsid w:val="00877E5D"/>
    <w:rsid w:val="00880150"/>
    <w:rsid w:val="00880ABA"/>
    <w:rsid w:val="008826F7"/>
    <w:rsid w:val="0088369C"/>
    <w:rsid w:val="00883A67"/>
    <w:rsid w:val="00883D45"/>
    <w:rsid w:val="00884D69"/>
    <w:rsid w:val="00884DD6"/>
    <w:rsid w:val="0088503D"/>
    <w:rsid w:val="00886A8F"/>
    <w:rsid w:val="0088733A"/>
    <w:rsid w:val="00891BE0"/>
    <w:rsid w:val="00893302"/>
    <w:rsid w:val="00893648"/>
    <w:rsid w:val="00893F3C"/>
    <w:rsid w:val="008945A1"/>
    <w:rsid w:val="00894A63"/>
    <w:rsid w:val="00895A54"/>
    <w:rsid w:val="00896916"/>
    <w:rsid w:val="00896BDE"/>
    <w:rsid w:val="008A0861"/>
    <w:rsid w:val="008A0BB2"/>
    <w:rsid w:val="008A1AB3"/>
    <w:rsid w:val="008A1D5C"/>
    <w:rsid w:val="008A3292"/>
    <w:rsid w:val="008A3A85"/>
    <w:rsid w:val="008A43E9"/>
    <w:rsid w:val="008A4CB1"/>
    <w:rsid w:val="008A4E39"/>
    <w:rsid w:val="008A615E"/>
    <w:rsid w:val="008A632B"/>
    <w:rsid w:val="008A6BFE"/>
    <w:rsid w:val="008A7D9F"/>
    <w:rsid w:val="008B00C2"/>
    <w:rsid w:val="008B07EF"/>
    <w:rsid w:val="008B16DE"/>
    <w:rsid w:val="008B190E"/>
    <w:rsid w:val="008B1A8A"/>
    <w:rsid w:val="008B1FC9"/>
    <w:rsid w:val="008B531F"/>
    <w:rsid w:val="008B6B67"/>
    <w:rsid w:val="008B7306"/>
    <w:rsid w:val="008B775F"/>
    <w:rsid w:val="008B7C02"/>
    <w:rsid w:val="008B7C62"/>
    <w:rsid w:val="008B7D13"/>
    <w:rsid w:val="008B7F9E"/>
    <w:rsid w:val="008C034E"/>
    <w:rsid w:val="008C0E88"/>
    <w:rsid w:val="008C1399"/>
    <w:rsid w:val="008C1AA8"/>
    <w:rsid w:val="008C22A8"/>
    <w:rsid w:val="008C4EBC"/>
    <w:rsid w:val="008C5B43"/>
    <w:rsid w:val="008C5E68"/>
    <w:rsid w:val="008C63FD"/>
    <w:rsid w:val="008C6CB8"/>
    <w:rsid w:val="008C7815"/>
    <w:rsid w:val="008C7A07"/>
    <w:rsid w:val="008D0171"/>
    <w:rsid w:val="008D1037"/>
    <w:rsid w:val="008D13EA"/>
    <w:rsid w:val="008D1C7C"/>
    <w:rsid w:val="008D2671"/>
    <w:rsid w:val="008D2A16"/>
    <w:rsid w:val="008D2ECF"/>
    <w:rsid w:val="008D347D"/>
    <w:rsid w:val="008D3F3D"/>
    <w:rsid w:val="008D4A87"/>
    <w:rsid w:val="008D59DD"/>
    <w:rsid w:val="008E0367"/>
    <w:rsid w:val="008E308D"/>
    <w:rsid w:val="008E30A5"/>
    <w:rsid w:val="008E31FF"/>
    <w:rsid w:val="008E46A3"/>
    <w:rsid w:val="008E5B85"/>
    <w:rsid w:val="008E5DE6"/>
    <w:rsid w:val="008E6113"/>
    <w:rsid w:val="008E6AB3"/>
    <w:rsid w:val="008E6AD3"/>
    <w:rsid w:val="008E71A6"/>
    <w:rsid w:val="008E77B6"/>
    <w:rsid w:val="008E7902"/>
    <w:rsid w:val="008E7C55"/>
    <w:rsid w:val="008F032E"/>
    <w:rsid w:val="008F0F14"/>
    <w:rsid w:val="008F226E"/>
    <w:rsid w:val="008F37DA"/>
    <w:rsid w:val="008F4FCE"/>
    <w:rsid w:val="008F5301"/>
    <w:rsid w:val="008F6967"/>
    <w:rsid w:val="008F6A0C"/>
    <w:rsid w:val="008F6F38"/>
    <w:rsid w:val="008F6F88"/>
    <w:rsid w:val="008F7019"/>
    <w:rsid w:val="008F7721"/>
    <w:rsid w:val="008F7D28"/>
    <w:rsid w:val="009003A8"/>
    <w:rsid w:val="009010A7"/>
    <w:rsid w:val="00901AF3"/>
    <w:rsid w:val="00901E9C"/>
    <w:rsid w:val="00902CBE"/>
    <w:rsid w:val="00902D74"/>
    <w:rsid w:val="00902EFF"/>
    <w:rsid w:val="00903E06"/>
    <w:rsid w:val="00904B9D"/>
    <w:rsid w:val="00905A11"/>
    <w:rsid w:val="009066E1"/>
    <w:rsid w:val="00907A41"/>
    <w:rsid w:val="009102BD"/>
    <w:rsid w:val="00910F93"/>
    <w:rsid w:val="00911AE9"/>
    <w:rsid w:val="0091255A"/>
    <w:rsid w:val="00914426"/>
    <w:rsid w:val="00914B3C"/>
    <w:rsid w:val="0091675F"/>
    <w:rsid w:val="00917709"/>
    <w:rsid w:val="00917918"/>
    <w:rsid w:val="00920874"/>
    <w:rsid w:val="00921DAB"/>
    <w:rsid w:val="00921F14"/>
    <w:rsid w:val="00923750"/>
    <w:rsid w:val="009243A5"/>
    <w:rsid w:val="0092500F"/>
    <w:rsid w:val="009250D2"/>
    <w:rsid w:val="0092540B"/>
    <w:rsid w:val="009256C5"/>
    <w:rsid w:val="00926283"/>
    <w:rsid w:val="009271BA"/>
    <w:rsid w:val="00927C5A"/>
    <w:rsid w:val="009306BE"/>
    <w:rsid w:val="00930C07"/>
    <w:rsid w:val="00932E61"/>
    <w:rsid w:val="00937B11"/>
    <w:rsid w:val="00940F1F"/>
    <w:rsid w:val="00941250"/>
    <w:rsid w:val="00941AF1"/>
    <w:rsid w:val="00941C48"/>
    <w:rsid w:val="00942546"/>
    <w:rsid w:val="00943373"/>
    <w:rsid w:val="00943C92"/>
    <w:rsid w:val="0094427A"/>
    <w:rsid w:val="00944380"/>
    <w:rsid w:val="009459C5"/>
    <w:rsid w:val="0094626C"/>
    <w:rsid w:val="0095013A"/>
    <w:rsid w:val="00950754"/>
    <w:rsid w:val="00953AEF"/>
    <w:rsid w:val="00953F7E"/>
    <w:rsid w:val="00954AAA"/>
    <w:rsid w:val="009551E2"/>
    <w:rsid w:val="00955783"/>
    <w:rsid w:val="009558A6"/>
    <w:rsid w:val="00955E5F"/>
    <w:rsid w:val="009560B0"/>
    <w:rsid w:val="00956F23"/>
    <w:rsid w:val="009576AC"/>
    <w:rsid w:val="00957871"/>
    <w:rsid w:val="00960077"/>
    <w:rsid w:val="00960769"/>
    <w:rsid w:val="009620B8"/>
    <w:rsid w:val="00962D2E"/>
    <w:rsid w:val="00963724"/>
    <w:rsid w:val="00963BC7"/>
    <w:rsid w:val="00964498"/>
    <w:rsid w:val="0096504D"/>
    <w:rsid w:val="00965795"/>
    <w:rsid w:val="00965A2D"/>
    <w:rsid w:val="009663EB"/>
    <w:rsid w:val="0096650F"/>
    <w:rsid w:val="0096701E"/>
    <w:rsid w:val="00967801"/>
    <w:rsid w:val="00967AD2"/>
    <w:rsid w:val="009700DB"/>
    <w:rsid w:val="00971D95"/>
    <w:rsid w:val="00971DC6"/>
    <w:rsid w:val="00972263"/>
    <w:rsid w:val="00972502"/>
    <w:rsid w:val="00972D8D"/>
    <w:rsid w:val="009733E3"/>
    <w:rsid w:val="00973AAE"/>
    <w:rsid w:val="0097476C"/>
    <w:rsid w:val="00974923"/>
    <w:rsid w:val="00974D48"/>
    <w:rsid w:val="00974D5F"/>
    <w:rsid w:val="00975017"/>
    <w:rsid w:val="009759DF"/>
    <w:rsid w:val="00975F89"/>
    <w:rsid w:val="00980373"/>
    <w:rsid w:val="00980621"/>
    <w:rsid w:val="0098095B"/>
    <w:rsid w:val="00980BE0"/>
    <w:rsid w:val="00982072"/>
    <w:rsid w:val="009833FA"/>
    <w:rsid w:val="00983DBB"/>
    <w:rsid w:val="00983ECF"/>
    <w:rsid w:val="00986745"/>
    <w:rsid w:val="009867BC"/>
    <w:rsid w:val="00987109"/>
    <w:rsid w:val="00987309"/>
    <w:rsid w:val="0099012D"/>
    <w:rsid w:val="00990363"/>
    <w:rsid w:val="00990C3F"/>
    <w:rsid w:val="00990D4D"/>
    <w:rsid w:val="00993D0C"/>
    <w:rsid w:val="009954FF"/>
    <w:rsid w:val="00995E2F"/>
    <w:rsid w:val="00995E5E"/>
    <w:rsid w:val="009961BC"/>
    <w:rsid w:val="00996355"/>
    <w:rsid w:val="00996686"/>
    <w:rsid w:val="00996A0B"/>
    <w:rsid w:val="009A1229"/>
    <w:rsid w:val="009A2014"/>
    <w:rsid w:val="009A3A87"/>
    <w:rsid w:val="009A3BB2"/>
    <w:rsid w:val="009A4E12"/>
    <w:rsid w:val="009A5C68"/>
    <w:rsid w:val="009A6EF7"/>
    <w:rsid w:val="009B04D0"/>
    <w:rsid w:val="009B052C"/>
    <w:rsid w:val="009B0EF2"/>
    <w:rsid w:val="009B1158"/>
    <w:rsid w:val="009B23A3"/>
    <w:rsid w:val="009B4925"/>
    <w:rsid w:val="009B4B4B"/>
    <w:rsid w:val="009B56EC"/>
    <w:rsid w:val="009B6FD3"/>
    <w:rsid w:val="009B70BD"/>
    <w:rsid w:val="009C07A5"/>
    <w:rsid w:val="009C21BA"/>
    <w:rsid w:val="009C24A8"/>
    <w:rsid w:val="009C3705"/>
    <w:rsid w:val="009C51CD"/>
    <w:rsid w:val="009C7388"/>
    <w:rsid w:val="009D0CFF"/>
    <w:rsid w:val="009D1551"/>
    <w:rsid w:val="009D2859"/>
    <w:rsid w:val="009D2DE9"/>
    <w:rsid w:val="009D36EC"/>
    <w:rsid w:val="009D4173"/>
    <w:rsid w:val="009D4612"/>
    <w:rsid w:val="009D6095"/>
    <w:rsid w:val="009D6306"/>
    <w:rsid w:val="009E048A"/>
    <w:rsid w:val="009E1B67"/>
    <w:rsid w:val="009E1FBA"/>
    <w:rsid w:val="009E2C54"/>
    <w:rsid w:val="009E3710"/>
    <w:rsid w:val="009E55E3"/>
    <w:rsid w:val="009E6F65"/>
    <w:rsid w:val="009E7340"/>
    <w:rsid w:val="009E7B1F"/>
    <w:rsid w:val="009F1790"/>
    <w:rsid w:val="009F2470"/>
    <w:rsid w:val="009F3FC3"/>
    <w:rsid w:val="009F41C4"/>
    <w:rsid w:val="009F5846"/>
    <w:rsid w:val="009F6C80"/>
    <w:rsid w:val="009F7B52"/>
    <w:rsid w:val="009F7D77"/>
    <w:rsid w:val="00A004D2"/>
    <w:rsid w:val="00A015EA"/>
    <w:rsid w:val="00A03A9E"/>
    <w:rsid w:val="00A06ADC"/>
    <w:rsid w:val="00A07582"/>
    <w:rsid w:val="00A10D66"/>
    <w:rsid w:val="00A1155A"/>
    <w:rsid w:val="00A12BA8"/>
    <w:rsid w:val="00A135F1"/>
    <w:rsid w:val="00A13C9E"/>
    <w:rsid w:val="00A1420C"/>
    <w:rsid w:val="00A1456C"/>
    <w:rsid w:val="00A14821"/>
    <w:rsid w:val="00A170B3"/>
    <w:rsid w:val="00A17754"/>
    <w:rsid w:val="00A17C11"/>
    <w:rsid w:val="00A2055B"/>
    <w:rsid w:val="00A2253C"/>
    <w:rsid w:val="00A23545"/>
    <w:rsid w:val="00A23A55"/>
    <w:rsid w:val="00A23E43"/>
    <w:rsid w:val="00A243B6"/>
    <w:rsid w:val="00A24F8C"/>
    <w:rsid w:val="00A262BF"/>
    <w:rsid w:val="00A2683D"/>
    <w:rsid w:val="00A271AD"/>
    <w:rsid w:val="00A276D5"/>
    <w:rsid w:val="00A30336"/>
    <w:rsid w:val="00A304FE"/>
    <w:rsid w:val="00A305E3"/>
    <w:rsid w:val="00A30BB5"/>
    <w:rsid w:val="00A3128F"/>
    <w:rsid w:val="00A31C8B"/>
    <w:rsid w:val="00A326D0"/>
    <w:rsid w:val="00A35287"/>
    <w:rsid w:val="00A36B1A"/>
    <w:rsid w:val="00A37483"/>
    <w:rsid w:val="00A378F8"/>
    <w:rsid w:val="00A37EE9"/>
    <w:rsid w:val="00A40B19"/>
    <w:rsid w:val="00A40C3F"/>
    <w:rsid w:val="00A41D07"/>
    <w:rsid w:val="00A420DF"/>
    <w:rsid w:val="00A424F8"/>
    <w:rsid w:val="00A42883"/>
    <w:rsid w:val="00A436CC"/>
    <w:rsid w:val="00A437B7"/>
    <w:rsid w:val="00A465B4"/>
    <w:rsid w:val="00A46D48"/>
    <w:rsid w:val="00A46DE0"/>
    <w:rsid w:val="00A4778A"/>
    <w:rsid w:val="00A47C94"/>
    <w:rsid w:val="00A504C0"/>
    <w:rsid w:val="00A5067F"/>
    <w:rsid w:val="00A50E27"/>
    <w:rsid w:val="00A517C1"/>
    <w:rsid w:val="00A53058"/>
    <w:rsid w:val="00A55301"/>
    <w:rsid w:val="00A572FB"/>
    <w:rsid w:val="00A57B3C"/>
    <w:rsid w:val="00A57F1B"/>
    <w:rsid w:val="00A6128E"/>
    <w:rsid w:val="00A62CE1"/>
    <w:rsid w:val="00A631FA"/>
    <w:rsid w:val="00A64203"/>
    <w:rsid w:val="00A64348"/>
    <w:rsid w:val="00A644E1"/>
    <w:rsid w:val="00A65901"/>
    <w:rsid w:val="00A67855"/>
    <w:rsid w:val="00A7015E"/>
    <w:rsid w:val="00A711B0"/>
    <w:rsid w:val="00A716EC"/>
    <w:rsid w:val="00A721FB"/>
    <w:rsid w:val="00A727BA"/>
    <w:rsid w:val="00A72D4B"/>
    <w:rsid w:val="00A732AE"/>
    <w:rsid w:val="00A73CF4"/>
    <w:rsid w:val="00A74E80"/>
    <w:rsid w:val="00A75E40"/>
    <w:rsid w:val="00A77EB2"/>
    <w:rsid w:val="00A81094"/>
    <w:rsid w:val="00A81441"/>
    <w:rsid w:val="00A82B66"/>
    <w:rsid w:val="00A83B58"/>
    <w:rsid w:val="00A84FAF"/>
    <w:rsid w:val="00A851B6"/>
    <w:rsid w:val="00A85729"/>
    <w:rsid w:val="00A8574B"/>
    <w:rsid w:val="00A857C0"/>
    <w:rsid w:val="00A859BA"/>
    <w:rsid w:val="00A85C47"/>
    <w:rsid w:val="00A87C44"/>
    <w:rsid w:val="00A90343"/>
    <w:rsid w:val="00A91336"/>
    <w:rsid w:val="00A9221C"/>
    <w:rsid w:val="00A94628"/>
    <w:rsid w:val="00A94954"/>
    <w:rsid w:val="00A95BD0"/>
    <w:rsid w:val="00A96463"/>
    <w:rsid w:val="00A96A24"/>
    <w:rsid w:val="00A977EC"/>
    <w:rsid w:val="00A97E3F"/>
    <w:rsid w:val="00AA09D3"/>
    <w:rsid w:val="00AA1F5D"/>
    <w:rsid w:val="00AA23FB"/>
    <w:rsid w:val="00AA42AB"/>
    <w:rsid w:val="00AA4B93"/>
    <w:rsid w:val="00AA559A"/>
    <w:rsid w:val="00AA5F10"/>
    <w:rsid w:val="00AA7FDC"/>
    <w:rsid w:val="00AB104D"/>
    <w:rsid w:val="00AB1441"/>
    <w:rsid w:val="00AB2AF1"/>
    <w:rsid w:val="00AB2FD6"/>
    <w:rsid w:val="00AB35BA"/>
    <w:rsid w:val="00AB440B"/>
    <w:rsid w:val="00AB47E3"/>
    <w:rsid w:val="00AB74C5"/>
    <w:rsid w:val="00AB76B0"/>
    <w:rsid w:val="00AB7BEE"/>
    <w:rsid w:val="00AB7DF2"/>
    <w:rsid w:val="00AC1E3F"/>
    <w:rsid w:val="00AC219A"/>
    <w:rsid w:val="00AC4F18"/>
    <w:rsid w:val="00AC58EF"/>
    <w:rsid w:val="00AC744A"/>
    <w:rsid w:val="00AD0898"/>
    <w:rsid w:val="00AD0B46"/>
    <w:rsid w:val="00AD1094"/>
    <w:rsid w:val="00AD2565"/>
    <w:rsid w:val="00AD306C"/>
    <w:rsid w:val="00AD3424"/>
    <w:rsid w:val="00AD50D1"/>
    <w:rsid w:val="00AD59BB"/>
    <w:rsid w:val="00AD5D68"/>
    <w:rsid w:val="00AD6C39"/>
    <w:rsid w:val="00AD6C73"/>
    <w:rsid w:val="00AD7D49"/>
    <w:rsid w:val="00AE06D0"/>
    <w:rsid w:val="00AE1B8A"/>
    <w:rsid w:val="00AE39DC"/>
    <w:rsid w:val="00AE3CDA"/>
    <w:rsid w:val="00AE42D2"/>
    <w:rsid w:val="00AE63EF"/>
    <w:rsid w:val="00AE6537"/>
    <w:rsid w:val="00AE65B8"/>
    <w:rsid w:val="00AE7968"/>
    <w:rsid w:val="00AE7DFF"/>
    <w:rsid w:val="00AF1032"/>
    <w:rsid w:val="00AF128B"/>
    <w:rsid w:val="00AF1AEA"/>
    <w:rsid w:val="00AF2491"/>
    <w:rsid w:val="00AF2852"/>
    <w:rsid w:val="00AF3225"/>
    <w:rsid w:val="00AF4983"/>
    <w:rsid w:val="00AF518B"/>
    <w:rsid w:val="00AF5275"/>
    <w:rsid w:val="00AF6367"/>
    <w:rsid w:val="00AF6A79"/>
    <w:rsid w:val="00AF724E"/>
    <w:rsid w:val="00AF73A9"/>
    <w:rsid w:val="00B01436"/>
    <w:rsid w:val="00B01C2C"/>
    <w:rsid w:val="00B0231C"/>
    <w:rsid w:val="00B03E79"/>
    <w:rsid w:val="00B07C2A"/>
    <w:rsid w:val="00B13681"/>
    <w:rsid w:val="00B15DCD"/>
    <w:rsid w:val="00B17E71"/>
    <w:rsid w:val="00B17FDE"/>
    <w:rsid w:val="00B208FC"/>
    <w:rsid w:val="00B20C65"/>
    <w:rsid w:val="00B20F7B"/>
    <w:rsid w:val="00B22E17"/>
    <w:rsid w:val="00B25567"/>
    <w:rsid w:val="00B266C5"/>
    <w:rsid w:val="00B27293"/>
    <w:rsid w:val="00B301BB"/>
    <w:rsid w:val="00B3229E"/>
    <w:rsid w:val="00B32DDB"/>
    <w:rsid w:val="00B34931"/>
    <w:rsid w:val="00B35174"/>
    <w:rsid w:val="00B356D8"/>
    <w:rsid w:val="00B35AA0"/>
    <w:rsid w:val="00B35BEA"/>
    <w:rsid w:val="00B37915"/>
    <w:rsid w:val="00B3793D"/>
    <w:rsid w:val="00B41BE6"/>
    <w:rsid w:val="00B428A4"/>
    <w:rsid w:val="00B45170"/>
    <w:rsid w:val="00B457E7"/>
    <w:rsid w:val="00B45D1B"/>
    <w:rsid w:val="00B46D25"/>
    <w:rsid w:val="00B47430"/>
    <w:rsid w:val="00B50186"/>
    <w:rsid w:val="00B502F7"/>
    <w:rsid w:val="00B52D2D"/>
    <w:rsid w:val="00B534EF"/>
    <w:rsid w:val="00B53B68"/>
    <w:rsid w:val="00B55BA8"/>
    <w:rsid w:val="00B55F15"/>
    <w:rsid w:val="00B561A6"/>
    <w:rsid w:val="00B60062"/>
    <w:rsid w:val="00B62960"/>
    <w:rsid w:val="00B63A11"/>
    <w:rsid w:val="00B63FD0"/>
    <w:rsid w:val="00B65C84"/>
    <w:rsid w:val="00B6608F"/>
    <w:rsid w:val="00B662EB"/>
    <w:rsid w:val="00B74317"/>
    <w:rsid w:val="00B76D1E"/>
    <w:rsid w:val="00B77BC8"/>
    <w:rsid w:val="00B800EB"/>
    <w:rsid w:val="00B822D2"/>
    <w:rsid w:val="00B83D46"/>
    <w:rsid w:val="00B848B8"/>
    <w:rsid w:val="00B84A41"/>
    <w:rsid w:val="00B84D57"/>
    <w:rsid w:val="00B8504B"/>
    <w:rsid w:val="00B85689"/>
    <w:rsid w:val="00B85A53"/>
    <w:rsid w:val="00B86748"/>
    <w:rsid w:val="00B87853"/>
    <w:rsid w:val="00B907EA"/>
    <w:rsid w:val="00B91EC9"/>
    <w:rsid w:val="00B924CA"/>
    <w:rsid w:val="00B92A4B"/>
    <w:rsid w:val="00B93384"/>
    <w:rsid w:val="00B94417"/>
    <w:rsid w:val="00B95566"/>
    <w:rsid w:val="00B95940"/>
    <w:rsid w:val="00B95EF8"/>
    <w:rsid w:val="00B95F50"/>
    <w:rsid w:val="00B96BD9"/>
    <w:rsid w:val="00BA759F"/>
    <w:rsid w:val="00BA7F01"/>
    <w:rsid w:val="00BB0274"/>
    <w:rsid w:val="00BB1CFD"/>
    <w:rsid w:val="00BB2C53"/>
    <w:rsid w:val="00BB32DA"/>
    <w:rsid w:val="00BB3A54"/>
    <w:rsid w:val="00BB4D26"/>
    <w:rsid w:val="00BB4E21"/>
    <w:rsid w:val="00BB5739"/>
    <w:rsid w:val="00BB6FED"/>
    <w:rsid w:val="00BB7746"/>
    <w:rsid w:val="00BC22EB"/>
    <w:rsid w:val="00BC52C3"/>
    <w:rsid w:val="00BC682B"/>
    <w:rsid w:val="00BC6B04"/>
    <w:rsid w:val="00BC6D27"/>
    <w:rsid w:val="00BC78E4"/>
    <w:rsid w:val="00BC7D5D"/>
    <w:rsid w:val="00BD186B"/>
    <w:rsid w:val="00BD1995"/>
    <w:rsid w:val="00BD1EAC"/>
    <w:rsid w:val="00BD254C"/>
    <w:rsid w:val="00BD29A3"/>
    <w:rsid w:val="00BD3428"/>
    <w:rsid w:val="00BD366B"/>
    <w:rsid w:val="00BD534C"/>
    <w:rsid w:val="00BD55A9"/>
    <w:rsid w:val="00BD56BC"/>
    <w:rsid w:val="00BD5D91"/>
    <w:rsid w:val="00BD6445"/>
    <w:rsid w:val="00BD6615"/>
    <w:rsid w:val="00BD6D50"/>
    <w:rsid w:val="00BD6E7C"/>
    <w:rsid w:val="00BE0D79"/>
    <w:rsid w:val="00BE0DB0"/>
    <w:rsid w:val="00BE20CF"/>
    <w:rsid w:val="00BE3381"/>
    <w:rsid w:val="00BE3F09"/>
    <w:rsid w:val="00BE627A"/>
    <w:rsid w:val="00BE670A"/>
    <w:rsid w:val="00BE6906"/>
    <w:rsid w:val="00BF1191"/>
    <w:rsid w:val="00BF18F4"/>
    <w:rsid w:val="00BF1A69"/>
    <w:rsid w:val="00BF3BC8"/>
    <w:rsid w:val="00BF3DF1"/>
    <w:rsid w:val="00BF4538"/>
    <w:rsid w:val="00BF4C31"/>
    <w:rsid w:val="00BF4E57"/>
    <w:rsid w:val="00BF5107"/>
    <w:rsid w:val="00BF53B8"/>
    <w:rsid w:val="00BF786A"/>
    <w:rsid w:val="00BF7CB8"/>
    <w:rsid w:val="00C00F20"/>
    <w:rsid w:val="00C01700"/>
    <w:rsid w:val="00C034E6"/>
    <w:rsid w:val="00C042C6"/>
    <w:rsid w:val="00C05715"/>
    <w:rsid w:val="00C05926"/>
    <w:rsid w:val="00C0784A"/>
    <w:rsid w:val="00C10B28"/>
    <w:rsid w:val="00C10D62"/>
    <w:rsid w:val="00C10FAE"/>
    <w:rsid w:val="00C11DAF"/>
    <w:rsid w:val="00C123B4"/>
    <w:rsid w:val="00C12A69"/>
    <w:rsid w:val="00C13737"/>
    <w:rsid w:val="00C138D8"/>
    <w:rsid w:val="00C150BE"/>
    <w:rsid w:val="00C158B0"/>
    <w:rsid w:val="00C15A0C"/>
    <w:rsid w:val="00C15DCB"/>
    <w:rsid w:val="00C16208"/>
    <w:rsid w:val="00C1711F"/>
    <w:rsid w:val="00C17E38"/>
    <w:rsid w:val="00C20489"/>
    <w:rsid w:val="00C20744"/>
    <w:rsid w:val="00C20C4D"/>
    <w:rsid w:val="00C21D46"/>
    <w:rsid w:val="00C21F94"/>
    <w:rsid w:val="00C222A1"/>
    <w:rsid w:val="00C22BDA"/>
    <w:rsid w:val="00C23371"/>
    <w:rsid w:val="00C235B9"/>
    <w:rsid w:val="00C238A2"/>
    <w:rsid w:val="00C23CBD"/>
    <w:rsid w:val="00C23D22"/>
    <w:rsid w:val="00C2463B"/>
    <w:rsid w:val="00C24E77"/>
    <w:rsid w:val="00C2732D"/>
    <w:rsid w:val="00C273C6"/>
    <w:rsid w:val="00C27913"/>
    <w:rsid w:val="00C300C6"/>
    <w:rsid w:val="00C30828"/>
    <w:rsid w:val="00C31190"/>
    <w:rsid w:val="00C31DD8"/>
    <w:rsid w:val="00C3271C"/>
    <w:rsid w:val="00C34FDE"/>
    <w:rsid w:val="00C35C16"/>
    <w:rsid w:val="00C3634E"/>
    <w:rsid w:val="00C407B9"/>
    <w:rsid w:val="00C40F81"/>
    <w:rsid w:val="00C41463"/>
    <w:rsid w:val="00C41A72"/>
    <w:rsid w:val="00C42D45"/>
    <w:rsid w:val="00C4422D"/>
    <w:rsid w:val="00C46766"/>
    <w:rsid w:val="00C476C5"/>
    <w:rsid w:val="00C503B0"/>
    <w:rsid w:val="00C511C2"/>
    <w:rsid w:val="00C526C8"/>
    <w:rsid w:val="00C53CDB"/>
    <w:rsid w:val="00C53D82"/>
    <w:rsid w:val="00C54748"/>
    <w:rsid w:val="00C5476D"/>
    <w:rsid w:val="00C5672D"/>
    <w:rsid w:val="00C575FB"/>
    <w:rsid w:val="00C60696"/>
    <w:rsid w:val="00C60937"/>
    <w:rsid w:val="00C60943"/>
    <w:rsid w:val="00C60EEF"/>
    <w:rsid w:val="00C60FC9"/>
    <w:rsid w:val="00C6121D"/>
    <w:rsid w:val="00C615F1"/>
    <w:rsid w:val="00C61627"/>
    <w:rsid w:val="00C6331A"/>
    <w:rsid w:val="00C647E0"/>
    <w:rsid w:val="00C64E60"/>
    <w:rsid w:val="00C657A4"/>
    <w:rsid w:val="00C6736C"/>
    <w:rsid w:val="00C71A1D"/>
    <w:rsid w:val="00C71EC4"/>
    <w:rsid w:val="00C73B18"/>
    <w:rsid w:val="00C74822"/>
    <w:rsid w:val="00C7591E"/>
    <w:rsid w:val="00C75C7E"/>
    <w:rsid w:val="00C75C9B"/>
    <w:rsid w:val="00C75E71"/>
    <w:rsid w:val="00C76D8E"/>
    <w:rsid w:val="00C77833"/>
    <w:rsid w:val="00C80C9B"/>
    <w:rsid w:val="00C8335E"/>
    <w:rsid w:val="00C83F9C"/>
    <w:rsid w:val="00C84181"/>
    <w:rsid w:val="00C84CE3"/>
    <w:rsid w:val="00C85614"/>
    <w:rsid w:val="00C86127"/>
    <w:rsid w:val="00C90024"/>
    <w:rsid w:val="00C90CF4"/>
    <w:rsid w:val="00C91C19"/>
    <w:rsid w:val="00C929A0"/>
    <w:rsid w:val="00C92B7B"/>
    <w:rsid w:val="00C9333F"/>
    <w:rsid w:val="00C93389"/>
    <w:rsid w:val="00C937DB"/>
    <w:rsid w:val="00C94519"/>
    <w:rsid w:val="00C94E83"/>
    <w:rsid w:val="00C97038"/>
    <w:rsid w:val="00CA02B2"/>
    <w:rsid w:val="00CA0883"/>
    <w:rsid w:val="00CA1085"/>
    <w:rsid w:val="00CA140F"/>
    <w:rsid w:val="00CA25C2"/>
    <w:rsid w:val="00CA31A5"/>
    <w:rsid w:val="00CA34FB"/>
    <w:rsid w:val="00CA37BB"/>
    <w:rsid w:val="00CA37CA"/>
    <w:rsid w:val="00CA5268"/>
    <w:rsid w:val="00CA5724"/>
    <w:rsid w:val="00CA6508"/>
    <w:rsid w:val="00CA6BA1"/>
    <w:rsid w:val="00CA6CD5"/>
    <w:rsid w:val="00CB1910"/>
    <w:rsid w:val="00CB2150"/>
    <w:rsid w:val="00CB28EE"/>
    <w:rsid w:val="00CB43A7"/>
    <w:rsid w:val="00CB4DF1"/>
    <w:rsid w:val="00CB5996"/>
    <w:rsid w:val="00CB6809"/>
    <w:rsid w:val="00CB7452"/>
    <w:rsid w:val="00CC0E10"/>
    <w:rsid w:val="00CC1DAF"/>
    <w:rsid w:val="00CC2642"/>
    <w:rsid w:val="00CC2967"/>
    <w:rsid w:val="00CC2A36"/>
    <w:rsid w:val="00CC2E15"/>
    <w:rsid w:val="00CC3440"/>
    <w:rsid w:val="00CC3908"/>
    <w:rsid w:val="00CC62AD"/>
    <w:rsid w:val="00CC6CA2"/>
    <w:rsid w:val="00CC7B80"/>
    <w:rsid w:val="00CD2B3C"/>
    <w:rsid w:val="00CD30F6"/>
    <w:rsid w:val="00CD4B29"/>
    <w:rsid w:val="00CD4D09"/>
    <w:rsid w:val="00CD6954"/>
    <w:rsid w:val="00CD6DA3"/>
    <w:rsid w:val="00CD6EF1"/>
    <w:rsid w:val="00CD7E35"/>
    <w:rsid w:val="00CE0420"/>
    <w:rsid w:val="00CE21C7"/>
    <w:rsid w:val="00CE2682"/>
    <w:rsid w:val="00CE2756"/>
    <w:rsid w:val="00CE283F"/>
    <w:rsid w:val="00CE442A"/>
    <w:rsid w:val="00CE505D"/>
    <w:rsid w:val="00CE57D8"/>
    <w:rsid w:val="00CE617A"/>
    <w:rsid w:val="00CE6E3C"/>
    <w:rsid w:val="00CE76FC"/>
    <w:rsid w:val="00CF25D2"/>
    <w:rsid w:val="00CF28C2"/>
    <w:rsid w:val="00CF42BD"/>
    <w:rsid w:val="00CF4FCF"/>
    <w:rsid w:val="00CF51EC"/>
    <w:rsid w:val="00CF6A9D"/>
    <w:rsid w:val="00CF6CD7"/>
    <w:rsid w:val="00CF7031"/>
    <w:rsid w:val="00CF75EC"/>
    <w:rsid w:val="00CF7BDA"/>
    <w:rsid w:val="00D0037A"/>
    <w:rsid w:val="00D0061E"/>
    <w:rsid w:val="00D00DAF"/>
    <w:rsid w:val="00D017EC"/>
    <w:rsid w:val="00D01CDA"/>
    <w:rsid w:val="00D037E1"/>
    <w:rsid w:val="00D03F45"/>
    <w:rsid w:val="00D040DD"/>
    <w:rsid w:val="00D043CE"/>
    <w:rsid w:val="00D046DA"/>
    <w:rsid w:val="00D04E1B"/>
    <w:rsid w:val="00D0547B"/>
    <w:rsid w:val="00D05E80"/>
    <w:rsid w:val="00D076DB"/>
    <w:rsid w:val="00D07EFF"/>
    <w:rsid w:val="00D1067C"/>
    <w:rsid w:val="00D12E78"/>
    <w:rsid w:val="00D136D4"/>
    <w:rsid w:val="00D13830"/>
    <w:rsid w:val="00D13ECF"/>
    <w:rsid w:val="00D142E5"/>
    <w:rsid w:val="00D148CD"/>
    <w:rsid w:val="00D1611E"/>
    <w:rsid w:val="00D16E69"/>
    <w:rsid w:val="00D17A94"/>
    <w:rsid w:val="00D17F4A"/>
    <w:rsid w:val="00D205A9"/>
    <w:rsid w:val="00D217EE"/>
    <w:rsid w:val="00D245BA"/>
    <w:rsid w:val="00D26923"/>
    <w:rsid w:val="00D27315"/>
    <w:rsid w:val="00D27856"/>
    <w:rsid w:val="00D27D34"/>
    <w:rsid w:val="00D3006B"/>
    <w:rsid w:val="00D301CA"/>
    <w:rsid w:val="00D30740"/>
    <w:rsid w:val="00D31075"/>
    <w:rsid w:val="00D31445"/>
    <w:rsid w:val="00D31932"/>
    <w:rsid w:val="00D32AE0"/>
    <w:rsid w:val="00D32C31"/>
    <w:rsid w:val="00D33B78"/>
    <w:rsid w:val="00D34686"/>
    <w:rsid w:val="00D360DA"/>
    <w:rsid w:val="00D37689"/>
    <w:rsid w:val="00D378CC"/>
    <w:rsid w:val="00D4042C"/>
    <w:rsid w:val="00D40B9E"/>
    <w:rsid w:val="00D41281"/>
    <w:rsid w:val="00D42312"/>
    <w:rsid w:val="00D433F5"/>
    <w:rsid w:val="00D43998"/>
    <w:rsid w:val="00D451E0"/>
    <w:rsid w:val="00D45A1D"/>
    <w:rsid w:val="00D4615E"/>
    <w:rsid w:val="00D475E6"/>
    <w:rsid w:val="00D4774E"/>
    <w:rsid w:val="00D478E2"/>
    <w:rsid w:val="00D508CF"/>
    <w:rsid w:val="00D5264C"/>
    <w:rsid w:val="00D52C37"/>
    <w:rsid w:val="00D547BA"/>
    <w:rsid w:val="00D55626"/>
    <w:rsid w:val="00D556BC"/>
    <w:rsid w:val="00D5626D"/>
    <w:rsid w:val="00D56631"/>
    <w:rsid w:val="00D60277"/>
    <w:rsid w:val="00D60336"/>
    <w:rsid w:val="00D609D3"/>
    <w:rsid w:val="00D6145B"/>
    <w:rsid w:val="00D6180A"/>
    <w:rsid w:val="00D61EC9"/>
    <w:rsid w:val="00D61F88"/>
    <w:rsid w:val="00D62108"/>
    <w:rsid w:val="00D62901"/>
    <w:rsid w:val="00D6470C"/>
    <w:rsid w:val="00D6484D"/>
    <w:rsid w:val="00D64853"/>
    <w:rsid w:val="00D64CB5"/>
    <w:rsid w:val="00D66D48"/>
    <w:rsid w:val="00D7162F"/>
    <w:rsid w:val="00D71B83"/>
    <w:rsid w:val="00D72897"/>
    <w:rsid w:val="00D73256"/>
    <w:rsid w:val="00D73A30"/>
    <w:rsid w:val="00D74C65"/>
    <w:rsid w:val="00D75DC2"/>
    <w:rsid w:val="00D766EF"/>
    <w:rsid w:val="00D76BE7"/>
    <w:rsid w:val="00D76C03"/>
    <w:rsid w:val="00D77F8D"/>
    <w:rsid w:val="00D8119B"/>
    <w:rsid w:val="00D81988"/>
    <w:rsid w:val="00D82462"/>
    <w:rsid w:val="00D868CE"/>
    <w:rsid w:val="00D86DAE"/>
    <w:rsid w:val="00D871DA"/>
    <w:rsid w:val="00D90116"/>
    <w:rsid w:val="00D90C1E"/>
    <w:rsid w:val="00D91BDF"/>
    <w:rsid w:val="00D91F2C"/>
    <w:rsid w:val="00D937AF"/>
    <w:rsid w:val="00D93F09"/>
    <w:rsid w:val="00D94C62"/>
    <w:rsid w:val="00D95378"/>
    <w:rsid w:val="00D954C2"/>
    <w:rsid w:val="00D96162"/>
    <w:rsid w:val="00D97BB8"/>
    <w:rsid w:val="00DA1318"/>
    <w:rsid w:val="00DA1382"/>
    <w:rsid w:val="00DA1F92"/>
    <w:rsid w:val="00DA28B7"/>
    <w:rsid w:val="00DA2FE8"/>
    <w:rsid w:val="00DA424A"/>
    <w:rsid w:val="00DA49E6"/>
    <w:rsid w:val="00DA4AF6"/>
    <w:rsid w:val="00DB016E"/>
    <w:rsid w:val="00DB06E9"/>
    <w:rsid w:val="00DB19BD"/>
    <w:rsid w:val="00DB1D55"/>
    <w:rsid w:val="00DB378E"/>
    <w:rsid w:val="00DB3B36"/>
    <w:rsid w:val="00DB3E9D"/>
    <w:rsid w:val="00DB47B9"/>
    <w:rsid w:val="00DB4A67"/>
    <w:rsid w:val="00DB4FB8"/>
    <w:rsid w:val="00DB53CE"/>
    <w:rsid w:val="00DB549D"/>
    <w:rsid w:val="00DB5792"/>
    <w:rsid w:val="00DB6A88"/>
    <w:rsid w:val="00DB6ABF"/>
    <w:rsid w:val="00DB7BA4"/>
    <w:rsid w:val="00DC226A"/>
    <w:rsid w:val="00DC257F"/>
    <w:rsid w:val="00DC350B"/>
    <w:rsid w:val="00DC3790"/>
    <w:rsid w:val="00DC3AFD"/>
    <w:rsid w:val="00DC408A"/>
    <w:rsid w:val="00DC436D"/>
    <w:rsid w:val="00DC519B"/>
    <w:rsid w:val="00DC5B3B"/>
    <w:rsid w:val="00DC6796"/>
    <w:rsid w:val="00DC78DF"/>
    <w:rsid w:val="00DC7D4C"/>
    <w:rsid w:val="00DD0821"/>
    <w:rsid w:val="00DD0E32"/>
    <w:rsid w:val="00DD2872"/>
    <w:rsid w:val="00DD2BFE"/>
    <w:rsid w:val="00DD373E"/>
    <w:rsid w:val="00DD4DAA"/>
    <w:rsid w:val="00DD57AD"/>
    <w:rsid w:val="00DD5AB6"/>
    <w:rsid w:val="00DD60D3"/>
    <w:rsid w:val="00DD6EDB"/>
    <w:rsid w:val="00DD7787"/>
    <w:rsid w:val="00DE009B"/>
    <w:rsid w:val="00DE0C31"/>
    <w:rsid w:val="00DE2ED9"/>
    <w:rsid w:val="00DE319A"/>
    <w:rsid w:val="00DE5291"/>
    <w:rsid w:val="00DE74B2"/>
    <w:rsid w:val="00DF0615"/>
    <w:rsid w:val="00DF0DC3"/>
    <w:rsid w:val="00DF21FD"/>
    <w:rsid w:val="00DF2873"/>
    <w:rsid w:val="00DF293C"/>
    <w:rsid w:val="00DF4413"/>
    <w:rsid w:val="00DF4C74"/>
    <w:rsid w:val="00DF5578"/>
    <w:rsid w:val="00DF55AB"/>
    <w:rsid w:val="00DF78DD"/>
    <w:rsid w:val="00DF792E"/>
    <w:rsid w:val="00DF7FEC"/>
    <w:rsid w:val="00E01C0E"/>
    <w:rsid w:val="00E02086"/>
    <w:rsid w:val="00E02740"/>
    <w:rsid w:val="00E03B27"/>
    <w:rsid w:val="00E042B3"/>
    <w:rsid w:val="00E04694"/>
    <w:rsid w:val="00E049F6"/>
    <w:rsid w:val="00E04CA9"/>
    <w:rsid w:val="00E05B2B"/>
    <w:rsid w:val="00E060DD"/>
    <w:rsid w:val="00E06A2A"/>
    <w:rsid w:val="00E06B3B"/>
    <w:rsid w:val="00E07F05"/>
    <w:rsid w:val="00E1136D"/>
    <w:rsid w:val="00E127E1"/>
    <w:rsid w:val="00E144D2"/>
    <w:rsid w:val="00E144D6"/>
    <w:rsid w:val="00E15346"/>
    <w:rsid w:val="00E15B7D"/>
    <w:rsid w:val="00E165A8"/>
    <w:rsid w:val="00E2097E"/>
    <w:rsid w:val="00E21121"/>
    <w:rsid w:val="00E215EA"/>
    <w:rsid w:val="00E21CAB"/>
    <w:rsid w:val="00E221FC"/>
    <w:rsid w:val="00E22E78"/>
    <w:rsid w:val="00E24619"/>
    <w:rsid w:val="00E25223"/>
    <w:rsid w:val="00E263A8"/>
    <w:rsid w:val="00E271DA"/>
    <w:rsid w:val="00E30BEA"/>
    <w:rsid w:val="00E31764"/>
    <w:rsid w:val="00E32BC2"/>
    <w:rsid w:val="00E340A1"/>
    <w:rsid w:val="00E34985"/>
    <w:rsid w:val="00E34E4A"/>
    <w:rsid w:val="00E365B3"/>
    <w:rsid w:val="00E366BB"/>
    <w:rsid w:val="00E3709C"/>
    <w:rsid w:val="00E37C45"/>
    <w:rsid w:val="00E40AAA"/>
    <w:rsid w:val="00E42444"/>
    <w:rsid w:val="00E4255E"/>
    <w:rsid w:val="00E42785"/>
    <w:rsid w:val="00E438CF"/>
    <w:rsid w:val="00E43B06"/>
    <w:rsid w:val="00E43C41"/>
    <w:rsid w:val="00E4500E"/>
    <w:rsid w:val="00E450CE"/>
    <w:rsid w:val="00E45A00"/>
    <w:rsid w:val="00E45CE7"/>
    <w:rsid w:val="00E4631F"/>
    <w:rsid w:val="00E46A4A"/>
    <w:rsid w:val="00E47CB8"/>
    <w:rsid w:val="00E50ACF"/>
    <w:rsid w:val="00E522BB"/>
    <w:rsid w:val="00E539E4"/>
    <w:rsid w:val="00E55AF3"/>
    <w:rsid w:val="00E569C7"/>
    <w:rsid w:val="00E571F2"/>
    <w:rsid w:val="00E57429"/>
    <w:rsid w:val="00E61EA8"/>
    <w:rsid w:val="00E6374E"/>
    <w:rsid w:val="00E63C99"/>
    <w:rsid w:val="00E64EA1"/>
    <w:rsid w:val="00E653DE"/>
    <w:rsid w:val="00E669C7"/>
    <w:rsid w:val="00E70510"/>
    <w:rsid w:val="00E71262"/>
    <w:rsid w:val="00E71A58"/>
    <w:rsid w:val="00E7330E"/>
    <w:rsid w:val="00E737F6"/>
    <w:rsid w:val="00E7568F"/>
    <w:rsid w:val="00E75D69"/>
    <w:rsid w:val="00E7628E"/>
    <w:rsid w:val="00E764AE"/>
    <w:rsid w:val="00E7724B"/>
    <w:rsid w:val="00E77EAA"/>
    <w:rsid w:val="00E84F21"/>
    <w:rsid w:val="00E8618A"/>
    <w:rsid w:val="00E90A4B"/>
    <w:rsid w:val="00E90F73"/>
    <w:rsid w:val="00E910A7"/>
    <w:rsid w:val="00E914B7"/>
    <w:rsid w:val="00E91607"/>
    <w:rsid w:val="00E921C7"/>
    <w:rsid w:val="00E92995"/>
    <w:rsid w:val="00E93DB8"/>
    <w:rsid w:val="00E9402B"/>
    <w:rsid w:val="00E94612"/>
    <w:rsid w:val="00E952A1"/>
    <w:rsid w:val="00E95797"/>
    <w:rsid w:val="00E9682F"/>
    <w:rsid w:val="00E96A8D"/>
    <w:rsid w:val="00E972BA"/>
    <w:rsid w:val="00E975BC"/>
    <w:rsid w:val="00E978CA"/>
    <w:rsid w:val="00E97FA2"/>
    <w:rsid w:val="00EA06CB"/>
    <w:rsid w:val="00EA0AF3"/>
    <w:rsid w:val="00EA0C68"/>
    <w:rsid w:val="00EA19E2"/>
    <w:rsid w:val="00EA3EBE"/>
    <w:rsid w:val="00EA3FAC"/>
    <w:rsid w:val="00EA4153"/>
    <w:rsid w:val="00EA5CD6"/>
    <w:rsid w:val="00EA63C8"/>
    <w:rsid w:val="00EA76FD"/>
    <w:rsid w:val="00EB03D4"/>
    <w:rsid w:val="00EB0555"/>
    <w:rsid w:val="00EB17F4"/>
    <w:rsid w:val="00EB20A0"/>
    <w:rsid w:val="00EB30B6"/>
    <w:rsid w:val="00EB4FA4"/>
    <w:rsid w:val="00EB5146"/>
    <w:rsid w:val="00EB522B"/>
    <w:rsid w:val="00EB55E9"/>
    <w:rsid w:val="00EB5641"/>
    <w:rsid w:val="00EB5CA9"/>
    <w:rsid w:val="00EB5ED4"/>
    <w:rsid w:val="00EB6537"/>
    <w:rsid w:val="00EB70E1"/>
    <w:rsid w:val="00EB7EB5"/>
    <w:rsid w:val="00EC0860"/>
    <w:rsid w:val="00EC424C"/>
    <w:rsid w:val="00EC454B"/>
    <w:rsid w:val="00EC6153"/>
    <w:rsid w:val="00EC7F92"/>
    <w:rsid w:val="00ED00A8"/>
    <w:rsid w:val="00ED0A79"/>
    <w:rsid w:val="00ED22FF"/>
    <w:rsid w:val="00ED2989"/>
    <w:rsid w:val="00ED2CA5"/>
    <w:rsid w:val="00ED32FB"/>
    <w:rsid w:val="00ED336F"/>
    <w:rsid w:val="00ED3A94"/>
    <w:rsid w:val="00ED40F0"/>
    <w:rsid w:val="00ED4AC0"/>
    <w:rsid w:val="00ED54D6"/>
    <w:rsid w:val="00ED5726"/>
    <w:rsid w:val="00EE0113"/>
    <w:rsid w:val="00EE0298"/>
    <w:rsid w:val="00EE0384"/>
    <w:rsid w:val="00EE10AA"/>
    <w:rsid w:val="00EE1637"/>
    <w:rsid w:val="00EE3B7A"/>
    <w:rsid w:val="00EE3E78"/>
    <w:rsid w:val="00EE495A"/>
    <w:rsid w:val="00EE5E02"/>
    <w:rsid w:val="00EE617D"/>
    <w:rsid w:val="00EE61BF"/>
    <w:rsid w:val="00EE6538"/>
    <w:rsid w:val="00EE6748"/>
    <w:rsid w:val="00EE6C6B"/>
    <w:rsid w:val="00EE7034"/>
    <w:rsid w:val="00EF0E75"/>
    <w:rsid w:val="00EF1F5A"/>
    <w:rsid w:val="00EF4685"/>
    <w:rsid w:val="00EF5397"/>
    <w:rsid w:val="00EF5420"/>
    <w:rsid w:val="00EF597F"/>
    <w:rsid w:val="00EF6217"/>
    <w:rsid w:val="00EF6BE3"/>
    <w:rsid w:val="00EF7D0F"/>
    <w:rsid w:val="00F00D0E"/>
    <w:rsid w:val="00F00D3C"/>
    <w:rsid w:val="00F04811"/>
    <w:rsid w:val="00F0488C"/>
    <w:rsid w:val="00F0496E"/>
    <w:rsid w:val="00F04D10"/>
    <w:rsid w:val="00F053EA"/>
    <w:rsid w:val="00F0625B"/>
    <w:rsid w:val="00F07EDF"/>
    <w:rsid w:val="00F101FF"/>
    <w:rsid w:val="00F104DF"/>
    <w:rsid w:val="00F10A33"/>
    <w:rsid w:val="00F10B64"/>
    <w:rsid w:val="00F1186C"/>
    <w:rsid w:val="00F14637"/>
    <w:rsid w:val="00F14ACD"/>
    <w:rsid w:val="00F15BEF"/>
    <w:rsid w:val="00F172BE"/>
    <w:rsid w:val="00F1776C"/>
    <w:rsid w:val="00F2037E"/>
    <w:rsid w:val="00F20D17"/>
    <w:rsid w:val="00F2103E"/>
    <w:rsid w:val="00F214FC"/>
    <w:rsid w:val="00F21C31"/>
    <w:rsid w:val="00F23825"/>
    <w:rsid w:val="00F23FFF"/>
    <w:rsid w:val="00F2441D"/>
    <w:rsid w:val="00F24FAA"/>
    <w:rsid w:val="00F25721"/>
    <w:rsid w:val="00F26197"/>
    <w:rsid w:val="00F26351"/>
    <w:rsid w:val="00F2646A"/>
    <w:rsid w:val="00F273D4"/>
    <w:rsid w:val="00F307DD"/>
    <w:rsid w:val="00F318FC"/>
    <w:rsid w:val="00F31F76"/>
    <w:rsid w:val="00F325A3"/>
    <w:rsid w:val="00F3364D"/>
    <w:rsid w:val="00F33DC6"/>
    <w:rsid w:val="00F359A1"/>
    <w:rsid w:val="00F35ACD"/>
    <w:rsid w:val="00F365BF"/>
    <w:rsid w:val="00F36BF8"/>
    <w:rsid w:val="00F36F50"/>
    <w:rsid w:val="00F375BA"/>
    <w:rsid w:val="00F37760"/>
    <w:rsid w:val="00F403D1"/>
    <w:rsid w:val="00F41CC8"/>
    <w:rsid w:val="00F43921"/>
    <w:rsid w:val="00F447E3"/>
    <w:rsid w:val="00F44E1B"/>
    <w:rsid w:val="00F4524F"/>
    <w:rsid w:val="00F45530"/>
    <w:rsid w:val="00F457CE"/>
    <w:rsid w:val="00F4591F"/>
    <w:rsid w:val="00F47321"/>
    <w:rsid w:val="00F4736B"/>
    <w:rsid w:val="00F47870"/>
    <w:rsid w:val="00F47997"/>
    <w:rsid w:val="00F47D05"/>
    <w:rsid w:val="00F50030"/>
    <w:rsid w:val="00F502F5"/>
    <w:rsid w:val="00F50B9D"/>
    <w:rsid w:val="00F51FC9"/>
    <w:rsid w:val="00F52B42"/>
    <w:rsid w:val="00F53243"/>
    <w:rsid w:val="00F538C3"/>
    <w:rsid w:val="00F541ED"/>
    <w:rsid w:val="00F54B31"/>
    <w:rsid w:val="00F54FD3"/>
    <w:rsid w:val="00F5508B"/>
    <w:rsid w:val="00F55605"/>
    <w:rsid w:val="00F57CD7"/>
    <w:rsid w:val="00F62F02"/>
    <w:rsid w:val="00F6339F"/>
    <w:rsid w:val="00F63DDE"/>
    <w:rsid w:val="00F63FB7"/>
    <w:rsid w:val="00F64726"/>
    <w:rsid w:val="00F6561A"/>
    <w:rsid w:val="00F65620"/>
    <w:rsid w:val="00F673CA"/>
    <w:rsid w:val="00F6758C"/>
    <w:rsid w:val="00F70309"/>
    <w:rsid w:val="00F7078A"/>
    <w:rsid w:val="00F70E45"/>
    <w:rsid w:val="00F71372"/>
    <w:rsid w:val="00F727D5"/>
    <w:rsid w:val="00F72F44"/>
    <w:rsid w:val="00F73A0C"/>
    <w:rsid w:val="00F759DC"/>
    <w:rsid w:val="00F7717C"/>
    <w:rsid w:val="00F771A5"/>
    <w:rsid w:val="00F817A4"/>
    <w:rsid w:val="00F81C3A"/>
    <w:rsid w:val="00F835FC"/>
    <w:rsid w:val="00F8373A"/>
    <w:rsid w:val="00F83E21"/>
    <w:rsid w:val="00F83FA4"/>
    <w:rsid w:val="00F84E18"/>
    <w:rsid w:val="00F852E5"/>
    <w:rsid w:val="00F862CF"/>
    <w:rsid w:val="00F87E58"/>
    <w:rsid w:val="00F929E7"/>
    <w:rsid w:val="00F9310A"/>
    <w:rsid w:val="00F937C0"/>
    <w:rsid w:val="00F95117"/>
    <w:rsid w:val="00F95796"/>
    <w:rsid w:val="00F97DBC"/>
    <w:rsid w:val="00F97ED2"/>
    <w:rsid w:val="00FA05D7"/>
    <w:rsid w:val="00FA15BD"/>
    <w:rsid w:val="00FA1C6C"/>
    <w:rsid w:val="00FA2447"/>
    <w:rsid w:val="00FA2C2A"/>
    <w:rsid w:val="00FA309A"/>
    <w:rsid w:val="00FA5B57"/>
    <w:rsid w:val="00FA7644"/>
    <w:rsid w:val="00FB039E"/>
    <w:rsid w:val="00FB0A9A"/>
    <w:rsid w:val="00FB16AD"/>
    <w:rsid w:val="00FB2EAA"/>
    <w:rsid w:val="00FB483B"/>
    <w:rsid w:val="00FB56F1"/>
    <w:rsid w:val="00FB590B"/>
    <w:rsid w:val="00FB5FD4"/>
    <w:rsid w:val="00FB67F3"/>
    <w:rsid w:val="00FC0D8A"/>
    <w:rsid w:val="00FC0E5F"/>
    <w:rsid w:val="00FC135D"/>
    <w:rsid w:val="00FC3C84"/>
    <w:rsid w:val="00FC3F3C"/>
    <w:rsid w:val="00FC4660"/>
    <w:rsid w:val="00FC56DE"/>
    <w:rsid w:val="00FC5E01"/>
    <w:rsid w:val="00FD1261"/>
    <w:rsid w:val="00FD1627"/>
    <w:rsid w:val="00FD1BBD"/>
    <w:rsid w:val="00FD473D"/>
    <w:rsid w:val="00FD4763"/>
    <w:rsid w:val="00FD61C8"/>
    <w:rsid w:val="00FD63CE"/>
    <w:rsid w:val="00FD7D49"/>
    <w:rsid w:val="00FE1251"/>
    <w:rsid w:val="00FE16E6"/>
    <w:rsid w:val="00FE2F78"/>
    <w:rsid w:val="00FE3510"/>
    <w:rsid w:val="00FE371D"/>
    <w:rsid w:val="00FE375F"/>
    <w:rsid w:val="00FE3760"/>
    <w:rsid w:val="00FE3D8B"/>
    <w:rsid w:val="00FE440E"/>
    <w:rsid w:val="00FE4FCB"/>
    <w:rsid w:val="00FE688F"/>
    <w:rsid w:val="00FE705E"/>
    <w:rsid w:val="00FF02EB"/>
    <w:rsid w:val="00FF079B"/>
    <w:rsid w:val="00FF2436"/>
    <w:rsid w:val="00FF28E0"/>
    <w:rsid w:val="00FF2FB4"/>
    <w:rsid w:val="00FF30B3"/>
    <w:rsid w:val="00FF3DF3"/>
    <w:rsid w:val="00FF4027"/>
    <w:rsid w:val="00FF45A2"/>
    <w:rsid w:val="00FF55B1"/>
    <w:rsid w:val="00FF65DF"/>
    <w:rsid w:val="00FF7D9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71"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adpis2"/>
    <w:next w:val="Normln"/>
    <w:link w:val="Nadpis3Char"/>
    <w:uiPriority w:val="99"/>
    <w:qFormat/>
    <w:rsid w:val="00302CC5"/>
    <w:pPr>
      <w:outlineLvl w:val="2"/>
    </w:pPr>
    <w:rPr>
      <w:sz w:val="24"/>
      <w:szCs w:val="24"/>
    </w:rPr>
  </w:style>
  <w:style w:type="paragraph" w:styleId="Nadpis4">
    <w:name w:val="heading 4"/>
    <w:basedOn w:val="Normln"/>
    <w:next w:val="Normln"/>
    <w:link w:val="Nadpis4Char"/>
    <w:uiPriority w:val="9"/>
    <w:qFormat/>
    <w:rsid w:val="005E492C"/>
    <w:pPr>
      <w:keepNext/>
      <w:keepLines/>
      <w:outlineLvl w:val="3"/>
    </w:pPr>
    <w:rPr>
      <w:rFonts w:eastAsia="MS Gothic"/>
      <w:b/>
      <w:bCs/>
      <w:iCs/>
    </w:rPr>
  </w:style>
  <w:style w:type="paragraph" w:styleId="Nadpis5">
    <w:name w:val="heading 5"/>
    <w:basedOn w:val="Normln"/>
    <w:next w:val="Normln"/>
    <w:link w:val="Nadpis5Char"/>
    <w:uiPriority w:val="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
    <w:locked/>
    <w:rsid w:val="00302CC5"/>
    <w:rPr>
      <w:rFonts w:ascii="Arial" w:eastAsia="MS Gothic" w:hAnsi="Arial"/>
      <w:b/>
      <w:bCs/>
      <w:color w:val="71818C"/>
      <w:sz w:val="24"/>
      <w:szCs w:val="24"/>
    </w:rPr>
  </w:style>
  <w:style w:type="character" w:customStyle="1" w:styleId="Nadpis4Char">
    <w:name w:val="Nadpis 4 Char"/>
    <w:basedOn w:val="Standardnpsmoodstavce"/>
    <w:link w:val="Nadpis4"/>
    <w:uiPriority w:val="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rsid w:val="00E71A58"/>
    <w:rPr>
      <w:rFonts w:ascii="Tahoma" w:hAnsi="Tahoma"/>
      <w:sz w:val="16"/>
      <w:szCs w:val="16"/>
    </w:rPr>
  </w:style>
  <w:style w:type="character" w:customStyle="1" w:styleId="TextbublinyChar">
    <w:name w:val="Text bubliny Char"/>
    <w:basedOn w:val="Standardnpsmoodstavce"/>
    <w:link w:val="Textbubliny"/>
    <w:uiPriority w:val="99"/>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10"/>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10"/>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11"/>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11"/>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1"/>
    <w:qFormat/>
    <w:rsid w:val="005E492C"/>
    <w:pPr>
      <w:spacing w:line="288" w:lineRule="auto"/>
    </w:pPr>
    <w:rPr>
      <w:rFonts w:ascii="Arial" w:hAnsi="Arial"/>
      <w:sz w:val="22"/>
      <w:szCs w:val="22"/>
    </w:rPr>
  </w:style>
  <w:style w:type="paragraph" w:customStyle="1" w:styleId="Box1">
    <w:name w:val="Box 1"/>
    <w:basedOn w:val="Zkladnodstavec"/>
    <w:next w:val="Normln"/>
    <w:qFormat/>
    <w:rsid w:val="005E492C"/>
    <w:pPr>
      <w:ind w:left="1134"/>
    </w:pPr>
    <w:rPr>
      <w:rFonts w:ascii="Arial" w:hAnsi="Arial" w:cs="Arial"/>
      <w:color w:val="71818C"/>
      <w:sz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qFormat/>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locked/>
    <w:rsid w:val="006710C9"/>
    <w:rPr>
      <w:rFonts w:ascii="Arial" w:hAnsi="Arial"/>
      <w:b/>
      <w:color w:val="000000"/>
      <w:sz w:val="24"/>
      <w:shd w:val="clear" w:color="auto" w:fill="CCC0D9"/>
    </w:rPr>
  </w:style>
  <w:style w:type="character" w:customStyle="1" w:styleId="BoxChar">
    <w:name w:val="Box Char"/>
    <w:link w:val="Box"/>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qFormat/>
    <w:rsid w:val="005E492C"/>
    <w:pPr>
      <w:spacing w:after="200" w:line="288" w:lineRule="auto"/>
    </w:pPr>
    <w:rPr>
      <w:rFonts w:ascii="Arial" w:hAnsi="Arial"/>
      <w:sz w:val="22"/>
      <w:szCs w:val="22"/>
    </w:rPr>
  </w:style>
  <w:style w:type="character" w:customStyle="1" w:styleId="TL-KontaktyChar">
    <w:name w:val="TL - Kontakty Char"/>
    <w:link w:val="TL-Kontakty"/>
    <w:locked/>
    <w:rsid w:val="005E492C"/>
    <w:rPr>
      <w:rFonts w:ascii="Arial" w:hAnsi="Arial"/>
      <w:b/>
      <w:caps/>
      <w:color w:val="BD1B21"/>
      <w:sz w:val="22"/>
      <w:szCs w:val="22"/>
      <w:lang w:bidi="ar-SA"/>
    </w:rPr>
  </w:style>
  <w:style w:type="character" w:customStyle="1" w:styleId="TL-IdentifikaceChar">
    <w:name w:val="TL - Identifikace Char"/>
    <w:link w:val="TL-Identifikace"/>
    <w:locked/>
    <w:rsid w:val="005E492C"/>
    <w:rPr>
      <w:rFonts w:ascii="Arial" w:hAnsi="Arial"/>
      <w:sz w:val="22"/>
      <w:szCs w:val="22"/>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1"/>
    <w:locked/>
    <w:rsid w:val="005E492C"/>
    <w:rPr>
      <w:rFonts w:ascii="Arial" w:hAnsi="Arial"/>
      <w:sz w:val="22"/>
      <w:szCs w:val="22"/>
      <w:lang w:bidi="ar-SA"/>
    </w:rPr>
  </w:style>
  <w:style w:type="paragraph" w:customStyle="1" w:styleId="TL-identifikace-sted">
    <w:name w:val="TL - identifikace - střed"/>
    <w:basedOn w:val="Normln"/>
    <w:link w:val="TL-identifikace-stedChar"/>
    <w:qFormat/>
    <w:rsid w:val="005E492C"/>
    <w:pPr>
      <w:spacing w:after="200"/>
    </w:pPr>
    <w:rPr>
      <w:sz w:val="24"/>
      <w:szCs w:val="20"/>
    </w:rPr>
  </w:style>
  <w:style w:type="paragraph" w:customStyle="1" w:styleId="TL-Identifikace-dole">
    <w:name w:val="TL - Identifikace - dole"/>
    <w:basedOn w:val="Normln"/>
    <w:link w:val="TL-Identifikace-doleChar"/>
    <w:qFormat/>
    <w:rsid w:val="005E492C"/>
    <w:pPr>
      <w:spacing w:after="200"/>
    </w:pPr>
    <w:rPr>
      <w:szCs w:val="20"/>
      <w:lang w:eastAsia="ar-SA"/>
    </w:rPr>
  </w:style>
  <w:style w:type="character" w:customStyle="1" w:styleId="TL-identifikace-stedChar">
    <w:name w:val="TL - identifikace - střed Char"/>
    <w:link w:val="TL-identifikace-sted"/>
    <w:locked/>
    <w:rsid w:val="005E492C"/>
    <w:rPr>
      <w:rFonts w:ascii="Arial" w:hAnsi="Arial"/>
      <w:sz w:val="24"/>
    </w:rPr>
  </w:style>
  <w:style w:type="character" w:customStyle="1" w:styleId="TL-Identifikace-doleChar">
    <w:name w:val="TL - Identifikace - dole Char"/>
    <w:link w:val="TL-Identifikace-dole"/>
    <w:locked/>
    <w:rsid w:val="005E492C"/>
    <w:rPr>
      <w:rFonts w:ascii="Arial" w:hAnsi="Arial"/>
      <w:lang w:eastAsia="ar-SA" w:bidi="ar-SA"/>
    </w:rPr>
  </w:style>
  <w:style w:type="paragraph" w:styleId="Nadpisobsahu">
    <w:name w:val="TOC Heading"/>
    <w:basedOn w:val="Nadpis1"/>
    <w:next w:val="Normln"/>
    <w:uiPriority w:val="71"/>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qFormat/>
    <w:rsid w:val="00E921C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39"/>
    <w:rsid w:val="00D142E5"/>
    <w:pPr>
      <w:ind w:left="200"/>
    </w:pPr>
  </w:style>
  <w:style w:type="paragraph" w:styleId="Obsah3">
    <w:name w:val="toc 3"/>
    <w:basedOn w:val="Normln"/>
    <w:next w:val="Normln"/>
    <w:autoRedefine/>
    <w:uiPriority w:val="39"/>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vrendokumentu">
    <w:name w:val="Document Map"/>
    <w:basedOn w:val="Normln"/>
    <w:link w:val="RozvrendokumentuChar"/>
    <w:uiPriority w:val="99"/>
    <w:semiHidden/>
    <w:rsid w:val="00D5626D"/>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locked/>
    <w:rsid w:val="00D5626D"/>
    <w:rPr>
      <w:rFonts w:ascii="Tahoma" w:hAnsi="Tahoma" w:cs="Tahoma"/>
      <w:sz w:val="16"/>
      <w:szCs w:val="16"/>
    </w:rPr>
  </w:style>
  <w:style w:type="character" w:styleId="Siln">
    <w:name w:val="Strong"/>
    <w:basedOn w:val="Standardnpsmoodstavce"/>
    <w:uiPriority w:val="22"/>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qFormat/>
    <w:rsid w:val="007D4281"/>
    <w:pPr>
      <w:jc w:val="both"/>
    </w:pPr>
    <w:rPr>
      <w:rFonts w:ascii="Arial" w:eastAsia="Times New Roman" w:hAnsi="Arial"/>
      <w:szCs w:val="24"/>
    </w:rPr>
  </w:style>
  <w:style w:type="paragraph" w:styleId="Normlnweb">
    <w:name w:val="Normal (Web)"/>
    <w:basedOn w:val="Normln"/>
    <w:uiPriority w:val="99"/>
    <w:semiHidden/>
    <w:locked/>
    <w:rsid w:val="005D4336"/>
    <w:pPr>
      <w:spacing w:before="100" w:beforeAutospacing="1" w:after="100" w:afterAutospacing="1" w:line="240" w:lineRule="auto"/>
    </w:pPr>
    <w:rPr>
      <w:rFonts w:ascii="Times New Roman" w:eastAsia="Times New Roman" w:hAnsi="Times New Roman"/>
      <w:sz w:val="24"/>
    </w:rPr>
  </w:style>
  <w:style w:type="paragraph" w:styleId="Zkladntextodsazen">
    <w:name w:val="Body Text Indent"/>
    <w:basedOn w:val="Normln"/>
    <w:link w:val="ZkladntextodsazenChar"/>
    <w:semiHidden/>
    <w:locked/>
    <w:rsid w:val="00943373"/>
    <w:pPr>
      <w:autoSpaceDE w:val="0"/>
      <w:autoSpaceDN w:val="0"/>
      <w:adjustRightInd w:val="0"/>
      <w:spacing w:line="240" w:lineRule="auto"/>
      <w:ind w:left="720" w:hanging="720"/>
    </w:pPr>
    <w:rPr>
      <w:rFonts w:eastAsia="Times New Roman" w:cs="Arial"/>
      <w:szCs w:val="32"/>
    </w:rPr>
  </w:style>
  <w:style w:type="character" w:customStyle="1" w:styleId="ZkladntextodsazenChar">
    <w:name w:val="Základní text odsazený Char"/>
    <w:basedOn w:val="Standardnpsmoodstavce"/>
    <w:link w:val="Zkladntextodsazen"/>
    <w:semiHidden/>
    <w:rsid w:val="00943373"/>
    <w:rPr>
      <w:rFonts w:ascii="Arial" w:eastAsia="Times New Roman" w:hAnsi="Arial" w:cs="Arial"/>
      <w:szCs w:val="32"/>
    </w:rPr>
  </w:style>
  <w:style w:type="character" w:styleId="Odkaznakoment">
    <w:name w:val="annotation reference"/>
    <w:basedOn w:val="Standardnpsmoodstavce"/>
    <w:uiPriority w:val="99"/>
    <w:semiHidden/>
    <w:unhideWhenUsed/>
    <w:locked/>
    <w:rsid w:val="0029390D"/>
    <w:rPr>
      <w:sz w:val="16"/>
      <w:szCs w:val="16"/>
    </w:rPr>
  </w:style>
  <w:style w:type="paragraph" w:styleId="Textkomente">
    <w:name w:val="annotation text"/>
    <w:basedOn w:val="Normln"/>
    <w:link w:val="TextkomenteChar"/>
    <w:uiPriority w:val="99"/>
    <w:unhideWhenUsed/>
    <w:locked/>
    <w:rsid w:val="0029390D"/>
    <w:rPr>
      <w:szCs w:val="20"/>
    </w:rPr>
  </w:style>
  <w:style w:type="character" w:customStyle="1" w:styleId="TextkomenteChar">
    <w:name w:val="Text komentáře Char"/>
    <w:basedOn w:val="Standardnpsmoodstavce"/>
    <w:link w:val="Textkomente"/>
    <w:uiPriority w:val="99"/>
    <w:rsid w:val="0029390D"/>
    <w:rPr>
      <w:rFonts w:ascii="Arial" w:hAnsi="Arial"/>
    </w:rPr>
  </w:style>
  <w:style w:type="paragraph" w:styleId="Pedmtkomente">
    <w:name w:val="annotation subject"/>
    <w:basedOn w:val="Textkomente"/>
    <w:next w:val="Textkomente"/>
    <w:link w:val="PedmtkomenteChar"/>
    <w:uiPriority w:val="99"/>
    <w:semiHidden/>
    <w:unhideWhenUsed/>
    <w:locked/>
    <w:rsid w:val="0029390D"/>
    <w:rPr>
      <w:b/>
      <w:bCs/>
    </w:rPr>
  </w:style>
  <w:style w:type="character" w:customStyle="1" w:styleId="PedmtkomenteChar">
    <w:name w:val="Předmět komentáře Char"/>
    <w:basedOn w:val="TextkomenteChar"/>
    <w:link w:val="Pedmtkomente"/>
    <w:uiPriority w:val="99"/>
    <w:semiHidden/>
    <w:rsid w:val="0029390D"/>
    <w:rPr>
      <w:b/>
      <w:bCs/>
    </w:rPr>
  </w:style>
  <w:style w:type="character" w:styleId="Sledovanodkaz">
    <w:name w:val="FollowedHyperlink"/>
    <w:basedOn w:val="Standardnpsmoodstavce"/>
    <w:uiPriority w:val="99"/>
    <w:semiHidden/>
    <w:unhideWhenUsed/>
    <w:locked/>
    <w:rsid w:val="0029390D"/>
    <w:rPr>
      <w:color w:val="800080"/>
      <w:u w:val="single"/>
    </w:rPr>
  </w:style>
  <w:style w:type="paragraph" w:customStyle="1" w:styleId="TLKontaktyerven">
    <w:name w:val="TL Kontakty červené"/>
    <w:basedOn w:val="Normln"/>
    <w:qFormat/>
    <w:rsid w:val="00616EA3"/>
    <w:pPr>
      <w:spacing w:after="40"/>
      <w:contextualSpacing/>
    </w:pPr>
    <w:rPr>
      <w:rFonts w:eastAsia="Times New Roman"/>
      <w:b/>
      <w:caps/>
      <w:color w:val="BD1B21"/>
      <w:sz w:val="24"/>
    </w:rPr>
  </w:style>
  <w:style w:type="paragraph" w:customStyle="1" w:styleId="TLKontakty">
    <w:name w:val="TL Kontakty"/>
    <w:qFormat/>
    <w:rsid w:val="00616EA3"/>
    <w:pPr>
      <w:spacing w:after="160" w:line="259" w:lineRule="auto"/>
      <w:contextualSpacing/>
    </w:pPr>
    <w:rPr>
      <w:rFonts w:ascii="Arial" w:eastAsia="Times New Roman" w:hAnsi="Arial"/>
      <w:b/>
      <w:color w:val="0071BC"/>
    </w:rPr>
  </w:style>
  <w:style w:type="character" w:customStyle="1" w:styleId="odkaz-style-wrapper">
    <w:name w:val="odkaz-style-wrapper"/>
    <w:basedOn w:val="Standardnpsmoodstavce"/>
    <w:rsid w:val="000E214B"/>
  </w:style>
  <w:style w:type="paragraph" w:styleId="Zkladntext">
    <w:name w:val="Body Text"/>
    <w:basedOn w:val="Normln"/>
    <w:link w:val="ZkladntextChar"/>
    <w:uiPriority w:val="99"/>
    <w:semiHidden/>
    <w:unhideWhenUsed/>
    <w:locked/>
    <w:rsid w:val="00C235B9"/>
    <w:pPr>
      <w:spacing w:after="120"/>
    </w:pPr>
  </w:style>
  <w:style w:type="character" w:customStyle="1" w:styleId="ZkladntextChar">
    <w:name w:val="Základní text Char"/>
    <w:basedOn w:val="Standardnpsmoodstavce"/>
    <w:link w:val="Zkladntext"/>
    <w:uiPriority w:val="99"/>
    <w:semiHidden/>
    <w:rsid w:val="00C235B9"/>
    <w:rPr>
      <w:rFonts w:ascii="Arial" w:hAnsi="Arial"/>
      <w:szCs w:val="24"/>
    </w:rPr>
  </w:style>
</w:styles>
</file>

<file path=word/webSettings.xml><?xml version="1.0" encoding="utf-8"?>
<w:webSettings xmlns:r="http://schemas.openxmlformats.org/officeDocument/2006/relationships" xmlns:w="http://schemas.openxmlformats.org/wordprocessingml/2006/main">
  <w:divs>
    <w:div w:id="891159435">
      <w:marLeft w:val="0"/>
      <w:marRight w:val="0"/>
      <w:marTop w:val="0"/>
      <w:marBottom w:val="0"/>
      <w:divBdr>
        <w:top w:val="none" w:sz="0" w:space="0" w:color="auto"/>
        <w:left w:val="none" w:sz="0" w:space="0" w:color="auto"/>
        <w:bottom w:val="none" w:sz="0" w:space="0" w:color="auto"/>
        <w:right w:val="none" w:sz="0" w:space="0" w:color="auto"/>
      </w:divBdr>
    </w:div>
    <w:div w:id="891159436">
      <w:marLeft w:val="0"/>
      <w:marRight w:val="0"/>
      <w:marTop w:val="0"/>
      <w:marBottom w:val="0"/>
      <w:divBdr>
        <w:top w:val="none" w:sz="0" w:space="0" w:color="auto"/>
        <w:left w:val="none" w:sz="0" w:space="0" w:color="auto"/>
        <w:bottom w:val="none" w:sz="0" w:space="0" w:color="auto"/>
        <w:right w:val="none" w:sz="0" w:space="0" w:color="auto"/>
      </w:divBdr>
    </w:div>
    <w:div w:id="891159437">
      <w:marLeft w:val="0"/>
      <w:marRight w:val="0"/>
      <w:marTop w:val="0"/>
      <w:marBottom w:val="0"/>
      <w:divBdr>
        <w:top w:val="none" w:sz="0" w:space="0" w:color="auto"/>
        <w:left w:val="none" w:sz="0" w:space="0" w:color="auto"/>
        <w:bottom w:val="none" w:sz="0" w:space="0" w:color="auto"/>
        <w:right w:val="none" w:sz="0" w:space="0" w:color="auto"/>
      </w:divBdr>
    </w:div>
    <w:div w:id="891159438">
      <w:marLeft w:val="0"/>
      <w:marRight w:val="0"/>
      <w:marTop w:val="0"/>
      <w:marBottom w:val="0"/>
      <w:divBdr>
        <w:top w:val="none" w:sz="0" w:space="0" w:color="auto"/>
        <w:left w:val="none" w:sz="0" w:space="0" w:color="auto"/>
        <w:bottom w:val="none" w:sz="0" w:space="0" w:color="auto"/>
        <w:right w:val="none" w:sz="0" w:space="0" w:color="auto"/>
      </w:divBdr>
    </w:div>
    <w:div w:id="891159439">
      <w:marLeft w:val="0"/>
      <w:marRight w:val="0"/>
      <w:marTop w:val="0"/>
      <w:marBottom w:val="0"/>
      <w:divBdr>
        <w:top w:val="none" w:sz="0" w:space="0" w:color="auto"/>
        <w:left w:val="none" w:sz="0" w:space="0" w:color="auto"/>
        <w:bottom w:val="none" w:sz="0" w:space="0" w:color="auto"/>
        <w:right w:val="none" w:sz="0" w:space="0" w:color="auto"/>
      </w:divBdr>
    </w:div>
    <w:div w:id="891159440">
      <w:marLeft w:val="0"/>
      <w:marRight w:val="0"/>
      <w:marTop w:val="0"/>
      <w:marBottom w:val="0"/>
      <w:divBdr>
        <w:top w:val="none" w:sz="0" w:space="0" w:color="auto"/>
        <w:left w:val="none" w:sz="0" w:space="0" w:color="auto"/>
        <w:bottom w:val="none" w:sz="0" w:space="0" w:color="auto"/>
        <w:right w:val="none" w:sz="0" w:space="0" w:color="auto"/>
      </w:divBdr>
    </w:div>
    <w:div w:id="891159441">
      <w:marLeft w:val="0"/>
      <w:marRight w:val="0"/>
      <w:marTop w:val="0"/>
      <w:marBottom w:val="0"/>
      <w:divBdr>
        <w:top w:val="none" w:sz="0" w:space="0" w:color="auto"/>
        <w:left w:val="none" w:sz="0" w:space="0" w:color="auto"/>
        <w:bottom w:val="none" w:sz="0" w:space="0" w:color="auto"/>
        <w:right w:val="none" w:sz="0" w:space="0" w:color="auto"/>
      </w:divBdr>
    </w:div>
    <w:div w:id="891159442">
      <w:marLeft w:val="0"/>
      <w:marRight w:val="0"/>
      <w:marTop w:val="0"/>
      <w:marBottom w:val="0"/>
      <w:divBdr>
        <w:top w:val="none" w:sz="0" w:space="0" w:color="auto"/>
        <w:left w:val="none" w:sz="0" w:space="0" w:color="auto"/>
        <w:bottom w:val="none" w:sz="0" w:space="0" w:color="auto"/>
        <w:right w:val="none" w:sz="0" w:space="0" w:color="auto"/>
      </w:divBdr>
    </w:div>
    <w:div w:id="891159443">
      <w:marLeft w:val="0"/>
      <w:marRight w:val="0"/>
      <w:marTop w:val="0"/>
      <w:marBottom w:val="0"/>
      <w:divBdr>
        <w:top w:val="none" w:sz="0" w:space="0" w:color="auto"/>
        <w:left w:val="none" w:sz="0" w:space="0" w:color="auto"/>
        <w:bottom w:val="none" w:sz="0" w:space="0" w:color="auto"/>
        <w:right w:val="none" w:sz="0" w:space="0" w:color="auto"/>
      </w:divBdr>
    </w:div>
    <w:div w:id="891159444">
      <w:marLeft w:val="0"/>
      <w:marRight w:val="0"/>
      <w:marTop w:val="0"/>
      <w:marBottom w:val="0"/>
      <w:divBdr>
        <w:top w:val="none" w:sz="0" w:space="0" w:color="auto"/>
        <w:left w:val="none" w:sz="0" w:space="0" w:color="auto"/>
        <w:bottom w:val="none" w:sz="0" w:space="0" w:color="auto"/>
        <w:right w:val="none" w:sz="0" w:space="0" w:color="auto"/>
      </w:divBdr>
    </w:div>
    <w:div w:id="891159445">
      <w:marLeft w:val="0"/>
      <w:marRight w:val="0"/>
      <w:marTop w:val="0"/>
      <w:marBottom w:val="0"/>
      <w:divBdr>
        <w:top w:val="none" w:sz="0" w:space="0" w:color="auto"/>
        <w:left w:val="none" w:sz="0" w:space="0" w:color="auto"/>
        <w:bottom w:val="none" w:sz="0" w:space="0" w:color="auto"/>
        <w:right w:val="none" w:sz="0" w:space="0" w:color="auto"/>
      </w:divBdr>
    </w:div>
    <w:div w:id="8911594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VA~1\AppData\Local\Temp\publikace%20bar_vicetematick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ukupova31519\AppData\Local\Temp\vzonucr090617_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okumenty\Desktop\Anal&#253;za\velke%20makro\4.%20ZO\d&#283;len&#237;%20CP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okumenty\Desktop\Anal&#253;za\velke%20makro\4.%20ZO%20FINAL\platebn&#237;%20bilanc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7.7889437689969684E-2"/>
          <c:y val="3.9683102555443203E-2"/>
          <c:w val="0.86385722728808334"/>
          <c:h val="0.79929134301474725"/>
        </c:manualLayout>
      </c:layout>
      <c:barChart>
        <c:barDir val="col"/>
        <c:grouping val="clustered"/>
        <c:ser>
          <c:idx val="2"/>
          <c:order val="2"/>
          <c:tx>
            <c:v>Bilance</c:v>
          </c:tx>
          <c:spPr>
            <a:solidFill>
              <a:schemeClr val="tx1">
                <a:lumMod val="50000"/>
                <a:lumOff val="50000"/>
              </a:schemeClr>
            </a:solidFill>
            <a:ln>
              <a:noFill/>
            </a:ln>
          </c:spPr>
          <c:cat>
            <c:numRef>
              <c:f>'roky-years'!$A$9:$A$19</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'roky-years'!$I$9:$I$19</c:f>
              <c:numCache>
                <c:formatCode>General</c:formatCode>
                <c:ptCount val="11"/>
                <c:pt idx="0">
                  <c:v>1.8</c:v>
                </c:pt>
                <c:pt idx="1">
                  <c:v>-21.241</c:v>
                </c:pt>
                <c:pt idx="2">
                  <c:v>-44.332000000000001</c:v>
                </c:pt>
                <c:pt idx="3">
                  <c:v>31.067</c:v>
                </c:pt>
                <c:pt idx="4">
                  <c:v>-20.579000000000001</c:v>
                </c:pt>
                <c:pt idx="5">
                  <c:v>11.977</c:v>
                </c:pt>
                <c:pt idx="6">
                  <c:v>64.411529238000568</c:v>
                </c:pt>
                <c:pt idx="7">
                  <c:v>106.5181362179997</c:v>
                </c:pt>
                <c:pt idx="8">
                  <c:v>146.008220228</c:v>
                </c:pt>
                <c:pt idx="9">
                  <c:v>130.977</c:v>
                </c:pt>
                <c:pt idx="10">
                  <c:v>163.654</c:v>
                </c:pt>
              </c:numCache>
            </c:numRef>
          </c:val>
        </c:ser>
        <c:gapWidth val="99"/>
        <c:axId val="148022016"/>
        <c:axId val="147212544"/>
      </c:barChart>
      <c:lineChart>
        <c:grouping val="standard"/>
        <c:ser>
          <c:idx val="0"/>
          <c:order val="0"/>
          <c:tx>
            <c:v>Vývoz</c:v>
          </c:tx>
          <c:marker>
            <c:symbol val="none"/>
          </c:marker>
          <c:cat>
            <c:numRef>
              <c:f>'roky-years'!$A$9:$A$19</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'roky-years'!$G$9:$G$19</c:f>
              <c:numCache>
                <c:formatCode>General</c:formatCode>
                <c:ptCount val="11"/>
                <c:pt idx="0">
                  <c:v>2091.0520000000001</c:v>
                </c:pt>
                <c:pt idx="1">
                  <c:v>2314.1570000000002</c:v>
                </c:pt>
                <c:pt idx="2">
                  <c:v>2279.8500000000022</c:v>
                </c:pt>
                <c:pt idx="3">
                  <c:v>2033.3539999999998</c:v>
                </c:pt>
                <c:pt idx="4">
                  <c:v>2334.8420000000001</c:v>
                </c:pt>
                <c:pt idx="5">
                  <c:v>2570.9409999999998</c:v>
                </c:pt>
                <c:pt idx="6">
                  <c:v>2725.8440000000001</c:v>
                </c:pt>
                <c:pt idx="7">
                  <c:v>2786.2289999999903</c:v>
                </c:pt>
                <c:pt idx="8">
                  <c:v>3149.1959999999999</c:v>
                </c:pt>
                <c:pt idx="9">
                  <c:v>3262.9710000000077</c:v>
                </c:pt>
                <c:pt idx="10">
                  <c:v>3299.1059999999998</c:v>
                </c:pt>
              </c:numCache>
            </c:numRef>
          </c:val>
        </c:ser>
        <c:ser>
          <c:idx val="1"/>
          <c:order val="1"/>
          <c:tx>
            <c:v>Dovoz</c:v>
          </c:tx>
          <c:marker>
            <c:symbol val="none"/>
          </c:marker>
          <c:cat>
            <c:numRef>
              <c:f>'roky-years'!$A$9:$A$19</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'roky-years'!$H$9:$H$19</c:f>
              <c:numCache>
                <c:formatCode>General</c:formatCode>
                <c:ptCount val="11"/>
                <c:pt idx="0">
                  <c:v>2089.252</c:v>
                </c:pt>
                <c:pt idx="1">
                  <c:v>2335.3980000000001</c:v>
                </c:pt>
                <c:pt idx="2">
                  <c:v>2324.1819999999998</c:v>
                </c:pt>
                <c:pt idx="3">
                  <c:v>2002.287</c:v>
                </c:pt>
                <c:pt idx="4">
                  <c:v>2355.4209999999998</c:v>
                </c:pt>
                <c:pt idx="5">
                  <c:v>2558.9639999999999</c:v>
                </c:pt>
                <c:pt idx="6">
                  <c:v>2661.4320000000002</c:v>
                </c:pt>
                <c:pt idx="7">
                  <c:v>2679.71</c:v>
                </c:pt>
                <c:pt idx="8">
                  <c:v>3003.1879999999987</c:v>
                </c:pt>
                <c:pt idx="9">
                  <c:v>3131.9940000000001</c:v>
                </c:pt>
                <c:pt idx="10">
                  <c:v>3135.4520000000002</c:v>
                </c:pt>
              </c:numCache>
            </c:numRef>
          </c:val>
        </c:ser>
        <c:marker val="1"/>
        <c:axId val="147053184"/>
        <c:axId val="147211008"/>
      </c:lineChart>
      <c:catAx>
        <c:axId val="147053184"/>
        <c:scaling>
          <c:orientation val="minMax"/>
        </c:scaling>
        <c:axPos val="b"/>
        <c:numFmt formatCode="General" sourceLinked="1"/>
        <c:tickLblPos val="nextTo"/>
        <c:crossAx val="147211008"/>
        <c:crosses val="autoZero"/>
        <c:auto val="1"/>
        <c:lblAlgn val="ctr"/>
        <c:lblOffset val="100"/>
      </c:catAx>
      <c:valAx>
        <c:axId val="147211008"/>
        <c:scaling>
          <c:orientation val="minMax"/>
          <c:min val="1500"/>
        </c:scaling>
        <c:axPos val="l"/>
        <c:majorGridlines/>
        <c:numFmt formatCode="General" sourceLinked="1"/>
        <c:tickLblPos val="nextTo"/>
        <c:crossAx val="147053184"/>
        <c:crosses val="autoZero"/>
        <c:crossBetween val="between"/>
      </c:valAx>
      <c:valAx>
        <c:axId val="147212544"/>
        <c:scaling>
          <c:orientation val="minMax"/>
          <c:min val="-50"/>
        </c:scaling>
        <c:axPos val="r"/>
        <c:numFmt formatCode="General" sourceLinked="1"/>
        <c:tickLblPos val="nextTo"/>
        <c:crossAx val="148022016"/>
        <c:crosses val="max"/>
        <c:crossBetween val="between"/>
      </c:valAx>
      <c:catAx>
        <c:axId val="148022016"/>
        <c:scaling>
          <c:orientation val="minMax"/>
        </c:scaling>
        <c:delete val="1"/>
        <c:axPos val="b"/>
        <c:numFmt formatCode="General" sourceLinked="1"/>
        <c:tickLblPos val="none"/>
        <c:crossAx val="147212544"/>
        <c:crosses val="autoZero"/>
        <c:auto val="1"/>
        <c:lblAlgn val="ctr"/>
        <c:lblOffset val="100"/>
      </c:catAx>
      <c:spPr>
        <a:ln>
          <a:solidFill>
            <a:sysClr val="windowText" lastClr="000000"/>
          </a:solidFill>
        </a:ln>
      </c:spPr>
    </c:plotArea>
    <c:legend>
      <c:legendPos val="r"/>
      <c:layout>
        <c:manualLayout>
          <c:xMode val="edge"/>
          <c:yMode val="edge"/>
          <c:x val="7.4414049307666333E-2"/>
          <c:y val="0.90701902510413168"/>
          <c:w val="0.86661094224924062"/>
          <c:h val="7.5948159405606216E-2"/>
        </c:manualLayout>
      </c:layout>
      <c:spPr>
        <a:ln>
          <a:solidFill>
            <a:schemeClr val="tx1"/>
          </a:solidFill>
        </a:ln>
      </c:spPr>
    </c:legend>
    <c:plotVisOnly val="1"/>
    <c:dispBlanksAs val="gap"/>
  </c:chart>
  <c:spPr>
    <a:ln>
      <a:noFill/>
    </a:ln>
  </c:spPr>
  <c:txPr>
    <a:bodyPr/>
    <a:lstStyle/>
    <a:p>
      <a:pPr>
        <a:defRPr sz="800" baseline="0">
          <a:latin typeface="Arial" pitchFamily="34" charset="0"/>
        </a:defRPr>
      </a:pPr>
      <a:endParaRPr lang="cs-CZ"/>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7.3230004144218833E-2"/>
          <c:y val="1.8791438599043489E-2"/>
          <c:w val="0.90902165653496037"/>
          <c:h val="0.73832179443881862"/>
        </c:manualLayout>
      </c:layout>
      <c:barChart>
        <c:barDir val="col"/>
        <c:grouping val="stacked"/>
        <c:ser>
          <c:idx val="8"/>
          <c:order val="0"/>
          <c:tx>
            <c:v>Ostatní</c:v>
          </c:tx>
          <c:spPr>
            <a:ln>
              <a:noFill/>
            </a:ln>
          </c:spPr>
          <c:cat>
            <c:numRef>
              <c:f>'bilance-balance'!$B$143:$B$147</c:f>
              <c:numCache>
                <c:formatCode>General</c:formatCode>
                <c:ptCount val="5"/>
                <c:pt idx="0">
                  <c:v>2012</c:v>
                </c:pt>
                <c:pt idx="1">
                  <c:v>2013</c:v>
                </c:pt>
                <c:pt idx="2">
                  <c:v>2014</c:v>
                </c:pt>
                <c:pt idx="3">
                  <c:v>2015</c:v>
                </c:pt>
                <c:pt idx="4">
                  <c:v>2016</c:v>
                </c:pt>
              </c:numCache>
            </c:numRef>
          </c:cat>
          <c:val>
            <c:numRef>
              <c:f>'bilance-balance'!$AC$137:$AC$147</c:f>
              <c:numCache>
                <c:formatCode>#,##0_ ;\-#,##0\ </c:formatCode>
                <c:ptCount val="11"/>
                <c:pt idx="0">
                  <c:v>10.27600000000001</c:v>
                </c:pt>
                <c:pt idx="1">
                  <c:v>13.49899999999997</c:v>
                </c:pt>
                <c:pt idx="2">
                  <c:v>10.620000000000061</c:v>
                </c:pt>
                <c:pt idx="3">
                  <c:v>6.23599999999999</c:v>
                </c:pt>
                <c:pt idx="4">
                  <c:v>27.643000000000001</c:v>
                </c:pt>
                <c:pt idx="5">
                  <c:v>21.848999999999986</c:v>
                </c:pt>
                <c:pt idx="6">
                  <c:v>60.413000000000004</c:v>
                </c:pt>
                <c:pt idx="7">
                  <c:v>76.05400000000003</c:v>
                </c:pt>
                <c:pt idx="8">
                  <c:v>71.077999999999932</c:v>
                </c:pt>
                <c:pt idx="9">
                  <c:v>14.118999999999971</c:v>
                </c:pt>
                <c:pt idx="10">
                  <c:v>-22.923000000000059</c:v>
                </c:pt>
              </c:numCache>
            </c:numRef>
          </c:val>
        </c:ser>
        <c:ser>
          <c:idx val="0"/>
          <c:order val="1"/>
          <c:tx>
            <c:strRef>
              <c:f>'bilance-balance'!$F$4</c:f>
              <c:strCache>
                <c:ptCount val="1"/>
                <c:pt idx="0">
                  <c:v>Ropa a zemní plyn</c:v>
                </c:pt>
              </c:strCache>
            </c:strRef>
          </c:tx>
          <c:spPr>
            <a:ln>
              <a:noFill/>
            </a:ln>
          </c:spPr>
          <c:cat>
            <c:numRef>
              <c:f>'bilance-balance'!$B$137:$B$147</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'bilance-balance'!$F$137:$F$147</c:f>
              <c:numCache>
                <c:formatCode>#,##0_ ;\-#,##0\ </c:formatCode>
                <c:ptCount val="11"/>
                <c:pt idx="0">
                  <c:v>-140.72499999999999</c:v>
                </c:pt>
                <c:pt idx="1">
                  <c:v>-119.32</c:v>
                </c:pt>
                <c:pt idx="2">
                  <c:v>-167.16800000000001</c:v>
                </c:pt>
                <c:pt idx="3">
                  <c:v>-112.69799999999999</c:v>
                </c:pt>
                <c:pt idx="4">
                  <c:v>-148.78100000000001</c:v>
                </c:pt>
                <c:pt idx="5">
                  <c:v>-175.64399999999998</c:v>
                </c:pt>
                <c:pt idx="6">
                  <c:v>-198.54399999999998</c:v>
                </c:pt>
                <c:pt idx="7">
                  <c:v>-193.30200000000067</c:v>
                </c:pt>
                <c:pt idx="8">
                  <c:v>-161.48100000000107</c:v>
                </c:pt>
                <c:pt idx="9">
                  <c:v>-102.542</c:v>
                </c:pt>
                <c:pt idx="10">
                  <c:v>-77.657999999999987</c:v>
                </c:pt>
              </c:numCache>
            </c:numRef>
          </c:val>
        </c:ser>
        <c:ser>
          <c:idx val="1"/>
          <c:order val="2"/>
          <c:tx>
            <c:strRef>
              <c:f>'bilance-balance'!$N$4</c:f>
              <c:strCache>
                <c:ptCount val="1"/>
                <c:pt idx="0">
                  <c:v>Chem. látky a přípravky</c:v>
                </c:pt>
              </c:strCache>
            </c:strRef>
          </c:tx>
          <c:spPr>
            <a:ln>
              <a:noFill/>
            </a:ln>
          </c:spPr>
          <c:cat>
            <c:numRef>
              <c:f>'bilance-balance'!$B$137:$B$147</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'bilance-balance'!$N$137:$N$147</c:f>
              <c:numCache>
                <c:formatCode>#,##0_ ;\-#,##0\ </c:formatCode>
                <c:ptCount val="11"/>
                <c:pt idx="0">
                  <c:v>-54.573</c:v>
                </c:pt>
                <c:pt idx="1">
                  <c:v>-65.205000000000013</c:v>
                </c:pt>
                <c:pt idx="2">
                  <c:v>-55.718000000000011</c:v>
                </c:pt>
                <c:pt idx="3">
                  <c:v>-39.063000000000002</c:v>
                </c:pt>
                <c:pt idx="4">
                  <c:v>-53.523000000000003</c:v>
                </c:pt>
                <c:pt idx="5">
                  <c:v>-65.924000000000007</c:v>
                </c:pt>
                <c:pt idx="6">
                  <c:v>-67.092000000000013</c:v>
                </c:pt>
                <c:pt idx="7">
                  <c:v>-74.111999999999995</c:v>
                </c:pt>
                <c:pt idx="8">
                  <c:v>-85.313999999999993</c:v>
                </c:pt>
                <c:pt idx="9">
                  <c:v>-104.429</c:v>
                </c:pt>
                <c:pt idx="10">
                  <c:v>-117.57199999999999</c:v>
                </c:pt>
              </c:numCache>
            </c:numRef>
          </c:val>
        </c:ser>
        <c:ser>
          <c:idx val="3"/>
          <c:order val="3"/>
          <c:tx>
            <c:strRef>
              <c:f>'bilance-balance'!$R$4</c:f>
              <c:strCache>
                <c:ptCount val="1"/>
                <c:pt idx="0">
                  <c:v>Základní kovy</c:v>
                </c:pt>
              </c:strCache>
            </c:strRef>
          </c:tx>
          <c:spPr>
            <a:ln>
              <a:noFill/>
            </a:ln>
          </c:spPr>
          <c:cat>
            <c:numRef>
              <c:f>'bilance-balance'!$B$137:$B$147</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'bilance-balance'!$R$137:$R$147</c:f>
              <c:numCache>
                <c:formatCode>#,##0_ ;\-#,##0\ </c:formatCode>
                <c:ptCount val="11"/>
                <c:pt idx="0">
                  <c:v>-62.205000000000013</c:v>
                </c:pt>
                <c:pt idx="1">
                  <c:v>-82.740000000000023</c:v>
                </c:pt>
                <c:pt idx="2">
                  <c:v>-70.111000000000004</c:v>
                </c:pt>
                <c:pt idx="3">
                  <c:v>-42.83</c:v>
                </c:pt>
                <c:pt idx="4">
                  <c:v>-69.424000000000007</c:v>
                </c:pt>
                <c:pt idx="5">
                  <c:v>-72.77</c:v>
                </c:pt>
                <c:pt idx="6">
                  <c:v>-65.688999999999979</c:v>
                </c:pt>
                <c:pt idx="7">
                  <c:v>-67.098000000000013</c:v>
                </c:pt>
                <c:pt idx="8">
                  <c:v>-83.224000000000004</c:v>
                </c:pt>
                <c:pt idx="9">
                  <c:v>-97.486999999999995</c:v>
                </c:pt>
                <c:pt idx="10">
                  <c:v>-95.10899999999998</c:v>
                </c:pt>
              </c:numCache>
            </c:numRef>
          </c:val>
        </c:ser>
        <c:ser>
          <c:idx val="4"/>
          <c:order val="4"/>
          <c:tx>
            <c:strRef>
              <c:f>'bilance-balance'!$S$4</c:f>
              <c:strCache>
                <c:ptCount val="1"/>
                <c:pt idx="0">
                  <c:v>Kovodělné výrobky</c:v>
                </c:pt>
              </c:strCache>
            </c:strRef>
          </c:tx>
          <c:spPr>
            <a:ln>
              <a:noFill/>
            </a:ln>
          </c:spPr>
          <c:cat>
            <c:numRef>
              <c:f>'bilance-balance'!$B$137:$B$147</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'bilance-balance'!$S$137:$S$147</c:f>
              <c:numCache>
                <c:formatCode>#,##0_ ;\-#,##0\ </c:formatCode>
                <c:ptCount val="11"/>
                <c:pt idx="0">
                  <c:v>42.997</c:v>
                </c:pt>
                <c:pt idx="1">
                  <c:v>45.689</c:v>
                </c:pt>
                <c:pt idx="2">
                  <c:v>49.023000000000003</c:v>
                </c:pt>
                <c:pt idx="3">
                  <c:v>34.902000000000001</c:v>
                </c:pt>
                <c:pt idx="4">
                  <c:v>36.777000000000001</c:v>
                </c:pt>
                <c:pt idx="5">
                  <c:v>47.518000000000001</c:v>
                </c:pt>
                <c:pt idx="6">
                  <c:v>55.626000000000012</c:v>
                </c:pt>
                <c:pt idx="7">
                  <c:v>60.993000000000002</c:v>
                </c:pt>
                <c:pt idx="8">
                  <c:v>61.239000000000011</c:v>
                </c:pt>
                <c:pt idx="9">
                  <c:v>59.476000000000006</c:v>
                </c:pt>
                <c:pt idx="10">
                  <c:v>60.893000000000001</c:v>
                </c:pt>
              </c:numCache>
            </c:numRef>
          </c:val>
        </c:ser>
        <c:ser>
          <c:idx val="5"/>
          <c:order val="5"/>
          <c:tx>
            <c:strRef>
              <c:f>'bilance-balance'!$T$4</c:f>
              <c:strCache>
                <c:ptCount val="1"/>
                <c:pt idx="0">
                  <c:v>Počítače, elektr. a opt. přístroje </c:v>
                </c:pt>
              </c:strCache>
            </c:strRef>
          </c:tx>
          <c:spPr>
            <a:ln>
              <a:noFill/>
            </a:ln>
          </c:spPr>
          <c:cat>
            <c:numRef>
              <c:f>'bilance-balance'!$B$137:$B$147</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'bilance-balance'!$T$137:$T$147</c:f>
              <c:numCache>
                <c:formatCode>#,##0_ ;\-#,##0\ </c:formatCode>
                <c:ptCount val="11"/>
                <c:pt idx="0">
                  <c:v>-59.569000000000003</c:v>
                </c:pt>
                <c:pt idx="1">
                  <c:v>-88.882999999999981</c:v>
                </c:pt>
                <c:pt idx="2">
                  <c:v>-77.894000000000005</c:v>
                </c:pt>
                <c:pt idx="3">
                  <c:v>-92.331000000000003</c:v>
                </c:pt>
                <c:pt idx="4">
                  <c:v>-142.16999999999999</c:v>
                </c:pt>
                <c:pt idx="5">
                  <c:v>-101.35</c:v>
                </c:pt>
                <c:pt idx="6">
                  <c:v>-103.06</c:v>
                </c:pt>
                <c:pt idx="7">
                  <c:v>-63.808</c:v>
                </c:pt>
                <c:pt idx="8">
                  <c:v>-65.694000000000003</c:v>
                </c:pt>
                <c:pt idx="9">
                  <c:v>-80.825999999999979</c:v>
                </c:pt>
                <c:pt idx="10">
                  <c:v>-64.299000000000007</c:v>
                </c:pt>
              </c:numCache>
            </c:numRef>
          </c:val>
        </c:ser>
        <c:ser>
          <c:idx val="6"/>
          <c:order val="6"/>
          <c:tx>
            <c:strRef>
              <c:f>'bilance-balance'!$V$4</c:f>
              <c:strCache>
                <c:ptCount val="1"/>
                <c:pt idx="0">
                  <c:v>Stroje a zařízení</c:v>
                </c:pt>
              </c:strCache>
            </c:strRef>
          </c:tx>
          <c:spPr>
            <a:ln>
              <a:noFill/>
            </a:ln>
          </c:spPr>
          <c:cat>
            <c:numRef>
              <c:f>'bilance-balance'!$B$137:$B$147</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'bilance-balance'!$V$137:$V$147</c:f>
              <c:numCache>
                <c:formatCode>#,##0_ ;\-#,##0\ </c:formatCode>
                <c:ptCount val="11"/>
                <c:pt idx="0">
                  <c:v>93.708000000000013</c:v>
                </c:pt>
                <c:pt idx="1">
                  <c:v>90.116</c:v>
                </c:pt>
                <c:pt idx="2">
                  <c:v>95.962999999999994</c:v>
                </c:pt>
                <c:pt idx="3">
                  <c:v>85.838999999999999</c:v>
                </c:pt>
                <c:pt idx="4">
                  <c:v>97.643000000000001</c:v>
                </c:pt>
                <c:pt idx="5">
                  <c:v>103.336</c:v>
                </c:pt>
                <c:pt idx="6">
                  <c:v>104.96700000000052</c:v>
                </c:pt>
                <c:pt idx="7">
                  <c:v>78.433999999999997</c:v>
                </c:pt>
                <c:pt idx="8">
                  <c:v>56.596000000000011</c:v>
                </c:pt>
                <c:pt idx="9">
                  <c:v>43.773000000000003</c:v>
                </c:pt>
                <c:pt idx="10">
                  <c:v>66.657999999999987</c:v>
                </c:pt>
              </c:numCache>
            </c:numRef>
          </c:val>
        </c:ser>
        <c:ser>
          <c:idx val="7"/>
          <c:order val="7"/>
          <c:tx>
            <c:strRef>
              <c:f>'bilance-balance'!$W$4</c:f>
              <c:strCache>
                <c:ptCount val="1"/>
                <c:pt idx="0">
                  <c:v>Motorová vozidla</c:v>
                </c:pt>
              </c:strCache>
            </c:strRef>
          </c:tx>
          <c:spPr>
            <a:ln>
              <a:noFill/>
            </a:ln>
          </c:spPr>
          <c:cat>
            <c:numRef>
              <c:f>'bilance-balance'!$B$137:$B$147</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'bilance-balance'!$W$137:$W$147</c:f>
              <c:numCache>
                <c:formatCode>#,##0_ ;\-#,##0\ </c:formatCode>
                <c:ptCount val="11"/>
                <c:pt idx="0">
                  <c:v>171.89100000000047</c:v>
                </c:pt>
                <c:pt idx="1">
                  <c:v>185.60299999999998</c:v>
                </c:pt>
                <c:pt idx="2">
                  <c:v>170.953</c:v>
                </c:pt>
                <c:pt idx="3">
                  <c:v>191.012</c:v>
                </c:pt>
                <c:pt idx="4">
                  <c:v>231.256</c:v>
                </c:pt>
                <c:pt idx="5">
                  <c:v>254.96200000000007</c:v>
                </c:pt>
                <c:pt idx="6">
                  <c:v>277.78899999999823</c:v>
                </c:pt>
                <c:pt idx="7">
                  <c:v>289.35700000000008</c:v>
                </c:pt>
                <c:pt idx="8">
                  <c:v>352.80900000000008</c:v>
                </c:pt>
                <c:pt idx="9">
                  <c:v>398.892</c:v>
                </c:pt>
                <c:pt idx="10">
                  <c:v>416.41999999999899</c:v>
                </c:pt>
              </c:numCache>
            </c:numRef>
          </c:val>
        </c:ser>
        <c:gapWidth val="80"/>
        <c:overlap val="100"/>
        <c:axId val="150495232"/>
        <c:axId val="150497536"/>
      </c:barChart>
      <c:lineChart>
        <c:grouping val="standard"/>
        <c:ser>
          <c:idx val="9"/>
          <c:order val="8"/>
          <c:tx>
            <c:strRef>
              <c:f>'bilance-balance'!$C$3:$C$4</c:f>
              <c:strCache>
                <c:ptCount val="1"/>
                <c:pt idx="0">
                  <c:v>Celkem</c:v>
                </c:pt>
              </c:strCache>
            </c:strRef>
          </c:tx>
          <c:spPr>
            <a:ln w="22225">
              <a:solidFill>
                <a:prstClr val="black"/>
              </a:solidFill>
            </a:ln>
          </c:spPr>
          <c:marker>
            <c:symbol val="none"/>
          </c:marker>
          <c:cat>
            <c:numRef>
              <c:f>'bilance-balance'!$B$137:$B$147</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'bilance-balance'!$C$137:$C$147</c:f>
              <c:numCache>
                <c:formatCode>#,##0_ ;\-#,##0\ </c:formatCode>
                <c:ptCount val="11"/>
                <c:pt idx="0">
                  <c:v>1.8</c:v>
                </c:pt>
                <c:pt idx="1">
                  <c:v>-21.241</c:v>
                </c:pt>
                <c:pt idx="2">
                  <c:v>-44.332000000000001</c:v>
                </c:pt>
                <c:pt idx="3">
                  <c:v>31.067</c:v>
                </c:pt>
                <c:pt idx="4">
                  <c:v>-20.579000000000001</c:v>
                </c:pt>
                <c:pt idx="5">
                  <c:v>11.977</c:v>
                </c:pt>
                <c:pt idx="6">
                  <c:v>64.410000000000025</c:v>
                </c:pt>
                <c:pt idx="7">
                  <c:v>106.518</c:v>
                </c:pt>
                <c:pt idx="8">
                  <c:v>146.00900000000001</c:v>
                </c:pt>
                <c:pt idx="9">
                  <c:v>130.976</c:v>
                </c:pt>
                <c:pt idx="10">
                  <c:v>166.41</c:v>
                </c:pt>
              </c:numCache>
            </c:numRef>
          </c:val>
        </c:ser>
        <c:marker val="1"/>
        <c:axId val="150495232"/>
        <c:axId val="150497536"/>
      </c:lineChart>
      <c:catAx>
        <c:axId val="150495232"/>
        <c:scaling>
          <c:orientation val="minMax"/>
        </c:scaling>
        <c:axPos val="b"/>
        <c:numFmt formatCode="General" sourceLinked="1"/>
        <c:tickLblPos val="low"/>
        <c:txPr>
          <a:bodyPr rot="0" vert="horz"/>
          <a:lstStyle/>
          <a:p>
            <a:pPr>
              <a:defRPr/>
            </a:pPr>
            <a:endParaRPr lang="cs-CZ"/>
          </a:p>
        </c:txPr>
        <c:crossAx val="150497536"/>
        <c:crosses val="autoZero"/>
        <c:auto val="1"/>
        <c:lblAlgn val="ctr"/>
        <c:lblOffset val="100"/>
      </c:catAx>
      <c:valAx>
        <c:axId val="150497536"/>
        <c:scaling>
          <c:orientation val="minMax"/>
          <c:max val="600"/>
          <c:min val="-500"/>
        </c:scaling>
        <c:axPos val="l"/>
        <c:majorGridlines>
          <c:spPr>
            <a:ln>
              <a:solidFill>
                <a:schemeClr val="tx1">
                  <a:lumMod val="50000"/>
                  <a:lumOff val="50000"/>
                </a:schemeClr>
              </a:solidFill>
            </a:ln>
          </c:spPr>
        </c:majorGridlines>
        <c:numFmt formatCode="#,##0_ ;\-#,##0\ " sourceLinked="1"/>
        <c:tickLblPos val="nextTo"/>
        <c:crossAx val="150495232"/>
        <c:crosses val="autoZero"/>
        <c:crossBetween val="between"/>
        <c:majorUnit val="100"/>
      </c:valAx>
      <c:spPr>
        <a:ln>
          <a:solidFill>
            <a:sysClr val="windowText" lastClr="000000"/>
          </a:solidFill>
        </a:ln>
      </c:spPr>
    </c:plotArea>
    <c:legend>
      <c:legendPos val="r"/>
      <c:layout>
        <c:manualLayout>
          <c:xMode val="edge"/>
          <c:yMode val="edge"/>
          <c:x val="7.0739403917595534E-2"/>
          <c:y val="0.81921507373635039"/>
          <c:w val="0.90905838399189454"/>
          <c:h val="0.17129967353371608"/>
        </c:manualLayout>
      </c:layout>
      <c:overlay val="1"/>
      <c:spPr>
        <a:ln>
          <a:solidFill>
            <a:schemeClr val="tx1"/>
          </a:solidFill>
        </a:ln>
      </c:spPr>
    </c:legend>
    <c:plotVisOnly val="1"/>
    <c:dispBlanksAs val="gap"/>
  </c:chart>
  <c:spPr>
    <a:ln>
      <a:noFill/>
    </a:ln>
  </c:spPr>
  <c:txPr>
    <a:bodyPr/>
    <a:lstStyle/>
    <a:p>
      <a:pPr>
        <a:defRPr sz="800" baseline="0">
          <a:latin typeface="Arial" pitchFamily="34" charset="0"/>
        </a:defRPr>
      </a:pPr>
      <a:endParaRPr lang="cs-CZ"/>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7.8355918608578184E-2"/>
          <c:y val="2.1711264016309892E-2"/>
          <c:w val="0.90398007429922322"/>
          <c:h val="0.81334487344578288"/>
        </c:manualLayout>
      </c:layout>
      <c:barChart>
        <c:barDir val="col"/>
        <c:grouping val="stacked"/>
        <c:ser>
          <c:idx val="3"/>
          <c:order val="1"/>
          <c:tx>
            <c:strRef>
              <c:f>'Vystup-6'!$F$74</c:f>
              <c:strCache>
                <c:ptCount val="1"/>
                <c:pt idx="0">
                  <c:v>Saldo druhotných důchodů</c:v>
                </c:pt>
              </c:strCache>
            </c:strRef>
          </c:tx>
          <c:spPr>
            <a:ln>
              <a:noFill/>
            </a:ln>
          </c:spPr>
          <c:cat>
            <c:numRef>
              <c:f>'Vystup-6'!$A$77:$A$87</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'Vystup-6'!$F$77:$F$87</c:f>
              <c:numCache>
                <c:formatCode>General</c:formatCode>
                <c:ptCount val="11"/>
                <c:pt idx="0">
                  <c:v>-18.4419</c:v>
                </c:pt>
                <c:pt idx="1">
                  <c:v>-21.582699999999878</c:v>
                </c:pt>
                <c:pt idx="2">
                  <c:v>-12.4122</c:v>
                </c:pt>
                <c:pt idx="3">
                  <c:v>-19.420499999999915</c:v>
                </c:pt>
                <c:pt idx="4">
                  <c:v>-10.712</c:v>
                </c:pt>
                <c:pt idx="5">
                  <c:v>-18.214599999999987</c:v>
                </c:pt>
                <c:pt idx="6">
                  <c:v>-27.209300000000002</c:v>
                </c:pt>
                <c:pt idx="7">
                  <c:v>-10.098199999999999</c:v>
                </c:pt>
                <c:pt idx="8">
                  <c:v>-6.9301000000000004</c:v>
                </c:pt>
                <c:pt idx="9">
                  <c:v>5.1300000000001122E-2</c:v>
                </c:pt>
                <c:pt idx="10">
                  <c:v>-27.292000000000002</c:v>
                </c:pt>
              </c:numCache>
            </c:numRef>
          </c:val>
        </c:ser>
        <c:ser>
          <c:idx val="2"/>
          <c:order val="2"/>
          <c:tx>
            <c:strRef>
              <c:f>'Vystup-6'!$E$74</c:f>
              <c:strCache>
                <c:ptCount val="1"/>
                <c:pt idx="0">
                  <c:v>Saldo prvotních důchodů</c:v>
                </c:pt>
              </c:strCache>
            </c:strRef>
          </c:tx>
          <c:spPr>
            <a:ln>
              <a:noFill/>
            </a:ln>
          </c:spPr>
          <c:cat>
            <c:numRef>
              <c:f>'Vystup-6'!$A$77:$A$87</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'Vystup-6'!$E$77:$E$87</c:f>
              <c:numCache>
                <c:formatCode>General</c:formatCode>
                <c:ptCount val="11"/>
                <c:pt idx="0">
                  <c:v>-155.1174</c:v>
                </c:pt>
                <c:pt idx="1">
                  <c:v>-239.2928</c:v>
                </c:pt>
                <c:pt idx="2">
                  <c:v>-147.68770000000001</c:v>
                </c:pt>
                <c:pt idx="3">
                  <c:v>-216.65909999999997</c:v>
                </c:pt>
                <c:pt idx="4">
                  <c:v>-249.9298</c:v>
                </c:pt>
                <c:pt idx="5">
                  <c:v>-223.34540000000001</c:v>
                </c:pt>
                <c:pt idx="6">
                  <c:v>-237.52780000000001</c:v>
                </c:pt>
                <c:pt idx="7">
                  <c:v>-249.01870000000002</c:v>
                </c:pt>
                <c:pt idx="8">
                  <c:v>-260.78889999999899</c:v>
                </c:pt>
                <c:pt idx="9">
                  <c:v>-254.83810000000048</c:v>
                </c:pt>
                <c:pt idx="10">
                  <c:v>-271.762</c:v>
                </c:pt>
              </c:numCache>
            </c:numRef>
          </c:val>
        </c:ser>
        <c:ser>
          <c:idx val="1"/>
          <c:order val="3"/>
          <c:tx>
            <c:strRef>
              <c:f>'Vystup-6'!$D$74</c:f>
              <c:strCache>
                <c:ptCount val="1"/>
                <c:pt idx="0">
                  <c:v>Služby</c:v>
                </c:pt>
              </c:strCache>
            </c:strRef>
          </c:tx>
          <c:spPr>
            <a:ln>
              <a:noFill/>
            </a:ln>
          </c:spPr>
          <c:cat>
            <c:numRef>
              <c:f>'Vystup-6'!$A$77:$A$87</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'Vystup-6'!$D$77:$D$87</c:f>
              <c:numCache>
                <c:formatCode>General</c:formatCode>
                <c:ptCount val="11"/>
                <c:pt idx="0">
                  <c:v>62.559000000000005</c:v>
                </c:pt>
                <c:pt idx="1">
                  <c:v>73.394200000000026</c:v>
                </c:pt>
                <c:pt idx="2">
                  <c:v>89.274299999999997</c:v>
                </c:pt>
                <c:pt idx="3">
                  <c:v>81.917000000000272</c:v>
                </c:pt>
                <c:pt idx="4">
                  <c:v>78.475799999999978</c:v>
                </c:pt>
                <c:pt idx="5">
                  <c:v>81.281700000000001</c:v>
                </c:pt>
                <c:pt idx="6">
                  <c:v>77.626200000000011</c:v>
                </c:pt>
                <c:pt idx="7">
                  <c:v>70.35929999999999</c:v>
                </c:pt>
                <c:pt idx="8">
                  <c:v>55.650800000000004</c:v>
                </c:pt>
                <c:pt idx="9">
                  <c:v>78.0381</c:v>
                </c:pt>
                <c:pt idx="10">
                  <c:v>101.0591</c:v>
                </c:pt>
              </c:numCache>
            </c:numRef>
          </c:val>
        </c:ser>
        <c:ser>
          <c:idx val="4"/>
          <c:order val="4"/>
          <c:tx>
            <c:strRef>
              <c:f>'Vystup-6'!$C$74</c:f>
              <c:strCache>
                <c:ptCount val="1"/>
                <c:pt idx="0">
                  <c:v>Zboží</c:v>
                </c:pt>
              </c:strCache>
            </c:strRef>
          </c:tx>
          <c:spPr>
            <a:solidFill>
              <a:schemeClr val="accent1"/>
            </a:solidFill>
            <a:ln>
              <a:noFill/>
            </a:ln>
          </c:spPr>
          <c:cat>
            <c:numRef>
              <c:f>'Vystup-6'!$A$77:$A$87</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'Vystup-6'!$C$77:$C$87</c:f>
              <c:numCache>
                <c:formatCode>General</c:formatCode>
                <c:ptCount val="11"/>
                <c:pt idx="0">
                  <c:v>24.372499999999921</c:v>
                </c:pt>
                <c:pt idx="1">
                  <c:v>10.368600000000002</c:v>
                </c:pt>
                <c:pt idx="2">
                  <c:v>-4.4290999999999983</c:v>
                </c:pt>
                <c:pt idx="3">
                  <c:v>64.959600000000023</c:v>
                </c:pt>
                <c:pt idx="4">
                  <c:v>40.389599999999994</c:v>
                </c:pt>
                <c:pt idx="5">
                  <c:v>75.477600000000024</c:v>
                </c:pt>
                <c:pt idx="6">
                  <c:v>123.79790000000024</c:v>
                </c:pt>
                <c:pt idx="7">
                  <c:v>166.97310000000002</c:v>
                </c:pt>
                <c:pt idx="8">
                  <c:v>219.95090000000027</c:v>
                </c:pt>
                <c:pt idx="9">
                  <c:v>188.03190000000001</c:v>
                </c:pt>
                <c:pt idx="10">
                  <c:v>250.6369</c:v>
                </c:pt>
              </c:numCache>
            </c:numRef>
          </c:val>
        </c:ser>
        <c:gapWidth val="81"/>
        <c:overlap val="100"/>
        <c:axId val="150723200"/>
        <c:axId val="83546496"/>
      </c:barChart>
      <c:lineChart>
        <c:grouping val="standard"/>
        <c:ser>
          <c:idx val="0"/>
          <c:order val="0"/>
          <c:tx>
            <c:strRef>
              <c:f>'Vystup-6'!$B$74</c:f>
              <c:strCache>
                <c:ptCount val="1"/>
                <c:pt idx="0">
                  <c:v>Běžný účet</c:v>
                </c:pt>
              </c:strCache>
            </c:strRef>
          </c:tx>
          <c:spPr>
            <a:ln w="22225">
              <a:solidFill>
                <a:prstClr val="black"/>
              </a:solidFill>
            </a:ln>
          </c:spPr>
          <c:marker>
            <c:symbol val="none"/>
          </c:marker>
          <c:val>
            <c:numRef>
              <c:f>'Vystup-6'!$B$77:$B$87</c:f>
              <c:numCache>
                <c:formatCode>General</c:formatCode>
                <c:ptCount val="11"/>
                <c:pt idx="0">
                  <c:v>-86.627899999999983</c:v>
                </c:pt>
                <c:pt idx="1">
                  <c:v>-177.11279999999999</c:v>
                </c:pt>
                <c:pt idx="2">
                  <c:v>-75.2547</c:v>
                </c:pt>
                <c:pt idx="3">
                  <c:v>-89.203000000000003</c:v>
                </c:pt>
                <c:pt idx="4">
                  <c:v>-141.77669999999998</c:v>
                </c:pt>
                <c:pt idx="5">
                  <c:v>-84.800900000000013</c:v>
                </c:pt>
                <c:pt idx="6">
                  <c:v>-63.312999999999995</c:v>
                </c:pt>
                <c:pt idx="7">
                  <c:v>-21.78429999999992</c:v>
                </c:pt>
                <c:pt idx="8">
                  <c:v>7.8826000000000027</c:v>
                </c:pt>
                <c:pt idx="9">
                  <c:v>11.283000000000001</c:v>
                </c:pt>
                <c:pt idx="10">
                  <c:v>52.641799999999996</c:v>
                </c:pt>
              </c:numCache>
            </c:numRef>
          </c:val>
        </c:ser>
        <c:marker val="1"/>
        <c:axId val="150723200"/>
        <c:axId val="83546496"/>
      </c:lineChart>
      <c:catAx>
        <c:axId val="150723200"/>
        <c:scaling>
          <c:orientation val="minMax"/>
        </c:scaling>
        <c:axPos val="b"/>
        <c:numFmt formatCode="General" sourceLinked="1"/>
        <c:tickLblPos val="low"/>
        <c:spPr>
          <a:ln>
            <a:solidFill>
              <a:schemeClr val="tx1"/>
            </a:solidFill>
          </a:ln>
        </c:spPr>
        <c:txPr>
          <a:bodyPr rot="0" vert="horz"/>
          <a:lstStyle/>
          <a:p>
            <a:pPr>
              <a:defRPr/>
            </a:pPr>
            <a:endParaRPr lang="cs-CZ"/>
          </a:p>
        </c:txPr>
        <c:crossAx val="83546496"/>
        <c:crosses val="autoZero"/>
        <c:auto val="1"/>
        <c:lblAlgn val="ctr"/>
        <c:lblOffset val="100"/>
      </c:catAx>
      <c:valAx>
        <c:axId val="83546496"/>
        <c:scaling>
          <c:orientation val="minMax"/>
          <c:min val="-300"/>
        </c:scaling>
        <c:axPos val="l"/>
        <c:majorGridlines>
          <c:spPr>
            <a:ln>
              <a:solidFill>
                <a:schemeClr val="tx1">
                  <a:lumMod val="50000"/>
                  <a:lumOff val="50000"/>
                </a:schemeClr>
              </a:solidFill>
            </a:ln>
          </c:spPr>
        </c:majorGridlines>
        <c:numFmt formatCode="General" sourceLinked="1"/>
        <c:tickLblPos val="nextTo"/>
        <c:crossAx val="150723200"/>
        <c:crosses val="autoZero"/>
        <c:crossBetween val="between"/>
      </c:valAx>
      <c:spPr>
        <a:ln>
          <a:solidFill>
            <a:sysClr val="windowText" lastClr="000000"/>
          </a:solidFill>
        </a:ln>
      </c:spPr>
    </c:plotArea>
    <c:legend>
      <c:legendPos val="r"/>
      <c:layout>
        <c:manualLayout>
          <c:xMode val="edge"/>
          <c:yMode val="edge"/>
          <c:x val="7.4624798406223339E-2"/>
          <c:y val="0.90498012145264395"/>
          <c:w val="0.90750487514361899"/>
          <c:h val="8.4740171553623067E-2"/>
        </c:manualLayout>
      </c:layout>
      <c:overlay val="1"/>
      <c:spPr>
        <a:noFill/>
        <a:ln>
          <a:solidFill>
            <a:schemeClr val="tx1"/>
          </a:solidFill>
        </a:ln>
      </c:spPr>
    </c:legend>
    <c:plotVisOnly val="1"/>
    <c:dispBlanksAs val="gap"/>
  </c:chart>
  <c:spPr>
    <a:ln>
      <a:noFill/>
    </a:ln>
  </c:spPr>
  <c:txPr>
    <a:bodyPr/>
    <a:lstStyle/>
    <a:p>
      <a:pPr>
        <a:defRPr sz="800" baseline="0">
          <a:latin typeface="Arial" pitchFamily="34" charset="0"/>
        </a:defRPr>
      </a:pPr>
      <a:endParaRPr lang="cs-CZ"/>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EA93D0-491F-4C9C-A87E-9BC8B047B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bar_vicetematicke.dot</Template>
  <TotalTime>3</TotalTime>
  <Pages>4</Pages>
  <Words>1752</Words>
  <Characters>10338</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12066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Jašová</dc:creator>
  <cp:lastModifiedBy>Ing. Karolína Súkupová</cp:lastModifiedBy>
  <cp:revision>3</cp:revision>
  <cp:lastPrinted>2017-08-30T12:10:00Z</cp:lastPrinted>
  <dcterms:created xsi:type="dcterms:W3CDTF">2017-09-13T10:49:00Z</dcterms:created>
  <dcterms:modified xsi:type="dcterms:W3CDTF">2017-09-13T11:37:00Z</dcterms:modified>
</cp:coreProperties>
</file>