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2BC3" w14:textId="77777777" w:rsidR="0058050D" w:rsidRPr="009110F7" w:rsidRDefault="0058050D" w:rsidP="0058050D">
      <w:pPr>
        <w:pStyle w:val="Nadpis1"/>
      </w:pPr>
      <w:bookmarkStart w:id="0" w:name="_Toc224903146"/>
      <w:bookmarkStart w:id="1" w:name="_Toc169258116"/>
      <w:bookmarkStart w:id="2" w:name="_Toc153531176"/>
      <w:bookmarkStart w:id="3" w:name="_Toc176767107"/>
      <w:bookmarkStart w:id="4" w:name="_Toc161914427"/>
      <w:bookmarkStart w:id="5" w:name="_Toc193366678"/>
      <w:bookmarkStart w:id="6" w:name="_Toc176767109"/>
      <w:r>
        <w:t>2. Souhrnná výkonnost</w:t>
      </w:r>
      <w:bookmarkEnd w:id="0"/>
    </w:p>
    <w:tbl>
      <w:tblPr>
        <w:tblW w:w="9639" w:type="dxa"/>
        <w:tblInd w:w="-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6"/>
        <w:gridCol w:w="210"/>
        <w:gridCol w:w="7623"/>
      </w:tblGrid>
      <w:tr w:rsidR="0058050D" w:rsidRPr="009110F7" w14:paraId="7A220153" w14:textId="77777777" w:rsidTr="00E87182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69ABB68C" w14:textId="77777777" w:rsidR="0058050D" w:rsidRDefault="0058050D" w:rsidP="00E87182">
            <w:pPr>
              <w:pStyle w:val="Marginlie"/>
            </w:pPr>
            <w:r>
              <w:t>Růst české ekonomiky loni posílil.</w:t>
            </w:r>
          </w:p>
        </w:tc>
        <w:tc>
          <w:tcPr>
            <w:tcW w:w="210" w:type="dxa"/>
            <w:tcMar>
              <w:left w:w="0" w:type="dxa"/>
            </w:tcMar>
          </w:tcPr>
          <w:p w14:paraId="7B870979" w14:textId="77777777" w:rsidR="0058050D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06836763" w14:textId="77777777" w:rsidR="0058050D" w:rsidRPr="00014ED0" w:rsidRDefault="0058050D" w:rsidP="00E87182">
            <w:pPr>
              <w:rPr>
                <w:spacing w:val="-2"/>
              </w:rPr>
            </w:pPr>
            <w:r>
              <w:rPr>
                <w:spacing w:val="-2"/>
              </w:rPr>
              <w:t>Česká ekonomika v roce 2025 si navzdory nejistotám v globálním obchodě i pokračující geopolitické nestabilitě udržela solidní růst započatý už na konci roku 2024 a hrubý domácí produkt (HDP)</w:t>
            </w:r>
            <w:r w:rsidRPr="00014ED0">
              <w:rPr>
                <w:rStyle w:val="Znakapoznpodarou"/>
                <w:rFonts w:cs="Arial"/>
                <w:spacing w:val="-2"/>
              </w:rPr>
              <w:footnoteReference w:id="1"/>
            </w:r>
            <w:r>
              <w:rPr>
                <w:spacing w:val="-2"/>
              </w:rPr>
              <w:t xml:space="preserve"> se reálně zvýšil o 2,6 %. Tahounem české ekonomiky byla především domácí strana poptávky, zejména spotřeba. Pozitivní roli ale hrály i kapitálové výdaje – příznivé působení změny zásob doplnilo i oživení investiční aktivity. Spíše neutrálně působila bilance zahraničního obchodu, protože výrazný reálný růst exportu byl doprovázen značným navýšením dovozu. Ve 4. čtvrtletí 2025 česká ekonomika mezičtvrtletně vzrostla o 0,6 % a dynamika HDP tak navázala na sérii solidních přírůstků trvající od 3. kvartálu 2024. Meziročně se HDP ve 4. čtvrtletí zvýšil o 2,6 %. V závěru roku 2025 se mezičtvrtletně i meziročně zvyšovala spotřeba domácností i vládních institucí a rostly také investice. K navýšení HDP přispíval také vývoj bilance zahraničního obchodu. Naopak meziroční i mezičtvrtletní růst HDP negativně ovlivňoval vývoj zásob.</w:t>
            </w:r>
          </w:p>
        </w:tc>
      </w:tr>
      <w:tr w:rsidR="0058050D" w:rsidRPr="009110F7" w14:paraId="2EA3DD5A" w14:textId="77777777" w:rsidTr="00E87182">
        <w:trPr>
          <w:trHeight w:val="170"/>
        </w:trPr>
        <w:tc>
          <w:tcPr>
            <w:tcW w:w="1806" w:type="dxa"/>
            <w:vMerge w:val="restart"/>
            <w:tcMar>
              <w:left w:w="0" w:type="dxa"/>
            </w:tcMar>
          </w:tcPr>
          <w:p w14:paraId="0599CE7C" w14:textId="77777777" w:rsidR="0058050D" w:rsidRDefault="0058050D" w:rsidP="00E87182">
            <w:pPr>
              <w:pStyle w:val="Marginlie"/>
            </w:pPr>
          </w:p>
        </w:tc>
        <w:tc>
          <w:tcPr>
            <w:tcW w:w="210" w:type="dxa"/>
            <w:vMerge w:val="restart"/>
            <w:tcMar>
              <w:left w:w="0" w:type="dxa"/>
            </w:tcMar>
          </w:tcPr>
          <w:p w14:paraId="78930BF0" w14:textId="77777777" w:rsidR="0058050D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3C3DEC6D" w14:textId="77777777" w:rsidR="0058050D" w:rsidRPr="00D721B4" w:rsidRDefault="0058050D" w:rsidP="00E87182">
            <w:pPr>
              <w:spacing w:after="0"/>
              <w:rPr>
                <w:b/>
                <w:szCs w:val="20"/>
              </w:rPr>
            </w:pPr>
            <w:r w:rsidRPr="00D721B4">
              <w:rPr>
                <w:rFonts w:cs="Arial"/>
                <w:b/>
                <w:bCs/>
                <w:color w:val="000000"/>
                <w:szCs w:val="20"/>
              </w:rPr>
              <w:t>Graf č. 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D721B4">
              <w:rPr>
                <w:rFonts w:cs="Arial"/>
                <w:b/>
                <w:szCs w:val="20"/>
                <w:lang w:eastAsia="en-US"/>
              </w:rPr>
              <w:t xml:space="preserve">HDP </w:t>
            </w:r>
            <w:r w:rsidRPr="00D721B4">
              <w:rPr>
                <w:rFonts w:cs="Arial"/>
                <w:bCs/>
                <w:szCs w:val="20"/>
                <w:lang w:eastAsia="en-US"/>
              </w:rPr>
              <w:t>(objemové indexy, očištěno o sezónní a kalendářní vlivy, v</w:t>
            </w:r>
            <w:r>
              <w:rPr>
                <w:rFonts w:cs="Arial"/>
                <w:bCs/>
                <w:szCs w:val="20"/>
                <w:lang w:eastAsia="en-US"/>
              </w:rPr>
              <w:t> %</w:t>
            </w:r>
            <w:r w:rsidRPr="00D721B4">
              <w:rPr>
                <w:rFonts w:cs="Arial"/>
                <w:bCs/>
                <w:szCs w:val="20"/>
                <w:lang w:eastAsia="en-US"/>
              </w:rPr>
              <w:t>)</w:t>
            </w:r>
          </w:p>
        </w:tc>
      </w:tr>
      <w:tr w:rsidR="0058050D" w:rsidRPr="009110F7" w14:paraId="6FC36BC3" w14:textId="77777777" w:rsidTr="009C02C3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06" w:type="dxa"/>
            <w:vMerge/>
          </w:tcPr>
          <w:p w14:paraId="5F6F91AC" w14:textId="77777777" w:rsidR="0058050D" w:rsidRPr="009110F7" w:rsidRDefault="0058050D" w:rsidP="00E87182">
            <w:pPr>
              <w:pStyle w:val="Marginlie"/>
            </w:pPr>
          </w:p>
        </w:tc>
        <w:tc>
          <w:tcPr>
            <w:tcW w:w="210" w:type="dxa"/>
            <w:vMerge/>
          </w:tcPr>
          <w:p w14:paraId="5634545E" w14:textId="77777777" w:rsidR="0058050D" w:rsidRPr="009110F7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</w:tcPr>
          <w:p w14:paraId="30956EAB" w14:textId="6781829E" w:rsidR="0058050D" w:rsidRPr="009110F7" w:rsidRDefault="009C02C3" w:rsidP="00E87182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6E7CC9ED" wp14:editId="445B83D5">
                  <wp:extent cx="4737600" cy="3553200"/>
                  <wp:effectExtent l="0" t="0" r="6350" b="0"/>
                  <wp:docPr id="328939198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58050D" w:rsidRPr="009110F7" w14:paraId="740C67A6" w14:textId="77777777" w:rsidTr="00E87182">
        <w:trPr>
          <w:trHeight w:val="170"/>
        </w:trPr>
        <w:tc>
          <w:tcPr>
            <w:tcW w:w="1806" w:type="dxa"/>
            <w:vMerge/>
            <w:tcMar>
              <w:left w:w="0" w:type="dxa"/>
            </w:tcMar>
          </w:tcPr>
          <w:p w14:paraId="370A0948" w14:textId="77777777" w:rsidR="0058050D" w:rsidRPr="009110F7" w:rsidRDefault="0058050D" w:rsidP="00E87182">
            <w:pPr>
              <w:pStyle w:val="Marginlie"/>
            </w:pPr>
          </w:p>
        </w:tc>
        <w:tc>
          <w:tcPr>
            <w:tcW w:w="210" w:type="dxa"/>
            <w:vMerge/>
            <w:tcMar>
              <w:left w:w="0" w:type="dxa"/>
            </w:tcMar>
          </w:tcPr>
          <w:p w14:paraId="1712E94C" w14:textId="77777777" w:rsidR="0058050D" w:rsidRPr="009110F7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4B8CCFCA" w14:textId="77777777" w:rsidR="0058050D" w:rsidRPr="009110F7" w:rsidRDefault="0058050D" w:rsidP="00E87182">
            <w:pPr>
              <w:spacing w:after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Zdroj: ČSÚ, </w:t>
            </w:r>
            <w:proofErr w:type="spellStart"/>
            <w:r>
              <w:rPr>
                <w:sz w:val="14"/>
                <w:szCs w:val="14"/>
              </w:rPr>
              <w:t>Eurostat</w:t>
            </w:r>
            <w:proofErr w:type="spellEnd"/>
          </w:p>
        </w:tc>
      </w:tr>
      <w:tr w:rsidR="0058050D" w:rsidRPr="009110F7" w14:paraId="76C8F9C3" w14:textId="77777777" w:rsidTr="00E87182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1AF14165" w14:textId="77777777" w:rsidR="0058050D" w:rsidRDefault="0058050D" w:rsidP="00E87182">
            <w:pPr>
              <w:pStyle w:val="Marginlie"/>
            </w:pPr>
            <w:r>
              <w:t>V Evropské unii byla dynamika HDP loni silnější než v předchozích letech.</w:t>
            </w:r>
          </w:p>
        </w:tc>
        <w:tc>
          <w:tcPr>
            <w:tcW w:w="210" w:type="dxa"/>
            <w:tcMar>
              <w:left w:w="0" w:type="dxa"/>
            </w:tcMar>
          </w:tcPr>
          <w:p w14:paraId="34667D5C" w14:textId="77777777" w:rsidR="0058050D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5AE3F8B4" w14:textId="77777777" w:rsidR="0058050D" w:rsidRDefault="0058050D" w:rsidP="00E87182">
            <w:r>
              <w:t xml:space="preserve">Hrubý domácí produkt v EU za celý rok 2025 vzrostl o 1,5 % a přírůstek posílil oproti předchozímu roku. Vyšší byla spotřeba, ale z poklesu do růstu se dostaly zejména investiční výdaje. Naopak bilance zahraničního obchodu loni působila na růst HDP v EU negativně. Nejvíce se zvýšil HDP v Irsku (12,3 %), na Maltě (4,0 %) a Kypru (3,8 %). Velmi slabý růst měly loni ekonomiky Finska (0,2 %), Německa (0,2 %) a Maďarska (0,4 %). V samotném 4. čtvrtletí HDP v EU vzrostl mezičtvrtletně o 0,2 % a meziročně o 1,4 %. Mezičtvrtletní růst HDP v EU ve 4. čtvrtletí podpořily investice a spotřeba. Naopak změna zásob působila negativně stejně jako bilance zahraničního obchodu. Mezičtvrtletně ve 4. čtvrtletí 2025 rostla většina ekonomik EU v čele s Maltou (2,1 %), Litvou (1,7 %), Chorvatskem a Kyprem (shodně 1,4 %).  Značný mezičtvrtletní propad HDP vykázalo Irsko (−3,8 %) a Rumunsko (−1,9 %). Dále shodně o 0,1 % klesl HDP v Estonsku a Lucembursku. V německé ekonomice, která je stěžejní pro rozvoj </w:t>
            </w:r>
            <w:r>
              <w:lastRenderedPageBreak/>
              <w:t>celého středoevropského regionu i řady dalších obchodních partnerů v Unii, došlo v závěru roku k mezičtvrtletnímu oživení o 0,3 %. Nejsilněji mezi zeměmi střední Evropy ve 4. kvartálu rostlo Polsko (mezičtvrtletně 1,0 %), následované Českem (přírůstek 0,6 % nás řadil do nadprůměru EU). Meziročně ve 4. čtvrtletí klesl HDP pouze v Rumunsku (−1,5 %). Z poklesu se vymanilo nejslaběji rostoucí Finsko (0,3 %), čtvrtý meziroční růst v řadě si připsalo Německo (0,4 %) a o 0,6 % vyšší HDP mělo Maďarsko. Pod 1 % pak byl přírůstek i v Rakousku, Itálii, Estonsku a na Slovensku. Naopak nejvíce meziročně vzrostl HDP na Maltě (6,4 %), Kypru (4,5 %) a v Polsku (3,6 %).</w:t>
            </w:r>
          </w:p>
        </w:tc>
      </w:tr>
      <w:tr w:rsidR="0058050D" w:rsidRPr="009110F7" w14:paraId="03C44C74" w14:textId="77777777" w:rsidTr="00E87182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1722AF05" w14:textId="77777777" w:rsidR="0058050D" w:rsidRDefault="0058050D" w:rsidP="00E87182">
            <w:pPr>
              <w:pStyle w:val="Marginlie"/>
            </w:pPr>
            <w:r>
              <w:lastRenderedPageBreak/>
              <w:t>Reálná mzdová dynamika loni posílila.</w:t>
            </w:r>
          </w:p>
        </w:tc>
        <w:tc>
          <w:tcPr>
            <w:tcW w:w="210" w:type="dxa"/>
            <w:tcMar>
              <w:left w:w="0" w:type="dxa"/>
            </w:tcMar>
          </w:tcPr>
          <w:p w14:paraId="28A10BFD" w14:textId="77777777" w:rsidR="0058050D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4555B317" w14:textId="77777777" w:rsidR="0058050D" w:rsidRPr="00014ED0" w:rsidRDefault="0058050D" w:rsidP="00E87182">
            <w:r>
              <w:t>Objem vyplacených mezd a platů v roce 2025 vzrostl o 7,9 % při navýšení zaměstnanosti o 1,1 %</w:t>
            </w:r>
            <w:r w:rsidRPr="00014ED0">
              <w:rPr>
                <w:rStyle w:val="Znakapoznpodarou"/>
                <w:spacing w:val="-2"/>
              </w:rPr>
              <w:footnoteReference w:id="2"/>
            </w:r>
            <w:r>
              <w:t>. Přírůstek posílil oproti předchozímu roku. Reálné posílení mezd a platů v roce 2025 dosáhlo 4,8 %</w:t>
            </w:r>
            <w:r>
              <w:rPr>
                <w:rStyle w:val="Znakapoznpodarou"/>
                <w:spacing w:val="-2"/>
              </w:rPr>
              <w:footnoteReference w:id="3"/>
            </w:r>
            <w:r>
              <w:t xml:space="preserve"> a bylo nejvýraznější od roku 2018. Vyplacené mzdy a platy rostly v celé ekonomice, ale dynamika v jednotlivých sekcích se značně lišila stejně jako posuny v celkové zaměstnanosti. Nejvíce mzdy a platy loni vzrostly v činnostech v oblasti nemovitostí (16,5 % při navýšení zaměstnanosti o 2,6 %), v profesních, vědeckých, technických a administrativních činnostech (11,8 %, zaměstnanost 1,3 %) a ve stavebnictví (10,2 %, zaměstnanost 2,5 %). Také v dalších odvětvích služeb s výjimkou peněžnictví a pojišťovnictví (4,8 % při poklesu zaměstnanosti o 0,2 %) mzdy a platy výrazně rostly a zvyšovala se zde také zaměstnanost. V uskupení obchod, doprava, ubytování a pohostinství mzdy a platy vzrostly o 8,4 % (zaměstnanost o 1,0 %), ve veřejné správě a obraně, vzdělávání, zdravotní a sociální péči o 8,4 % (zaměstnanost o 1,8 %), v ostatních činnostech</w:t>
            </w:r>
            <w:r>
              <w:rPr>
                <w:rStyle w:val="Znakapoznpodarou"/>
                <w:spacing w:val="-2"/>
              </w:rPr>
              <w:footnoteReference w:id="4"/>
            </w:r>
            <w:r>
              <w:t xml:space="preserve"> o 7,9 % (zaměstnanost o 4,2 %) a v informačních a komunikačních činnostech o 7,8 % (zaměstnanost o 0,5 %). Oproti tomu byl útlum patrný v průmyslu, kde vyplacené mzdy a platy vzrostly o 5,1 % při poklesu zaměstnanosti o 0,3 %.</w:t>
            </w:r>
          </w:p>
        </w:tc>
      </w:tr>
      <w:tr w:rsidR="0058050D" w:rsidRPr="009110F7" w14:paraId="0BC9A150" w14:textId="77777777" w:rsidTr="00E87182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1CB5C27A" w14:textId="77777777" w:rsidR="0058050D" w:rsidRDefault="0058050D" w:rsidP="00E87182">
            <w:pPr>
              <w:pStyle w:val="Marginlie"/>
            </w:pPr>
            <w:r>
              <w:t xml:space="preserve">Závěr roku přinesl zrychlení růstu mezd </w:t>
            </w:r>
            <w:r>
              <w:br/>
              <w:t>a platů.</w:t>
            </w:r>
          </w:p>
        </w:tc>
        <w:tc>
          <w:tcPr>
            <w:tcW w:w="210" w:type="dxa"/>
            <w:tcMar>
              <w:left w:w="0" w:type="dxa"/>
            </w:tcMar>
          </w:tcPr>
          <w:p w14:paraId="03F28EFA" w14:textId="77777777" w:rsidR="0058050D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0B63B955" w14:textId="77777777" w:rsidR="0058050D" w:rsidRDefault="0058050D" w:rsidP="00E87182">
            <w:r>
              <w:t>V samotném 4. čtvrtletí meziroční růst vyplacených mezd a platů posílil na 8,8 % (při růstu zaměstnanosti o 1,0 %), nejvíce od 2. čtvrtletí 2023. Mezičtvrtletně se mzdy a platy zvýšily o výrazná 2,7 % a zaměstnanost zůstala stejná. Reálně se mzdy a platy ve 4. čtvrtletí zvýšily meziročně o 6,1 %</w:t>
            </w:r>
            <w:r>
              <w:rPr>
                <w:rStyle w:val="Znakapoznpodarou"/>
              </w:rPr>
              <w:footnoteReference w:id="5"/>
            </w:r>
            <w:r>
              <w:t xml:space="preserve"> a mezičtvrtletně o 2,2 %. Mezičtvrtletně se nejvíce zvyšovaly mzdy a platy v ostatních činnostech (6,9 %, zaměstnanost o 4,5 %), v činnostech v oblasti nemovitostí (4,2 %, zaměstnanost o 5,1 %) a ve veřejné správě a obraně, vzdělávání, zdravotní a sociální péči (3,8 %, zaměstnanost se nezměnila). Mírně pod celkovým průměrem byl mezičtvrtletní přírůstek vyplacených mezd a platů ve stavebnictví, uskupení obchod, doprava, ubytování a pohostinství a v informačních a komunikačních činnostech (shodně 2,3 %, v posledních dvou byl mírný růst způsoben i poklesem zaměstnanosti). V průmyslu se po slabém 3. kvartálu mzdová dynamika opět oživila (2,3 % při téměř neměnné zaměstnanosti). Mezičtvrtletní pokles mezd a platů byl zaznamenán jen v peněžnictví a pojišťovnictví (−0,8 %, zaměstnanost −1,2 %). Nejvíce meziročně vzrostly mzdy a platy v činnostech v oblasti nemovitostí (15,2 %), v profesních, vědeckých, technických a administrativních činnostech (12,6 %) a ve stavebnictví (11,2 %). Naopak slabý byl nárůst mezd a platů v peněžnictví a pojišťovnictví (3,9 %) a přes zrychlení zůstala mzdová dynamika podprůměrná také v průmyslu (6,0 %).</w:t>
            </w:r>
          </w:p>
        </w:tc>
      </w:tr>
      <w:tr w:rsidR="0058050D" w:rsidRPr="009110F7" w14:paraId="5C6E7D10" w14:textId="77777777" w:rsidTr="00E87182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513E2CB7" w14:textId="77777777" w:rsidR="0058050D" w:rsidRDefault="0058050D" w:rsidP="00E87182">
            <w:pPr>
              <w:pStyle w:val="Marginlie"/>
            </w:pPr>
            <w:r>
              <w:t>Spotřeba domácností výrazně rostla.</w:t>
            </w:r>
          </w:p>
        </w:tc>
        <w:tc>
          <w:tcPr>
            <w:tcW w:w="210" w:type="dxa"/>
            <w:tcMar>
              <w:left w:w="0" w:type="dxa"/>
            </w:tcMar>
          </w:tcPr>
          <w:p w14:paraId="59463A3A" w14:textId="77777777" w:rsidR="0058050D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7634A36D" w14:textId="77777777" w:rsidR="0058050D" w:rsidRPr="004B6F8C" w:rsidRDefault="0058050D" w:rsidP="00E87182">
            <w:pPr>
              <w:rPr>
                <w:spacing w:val="-2"/>
              </w:rPr>
            </w:pPr>
            <w:r>
              <w:rPr>
                <w:spacing w:val="-2"/>
              </w:rPr>
              <w:t>Výdaje na konečnou spotřebu za celý rok 2025 reálně vzrostly o 2,8 %. Loni výrazně posílila spotřeba domácností (3,0 %) a naopak oslabil růst výdajů vládních institucí (2,2 %) a výsledné celkové navýšení spotřeby tak bylo podobné jako v roce 2024. Pohled na vývoj spotřeby z hlediska trvanlivosti</w:t>
            </w:r>
            <w:r>
              <w:rPr>
                <w:rStyle w:val="Znakapoznpodarou"/>
              </w:rPr>
              <w:footnoteReference w:id="6"/>
            </w:r>
            <w:r>
              <w:rPr>
                <w:spacing w:val="-2"/>
              </w:rPr>
              <w:t xml:space="preserve"> ukazuje, že loni došlo k posílení růstu výdajů na </w:t>
            </w:r>
            <w:r>
              <w:rPr>
                <w:spacing w:val="-2"/>
              </w:rPr>
              <w:lastRenderedPageBreak/>
              <w:t xml:space="preserve">dlouhodobou (1,0 %), střednědobou (2,1 %) i krátkodobou spotřebu (3,8 %). Stabilní zůstala dynamika spotřeby služeb (2,8 %). Po slabším 3. kvartálu v závěrečné čtvrtině roku spotřeba mezičtvrtletně vzrostla o výrazná 1,2 %, zejména díky oživení u domácností (1,3 %). Meziročně byla spotřeba ve 4. čtvrtletí vyšší o 3,0 % (domácnosti 3,2 %, vládní instituce 2,5 %). Na konci roku 2025 posílil mezičtvrtletní (1,9 %) i meziroční (4,2 %) růst spotřeby služeb. K mezičtvrtletnímu navýšení spotřeby domácností přispívala i krátkodobá spotřeba (0,9 %, meziročně 3,1 %). Dlouhodobá spotřeba mezičtvrtletně narůstala jen mírně (0,2 %, 2,3 % meziročně) a střednědobá spotřeba klesala (−0,7 %, 2,1 % meziročně).    </w:t>
            </w:r>
          </w:p>
        </w:tc>
      </w:tr>
      <w:tr w:rsidR="0058050D" w:rsidRPr="009110F7" w14:paraId="5CB761C6" w14:textId="77777777" w:rsidTr="00E87182">
        <w:trPr>
          <w:trHeight w:val="154"/>
        </w:trPr>
        <w:tc>
          <w:tcPr>
            <w:tcW w:w="1806" w:type="dxa"/>
            <w:vMerge w:val="restart"/>
            <w:tcMar>
              <w:left w:w="0" w:type="dxa"/>
            </w:tcMar>
          </w:tcPr>
          <w:p w14:paraId="15C0C161" w14:textId="77777777" w:rsidR="0058050D" w:rsidRDefault="0058050D" w:rsidP="00E87182">
            <w:pPr>
              <w:pStyle w:val="Marginlie"/>
            </w:pPr>
          </w:p>
        </w:tc>
        <w:tc>
          <w:tcPr>
            <w:tcW w:w="210" w:type="dxa"/>
            <w:vMerge w:val="restart"/>
            <w:tcMar>
              <w:left w:w="0" w:type="dxa"/>
            </w:tcMar>
          </w:tcPr>
          <w:p w14:paraId="1EC775AA" w14:textId="77777777" w:rsidR="0058050D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64F9C2E9" w14:textId="77777777" w:rsidR="0058050D" w:rsidRDefault="0058050D" w:rsidP="00E87182">
            <w:pPr>
              <w:spacing w:after="0"/>
            </w:pPr>
            <w:r w:rsidRPr="00D721B4">
              <w:rPr>
                <w:b/>
                <w:szCs w:val="20"/>
              </w:rPr>
              <w:t>Graf č. 2</w:t>
            </w:r>
            <w:r>
              <w:rPr>
                <w:b/>
                <w:szCs w:val="20"/>
              </w:rPr>
              <w:t xml:space="preserve"> </w:t>
            </w:r>
            <w:r w:rsidRPr="00D721B4">
              <w:rPr>
                <w:rFonts w:cs="Arial"/>
                <w:b/>
                <w:szCs w:val="20"/>
                <w:lang w:eastAsia="en-US"/>
              </w:rPr>
              <w:t xml:space="preserve">Příspěvky výdajových složek k reálné změně HDP* </w:t>
            </w:r>
            <w:r w:rsidRPr="00D721B4">
              <w:rPr>
                <w:rFonts w:cs="Arial"/>
                <w:bCs/>
                <w:szCs w:val="20"/>
                <w:lang w:eastAsia="en-US"/>
              </w:rPr>
              <w:t>(objemové indexy, meziroční růst, příspěvky v p. b., HDP v</w:t>
            </w:r>
            <w:r>
              <w:rPr>
                <w:rFonts w:cs="Arial"/>
                <w:bCs/>
                <w:szCs w:val="20"/>
                <w:lang w:eastAsia="en-US"/>
              </w:rPr>
              <w:t> %</w:t>
            </w:r>
            <w:r w:rsidRPr="00D721B4">
              <w:rPr>
                <w:rFonts w:cs="Arial"/>
                <w:bCs/>
                <w:szCs w:val="20"/>
                <w:lang w:eastAsia="en-US"/>
              </w:rPr>
              <w:t>)</w:t>
            </w:r>
          </w:p>
        </w:tc>
      </w:tr>
      <w:tr w:rsidR="0058050D" w:rsidRPr="009110F7" w14:paraId="6B7E8BBB" w14:textId="77777777" w:rsidTr="00E87182">
        <w:tblPrEx>
          <w:tblCellMar>
            <w:left w:w="70" w:type="dxa"/>
            <w:right w:w="70" w:type="dxa"/>
          </w:tblCellMar>
        </w:tblPrEx>
        <w:trPr>
          <w:trHeight w:val="154"/>
        </w:trPr>
        <w:tc>
          <w:tcPr>
            <w:tcW w:w="1806" w:type="dxa"/>
            <w:vMerge/>
          </w:tcPr>
          <w:p w14:paraId="022ECFCF" w14:textId="77777777" w:rsidR="0058050D" w:rsidRDefault="0058050D" w:rsidP="00E87182">
            <w:pPr>
              <w:pStyle w:val="Marginlie"/>
            </w:pPr>
          </w:p>
        </w:tc>
        <w:tc>
          <w:tcPr>
            <w:tcW w:w="210" w:type="dxa"/>
            <w:vMerge/>
          </w:tcPr>
          <w:p w14:paraId="58E6FABC" w14:textId="77777777" w:rsidR="0058050D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</w:tcPr>
          <w:p w14:paraId="302DE387" w14:textId="77777777" w:rsidR="0058050D" w:rsidRDefault="0058050D" w:rsidP="00E87182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7922965E" wp14:editId="3EEF9C4B">
                  <wp:extent cx="4737600" cy="3553200"/>
                  <wp:effectExtent l="0" t="0" r="6350" b="0"/>
                  <wp:docPr id="459214027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58050D" w:rsidRPr="009110F7" w14:paraId="23535150" w14:textId="77777777" w:rsidTr="00E87182">
        <w:trPr>
          <w:trHeight w:val="154"/>
        </w:trPr>
        <w:tc>
          <w:tcPr>
            <w:tcW w:w="1806" w:type="dxa"/>
            <w:vMerge/>
            <w:tcMar>
              <w:left w:w="0" w:type="dxa"/>
            </w:tcMar>
          </w:tcPr>
          <w:p w14:paraId="70C36F08" w14:textId="77777777" w:rsidR="0058050D" w:rsidRDefault="0058050D" w:rsidP="00E87182">
            <w:pPr>
              <w:pStyle w:val="Marginlie"/>
            </w:pPr>
          </w:p>
        </w:tc>
        <w:tc>
          <w:tcPr>
            <w:tcW w:w="210" w:type="dxa"/>
            <w:vMerge/>
            <w:tcMar>
              <w:left w:w="0" w:type="dxa"/>
            </w:tcMar>
          </w:tcPr>
          <w:p w14:paraId="1487678A" w14:textId="77777777" w:rsidR="0058050D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299BE6AF" w14:textId="77777777" w:rsidR="0058050D" w:rsidRDefault="0058050D" w:rsidP="00E87182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Zdroj: ČSÚ</w:t>
            </w:r>
          </w:p>
          <w:p w14:paraId="5CEDA156" w14:textId="77777777" w:rsidR="0058050D" w:rsidRDefault="0058050D" w:rsidP="00E87182">
            <w:r>
              <w:rPr>
                <w:sz w:val="14"/>
                <w:szCs w:val="14"/>
              </w:rPr>
              <w:t>* po vyloučení dovozu pro konečné užití</w:t>
            </w:r>
          </w:p>
        </w:tc>
      </w:tr>
      <w:tr w:rsidR="0058050D" w:rsidRPr="009110F7" w14:paraId="3F89F93B" w14:textId="77777777" w:rsidTr="00E87182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4E632136" w14:textId="77777777" w:rsidR="0058050D" w:rsidRDefault="0058050D" w:rsidP="00E87182">
            <w:pPr>
              <w:pStyle w:val="Marginlie"/>
            </w:pPr>
            <w:r>
              <w:t>Růst investiční aktivity podpořily zejména výdaje na stavby.</w:t>
            </w:r>
          </w:p>
        </w:tc>
        <w:tc>
          <w:tcPr>
            <w:tcW w:w="210" w:type="dxa"/>
            <w:tcMar>
              <w:left w:w="0" w:type="dxa"/>
            </w:tcMar>
          </w:tcPr>
          <w:p w14:paraId="4BFDE278" w14:textId="77777777" w:rsidR="0058050D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65E5E4DE" w14:textId="77777777" w:rsidR="0058050D" w:rsidRDefault="0058050D" w:rsidP="00E87182">
            <w:r>
              <w:rPr>
                <w:spacing w:val="-2"/>
              </w:rPr>
              <w:t>Výdaje na tvorbu hrubého kapitálu po dvou hlubokých propadech z let 2023 a 2024 v roce 2025 reálně vzrostly o 4,3 %. Od roku 2020 úroveň kapitálových výdajů klíčově ovlivňuje změna zásob a loňský rok nebyl výjimkou. Výdaje na tvorbu hrubého fixního kapitálu (investiční aktivita) loni mírně vzrostly o 2,0 % a k celkovému růstu HDP loni přispěly 0,3 p. b.</w:t>
            </w:r>
            <w:r w:rsidRPr="00014ED0">
              <w:rPr>
                <w:rStyle w:val="Znakapoznpodarou"/>
                <w:spacing w:val="-2"/>
              </w:rPr>
              <w:t xml:space="preserve"> </w:t>
            </w:r>
            <w:r w:rsidRPr="00014ED0">
              <w:rPr>
                <w:rStyle w:val="Znakapoznpodarou"/>
                <w:spacing w:val="-2"/>
              </w:rPr>
              <w:footnoteReference w:id="7"/>
            </w:r>
            <w:r>
              <w:rPr>
                <w:spacing w:val="-2"/>
              </w:rPr>
              <w:t xml:space="preserve"> Změna zásob se na celoroční</w:t>
            </w:r>
            <w:r>
              <w:t>m</w:t>
            </w:r>
            <w:r>
              <w:rPr>
                <w:spacing w:val="-2"/>
              </w:rPr>
              <w:t xml:space="preserve"> přírůstku HDP podílela 0,6 p. b.</w:t>
            </w:r>
            <w:r>
              <w:rPr>
                <w:rStyle w:val="Znakapoznpodarou"/>
              </w:rPr>
              <w:footnoteReference w:id="8"/>
            </w:r>
            <w:r>
              <w:rPr>
                <w:spacing w:val="-2"/>
              </w:rPr>
              <w:t xml:space="preserve"> Loni rostly nejvíce investice do ostatních budov a staveb (7,1 %) a obydlí (2,1 %), což korespondovalo s oživením, které bylo možné pozorovat ve stavebnictví. Spíše stagnující byly naopak výdaje na ICT a ostatní stroje a zařízení a produkty duševního vlastnictví (obě oblasti vzrostly o 0,6 %). Klesaly investice do dopravních prostředků a zařízení (−4,0 %). V samotném 4. čtvrtletí 2025 výdaje na tvorbu hrubého kapitálu mezičtvrtletně klesly o 1,3 %, na čemž měla hlavní podíl změna zásob, protože samotné investice byly vyšší o 1,7 %. To bylo nejvýraznější oživení od začátku roku 2023. Meziročně se výdaje na tvorbu hrubého kapitálu zvýšily o 1,5 % a z toho investiční aktivita byla reálně vyšší o 5,3 %. Posílení mezičtvrtletního růstu investic podpořily zejména výdaje na produkty </w:t>
            </w:r>
            <w:r>
              <w:rPr>
                <w:spacing w:val="-2"/>
              </w:rPr>
              <w:lastRenderedPageBreak/>
              <w:t>duševního vlastnictví (5,7 %, meziročně růst o 2,5 %), na ICT a ostatní stroje a zařízení (2,6 %, meziročně 2,2 %) a na dopravní prostředky a zařízení (1,6 %, meziročně pokles o 2,2 %). Naopak investice do obydlí (−0,3 %, meziročně byly vyšší o 9,3 %) i ostatních budov a staveb (−0,2 %, meziročně vyšší o 10,6 %) poprvé v roce mezičtvrtletně klesly.</w:t>
            </w:r>
          </w:p>
        </w:tc>
      </w:tr>
      <w:tr w:rsidR="0058050D" w:rsidRPr="009110F7" w14:paraId="1B2F48F6" w14:textId="77777777" w:rsidTr="00E87182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2B2B2B72" w14:textId="77777777" w:rsidR="0058050D" w:rsidRDefault="0058050D" w:rsidP="00E87182">
            <w:pPr>
              <w:pStyle w:val="Marginlie"/>
            </w:pPr>
            <w:r>
              <w:lastRenderedPageBreak/>
              <w:t>Vývozcům se dařilo, ale sílil i dovoz, a tak bilance zahraničního obchodu výrazněji nepřispěla k růstu HDP.</w:t>
            </w:r>
          </w:p>
        </w:tc>
        <w:tc>
          <w:tcPr>
            <w:tcW w:w="210" w:type="dxa"/>
            <w:tcMar>
              <w:left w:w="0" w:type="dxa"/>
            </w:tcMar>
          </w:tcPr>
          <w:p w14:paraId="322E742E" w14:textId="77777777" w:rsidR="0058050D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3B2BD24B" w14:textId="77777777" w:rsidR="0058050D" w:rsidRDefault="0058050D" w:rsidP="00E87182">
            <w:r>
              <w:t>V roce 2025 došlo k výraznému oživení zahraničního obchodu</w:t>
            </w:r>
            <w:r w:rsidRPr="009110F7">
              <w:rPr>
                <w:rStyle w:val="Znakapoznpodarou"/>
              </w:rPr>
              <w:footnoteReference w:id="9"/>
            </w:r>
            <w:r>
              <w:t xml:space="preserve">. Vývoz zboží a služeb se reálně zvýšil o 4,1 % (po růstu o 1,1 % v roce 2024). K posílení dynamiky přispěl zejména export zboží (4,1 %), zatímco u služeb došlo k oslabení přírůstku na 4,2 %. Import se loni reálně zvýšil o 5,2 % (zboží 5,6 %, služby 3,5 %). Ve 4. čtvrtletí meziroční růst exportu zboží a služeb zrychlil na 5,1 %. Opět posílil zejména růst vývozu zboží (5,5 %). Celkový mezičtvrtletní přírůstek vývozu zůstal stabilní (0,8 %), ale v případě samotného exportu zboží došlo k prudkému oživení (1,9 %), zatímco služby se propadly (−4,2 %). Dovoz ve 4. čtvrtletí meziročně vzrostl o 5,3 % a mezičtvrtletně o 0,6 %. Také na straně dovozu v závěru roku posiloval především obchod se zbožím </w:t>
            </w:r>
            <w:r>
              <w:br/>
              <w:t xml:space="preserve">(6,2 % meziročně, 1,5 % mezičtvrtletně). Bilance zahraničního obchodu se zbožím a službami v roce 2025 dosáhla přebytku 504,2 mld. korun, což byl téměř stejný výsledek jako v předchozím roce (503,3 mld.). Pokles přebytku obchodu se zbožím (−19,4 mld. korun na 397,7 mld.) byl totiž kompenzován zlepšením kladného salda obchodu se službami o 20,2 mld. na 106,4 mld. V samotném 4. čtvrtletí 2025 bilance zahraničního obchodu se zbožím a službami dosáhla přebytku 133,9 mld. korun (meziročně +9,5 mld.). Zlepšovala se bilance obchodu se zbožím (+3,8 mld. korun) </w:t>
            </w:r>
            <w:r>
              <w:br/>
              <w:t xml:space="preserve">i službami (+5,7 mld.).       </w:t>
            </w:r>
          </w:p>
        </w:tc>
      </w:tr>
      <w:tr w:rsidR="0058050D" w:rsidRPr="009110F7" w14:paraId="4983947B" w14:textId="77777777" w:rsidTr="00E87182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000EC450" w14:textId="77777777" w:rsidR="0058050D" w:rsidRDefault="0058050D" w:rsidP="00E87182">
            <w:pPr>
              <w:pStyle w:val="Marginlie"/>
            </w:pPr>
            <w:r>
              <w:t>Loni se dařilo službám.</w:t>
            </w:r>
          </w:p>
        </w:tc>
        <w:tc>
          <w:tcPr>
            <w:tcW w:w="210" w:type="dxa"/>
            <w:tcMar>
              <w:left w:w="0" w:type="dxa"/>
            </w:tcMar>
          </w:tcPr>
          <w:p w14:paraId="518DD45A" w14:textId="77777777" w:rsidR="0058050D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49186FBD" w14:textId="77777777" w:rsidR="0058050D" w:rsidRDefault="0058050D" w:rsidP="00E87182">
            <w:r>
              <w:t xml:space="preserve">Hrubá přidaná hodnota (HPH) v loňském roce vzrostla reálně o 2,8 %. K růstu HPH klíčově přispívala odvětví služeb, zejména váhově významné uskupení obchod, doprava, ubytování a pohostinství (růst HPH o 4,1 %) a dále dynamicky se rozvíjející informační a komunikační činnosti (7,8 %). Dařilo se také různorodému odvětví ostatních činností (5,4 %). V roce 2025 došlo také po dekádě stagnací a poklesů k výraznému oživení stavebnictví (6,8 %). Naopak průmysl na propad HPH z roku 2024 navázal loni jen mírným zvýšením o 1,5 %, z toho ve zpracovatelském průmyslu došlo k navýšení o 1,3 %. Mírný byl také růst HPH v profesních, vědeckých, technických a administrativních činnostech (1,7 %), ve veřejné správě a obraně, vzdělávání, zdravotní a sociální péči (1,5 %), činnostech v oblasti nemovitostí (1,2 %) a peněžnictví a pojišťovnictví (0,7 %).   </w:t>
            </w:r>
          </w:p>
        </w:tc>
      </w:tr>
      <w:tr w:rsidR="0058050D" w:rsidRPr="009110F7" w14:paraId="7CE77583" w14:textId="77777777" w:rsidTr="00E87182">
        <w:trPr>
          <w:trHeight w:val="145"/>
        </w:trPr>
        <w:tc>
          <w:tcPr>
            <w:tcW w:w="1806" w:type="dxa"/>
            <w:tcMar>
              <w:left w:w="0" w:type="dxa"/>
            </w:tcMar>
          </w:tcPr>
          <w:p w14:paraId="57E3FEF6" w14:textId="77777777" w:rsidR="0058050D" w:rsidRDefault="0058050D" w:rsidP="00E87182">
            <w:pPr>
              <w:pStyle w:val="Marginlie"/>
            </w:pPr>
            <w:r>
              <w:t>Konec roku přinesl oživení v průmyslu.</w:t>
            </w:r>
          </w:p>
        </w:tc>
        <w:tc>
          <w:tcPr>
            <w:tcW w:w="210" w:type="dxa"/>
            <w:tcMar>
              <w:left w:w="0" w:type="dxa"/>
            </w:tcMar>
          </w:tcPr>
          <w:p w14:paraId="60B8F9C2" w14:textId="77777777" w:rsidR="0058050D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335271E0" w14:textId="77777777" w:rsidR="0058050D" w:rsidRDefault="0058050D" w:rsidP="00E87182">
            <w:r>
              <w:t xml:space="preserve">Hrubá přidaná hodnota v samotném 4. čtvrtletí 2025 vzrostla meziročně o 2,8 % a mezičtvrtletně o 0,5 %. Silný meziroční růst si udržovaly informační a komunikační činnosti (7,7 %) i uskupení obchod, doprava, ubytování a pohostinství (4,4 %) a ostatní činnosti (5,6 %). Ke znatelnému oživení meziročního růstu HPH (2,5 %) došlo v závěru roku ve zpracovatelském průmyslu. Naopak stavebnictví si sice udrželo nadprůměrný přírůstek HPH (5,6 %), ale tempo v porovnání s předchozími dvěma kvartály značně oslabilo. Zbytek odvětví služeb si ve 4. čtvrtletí držel mírný meziroční přírůstek s výjimkou peněžnictví a pojišťovnictví, kde byla HPH nižší o 1,2 %. Mezičtvrtletní růst HPH byl ve 4. čtvrtletí klíčově podpořen novým impulzem ve zpracovatelském průmyslu, kde HPH po čtyřech kvartálech stagnace mezičtvrtletně vzrostla o 2,2 %. Výrazný mezičtvrtletní nárůst HPH mělo i peněžnictví a pojišťovnictví (2,7 %). Naopak stavebnictví po úspěšném vývoji pozorovatelném od 3. čtvrtletí 2024 ve 4. kvartálu 2025 ztratilo dech a HPH zde mezičtvrtletně klesla o 3,3 %. Zbytek ekonomiky ve 4. čtvrtletí zažíval spíš mírnější rozvoj – HPH v profesních, vědeckých, technických a administrativních činnostech vzrostla o 0,7 %, v uskupení obchod, doprava, ubytování a pohostinství o 0,6 %, v ostatních činnostech o 0,5 % a v informačních </w:t>
            </w:r>
            <w:r>
              <w:lastRenderedPageBreak/>
              <w:t>a komunikačních činnostech o 0,4 %. Z pohledu HPH mezičtvrtletně stagnovala veřejná správa a obrana, vzdělávání, zdravotní a sociální péče a pokles byl zachycen v činnostech v oblasti nemovitostí (−0,3 %).</w:t>
            </w:r>
          </w:p>
        </w:tc>
      </w:tr>
      <w:tr w:rsidR="0058050D" w:rsidRPr="009110F7" w14:paraId="72FA1F18" w14:textId="77777777" w:rsidTr="00E87182">
        <w:trPr>
          <w:trHeight w:val="170"/>
        </w:trPr>
        <w:tc>
          <w:tcPr>
            <w:tcW w:w="1806" w:type="dxa"/>
            <w:vMerge w:val="restart"/>
            <w:tcMar>
              <w:left w:w="0" w:type="dxa"/>
            </w:tcMar>
          </w:tcPr>
          <w:p w14:paraId="56942C4F" w14:textId="77777777" w:rsidR="0058050D" w:rsidRDefault="0058050D" w:rsidP="00E87182">
            <w:pPr>
              <w:pStyle w:val="Marginlie"/>
            </w:pPr>
          </w:p>
        </w:tc>
        <w:tc>
          <w:tcPr>
            <w:tcW w:w="210" w:type="dxa"/>
            <w:vMerge w:val="restart"/>
            <w:tcMar>
              <w:left w:w="0" w:type="dxa"/>
            </w:tcMar>
          </w:tcPr>
          <w:p w14:paraId="0D74A726" w14:textId="77777777" w:rsidR="0058050D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4F3D051E" w14:textId="77777777" w:rsidR="0058050D" w:rsidRDefault="0058050D" w:rsidP="00E87182">
            <w:pPr>
              <w:spacing w:after="0"/>
            </w:pPr>
            <w:r w:rsidRPr="00D721B4">
              <w:rPr>
                <w:b/>
                <w:szCs w:val="20"/>
              </w:rPr>
              <w:t>Graf č. 3</w:t>
            </w:r>
            <w:r>
              <w:rPr>
                <w:b/>
                <w:szCs w:val="20"/>
              </w:rPr>
              <w:t xml:space="preserve"> </w:t>
            </w:r>
            <w:r w:rsidRPr="00D721B4">
              <w:rPr>
                <w:rFonts w:cs="Arial"/>
                <w:b/>
                <w:szCs w:val="20"/>
                <w:lang w:eastAsia="en-US"/>
              </w:rPr>
              <w:t xml:space="preserve">Příspěvky odvětví k reálné změně HPH </w:t>
            </w:r>
            <w:r w:rsidRPr="00D721B4">
              <w:rPr>
                <w:rFonts w:cs="Arial"/>
                <w:bCs/>
                <w:szCs w:val="20"/>
                <w:lang w:eastAsia="en-US"/>
              </w:rPr>
              <w:t>(objemové indexy, meziroční příspěvky v p. b., HPH v</w:t>
            </w:r>
            <w:r>
              <w:rPr>
                <w:rFonts w:cs="Arial"/>
                <w:bCs/>
                <w:szCs w:val="20"/>
                <w:lang w:eastAsia="en-US"/>
              </w:rPr>
              <w:t> %</w:t>
            </w:r>
            <w:r w:rsidRPr="00D721B4">
              <w:rPr>
                <w:rFonts w:cs="Arial"/>
                <w:bCs/>
                <w:szCs w:val="20"/>
                <w:lang w:eastAsia="en-US"/>
              </w:rPr>
              <w:t>)</w:t>
            </w:r>
          </w:p>
        </w:tc>
      </w:tr>
      <w:tr w:rsidR="0058050D" w:rsidRPr="009110F7" w14:paraId="46440224" w14:textId="77777777" w:rsidTr="00E87182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06" w:type="dxa"/>
            <w:vMerge/>
          </w:tcPr>
          <w:p w14:paraId="0087DBB3" w14:textId="77777777" w:rsidR="0058050D" w:rsidRDefault="0058050D" w:rsidP="00E87182">
            <w:pPr>
              <w:pStyle w:val="Marginlie"/>
            </w:pPr>
          </w:p>
        </w:tc>
        <w:tc>
          <w:tcPr>
            <w:tcW w:w="210" w:type="dxa"/>
            <w:vMerge/>
          </w:tcPr>
          <w:p w14:paraId="77041ECB" w14:textId="77777777" w:rsidR="0058050D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</w:tcPr>
          <w:p w14:paraId="741E377F" w14:textId="77777777" w:rsidR="0058050D" w:rsidRDefault="0058050D" w:rsidP="00E87182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094BC4BD" wp14:editId="3AC731D2">
                  <wp:extent cx="4737600" cy="3486525"/>
                  <wp:effectExtent l="0" t="0" r="6350" b="0"/>
                  <wp:docPr id="99678940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58050D" w:rsidRPr="009110F7" w14:paraId="32D1E406" w14:textId="77777777" w:rsidTr="00E87182">
        <w:trPr>
          <w:trHeight w:val="170"/>
        </w:trPr>
        <w:tc>
          <w:tcPr>
            <w:tcW w:w="1806" w:type="dxa"/>
            <w:vMerge/>
            <w:tcMar>
              <w:left w:w="0" w:type="dxa"/>
            </w:tcMar>
          </w:tcPr>
          <w:p w14:paraId="3A12F46C" w14:textId="77777777" w:rsidR="0058050D" w:rsidRDefault="0058050D" w:rsidP="00E87182">
            <w:pPr>
              <w:pStyle w:val="Marginlie"/>
            </w:pPr>
          </w:p>
        </w:tc>
        <w:tc>
          <w:tcPr>
            <w:tcW w:w="210" w:type="dxa"/>
            <w:vMerge/>
            <w:tcMar>
              <w:left w:w="0" w:type="dxa"/>
            </w:tcMar>
          </w:tcPr>
          <w:p w14:paraId="0437A8CE" w14:textId="77777777" w:rsidR="0058050D" w:rsidRDefault="0058050D" w:rsidP="00E87182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tcMar>
              <w:left w:w="0" w:type="dxa"/>
            </w:tcMar>
          </w:tcPr>
          <w:p w14:paraId="6653AAF2" w14:textId="77777777" w:rsidR="0058050D" w:rsidRDefault="0058050D" w:rsidP="00E87182">
            <w:r w:rsidRPr="00A85DE1">
              <w:rPr>
                <w:sz w:val="14"/>
                <w:szCs w:val="14"/>
              </w:rPr>
              <w:t>Zdroj: ČSÚ</w:t>
            </w:r>
          </w:p>
        </w:tc>
      </w:tr>
      <w:bookmarkEnd w:id="1"/>
      <w:bookmarkEnd w:id="2"/>
      <w:bookmarkEnd w:id="3"/>
      <w:bookmarkEnd w:id="4"/>
    </w:tbl>
    <w:p w14:paraId="3925996A" w14:textId="77777777" w:rsidR="0058050D" w:rsidRPr="00A04CEF" w:rsidRDefault="0058050D" w:rsidP="0058050D">
      <w:pPr>
        <w:pStyle w:val="Nadpis1"/>
        <w:rPr>
          <w:sz w:val="2"/>
          <w:szCs w:val="2"/>
        </w:rPr>
      </w:pPr>
    </w:p>
    <w:p w14:paraId="7C7E9504" w14:textId="77777777" w:rsidR="00410694" w:rsidRPr="001A108E" w:rsidRDefault="00410694" w:rsidP="00410694">
      <w:pPr>
        <w:pStyle w:val="Nadpis1"/>
        <w:rPr>
          <w:sz w:val="2"/>
          <w:szCs w:val="2"/>
          <w:highlight w:val="yellow"/>
        </w:rPr>
      </w:pPr>
    </w:p>
    <w:bookmarkEnd w:id="5"/>
    <w:bookmarkEnd w:id="6"/>
    <w:p w14:paraId="2143296F" w14:textId="02C61CB7" w:rsidR="00A50D73" w:rsidRPr="00FC6700" w:rsidRDefault="00A50D73" w:rsidP="00721FA1">
      <w:pPr>
        <w:spacing w:after="0" w:line="240" w:lineRule="auto"/>
        <w:jc w:val="left"/>
        <w:rPr>
          <w:sz w:val="2"/>
          <w:szCs w:val="2"/>
        </w:rPr>
      </w:pPr>
    </w:p>
    <w:sectPr w:rsidR="00A50D73" w:rsidRPr="00FC6700" w:rsidSect="00721FA1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680" w:footer="680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D80B" w14:textId="77777777" w:rsidR="00330C8E" w:rsidRDefault="00330C8E" w:rsidP="00E71A58">
      <w:r>
        <w:separator/>
      </w:r>
    </w:p>
  </w:endnote>
  <w:endnote w:type="continuationSeparator" w:id="0">
    <w:p w14:paraId="21B7466B" w14:textId="77777777" w:rsidR="00330C8E" w:rsidRDefault="00330C8E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6A50CB90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F25B4A">
      <w:rPr>
        <w:szCs w:val="16"/>
      </w:rPr>
      <w:t>rok</w:t>
    </w:r>
    <w:r w:rsidR="00C5418A">
      <w:rPr>
        <w:szCs w:val="16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3DCC68EF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 w:rsidR="00F25B4A">
      <w:rPr>
        <w:szCs w:val="16"/>
      </w:rPr>
      <w:t>rok</w:t>
    </w:r>
    <w:r>
      <w:rPr>
        <w:szCs w:val="16"/>
      </w:rPr>
      <w:t xml:space="preserve">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747F" w14:textId="77777777" w:rsidR="00330C8E" w:rsidRDefault="00330C8E" w:rsidP="00EA4302">
      <w:pPr>
        <w:spacing w:after="0"/>
      </w:pPr>
      <w:r>
        <w:separator/>
      </w:r>
    </w:p>
  </w:footnote>
  <w:footnote w:type="continuationSeparator" w:id="0">
    <w:p w14:paraId="762625F6" w14:textId="77777777" w:rsidR="00330C8E" w:rsidRDefault="00330C8E" w:rsidP="00E71A58">
      <w:r>
        <w:continuationSeparator/>
      </w:r>
    </w:p>
  </w:footnote>
  <w:footnote w:id="1">
    <w:p w14:paraId="06CF10BF" w14:textId="0BE327E0" w:rsidR="0058050D" w:rsidRPr="003879FE" w:rsidRDefault="0058050D" w:rsidP="0058050D">
      <w:pPr>
        <w:pStyle w:val="Textpoznpodarou"/>
        <w:rPr>
          <w:sz w:val="16"/>
          <w:szCs w:val="16"/>
        </w:rPr>
      </w:pPr>
      <w:r w:rsidRPr="000348AF">
        <w:rPr>
          <w:rStyle w:val="Znakapoznpodarou"/>
          <w:sz w:val="16"/>
          <w:szCs w:val="16"/>
        </w:rPr>
        <w:footnoteRef/>
      </w:r>
      <w:r w:rsidRPr="000348AF">
        <w:rPr>
          <w:sz w:val="16"/>
          <w:szCs w:val="16"/>
        </w:rPr>
        <w:t xml:space="preserve"> Vývoj HDP, hrubé přidané hodnoty a jejich složek je vyjádřen prostřednictvím objemových indexů (tj. očištěn o vliv cen) a po očištění o sezónní a kalendářní vlivy. Údaje jsou platné k</w:t>
      </w:r>
      <w:r w:rsidR="00C73BA9">
        <w:rPr>
          <w:sz w:val="16"/>
          <w:szCs w:val="16"/>
        </w:rPr>
        <w:t> 3. 3.</w:t>
      </w:r>
      <w:r>
        <w:rPr>
          <w:sz w:val="16"/>
          <w:szCs w:val="16"/>
        </w:rPr>
        <w:t xml:space="preserve"> </w:t>
      </w:r>
      <w:r w:rsidRPr="000348AF">
        <w:rPr>
          <w:sz w:val="16"/>
          <w:szCs w:val="16"/>
        </w:rPr>
        <w:t>202</w:t>
      </w:r>
      <w:r w:rsidR="00C73BA9">
        <w:rPr>
          <w:sz w:val="16"/>
          <w:szCs w:val="16"/>
        </w:rPr>
        <w:t>6</w:t>
      </w:r>
      <w:r w:rsidRPr="000348AF">
        <w:rPr>
          <w:sz w:val="16"/>
          <w:szCs w:val="16"/>
        </w:rPr>
        <w:t>.</w:t>
      </w:r>
    </w:p>
  </w:footnote>
  <w:footnote w:id="2">
    <w:p w14:paraId="50C21F7D" w14:textId="77777777" w:rsidR="0058050D" w:rsidRDefault="0058050D" w:rsidP="0058050D">
      <w:pPr>
        <w:pStyle w:val="Textpoznpodarou"/>
      </w:pPr>
      <w:r w:rsidRPr="009C6EA8">
        <w:rPr>
          <w:rStyle w:val="Znakapoznpodarou"/>
          <w:sz w:val="16"/>
          <w:szCs w:val="16"/>
        </w:rPr>
        <w:footnoteRef/>
      </w:r>
      <w:r w:rsidRPr="009C6EA8">
        <w:rPr>
          <w:sz w:val="16"/>
          <w:szCs w:val="16"/>
        </w:rPr>
        <w:t xml:space="preserve"> </w:t>
      </w:r>
      <w:r>
        <w:rPr>
          <w:sz w:val="16"/>
          <w:szCs w:val="16"/>
        </w:rPr>
        <w:t>Zaměstnanost v</w:t>
      </w:r>
      <w:r w:rsidRPr="009C6EA8">
        <w:rPr>
          <w:sz w:val="16"/>
          <w:szCs w:val="16"/>
        </w:rPr>
        <w:t> pojetí národních účtů</w:t>
      </w:r>
      <w:r>
        <w:rPr>
          <w:sz w:val="16"/>
          <w:szCs w:val="16"/>
        </w:rPr>
        <w:t xml:space="preserve"> (osoby)</w:t>
      </w:r>
      <w:r w:rsidRPr="009C6EA8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údaj je </w:t>
      </w:r>
      <w:r w:rsidRPr="009C6EA8">
        <w:rPr>
          <w:sz w:val="16"/>
          <w:szCs w:val="16"/>
        </w:rPr>
        <w:t>sezónně očištěn</w:t>
      </w:r>
      <w:r w:rsidRPr="00004BA8">
        <w:rPr>
          <w:sz w:val="16"/>
        </w:rPr>
        <w:t>.</w:t>
      </w:r>
    </w:p>
  </w:footnote>
  <w:footnote w:id="3">
    <w:p w14:paraId="423EEFC7" w14:textId="77777777" w:rsidR="0058050D" w:rsidRPr="005F75B1" w:rsidRDefault="0058050D" w:rsidP="0058050D">
      <w:pPr>
        <w:pStyle w:val="Textpoznpodarou"/>
        <w:rPr>
          <w:sz w:val="16"/>
          <w:szCs w:val="16"/>
        </w:rPr>
      </w:pPr>
      <w:r w:rsidRPr="005F75B1">
        <w:rPr>
          <w:rStyle w:val="Znakapoznpodarou"/>
          <w:sz w:val="16"/>
          <w:szCs w:val="16"/>
        </w:rPr>
        <w:footnoteRef/>
      </w:r>
      <w:r w:rsidRPr="005F75B1">
        <w:rPr>
          <w:sz w:val="16"/>
          <w:szCs w:val="16"/>
        </w:rPr>
        <w:t xml:space="preserve"> Do reálného vyjádření převedeno s pomocí deflátoru spotřeby domácností.</w:t>
      </w:r>
    </w:p>
  </w:footnote>
  <w:footnote w:id="4">
    <w:p w14:paraId="03817851" w14:textId="77777777" w:rsidR="0058050D" w:rsidRPr="0053191D" w:rsidRDefault="0058050D" w:rsidP="0058050D">
      <w:pPr>
        <w:pStyle w:val="Textpoznpodarou"/>
        <w:rPr>
          <w:sz w:val="16"/>
          <w:szCs w:val="16"/>
        </w:rPr>
      </w:pPr>
      <w:r w:rsidRPr="0053191D">
        <w:rPr>
          <w:rStyle w:val="Znakapoznpodarou"/>
          <w:sz w:val="16"/>
          <w:szCs w:val="16"/>
        </w:rPr>
        <w:footnoteRef/>
      </w:r>
      <w:r w:rsidRPr="0053191D">
        <w:rPr>
          <w:sz w:val="16"/>
          <w:szCs w:val="16"/>
        </w:rPr>
        <w:t xml:space="preserve"> Tato sekce zahrnuje činnosti organizací sdružujících osoby za účelem prosazování společných zájmů, opravy počítačů a výrobků pro osobní potřebu a převážně pro domácnost a řadu jiných osobních služeb</w:t>
      </w:r>
      <w:r>
        <w:rPr>
          <w:sz w:val="16"/>
          <w:szCs w:val="16"/>
        </w:rPr>
        <w:t xml:space="preserve"> (kosmetické, kadeřnické apod.).</w:t>
      </w:r>
    </w:p>
  </w:footnote>
  <w:footnote w:id="5">
    <w:p w14:paraId="18F178CB" w14:textId="77777777" w:rsidR="0058050D" w:rsidRPr="005D181D" w:rsidRDefault="0058050D" w:rsidP="0058050D">
      <w:pPr>
        <w:pStyle w:val="Textpoznpodarou"/>
        <w:rPr>
          <w:sz w:val="16"/>
          <w:szCs w:val="16"/>
        </w:rPr>
      </w:pPr>
      <w:r w:rsidRPr="005D181D">
        <w:rPr>
          <w:rStyle w:val="Znakapoznpodarou"/>
          <w:sz w:val="16"/>
          <w:szCs w:val="16"/>
        </w:rPr>
        <w:footnoteRef/>
      </w:r>
      <w:r w:rsidRPr="005D181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Nepočítáme-li mimořádné navýšení ze </w:t>
      </w:r>
      <w:r w:rsidRPr="005D181D">
        <w:rPr>
          <w:sz w:val="16"/>
          <w:szCs w:val="16"/>
        </w:rPr>
        <w:t>2. kvartálu 2021 ovlivněného covidem</w:t>
      </w:r>
      <w:r>
        <w:rPr>
          <w:sz w:val="16"/>
          <w:szCs w:val="16"/>
        </w:rPr>
        <w:t>, tak nejvíce od 2. čtvrtletí 2018.</w:t>
      </w:r>
    </w:p>
  </w:footnote>
  <w:footnote w:id="6">
    <w:p w14:paraId="02B3D486" w14:textId="77777777" w:rsidR="0058050D" w:rsidRPr="00954992" w:rsidRDefault="0058050D" w:rsidP="0058050D">
      <w:pPr>
        <w:pStyle w:val="Textpoznpodarou"/>
        <w:rPr>
          <w:sz w:val="16"/>
          <w:szCs w:val="16"/>
        </w:rPr>
      </w:pPr>
      <w:r w:rsidRPr="00954992">
        <w:rPr>
          <w:rStyle w:val="Znakapoznpodarou"/>
          <w:sz w:val="16"/>
          <w:szCs w:val="16"/>
        </w:rPr>
        <w:footnoteRef/>
      </w:r>
      <w:r w:rsidRPr="00954992">
        <w:rPr>
          <w:sz w:val="16"/>
          <w:szCs w:val="16"/>
        </w:rPr>
        <w:t xml:space="preserve"> Údaje o</w:t>
      </w:r>
      <w:r>
        <w:rPr>
          <w:sz w:val="16"/>
          <w:szCs w:val="16"/>
        </w:rPr>
        <w:t> </w:t>
      </w:r>
      <w:r w:rsidRPr="00954992">
        <w:rPr>
          <w:sz w:val="16"/>
          <w:szCs w:val="16"/>
        </w:rPr>
        <w:t>spotřebě dle trvanlivosti jsou v domácím pojetí</w:t>
      </w:r>
      <w:r>
        <w:rPr>
          <w:sz w:val="16"/>
          <w:szCs w:val="16"/>
        </w:rPr>
        <w:t>.</w:t>
      </w:r>
    </w:p>
  </w:footnote>
  <w:footnote w:id="7">
    <w:p w14:paraId="47ECC4D0" w14:textId="77777777" w:rsidR="0058050D" w:rsidRPr="009C6EA8" w:rsidRDefault="0058050D" w:rsidP="0058050D">
      <w:pPr>
        <w:pStyle w:val="Textpoznpodarou"/>
        <w:rPr>
          <w:sz w:val="16"/>
          <w:szCs w:val="16"/>
        </w:rPr>
      </w:pPr>
      <w:r w:rsidRPr="009C6EA8">
        <w:rPr>
          <w:rStyle w:val="Znakapoznpodarou"/>
          <w:sz w:val="16"/>
          <w:szCs w:val="16"/>
        </w:rPr>
        <w:footnoteRef/>
      </w:r>
      <w:r w:rsidRPr="009C6EA8">
        <w:rPr>
          <w:sz w:val="16"/>
          <w:szCs w:val="16"/>
        </w:rPr>
        <w:t xml:space="preserve"> Příspěvky ke změně HDP po vyloučení dovozu pro konečné užití.</w:t>
      </w:r>
    </w:p>
  </w:footnote>
  <w:footnote w:id="8">
    <w:p w14:paraId="614738E1" w14:textId="77777777" w:rsidR="0058050D" w:rsidRPr="004831F6" w:rsidRDefault="0058050D" w:rsidP="0058050D">
      <w:pPr>
        <w:pStyle w:val="Textpoznpodarou"/>
        <w:rPr>
          <w:sz w:val="16"/>
          <w:szCs w:val="16"/>
        </w:rPr>
      </w:pPr>
      <w:r w:rsidRPr="004831F6">
        <w:rPr>
          <w:rStyle w:val="Znakapoznpodarou"/>
          <w:sz w:val="16"/>
          <w:szCs w:val="16"/>
        </w:rPr>
        <w:footnoteRef/>
      </w:r>
      <w:r w:rsidRPr="004831F6">
        <w:rPr>
          <w:sz w:val="16"/>
          <w:szCs w:val="16"/>
        </w:rPr>
        <w:t xml:space="preserve"> Změna zásob</w:t>
      </w:r>
      <w:r>
        <w:rPr>
          <w:sz w:val="16"/>
          <w:szCs w:val="16"/>
        </w:rPr>
        <w:t xml:space="preserve"> (v běžných cenách a sezónně neočištěná)</w:t>
      </w:r>
      <w:r w:rsidRPr="004831F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 roce 2025 dosáhla +27,0 mld. korun, oproti −24,0 mld. v roce 2024. Zásoby se zvyšovaly zejména v první třech kvartálech roku. Ve 4. čtvrtletí 2025 činila změna zásob −67,9 mld. korun oproti 64,6 mld. ze </w:t>
      </w:r>
      <w:r>
        <w:rPr>
          <w:sz w:val="16"/>
          <w:szCs w:val="16"/>
        </w:rPr>
        <w:br/>
        <w:t xml:space="preserve">3. kvartálu a −63,4 mld. ve 4. čtvrtletí roku 2024.   </w:t>
      </w:r>
    </w:p>
  </w:footnote>
  <w:footnote w:id="9">
    <w:p w14:paraId="045DEE01" w14:textId="77777777" w:rsidR="0058050D" w:rsidRPr="00167B30" w:rsidRDefault="0058050D" w:rsidP="0058050D">
      <w:pPr>
        <w:pStyle w:val="Textpoznpodarou"/>
        <w:rPr>
          <w:sz w:val="16"/>
          <w:szCs w:val="16"/>
        </w:rPr>
      </w:pPr>
      <w:r w:rsidRPr="00167B30">
        <w:rPr>
          <w:rStyle w:val="Znakapoznpodarou"/>
          <w:sz w:val="16"/>
          <w:szCs w:val="16"/>
        </w:rPr>
        <w:footnoteRef/>
      </w:r>
      <w:r w:rsidRPr="00167B30">
        <w:rPr>
          <w:sz w:val="16"/>
          <w:szCs w:val="16"/>
        </w:rPr>
        <w:t xml:space="preserve"> Podle metodiky čtvrtletních národních účtů (vývoz a</w:t>
      </w:r>
      <w:r>
        <w:rPr>
          <w:sz w:val="16"/>
          <w:szCs w:val="16"/>
        </w:rPr>
        <w:t> </w:t>
      </w:r>
      <w:r w:rsidRPr="00167B30">
        <w:rPr>
          <w:sz w:val="16"/>
          <w:szCs w:val="16"/>
        </w:rPr>
        <w:t>dovoz v ocenění FOB/FOB)</w:t>
      </w:r>
      <w:r>
        <w:rPr>
          <w:sz w:val="16"/>
          <w:szCs w:val="16"/>
        </w:rPr>
        <w:t xml:space="preserve">. Bilance zahraničního obchodu v běžných cenách </w:t>
      </w:r>
      <w:r>
        <w:rPr>
          <w:sz w:val="16"/>
          <w:szCs w:val="16"/>
        </w:rPr>
        <w:br/>
        <w:t>a po sezónním očištění.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3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2"/>
  </w:num>
  <w:num w:numId="27" w16cid:durableId="223610688">
    <w:abstractNumId w:val="43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5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4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3"/>
  </w:num>
  <w:num w:numId="48" w16cid:durableId="1639922006">
    <w:abstractNumId w:val="43"/>
    <w:lvlOverride w:ilvl="0">
      <w:startOverride w:val="1"/>
    </w:lvlOverride>
  </w:num>
  <w:num w:numId="49" w16cid:durableId="1509101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11F39"/>
    <w:rsid w:val="00017058"/>
    <w:rsid w:val="0001750B"/>
    <w:rsid w:val="0002195D"/>
    <w:rsid w:val="000234D6"/>
    <w:rsid w:val="00023D29"/>
    <w:rsid w:val="00026389"/>
    <w:rsid w:val="00031AE0"/>
    <w:rsid w:val="000322EF"/>
    <w:rsid w:val="00033FCD"/>
    <w:rsid w:val="000347D3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73A4E"/>
    <w:rsid w:val="0008263E"/>
    <w:rsid w:val="000829B1"/>
    <w:rsid w:val="00082C19"/>
    <w:rsid w:val="00085395"/>
    <w:rsid w:val="00087634"/>
    <w:rsid w:val="00087F2B"/>
    <w:rsid w:val="000912CC"/>
    <w:rsid w:val="00092201"/>
    <w:rsid w:val="00095135"/>
    <w:rsid w:val="000974D1"/>
    <w:rsid w:val="0009799E"/>
    <w:rsid w:val="000A1183"/>
    <w:rsid w:val="000A256D"/>
    <w:rsid w:val="000A395A"/>
    <w:rsid w:val="000A3A2C"/>
    <w:rsid w:val="000A5265"/>
    <w:rsid w:val="000A57D4"/>
    <w:rsid w:val="000B3CE2"/>
    <w:rsid w:val="000B7C8D"/>
    <w:rsid w:val="000C004E"/>
    <w:rsid w:val="000C2CF1"/>
    <w:rsid w:val="000C3408"/>
    <w:rsid w:val="000C6AFD"/>
    <w:rsid w:val="000C7C6F"/>
    <w:rsid w:val="000D1B52"/>
    <w:rsid w:val="000D3CE8"/>
    <w:rsid w:val="000D5637"/>
    <w:rsid w:val="000E15EA"/>
    <w:rsid w:val="000E22F0"/>
    <w:rsid w:val="000E6FBD"/>
    <w:rsid w:val="000F49A9"/>
    <w:rsid w:val="00100F5C"/>
    <w:rsid w:val="00101CDA"/>
    <w:rsid w:val="00102C41"/>
    <w:rsid w:val="00104C4C"/>
    <w:rsid w:val="00107F50"/>
    <w:rsid w:val="00117623"/>
    <w:rsid w:val="0012096D"/>
    <w:rsid w:val="0012192F"/>
    <w:rsid w:val="001224E5"/>
    <w:rsid w:val="00124940"/>
    <w:rsid w:val="00125D69"/>
    <w:rsid w:val="001405FA"/>
    <w:rsid w:val="00142254"/>
    <w:rsid w:val="001425C3"/>
    <w:rsid w:val="001476BD"/>
    <w:rsid w:val="00151983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A0487"/>
    <w:rsid w:val="001A108E"/>
    <w:rsid w:val="001A4CA3"/>
    <w:rsid w:val="001A552F"/>
    <w:rsid w:val="001A5B6F"/>
    <w:rsid w:val="001A6170"/>
    <w:rsid w:val="001A7280"/>
    <w:rsid w:val="001B2CA9"/>
    <w:rsid w:val="001B3110"/>
    <w:rsid w:val="001B4729"/>
    <w:rsid w:val="001B6310"/>
    <w:rsid w:val="001B6C09"/>
    <w:rsid w:val="001B73E6"/>
    <w:rsid w:val="001C05CD"/>
    <w:rsid w:val="001C3924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4597"/>
    <w:rsid w:val="00203DA4"/>
    <w:rsid w:val="00207871"/>
    <w:rsid w:val="002118B9"/>
    <w:rsid w:val="00213E46"/>
    <w:rsid w:val="00214CF7"/>
    <w:rsid w:val="002152E4"/>
    <w:rsid w:val="00216286"/>
    <w:rsid w:val="00216A01"/>
    <w:rsid w:val="002175EA"/>
    <w:rsid w:val="00217C5B"/>
    <w:rsid w:val="0022139E"/>
    <w:rsid w:val="00222729"/>
    <w:rsid w:val="00222833"/>
    <w:rsid w:val="002252E0"/>
    <w:rsid w:val="002255F6"/>
    <w:rsid w:val="00227850"/>
    <w:rsid w:val="00227A53"/>
    <w:rsid w:val="00230682"/>
    <w:rsid w:val="00230C6E"/>
    <w:rsid w:val="00233546"/>
    <w:rsid w:val="00233CD7"/>
    <w:rsid w:val="00233D05"/>
    <w:rsid w:val="00236443"/>
    <w:rsid w:val="00237B95"/>
    <w:rsid w:val="00241B06"/>
    <w:rsid w:val="00242119"/>
    <w:rsid w:val="002421C4"/>
    <w:rsid w:val="00242C10"/>
    <w:rsid w:val="002436BA"/>
    <w:rsid w:val="00244A15"/>
    <w:rsid w:val="0024661A"/>
    <w:rsid w:val="00247319"/>
    <w:rsid w:val="0024741D"/>
    <w:rsid w:val="0024799E"/>
    <w:rsid w:val="00247EE7"/>
    <w:rsid w:val="00252D48"/>
    <w:rsid w:val="00253C0F"/>
    <w:rsid w:val="002558C1"/>
    <w:rsid w:val="00255B30"/>
    <w:rsid w:val="00261A17"/>
    <w:rsid w:val="0027099B"/>
    <w:rsid w:val="00271465"/>
    <w:rsid w:val="00275385"/>
    <w:rsid w:val="0028207A"/>
    <w:rsid w:val="00282918"/>
    <w:rsid w:val="00285412"/>
    <w:rsid w:val="00290725"/>
    <w:rsid w:val="00291407"/>
    <w:rsid w:val="00291640"/>
    <w:rsid w:val="0029568F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C5568"/>
    <w:rsid w:val="002D0E59"/>
    <w:rsid w:val="002E02A1"/>
    <w:rsid w:val="002E42AC"/>
    <w:rsid w:val="002E4E4C"/>
    <w:rsid w:val="002F3E4F"/>
    <w:rsid w:val="00302ADD"/>
    <w:rsid w:val="00304771"/>
    <w:rsid w:val="0030495D"/>
    <w:rsid w:val="003052D4"/>
    <w:rsid w:val="00306C5B"/>
    <w:rsid w:val="00307B34"/>
    <w:rsid w:val="003103E0"/>
    <w:rsid w:val="0031173F"/>
    <w:rsid w:val="00314F9F"/>
    <w:rsid w:val="003209D6"/>
    <w:rsid w:val="00321205"/>
    <w:rsid w:val="00321924"/>
    <w:rsid w:val="00324442"/>
    <w:rsid w:val="0032656E"/>
    <w:rsid w:val="00327D4E"/>
    <w:rsid w:val="00330C8E"/>
    <w:rsid w:val="00332190"/>
    <w:rsid w:val="00340188"/>
    <w:rsid w:val="003421E1"/>
    <w:rsid w:val="0034226A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71826"/>
    <w:rsid w:val="00373504"/>
    <w:rsid w:val="00374FEF"/>
    <w:rsid w:val="0038123E"/>
    <w:rsid w:val="003818DC"/>
    <w:rsid w:val="00382C5B"/>
    <w:rsid w:val="00384327"/>
    <w:rsid w:val="00385D98"/>
    <w:rsid w:val="003A1A03"/>
    <w:rsid w:val="003A2B4D"/>
    <w:rsid w:val="003A2B5E"/>
    <w:rsid w:val="003A2D12"/>
    <w:rsid w:val="003A478C"/>
    <w:rsid w:val="003A5525"/>
    <w:rsid w:val="003A6B38"/>
    <w:rsid w:val="003B461F"/>
    <w:rsid w:val="003B5A32"/>
    <w:rsid w:val="003B6B31"/>
    <w:rsid w:val="003B7AFA"/>
    <w:rsid w:val="003C1099"/>
    <w:rsid w:val="003C3490"/>
    <w:rsid w:val="003C6550"/>
    <w:rsid w:val="003C7E62"/>
    <w:rsid w:val="003D5B4E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510"/>
    <w:rsid w:val="00407C13"/>
    <w:rsid w:val="0041041D"/>
    <w:rsid w:val="00410638"/>
    <w:rsid w:val="00410694"/>
    <w:rsid w:val="0041501E"/>
    <w:rsid w:val="004159C3"/>
    <w:rsid w:val="00416EB7"/>
    <w:rsid w:val="00420136"/>
    <w:rsid w:val="00432A58"/>
    <w:rsid w:val="00434617"/>
    <w:rsid w:val="00440900"/>
    <w:rsid w:val="00441BF6"/>
    <w:rsid w:val="00443556"/>
    <w:rsid w:val="004441A0"/>
    <w:rsid w:val="004455BA"/>
    <w:rsid w:val="00446D77"/>
    <w:rsid w:val="0045078A"/>
    <w:rsid w:val="0045086D"/>
    <w:rsid w:val="00451504"/>
    <w:rsid w:val="004557A9"/>
    <w:rsid w:val="00456339"/>
    <w:rsid w:val="004607BF"/>
    <w:rsid w:val="00460FB3"/>
    <w:rsid w:val="00465F26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180F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6B"/>
    <w:rsid w:val="004F06F5"/>
    <w:rsid w:val="004F16B2"/>
    <w:rsid w:val="004F2C1B"/>
    <w:rsid w:val="004F33A0"/>
    <w:rsid w:val="004F3A59"/>
    <w:rsid w:val="005040A8"/>
    <w:rsid w:val="00504EE1"/>
    <w:rsid w:val="0050689D"/>
    <w:rsid w:val="00510205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3DA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86D"/>
    <w:rsid w:val="00564AF1"/>
    <w:rsid w:val="0056601A"/>
    <w:rsid w:val="005722EB"/>
    <w:rsid w:val="0057364B"/>
    <w:rsid w:val="00574773"/>
    <w:rsid w:val="0058050D"/>
    <w:rsid w:val="0058308D"/>
    <w:rsid w:val="00583FFD"/>
    <w:rsid w:val="00591099"/>
    <w:rsid w:val="005911BE"/>
    <w:rsid w:val="00593152"/>
    <w:rsid w:val="00596010"/>
    <w:rsid w:val="005A10F2"/>
    <w:rsid w:val="005A14E8"/>
    <w:rsid w:val="005A21E0"/>
    <w:rsid w:val="005A28FF"/>
    <w:rsid w:val="005A3DF8"/>
    <w:rsid w:val="005A5113"/>
    <w:rsid w:val="005A5549"/>
    <w:rsid w:val="005A7038"/>
    <w:rsid w:val="005B121D"/>
    <w:rsid w:val="005B3361"/>
    <w:rsid w:val="005C06ED"/>
    <w:rsid w:val="005C2609"/>
    <w:rsid w:val="005C6CF0"/>
    <w:rsid w:val="005D0D46"/>
    <w:rsid w:val="005D5802"/>
    <w:rsid w:val="005D7119"/>
    <w:rsid w:val="005D7890"/>
    <w:rsid w:val="005E705E"/>
    <w:rsid w:val="005E7C78"/>
    <w:rsid w:val="005F18C5"/>
    <w:rsid w:val="005F3374"/>
    <w:rsid w:val="005F3491"/>
    <w:rsid w:val="005F3EB1"/>
    <w:rsid w:val="005F46D8"/>
    <w:rsid w:val="005F5469"/>
    <w:rsid w:val="00603FF5"/>
    <w:rsid w:val="00604307"/>
    <w:rsid w:val="0060487F"/>
    <w:rsid w:val="00604EAD"/>
    <w:rsid w:val="00605D96"/>
    <w:rsid w:val="006104FB"/>
    <w:rsid w:val="00612A2F"/>
    <w:rsid w:val="0061390C"/>
    <w:rsid w:val="006165E5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0072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E37"/>
    <w:rsid w:val="0068174E"/>
    <w:rsid w:val="00681DCE"/>
    <w:rsid w:val="0068260E"/>
    <w:rsid w:val="0068697A"/>
    <w:rsid w:val="00693FEC"/>
    <w:rsid w:val="0069490A"/>
    <w:rsid w:val="00695BEF"/>
    <w:rsid w:val="006977F6"/>
    <w:rsid w:val="00697A13"/>
    <w:rsid w:val="006A109C"/>
    <w:rsid w:val="006A2056"/>
    <w:rsid w:val="006A31AB"/>
    <w:rsid w:val="006B0F92"/>
    <w:rsid w:val="006B173A"/>
    <w:rsid w:val="006B344A"/>
    <w:rsid w:val="006B6C74"/>
    <w:rsid w:val="006B759B"/>
    <w:rsid w:val="006B78D8"/>
    <w:rsid w:val="006C113F"/>
    <w:rsid w:val="006C123E"/>
    <w:rsid w:val="006C1752"/>
    <w:rsid w:val="006C4460"/>
    <w:rsid w:val="006C4ED6"/>
    <w:rsid w:val="006C56D4"/>
    <w:rsid w:val="006C6924"/>
    <w:rsid w:val="006C70EB"/>
    <w:rsid w:val="006C7CA6"/>
    <w:rsid w:val="006D3E8A"/>
    <w:rsid w:val="006D61F6"/>
    <w:rsid w:val="006E279A"/>
    <w:rsid w:val="006E313B"/>
    <w:rsid w:val="006E41EC"/>
    <w:rsid w:val="006E4254"/>
    <w:rsid w:val="006E50F8"/>
    <w:rsid w:val="006E7227"/>
    <w:rsid w:val="006F438E"/>
    <w:rsid w:val="006F5416"/>
    <w:rsid w:val="006F7076"/>
    <w:rsid w:val="00702448"/>
    <w:rsid w:val="00705242"/>
    <w:rsid w:val="00706AD4"/>
    <w:rsid w:val="00707150"/>
    <w:rsid w:val="00710078"/>
    <w:rsid w:val="00710229"/>
    <w:rsid w:val="0071217E"/>
    <w:rsid w:val="007140BE"/>
    <w:rsid w:val="007143B4"/>
    <w:rsid w:val="007211F5"/>
    <w:rsid w:val="00721FA1"/>
    <w:rsid w:val="0072213B"/>
    <w:rsid w:val="00723946"/>
    <w:rsid w:val="007240E2"/>
    <w:rsid w:val="00725BB5"/>
    <w:rsid w:val="00730517"/>
    <w:rsid w:val="00730AE8"/>
    <w:rsid w:val="00730F1B"/>
    <w:rsid w:val="00733628"/>
    <w:rsid w:val="007342AC"/>
    <w:rsid w:val="00741493"/>
    <w:rsid w:val="00743C34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5C12"/>
    <w:rsid w:val="007661E9"/>
    <w:rsid w:val="00770784"/>
    <w:rsid w:val="00773220"/>
    <w:rsid w:val="00776169"/>
    <w:rsid w:val="00776527"/>
    <w:rsid w:val="00776EAB"/>
    <w:rsid w:val="00780EF1"/>
    <w:rsid w:val="00782AD8"/>
    <w:rsid w:val="00790711"/>
    <w:rsid w:val="00790764"/>
    <w:rsid w:val="0079124F"/>
    <w:rsid w:val="0079453C"/>
    <w:rsid w:val="00794677"/>
    <w:rsid w:val="00795928"/>
    <w:rsid w:val="00797445"/>
    <w:rsid w:val="007A3861"/>
    <w:rsid w:val="007A4577"/>
    <w:rsid w:val="007A516D"/>
    <w:rsid w:val="007B6689"/>
    <w:rsid w:val="007C6BBD"/>
    <w:rsid w:val="007D293C"/>
    <w:rsid w:val="007D40DF"/>
    <w:rsid w:val="007E29B4"/>
    <w:rsid w:val="007E435A"/>
    <w:rsid w:val="007E76C3"/>
    <w:rsid w:val="007E7E61"/>
    <w:rsid w:val="007E7FCE"/>
    <w:rsid w:val="007F0076"/>
    <w:rsid w:val="007F0845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0D03"/>
    <w:rsid w:val="0083143E"/>
    <w:rsid w:val="00831CDE"/>
    <w:rsid w:val="00834304"/>
    <w:rsid w:val="00834FAA"/>
    <w:rsid w:val="0083516C"/>
    <w:rsid w:val="00836086"/>
    <w:rsid w:val="00843A14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4F24"/>
    <w:rsid w:val="00855408"/>
    <w:rsid w:val="00855712"/>
    <w:rsid w:val="00856D65"/>
    <w:rsid w:val="00861B41"/>
    <w:rsid w:val="00861BE3"/>
    <w:rsid w:val="00863434"/>
    <w:rsid w:val="00865E4C"/>
    <w:rsid w:val="008701E4"/>
    <w:rsid w:val="0087052A"/>
    <w:rsid w:val="00871069"/>
    <w:rsid w:val="008727BA"/>
    <w:rsid w:val="00875A32"/>
    <w:rsid w:val="00876086"/>
    <w:rsid w:val="008766AC"/>
    <w:rsid w:val="00881EAF"/>
    <w:rsid w:val="008825B0"/>
    <w:rsid w:val="00884AD6"/>
    <w:rsid w:val="008873D4"/>
    <w:rsid w:val="00890D6D"/>
    <w:rsid w:val="0089126C"/>
    <w:rsid w:val="0089296D"/>
    <w:rsid w:val="00893E85"/>
    <w:rsid w:val="00894031"/>
    <w:rsid w:val="00895508"/>
    <w:rsid w:val="008A6CB4"/>
    <w:rsid w:val="008B542E"/>
    <w:rsid w:val="008B5CF6"/>
    <w:rsid w:val="008B76AB"/>
    <w:rsid w:val="008B7C02"/>
    <w:rsid w:val="008B7D2B"/>
    <w:rsid w:val="008C0049"/>
    <w:rsid w:val="008C0E88"/>
    <w:rsid w:val="008C1968"/>
    <w:rsid w:val="008C53CB"/>
    <w:rsid w:val="008C6FD4"/>
    <w:rsid w:val="008D1BA1"/>
    <w:rsid w:val="008D1E6A"/>
    <w:rsid w:val="008D2A16"/>
    <w:rsid w:val="008D6B35"/>
    <w:rsid w:val="008D75D9"/>
    <w:rsid w:val="008E163D"/>
    <w:rsid w:val="008E2C57"/>
    <w:rsid w:val="008E31FF"/>
    <w:rsid w:val="008E6F06"/>
    <w:rsid w:val="008E7FC9"/>
    <w:rsid w:val="008F029B"/>
    <w:rsid w:val="008F3FC9"/>
    <w:rsid w:val="008F585B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4464"/>
    <w:rsid w:val="00937AE2"/>
    <w:rsid w:val="00943853"/>
    <w:rsid w:val="0094427A"/>
    <w:rsid w:val="00945245"/>
    <w:rsid w:val="009452D0"/>
    <w:rsid w:val="00956572"/>
    <w:rsid w:val="00957309"/>
    <w:rsid w:val="0095759C"/>
    <w:rsid w:val="009607C5"/>
    <w:rsid w:val="00961532"/>
    <w:rsid w:val="0096774F"/>
    <w:rsid w:val="00967E76"/>
    <w:rsid w:val="009721DB"/>
    <w:rsid w:val="0097239B"/>
    <w:rsid w:val="00974071"/>
    <w:rsid w:val="00974923"/>
    <w:rsid w:val="009808F7"/>
    <w:rsid w:val="00980D3D"/>
    <w:rsid w:val="00981FFA"/>
    <w:rsid w:val="009855E1"/>
    <w:rsid w:val="00986D06"/>
    <w:rsid w:val="00987A30"/>
    <w:rsid w:val="00992CF3"/>
    <w:rsid w:val="00994868"/>
    <w:rsid w:val="0099574A"/>
    <w:rsid w:val="009968D6"/>
    <w:rsid w:val="009A1CAB"/>
    <w:rsid w:val="009A60D1"/>
    <w:rsid w:val="009B6FD3"/>
    <w:rsid w:val="009C02C3"/>
    <w:rsid w:val="009C1750"/>
    <w:rsid w:val="009C2E29"/>
    <w:rsid w:val="009C3F5D"/>
    <w:rsid w:val="009C554B"/>
    <w:rsid w:val="009C719E"/>
    <w:rsid w:val="009C7A10"/>
    <w:rsid w:val="009D1120"/>
    <w:rsid w:val="009D3ACD"/>
    <w:rsid w:val="009D4785"/>
    <w:rsid w:val="009E1988"/>
    <w:rsid w:val="009E5273"/>
    <w:rsid w:val="009E5DDB"/>
    <w:rsid w:val="009E7F05"/>
    <w:rsid w:val="009F46B7"/>
    <w:rsid w:val="009F4CA7"/>
    <w:rsid w:val="009F7558"/>
    <w:rsid w:val="009F791A"/>
    <w:rsid w:val="00A04CEF"/>
    <w:rsid w:val="00A10D66"/>
    <w:rsid w:val="00A14114"/>
    <w:rsid w:val="00A14995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2BF2"/>
    <w:rsid w:val="00A33549"/>
    <w:rsid w:val="00A33A89"/>
    <w:rsid w:val="00A34D27"/>
    <w:rsid w:val="00A40EAC"/>
    <w:rsid w:val="00A40EDD"/>
    <w:rsid w:val="00A418BC"/>
    <w:rsid w:val="00A4206C"/>
    <w:rsid w:val="00A4632B"/>
    <w:rsid w:val="00A46DE0"/>
    <w:rsid w:val="00A472EB"/>
    <w:rsid w:val="00A47FCA"/>
    <w:rsid w:val="00A50D73"/>
    <w:rsid w:val="00A52CAD"/>
    <w:rsid w:val="00A53FC7"/>
    <w:rsid w:val="00A60799"/>
    <w:rsid w:val="00A62CE1"/>
    <w:rsid w:val="00A668A3"/>
    <w:rsid w:val="00A6741E"/>
    <w:rsid w:val="00A754EA"/>
    <w:rsid w:val="00A75E40"/>
    <w:rsid w:val="00A770F4"/>
    <w:rsid w:val="00A77D1D"/>
    <w:rsid w:val="00A84A6A"/>
    <w:rsid w:val="00A857C0"/>
    <w:rsid w:val="00A90FED"/>
    <w:rsid w:val="00AA2996"/>
    <w:rsid w:val="00AA2A70"/>
    <w:rsid w:val="00AA2DA1"/>
    <w:rsid w:val="00AA4B30"/>
    <w:rsid w:val="00AA52BF"/>
    <w:rsid w:val="00AA559A"/>
    <w:rsid w:val="00AB2AF1"/>
    <w:rsid w:val="00AB535B"/>
    <w:rsid w:val="00AC45BD"/>
    <w:rsid w:val="00AC5791"/>
    <w:rsid w:val="00AD168E"/>
    <w:rsid w:val="00AD306C"/>
    <w:rsid w:val="00AD4F16"/>
    <w:rsid w:val="00AD5323"/>
    <w:rsid w:val="00AD68C4"/>
    <w:rsid w:val="00AE09B3"/>
    <w:rsid w:val="00AE0ED3"/>
    <w:rsid w:val="00AE153F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959"/>
    <w:rsid w:val="00B07BBB"/>
    <w:rsid w:val="00B10325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062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B8B"/>
    <w:rsid w:val="00B80EC6"/>
    <w:rsid w:val="00B84CF6"/>
    <w:rsid w:val="00B857A1"/>
    <w:rsid w:val="00B87623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78"/>
    <w:rsid w:val="00BF3B1D"/>
    <w:rsid w:val="00BF6D32"/>
    <w:rsid w:val="00BF71A0"/>
    <w:rsid w:val="00BF723F"/>
    <w:rsid w:val="00C02943"/>
    <w:rsid w:val="00C16FB0"/>
    <w:rsid w:val="00C21F94"/>
    <w:rsid w:val="00C27913"/>
    <w:rsid w:val="00C27E4F"/>
    <w:rsid w:val="00C325AE"/>
    <w:rsid w:val="00C32964"/>
    <w:rsid w:val="00C33B68"/>
    <w:rsid w:val="00C36A79"/>
    <w:rsid w:val="00C401D2"/>
    <w:rsid w:val="00C405D4"/>
    <w:rsid w:val="00C41D07"/>
    <w:rsid w:val="00C4431F"/>
    <w:rsid w:val="00C4513B"/>
    <w:rsid w:val="00C5390B"/>
    <w:rsid w:val="00C53E5D"/>
    <w:rsid w:val="00C54141"/>
    <w:rsid w:val="00C5418A"/>
    <w:rsid w:val="00C54697"/>
    <w:rsid w:val="00C65535"/>
    <w:rsid w:val="00C65C22"/>
    <w:rsid w:val="00C66B0D"/>
    <w:rsid w:val="00C71E85"/>
    <w:rsid w:val="00C72884"/>
    <w:rsid w:val="00C73885"/>
    <w:rsid w:val="00C73BA9"/>
    <w:rsid w:val="00C747B1"/>
    <w:rsid w:val="00C82191"/>
    <w:rsid w:val="00C83134"/>
    <w:rsid w:val="00C85545"/>
    <w:rsid w:val="00C9003C"/>
    <w:rsid w:val="00C90CF4"/>
    <w:rsid w:val="00C92EB6"/>
    <w:rsid w:val="00C93389"/>
    <w:rsid w:val="00C96040"/>
    <w:rsid w:val="00C9769E"/>
    <w:rsid w:val="00CA0914"/>
    <w:rsid w:val="00CA6AB4"/>
    <w:rsid w:val="00CA7BE7"/>
    <w:rsid w:val="00CB2F3F"/>
    <w:rsid w:val="00CB4930"/>
    <w:rsid w:val="00CC0E87"/>
    <w:rsid w:val="00CC2E7D"/>
    <w:rsid w:val="00CC6B42"/>
    <w:rsid w:val="00CD10A5"/>
    <w:rsid w:val="00CD2076"/>
    <w:rsid w:val="00CD29B5"/>
    <w:rsid w:val="00CD6331"/>
    <w:rsid w:val="00CD7704"/>
    <w:rsid w:val="00CD7AFB"/>
    <w:rsid w:val="00CE3E57"/>
    <w:rsid w:val="00CE670B"/>
    <w:rsid w:val="00CF19CB"/>
    <w:rsid w:val="00CF262D"/>
    <w:rsid w:val="00CF322D"/>
    <w:rsid w:val="00CF39C9"/>
    <w:rsid w:val="00CF4908"/>
    <w:rsid w:val="00CF51EC"/>
    <w:rsid w:val="00CF59E5"/>
    <w:rsid w:val="00CF73AE"/>
    <w:rsid w:val="00D040DD"/>
    <w:rsid w:val="00D075BE"/>
    <w:rsid w:val="00D13986"/>
    <w:rsid w:val="00D21D83"/>
    <w:rsid w:val="00D235B7"/>
    <w:rsid w:val="00D23C02"/>
    <w:rsid w:val="00D23F97"/>
    <w:rsid w:val="00D25F28"/>
    <w:rsid w:val="00D26071"/>
    <w:rsid w:val="00D27973"/>
    <w:rsid w:val="00D35E1A"/>
    <w:rsid w:val="00D37C1E"/>
    <w:rsid w:val="00D40B2B"/>
    <w:rsid w:val="00D40F7C"/>
    <w:rsid w:val="00D417B7"/>
    <w:rsid w:val="00D42211"/>
    <w:rsid w:val="00D42756"/>
    <w:rsid w:val="00D50F46"/>
    <w:rsid w:val="00D567C6"/>
    <w:rsid w:val="00D57677"/>
    <w:rsid w:val="00D61DF8"/>
    <w:rsid w:val="00D66223"/>
    <w:rsid w:val="00D674D7"/>
    <w:rsid w:val="00D71625"/>
    <w:rsid w:val="00D751DA"/>
    <w:rsid w:val="00D8084C"/>
    <w:rsid w:val="00D915EA"/>
    <w:rsid w:val="00D95B68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C1B9B"/>
    <w:rsid w:val="00DC1E84"/>
    <w:rsid w:val="00DC40D2"/>
    <w:rsid w:val="00DC48F1"/>
    <w:rsid w:val="00DC4EDE"/>
    <w:rsid w:val="00DC5B3B"/>
    <w:rsid w:val="00DD129F"/>
    <w:rsid w:val="00DD4EFE"/>
    <w:rsid w:val="00DE02BD"/>
    <w:rsid w:val="00DE5DBA"/>
    <w:rsid w:val="00DF42FF"/>
    <w:rsid w:val="00DF5908"/>
    <w:rsid w:val="00E01C0E"/>
    <w:rsid w:val="00E03F9A"/>
    <w:rsid w:val="00E0465E"/>
    <w:rsid w:val="00E04694"/>
    <w:rsid w:val="00E063CE"/>
    <w:rsid w:val="00E12B1E"/>
    <w:rsid w:val="00E12F7C"/>
    <w:rsid w:val="00E15B76"/>
    <w:rsid w:val="00E17262"/>
    <w:rsid w:val="00E20B53"/>
    <w:rsid w:val="00E253A2"/>
    <w:rsid w:val="00E314B9"/>
    <w:rsid w:val="00E329EF"/>
    <w:rsid w:val="00E3309D"/>
    <w:rsid w:val="00E374F4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6519D"/>
    <w:rsid w:val="00E67696"/>
    <w:rsid w:val="00E71654"/>
    <w:rsid w:val="00E71A58"/>
    <w:rsid w:val="00E72A7A"/>
    <w:rsid w:val="00E75C94"/>
    <w:rsid w:val="00E849A6"/>
    <w:rsid w:val="00E91024"/>
    <w:rsid w:val="00E920F4"/>
    <w:rsid w:val="00E93820"/>
    <w:rsid w:val="00E944EF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39C7"/>
    <w:rsid w:val="00EB3D8F"/>
    <w:rsid w:val="00EB4511"/>
    <w:rsid w:val="00EB4A12"/>
    <w:rsid w:val="00EC03D7"/>
    <w:rsid w:val="00EC15CC"/>
    <w:rsid w:val="00EC313D"/>
    <w:rsid w:val="00ED62C6"/>
    <w:rsid w:val="00ED64C1"/>
    <w:rsid w:val="00EE0E68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066CF"/>
    <w:rsid w:val="00F10F11"/>
    <w:rsid w:val="00F15AAA"/>
    <w:rsid w:val="00F15BEF"/>
    <w:rsid w:val="00F17E83"/>
    <w:rsid w:val="00F24407"/>
    <w:rsid w:val="00F24931"/>
    <w:rsid w:val="00F24FAA"/>
    <w:rsid w:val="00F252A0"/>
    <w:rsid w:val="00F25B4A"/>
    <w:rsid w:val="00F25DEE"/>
    <w:rsid w:val="00F3364D"/>
    <w:rsid w:val="00F437CC"/>
    <w:rsid w:val="00F43E29"/>
    <w:rsid w:val="00F44537"/>
    <w:rsid w:val="00F44B6A"/>
    <w:rsid w:val="00F47067"/>
    <w:rsid w:val="00F50FC3"/>
    <w:rsid w:val="00F51087"/>
    <w:rsid w:val="00F5188A"/>
    <w:rsid w:val="00F52106"/>
    <w:rsid w:val="00F525EB"/>
    <w:rsid w:val="00F63DDE"/>
    <w:rsid w:val="00F63FB7"/>
    <w:rsid w:val="00F6421B"/>
    <w:rsid w:val="00F649D2"/>
    <w:rsid w:val="00F6602B"/>
    <w:rsid w:val="00F66643"/>
    <w:rsid w:val="00F66E76"/>
    <w:rsid w:val="00F66FD9"/>
    <w:rsid w:val="00F67C4E"/>
    <w:rsid w:val="00F70D20"/>
    <w:rsid w:val="00F72275"/>
    <w:rsid w:val="00F73990"/>
    <w:rsid w:val="00F73A0C"/>
    <w:rsid w:val="00F756DB"/>
    <w:rsid w:val="00F84E7D"/>
    <w:rsid w:val="00F85066"/>
    <w:rsid w:val="00F87A4D"/>
    <w:rsid w:val="00F90035"/>
    <w:rsid w:val="00F92283"/>
    <w:rsid w:val="00F9785E"/>
    <w:rsid w:val="00FA5D4D"/>
    <w:rsid w:val="00FA60AD"/>
    <w:rsid w:val="00FA7115"/>
    <w:rsid w:val="00FB0EE2"/>
    <w:rsid w:val="00FB4423"/>
    <w:rsid w:val="00FB542E"/>
    <w:rsid w:val="00FB6631"/>
    <w:rsid w:val="00FC0E5F"/>
    <w:rsid w:val="00FC1A95"/>
    <w:rsid w:val="00FC56DE"/>
    <w:rsid w:val="00FC6700"/>
    <w:rsid w:val="00FC684B"/>
    <w:rsid w:val="00FD1A5F"/>
    <w:rsid w:val="00FD3265"/>
    <w:rsid w:val="00FD5F92"/>
    <w:rsid w:val="00FD66F9"/>
    <w:rsid w:val="00FD78F8"/>
    <w:rsid w:val="00FE2F78"/>
    <w:rsid w:val="00FE470B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https://czsocz-my.sharepoint.com/personal/karolina_zabojnikova_czso_cz/Documents/Dokumenty/Anal&#253;za/Q/2025Q4/Makroanal&#253;za%20grafy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4/Makroanal&#253;za%20graf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4/Makroanal&#253;za%20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8324257007767645E-2"/>
          <c:y val="2.3046636085626952E-2"/>
          <c:w val="0.92008633063154344"/>
          <c:h val="0.741928402566716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'souhrnná výkonnost 1'!$C$4</c:f>
              <c:strCache>
                <c:ptCount val="1"/>
                <c:pt idx="0">
                  <c:v>ČR meziroční změna</c:v>
                </c:pt>
              </c:strCache>
            </c:strRef>
          </c:tx>
          <c:spPr>
            <a:solidFill>
              <a:srgbClr val="85898E"/>
            </a:solidFill>
            <a:ln>
              <a:noFill/>
            </a:ln>
          </c:spPr>
          <c:invertIfNegative val="0"/>
          <c:cat>
            <c:multiLvlStrRef>
              <c:f>'souhrnná výkonnost 1'!$A$13:$B$36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1'!$C$13:$C$36</c:f>
              <c:numCache>
                <c:formatCode>0.0</c:formatCode>
                <c:ptCount val="24"/>
                <c:pt idx="0">
                  <c:v>-1.5351861916054617</c:v>
                </c:pt>
                <c:pt idx="1">
                  <c:v>-10.559587702388853</c:v>
                </c:pt>
                <c:pt idx="2">
                  <c:v>-4.6694083752601188</c:v>
                </c:pt>
                <c:pt idx="3">
                  <c:v>-4.5192273145153194</c:v>
                </c:pt>
                <c:pt idx="4">
                  <c:v>-1.2664124847114806</c:v>
                </c:pt>
                <c:pt idx="5">
                  <c:v>9.7297062446547216</c:v>
                </c:pt>
                <c:pt idx="6">
                  <c:v>3.9961916951869227</c:v>
                </c:pt>
                <c:pt idx="7">
                  <c:v>3.9239124588274592</c:v>
                </c:pt>
                <c:pt idx="8">
                  <c:v>4.8491281313959291</c:v>
                </c:pt>
                <c:pt idx="9">
                  <c:v>3.6598190972935782</c:v>
                </c:pt>
                <c:pt idx="10">
                  <c:v>2.0291799214766684</c:v>
                </c:pt>
                <c:pt idx="11">
                  <c:v>0.95170963681438536</c:v>
                </c:pt>
                <c:pt idx="12">
                  <c:v>0.26248598087539676</c:v>
                </c:pt>
                <c:pt idx="13">
                  <c:v>0.21777400207922426</c:v>
                </c:pt>
                <c:pt idx="14">
                  <c:v>-0.2818883582691285</c:v>
                </c:pt>
                <c:pt idx="15">
                  <c:v>0.48633188147042006</c:v>
                </c:pt>
                <c:pt idx="16">
                  <c:v>0.50112217790925229</c:v>
                </c:pt>
                <c:pt idx="17">
                  <c:v>0.53795436954789011</c:v>
                </c:pt>
                <c:pt idx="18">
                  <c:v>1.5167845788735406</c:v>
                </c:pt>
                <c:pt idx="19">
                  <c:v>1.9540450586190872</c:v>
                </c:pt>
                <c:pt idx="20">
                  <c:v>2.4336347581521522</c:v>
                </c:pt>
                <c:pt idx="21">
                  <c:v>2.5962890487377024</c:v>
                </c:pt>
                <c:pt idx="22">
                  <c:v>2.7833123155343031</c:v>
                </c:pt>
                <c:pt idx="23">
                  <c:v>2.5574982004102083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39-4205-A22D-1595D09E705E}"/>
            </c:ext>
          </c:extLst>
        </c:ser>
        <c:ser>
          <c:idx val="1"/>
          <c:order val="1"/>
          <c:tx>
            <c:strRef>
              <c:f>'souhrnná výkonnost 1'!$D$4</c:f>
              <c:strCache>
                <c:ptCount val="1"/>
                <c:pt idx="0">
                  <c:v>EU27 meziroční změna</c:v>
                </c:pt>
              </c:strCache>
            </c:strRef>
          </c:tx>
          <c:spPr>
            <a:solidFill>
              <a:srgbClr val="B8BBC0"/>
            </a:solidFill>
            <a:ln>
              <a:noFill/>
            </a:ln>
          </c:spPr>
          <c:invertIfNegative val="0"/>
          <c:cat>
            <c:multiLvlStrRef>
              <c:f>'souhrnná výkonnost 1'!$A$13:$B$36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1'!$D$13:$D$36</c:f>
              <c:numCache>
                <c:formatCode>#\ ##0.##########</c:formatCode>
                <c:ptCount val="24"/>
                <c:pt idx="0">
                  <c:v>-2.2000000000000002</c:v>
                </c:pt>
                <c:pt idx="1">
                  <c:v>-13.1</c:v>
                </c:pt>
                <c:pt idx="2">
                  <c:v>-3.9</c:v>
                </c:pt>
                <c:pt idx="3">
                  <c:v>-3.5</c:v>
                </c:pt>
                <c:pt idx="4">
                  <c:v>0.3</c:v>
                </c:pt>
                <c:pt idx="5">
                  <c:v>14.7</c:v>
                </c:pt>
                <c:pt idx="6">
                  <c:v>5.3</c:v>
                </c:pt>
                <c:pt idx="7">
                  <c:v>5.8</c:v>
                </c:pt>
                <c:pt idx="8">
                  <c:v>5.6</c:v>
                </c:pt>
                <c:pt idx="9">
                  <c:v>4.2</c:v>
                </c:pt>
                <c:pt idx="10">
                  <c:v>2.9</c:v>
                </c:pt>
                <c:pt idx="11">
                  <c:v>1.8</c:v>
                </c:pt>
                <c:pt idx="12">
                  <c:v>1.2</c:v>
                </c:pt>
                <c:pt idx="13">
                  <c:v>0.4</c:v>
                </c:pt>
                <c:pt idx="14">
                  <c:v>0.1</c:v>
                </c:pt>
                <c:pt idx="15">
                  <c:v>0.4</c:v>
                </c:pt>
                <c:pt idx="16">
                  <c:v>0.6</c:v>
                </c:pt>
                <c:pt idx="17">
                  <c:v>0.8</c:v>
                </c:pt>
                <c:pt idx="18">
                  <c:v>1.1000000000000001</c:v>
                </c:pt>
                <c:pt idx="19">
                  <c:v>1.5</c:v>
                </c:pt>
                <c:pt idx="20">
                  <c:v>1.7</c:v>
                </c:pt>
                <c:pt idx="21">
                  <c:v>1.7</c:v>
                </c:pt>
                <c:pt idx="22">
                  <c:v>1.7</c:v>
                </c:pt>
                <c:pt idx="23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39-4205-A22D-1595D09E70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67753344"/>
        <c:axId val="267767808"/>
      </c:barChart>
      <c:lineChart>
        <c:grouping val="standard"/>
        <c:varyColors val="0"/>
        <c:ser>
          <c:idx val="2"/>
          <c:order val="2"/>
          <c:tx>
            <c:strRef>
              <c:f>'souhrnná výkonnost 1'!$E$4</c:f>
              <c:strCache>
                <c:ptCount val="1"/>
                <c:pt idx="0">
                  <c:v>ČR mezičtvrtletní změna</c:v>
                </c:pt>
              </c:strCache>
            </c:strRef>
          </c:tx>
          <c:spPr>
            <a:ln w="19050">
              <a:noFill/>
            </a:ln>
          </c:spPr>
          <c:marker>
            <c:symbol val="dash"/>
            <c:size val="8"/>
            <c:spPr>
              <a:solidFill>
                <a:srgbClr val="009CB5"/>
              </a:solidFill>
              <a:ln>
                <a:noFill/>
              </a:ln>
            </c:spPr>
          </c:marker>
          <c:cat>
            <c:multiLvlStrRef>
              <c:f>'souhrnná výkonnost 1'!$A$13:$B$36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1'!$E$13:$E$36</c:f>
              <c:numCache>
                <c:formatCode>0.0</c:formatCode>
                <c:ptCount val="24"/>
                <c:pt idx="0">
                  <c:v>-3.2943412602672453</c:v>
                </c:pt>
                <c:pt idx="1">
                  <c:v>-8.7133959463388635</c:v>
                </c:pt>
                <c:pt idx="2">
                  <c:v>7.3327293273359544</c:v>
                </c:pt>
                <c:pt idx="3">
                  <c:v>0.76850445129137768</c:v>
                </c:pt>
                <c:pt idx="4">
                  <c:v>2.0267802636908527E-4</c:v>
                </c:pt>
                <c:pt idx="5">
                  <c:v>1.4533402357052267</c:v>
                </c:pt>
                <c:pt idx="6">
                  <c:v>1.724459823175593</c:v>
                </c:pt>
                <c:pt idx="7">
                  <c:v>0.69846851601238313</c:v>
                </c:pt>
                <c:pt idx="8">
                  <c:v>0.89048627675430225</c:v>
                </c:pt>
                <c:pt idx="9">
                  <c:v>0.30254979774397839</c:v>
                </c:pt>
                <c:pt idx="10">
                  <c:v>0.12426515979501573</c:v>
                </c:pt>
                <c:pt idx="11">
                  <c:v>-0.36494890653776224</c:v>
                </c:pt>
                <c:pt idx="12">
                  <c:v>0.20168060866517123</c:v>
                </c:pt>
                <c:pt idx="13">
                  <c:v>0.25781995251938383</c:v>
                </c:pt>
                <c:pt idx="14">
                  <c:v>-0.37493098735598096</c:v>
                </c:pt>
                <c:pt idx="15">
                  <c:v>0.4026314414784764</c:v>
                </c:pt>
                <c:pt idx="16">
                  <c:v>0.21642900809541743</c:v>
                </c:pt>
                <c:pt idx="17">
                  <c:v>0.29456297745026916</c:v>
                </c:pt>
                <c:pt idx="18">
                  <c:v>0.59501143654981092</c:v>
                </c:pt>
                <c:pt idx="19">
                  <c:v>0.83509295977751208</c:v>
                </c:pt>
                <c:pt idx="20">
                  <c:v>0.68784499800180754</c:v>
                </c:pt>
                <c:pt idx="21">
                  <c:v>0.45382063758503932</c:v>
                </c:pt>
                <c:pt idx="22">
                  <c:v>0.77838656480000168</c:v>
                </c:pt>
                <c:pt idx="23">
                  <c:v>0.61355906699667173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B39-4205-A22D-1595D09E705E}"/>
            </c:ext>
          </c:extLst>
        </c:ser>
        <c:ser>
          <c:idx val="3"/>
          <c:order val="3"/>
          <c:tx>
            <c:strRef>
              <c:f>'souhrnná výkonnost 1'!$F$4</c:f>
              <c:strCache>
                <c:ptCount val="1"/>
                <c:pt idx="0">
                  <c:v>EU27 mezičtvrtletní změna</c:v>
                </c:pt>
              </c:strCache>
            </c:strRef>
          </c:tx>
          <c:spPr>
            <a:ln w="19050">
              <a:noFill/>
            </a:ln>
          </c:spPr>
          <c:marker>
            <c:symbol val="dash"/>
            <c:size val="8"/>
            <c:spPr>
              <a:solidFill>
                <a:srgbClr val="BC5B80"/>
              </a:solidFill>
              <a:ln>
                <a:noFill/>
              </a:ln>
            </c:spPr>
          </c:marker>
          <c:cat>
            <c:multiLvlStrRef>
              <c:f>'souhrnná výkonnost 1'!$A$13:$B$36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1'!$F$13:$F$36</c:f>
              <c:numCache>
                <c:formatCode>#\ ##0.##########</c:formatCode>
                <c:ptCount val="24"/>
                <c:pt idx="0">
                  <c:v>-2.9</c:v>
                </c:pt>
                <c:pt idx="1">
                  <c:v>-10.8</c:v>
                </c:pt>
                <c:pt idx="2">
                  <c:v>10.8</c:v>
                </c:pt>
                <c:pt idx="3">
                  <c:v>0.5</c:v>
                </c:pt>
                <c:pt idx="4">
                  <c:v>0.9</c:v>
                </c:pt>
                <c:pt idx="5">
                  <c:v>2.1</c:v>
                </c:pt>
                <c:pt idx="6">
                  <c:v>1.7</c:v>
                </c:pt>
                <c:pt idx="7" formatCode="#\ ##0.0">
                  <c:v>1</c:v>
                </c:pt>
                <c:pt idx="8">
                  <c:v>0.7</c:v>
                </c:pt>
                <c:pt idx="9">
                  <c:v>0.8</c:v>
                </c:pt>
                <c:pt idx="10">
                  <c:v>0.4</c:v>
                </c:pt>
                <c:pt idx="11">
                  <c:v>-0.2</c:v>
                </c:pt>
                <c:pt idx="12">
                  <c:v>0.1</c:v>
                </c:pt>
                <c:pt idx="13">
                  <c:v>0.1</c:v>
                </c:pt>
                <c:pt idx="14">
                  <c:v>0.1</c:v>
                </c:pt>
                <c:pt idx="15">
                  <c:v>0.1</c:v>
                </c:pt>
                <c:pt idx="16">
                  <c:v>0.4</c:v>
                </c:pt>
                <c:pt idx="17">
                  <c:v>0.3</c:v>
                </c:pt>
                <c:pt idx="18">
                  <c:v>0.4</c:v>
                </c:pt>
                <c:pt idx="19">
                  <c:v>0.5</c:v>
                </c:pt>
                <c:pt idx="20">
                  <c:v>0.5</c:v>
                </c:pt>
                <c:pt idx="21">
                  <c:v>0.3</c:v>
                </c:pt>
                <c:pt idx="22">
                  <c:v>0.4</c:v>
                </c:pt>
                <c:pt idx="23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B39-4205-A22D-1595D09E70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7753344"/>
        <c:axId val="267767808"/>
      </c:lineChart>
      <c:catAx>
        <c:axId val="267753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67767808"/>
        <c:crosses val="autoZero"/>
        <c:auto val="1"/>
        <c:lblAlgn val="ctr"/>
        <c:lblOffset val="100"/>
        <c:noMultiLvlLbl val="0"/>
      </c:catAx>
      <c:valAx>
        <c:axId val="267767808"/>
        <c:scaling>
          <c:orientation val="minMax"/>
          <c:max val="15"/>
          <c:min val="-15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67753344"/>
        <c:crosses val="autoZero"/>
        <c:crossBetween val="between"/>
        <c:majorUnit val="3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8431906450523471E-2"/>
          <c:y val="0.89437255125717996"/>
          <c:w val="0.91838441404930771"/>
          <c:h val="9.0301755758791014E-2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629137115839245E-2"/>
          <c:y val="2.8458510079622041E-2"/>
          <c:w val="0.93688386524822698"/>
          <c:h val="0.67476668918158278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'souhrnná výkonnost 3'!$F$5</c:f>
              <c:strCache>
                <c:ptCount val="1"/>
                <c:pt idx="0">
                  <c:v>Bilance zahraničního obchodu</c:v>
                </c:pt>
              </c:strCache>
            </c:strRef>
          </c:tx>
          <c:spPr>
            <a:solidFill>
              <a:srgbClr val="86BF5E"/>
            </a:solidFill>
            <a:ln>
              <a:noFill/>
            </a:ln>
          </c:spPr>
          <c:invertIfNegative val="0"/>
          <c:cat>
            <c:multiLvlStrRef>
              <c:f>'souhrnná výkonnost 3'!$A$14:$B$37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3'!$F$14:$F$37</c:f>
              <c:numCache>
                <c:formatCode>#\ ##0.0</c:formatCode>
                <c:ptCount val="24"/>
                <c:pt idx="0">
                  <c:v>-1.5220098818172303</c:v>
                </c:pt>
                <c:pt idx="1">
                  <c:v>-8.6080644896923371</c:v>
                </c:pt>
                <c:pt idx="2">
                  <c:v>-0.87113777913486379</c:v>
                </c:pt>
                <c:pt idx="3">
                  <c:v>1.614021737138305</c:v>
                </c:pt>
                <c:pt idx="4">
                  <c:v>1.00806823267428</c:v>
                </c:pt>
                <c:pt idx="5">
                  <c:v>6.0445409199098634</c:v>
                </c:pt>
                <c:pt idx="6">
                  <c:v>-3.6147534072472292</c:v>
                </c:pt>
                <c:pt idx="7">
                  <c:v>-3.6138200235464661</c:v>
                </c:pt>
                <c:pt idx="8">
                  <c:v>-1.7829602338092709</c:v>
                </c:pt>
                <c:pt idx="9">
                  <c:v>-0.36779214215191103</c:v>
                </c:pt>
                <c:pt idx="10">
                  <c:v>3.4250247402899241</c:v>
                </c:pt>
                <c:pt idx="11">
                  <c:v>1.5571662732257714</c:v>
                </c:pt>
                <c:pt idx="12">
                  <c:v>1.389081636710952</c:v>
                </c:pt>
                <c:pt idx="13">
                  <c:v>2.0848251500495598</c:v>
                </c:pt>
                <c:pt idx="14">
                  <c:v>-6.9193170333818277E-2</c:v>
                </c:pt>
                <c:pt idx="15">
                  <c:v>1.9371733646297469</c:v>
                </c:pt>
                <c:pt idx="16">
                  <c:v>1.3656021569064456</c:v>
                </c:pt>
                <c:pt idx="17">
                  <c:v>0.55718364150554223</c:v>
                </c:pt>
                <c:pt idx="18">
                  <c:v>0.70240933543370643</c:v>
                </c:pt>
                <c:pt idx="19">
                  <c:v>-0.99272856503726026</c:v>
                </c:pt>
                <c:pt idx="20">
                  <c:v>-1.7593788662101151E-2</c:v>
                </c:pt>
                <c:pt idx="21">
                  <c:v>-0.37568878287551799</c:v>
                </c:pt>
                <c:pt idx="22">
                  <c:v>0.22560583536934153</c:v>
                </c:pt>
                <c:pt idx="23">
                  <c:v>0.67080215712061486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15-4CA0-BD0C-1E09AFBFF356}"/>
            </c:ext>
          </c:extLst>
        </c:ser>
        <c:ser>
          <c:idx val="2"/>
          <c:order val="2"/>
          <c:tx>
            <c:strRef>
              <c:f>'souhrnná výkonnost 3'!$H$5</c:f>
              <c:strCache>
                <c:ptCount val="1"/>
                <c:pt idx="0">
                  <c:v>Změna zásob</c:v>
                </c:pt>
              </c:strCache>
            </c:strRef>
          </c:tx>
          <c:spPr>
            <a:solidFill>
              <a:srgbClr val="D8A7B7"/>
            </a:solidFill>
            <a:ln>
              <a:noFill/>
            </a:ln>
          </c:spPr>
          <c:invertIfNegative val="0"/>
          <c:cat>
            <c:multiLvlStrRef>
              <c:f>'souhrnná výkonnost 3'!$A$14:$B$37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3'!$H$14:$H$37</c:f>
              <c:numCache>
                <c:formatCode>#\ ##0.0</c:formatCode>
                <c:ptCount val="24"/>
                <c:pt idx="0">
                  <c:v>-0.41142612595158018</c:v>
                </c:pt>
                <c:pt idx="1">
                  <c:v>0.47087204680237044</c:v>
                </c:pt>
                <c:pt idx="2">
                  <c:v>-1.2262407779150233</c:v>
                </c:pt>
                <c:pt idx="3">
                  <c:v>-2.1516080620905655</c:v>
                </c:pt>
                <c:pt idx="4">
                  <c:v>0.31270763257798917</c:v>
                </c:pt>
                <c:pt idx="5">
                  <c:v>0.61650741218595939</c:v>
                </c:pt>
                <c:pt idx="6">
                  <c:v>2.6077548225619727</c:v>
                </c:pt>
                <c:pt idx="7">
                  <c:v>1.4587483911788564</c:v>
                </c:pt>
                <c:pt idx="8">
                  <c:v>0.7370032046500693</c:v>
                </c:pt>
                <c:pt idx="9">
                  <c:v>1.6997333429922492</c:v>
                </c:pt>
                <c:pt idx="10">
                  <c:v>-0.76175295397537413</c:v>
                </c:pt>
                <c:pt idx="11">
                  <c:v>0.95369117492959898</c:v>
                </c:pt>
                <c:pt idx="12">
                  <c:v>0.47915445264561807</c:v>
                </c:pt>
                <c:pt idx="13">
                  <c:v>-1.4971510065677742</c:v>
                </c:pt>
                <c:pt idx="14">
                  <c:v>-0.50712143488440276</c:v>
                </c:pt>
                <c:pt idx="15">
                  <c:v>-3.4417223821981748</c:v>
                </c:pt>
                <c:pt idx="16">
                  <c:v>-2.7592900025370692</c:v>
                </c:pt>
                <c:pt idx="17">
                  <c:v>-0.69852262297165268</c:v>
                </c:pt>
                <c:pt idx="18">
                  <c:v>0.16687464100094435</c:v>
                </c:pt>
                <c:pt idx="19">
                  <c:v>2.62714578191486</c:v>
                </c:pt>
                <c:pt idx="20">
                  <c:v>1.8936486449738312</c:v>
                </c:pt>
                <c:pt idx="21">
                  <c:v>1.2072690642491575</c:v>
                </c:pt>
                <c:pt idx="22">
                  <c:v>0.41112719795444386</c:v>
                </c:pt>
                <c:pt idx="23">
                  <c:v>-0.96493077823615525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15-4CA0-BD0C-1E09AFBFF356}"/>
            </c:ext>
          </c:extLst>
        </c:ser>
        <c:ser>
          <c:idx val="3"/>
          <c:order val="3"/>
          <c:tx>
            <c:strRef>
              <c:f>'souhrnná výkonnost 3'!$G$5</c:f>
              <c:strCache>
                <c:ptCount val="1"/>
                <c:pt idx="0">
                  <c:v>Tvorba hrubého fixního kapitálu</c:v>
                </c:pt>
              </c:strCache>
            </c:strRef>
          </c:tx>
          <c:spPr>
            <a:solidFill>
              <a:srgbClr val="BC5B80"/>
            </a:solidFill>
            <a:ln>
              <a:noFill/>
            </a:ln>
          </c:spPr>
          <c:invertIfNegative val="0"/>
          <c:cat>
            <c:multiLvlStrRef>
              <c:f>'souhrnná výkonnost 3'!$A$14:$B$37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3'!$G$14:$G$37</c:f>
              <c:numCache>
                <c:formatCode>#\ ##0.0</c:formatCode>
                <c:ptCount val="24"/>
                <c:pt idx="0">
                  <c:v>-0.26700598408244552</c:v>
                </c:pt>
                <c:pt idx="1">
                  <c:v>0.17117214561128005</c:v>
                </c:pt>
                <c:pt idx="2">
                  <c:v>-1.0835608783889494</c:v>
                </c:pt>
                <c:pt idx="3">
                  <c:v>-1.2503151391513465</c:v>
                </c:pt>
                <c:pt idx="4">
                  <c:v>0.19329716710704048</c:v>
                </c:pt>
                <c:pt idx="5">
                  <c:v>4.4129877412921126E-2</c:v>
                </c:pt>
                <c:pt idx="6">
                  <c:v>1.9442632515958205</c:v>
                </c:pt>
                <c:pt idx="7">
                  <c:v>2.0044020268363827</c:v>
                </c:pt>
                <c:pt idx="8">
                  <c:v>2.0518449819968736</c:v>
                </c:pt>
                <c:pt idx="9">
                  <c:v>1.4499382287130853</c:v>
                </c:pt>
                <c:pt idx="10">
                  <c:v>0.92691645618860796</c:v>
                </c:pt>
                <c:pt idx="11">
                  <c:v>0.8739358711392371</c:v>
                </c:pt>
                <c:pt idx="12">
                  <c:v>0.34095431774632395</c:v>
                </c:pt>
                <c:pt idx="13">
                  <c:v>0.87661322433525268</c:v>
                </c:pt>
                <c:pt idx="14">
                  <c:v>0.8151154367611948</c:v>
                </c:pt>
                <c:pt idx="15">
                  <c:v>0.96102158219447764</c:v>
                </c:pt>
                <c:pt idx="16">
                  <c:v>0.30346748665372919</c:v>
                </c:pt>
                <c:pt idx="17">
                  <c:v>-0.48069417125986957</c:v>
                </c:pt>
                <c:pt idx="18">
                  <c:v>-0.87280673126229236</c:v>
                </c:pt>
                <c:pt idx="19">
                  <c:v>-1.332707794600857</c:v>
                </c:pt>
                <c:pt idx="20">
                  <c:v>-0.50752902708722225</c:v>
                </c:pt>
                <c:pt idx="21">
                  <c:v>8.7079348973971321E-2</c:v>
                </c:pt>
                <c:pt idx="22">
                  <c:v>0.58656405454890914</c:v>
                </c:pt>
                <c:pt idx="23">
                  <c:v>1.1914367699610569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15-4CA0-BD0C-1E09AFBFF356}"/>
            </c:ext>
          </c:extLst>
        </c:ser>
        <c:ser>
          <c:idx val="5"/>
          <c:order val="4"/>
          <c:tx>
            <c:strRef>
              <c:f>'souhrnná výkonnost 3'!$D$5</c:f>
              <c:strCache>
                <c:ptCount val="1"/>
                <c:pt idx="0">
                  <c:v>Výdaje na konečnou spotřebu domácností (vč. nezisk. inst.)</c:v>
                </c:pt>
              </c:strCache>
            </c:strRef>
          </c:tx>
          <c:spPr>
            <a:solidFill>
              <a:srgbClr val="009CB5"/>
            </a:solidFill>
            <a:ln>
              <a:noFill/>
            </a:ln>
          </c:spPr>
          <c:invertIfNegative val="0"/>
          <c:cat>
            <c:multiLvlStrRef>
              <c:f>'souhrnná výkonnost 3'!$A$14:$B$37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3'!$D$14:$D$37</c:f>
              <c:numCache>
                <c:formatCode>#\ ##0.0</c:formatCode>
                <c:ptCount val="24"/>
                <c:pt idx="0">
                  <c:v>-0.20652462785548492</c:v>
                </c:pt>
                <c:pt idx="1">
                  <c:v>-3.1846278495284714</c:v>
                </c:pt>
                <c:pt idx="2">
                  <c:v>-1.7932936482460928</c:v>
                </c:pt>
                <c:pt idx="3">
                  <c:v>-4.1601529367988528</c:v>
                </c:pt>
                <c:pt idx="4">
                  <c:v>-2.7114582495040898</c:v>
                </c:pt>
                <c:pt idx="5">
                  <c:v>3.0643008969551713</c:v>
                </c:pt>
                <c:pt idx="6">
                  <c:v>1.9670161927809442</c:v>
                </c:pt>
                <c:pt idx="7">
                  <c:v>3.8180993600086053</c:v>
                </c:pt>
                <c:pt idx="8">
                  <c:v>3.31386782283117</c:v>
                </c:pt>
                <c:pt idx="9">
                  <c:v>0.16881001369198514</c:v>
                </c:pt>
                <c:pt idx="10">
                  <c:v>-1.3101813511687193</c:v>
                </c:pt>
                <c:pt idx="11">
                  <c:v>-2.089708487125038</c:v>
                </c:pt>
                <c:pt idx="12">
                  <c:v>-2.6013321896959831</c:v>
                </c:pt>
                <c:pt idx="13">
                  <c:v>-1.7057384010523833</c:v>
                </c:pt>
                <c:pt idx="14">
                  <c:v>-1.1009050834144585</c:v>
                </c:pt>
                <c:pt idx="15">
                  <c:v>0.28178742175377886</c:v>
                </c:pt>
                <c:pt idx="16">
                  <c:v>1.0137894571059509</c:v>
                </c:pt>
                <c:pt idx="17">
                  <c:v>0.32301326056167923</c:v>
                </c:pt>
                <c:pt idx="18">
                  <c:v>0.74204257138144858</c:v>
                </c:pt>
                <c:pt idx="19">
                  <c:v>0.97184134487184903</c:v>
                </c:pt>
                <c:pt idx="20">
                  <c:v>0.70181007938438944</c:v>
                </c:pt>
                <c:pt idx="21">
                  <c:v>1.2324382827855747</c:v>
                </c:pt>
                <c:pt idx="22">
                  <c:v>1.1283868796699228</c:v>
                </c:pt>
                <c:pt idx="23">
                  <c:v>1.140433516521199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C15-4CA0-BD0C-1E09AFBFF356}"/>
            </c:ext>
          </c:extLst>
        </c:ser>
        <c:ser>
          <c:idx val="4"/>
          <c:order val="5"/>
          <c:tx>
            <c:strRef>
              <c:f>'souhrnná výkonnost 3'!$E$5</c:f>
              <c:strCache>
                <c:ptCount val="1"/>
                <c:pt idx="0">
                  <c:v>Výdaje na konečnou spotřebu vládních institucí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</c:spPr>
          <c:invertIfNegative val="0"/>
          <c:cat>
            <c:multiLvlStrRef>
              <c:f>'souhrnná výkonnost 3'!$A$14:$B$37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3'!$E$14:$E$37</c:f>
              <c:numCache>
                <c:formatCode>#\ ##0.0</c:formatCode>
                <c:ptCount val="24"/>
                <c:pt idx="0">
                  <c:v>0.86512840343977537</c:v>
                </c:pt>
                <c:pt idx="1">
                  <c:v>0.57364238954899127</c:v>
                </c:pt>
                <c:pt idx="2">
                  <c:v>0.30782450653884724</c:v>
                </c:pt>
                <c:pt idx="3">
                  <c:v>1.4124984433188399</c:v>
                </c:pt>
                <c:pt idx="4">
                  <c:v>-0.11329209027996652</c:v>
                </c:pt>
                <c:pt idx="5">
                  <c:v>-7.0904860317901872E-2</c:v>
                </c:pt>
                <c:pt idx="6">
                  <c:v>0.99024135484615394</c:v>
                </c:pt>
                <c:pt idx="7">
                  <c:v>8.7306640760843102E-2</c:v>
                </c:pt>
                <c:pt idx="8">
                  <c:v>0.39862222919793239</c:v>
                </c:pt>
                <c:pt idx="9">
                  <c:v>0.55855858849053874</c:v>
                </c:pt>
                <c:pt idx="10">
                  <c:v>-0.333976366812193</c:v>
                </c:pt>
                <c:pt idx="11">
                  <c:v>-0.31055874129171235</c:v>
                </c:pt>
                <c:pt idx="12">
                  <c:v>0.59888687487615944</c:v>
                </c:pt>
                <c:pt idx="13">
                  <c:v>0.46547224810803889</c:v>
                </c:pt>
                <c:pt idx="14">
                  <c:v>0.57996402837612049</c:v>
                </c:pt>
                <c:pt idx="15">
                  <c:v>0.62077939777900504</c:v>
                </c:pt>
                <c:pt idx="16">
                  <c:v>0.4976218135363028</c:v>
                </c:pt>
                <c:pt idx="17">
                  <c:v>0.71118296182321328</c:v>
                </c:pt>
                <c:pt idx="18">
                  <c:v>0.64263920955276566</c:v>
                </c:pt>
                <c:pt idx="19">
                  <c:v>0.61804008890538431</c:v>
                </c:pt>
                <c:pt idx="20">
                  <c:v>0.33913099174035255</c:v>
                </c:pt>
                <c:pt idx="21">
                  <c:v>0.41279419041996912</c:v>
                </c:pt>
                <c:pt idx="22">
                  <c:v>0.40700528769182204</c:v>
                </c:pt>
                <c:pt idx="23">
                  <c:v>0.47708380893619212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C15-4CA0-BD0C-1E09AFBFF3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overlap val="100"/>
        <c:axId val="267591040"/>
        <c:axId val="267605120"/>
      </c:barChart>
      <c:lineChart>
        <c:grouping val="standard"/>
        <c:varyColors val="0"/>
        <c:ser>
          <c:idx val="0"/>
          <c:order val="0"/>
          <c:tx>
            <c:strRef>
              <c:f>'souhrnná výkonnost 3'!$C$5</c:f>
              <c:strCache>
                <c:ptCount val="1"/>
                <c:pt idx="0">
                  <c:v>HDP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'souhrnná výkonnost 3'!$A$14:$B$37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3'!$C$14:$C$37</c:f>
              <c:numCache>
                <c:formatCode>#\ ##0.0</c:formatCode>
                <c:ptCount val="24"/>
                <c:pt idx="0">
                  <c:v>-1.5351860152398018</c:v>
                </c:pt>
                <c:pt idx="1">
                  <c:v>-10.559588208597859</c:v>
                </c:pt>
                <c:pt idx="2">
                  <c:v>-4.6693672774553789</c:v>
                </c:pt>
                <c:pt idx="3">
                  <c:v>-4.5192220435162938</c:v>
                </c:pt>
                <c:pt idx="4">
                  <c:v>-1.2664242830816619</c:v>
                </c:pt>
                <c:pt idx="5">
                  <c:v>9.7297344586924766</c:v>
                </c:pt>
                <c:pt idx="6">
                  <c:v>3.996179947304455</c:v>
                </c:pt>
                <c:pt idx="7">
                  <c:v>3.9239119810993373</c:v>
                </c:pt>
                <c:pt idx="8">
                  <c:v>4.8491184646536567</c:v>
                </c:pt>
                <c:pt idx="9">
                  <c:v>3.6598013831556528</c:v>
                </c:pt>
                <c:pt idx="10">
                  <c:v>2.0291770951442913</c:v>
                </c:pt>
                <c:pt idx="11">
                  <c:v>0.95170578002515072</c:v>
                </c:pt>
                <c:pt idx="12">
                  <c:v>0.26249013974401691</c:v>
                </c:pt>
                <c:pt idx="13">
                  <c:v>0.21779356784705328</c:v>
                </c:pt>
                <c:pt idx="14">
                  <c:v>-0.28185838328641921</c:v>
                </c:pt>
                <c:pt idx="15">
                  <c:v>0.48630488598595889</c:v>
                </c:pt>
                <c:pt idx="16">
                  <c:v>0.50109966208633239</c:v>
                </c:pt>
                <c:pt idx="17">
                  <c:v>0.53792839687616834</c:v>
                </c:pt>
                <c:pt idx="18">
                  <c:v>1.5167593336196603</c:v>
                </c:pt>
                <c:pt idx="19">
                  <c:v>1.9540920716112566</c:v>
                </c:pt>
                <c:pt idx="20">
                  <c:v>2.4336713698293693</c:v>
                </c:pt>
                <c:pt idx="21">
                  <c:v>2.5963071293802358</c:v>
                </c:pt>
                <c:pt idx="22">
                  <c:v>2.7833074905334314</c:v>
                </c:pt>
                <c:pt idx="23">
                  <c:v>2.5575048195052972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C15-4CA0-BD0C-1E09AFBFF3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7591040"/>
        <c:axId val="267605120"/>
      </c:lineChart>
      <c:catAx>
        <c:axId val="267591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67605120"/>
        <c:crosses val="autoZero"/>
        <c:auto val="1"/>
        <c:lblAlgn val="ctr"/>
        <c:lblOffset val="100"/>
        <c:noMultiLvlLbl val="0"/>
      </c:catAx>
      <c:valAx>
        <c:axId val="267605120"/>
        <c:scaling>
          <c:orientation val="minMax"/>
          <c:max val="10"/>
          <c:min val="-12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67591040"/>
        <c:crosses val="autoZero"/>
        <c:crossBetween val="between"/>
        <c:majorUnit val="2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4.7571766295170556E-2"/>
          <c:y val="0.81445992344928519"/>
          <c:w val="0.94432624113475194"/>
          <c:h val="0.17481734774287963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126857480580882E-2"/>
          <c:y val="2.9499886988623526E-2"/>
          <c:w val="0.9260266801756164"/>
          <c:h val="0.63445260610154264"/>
        </c:manualLayout>
      </c:layout>
      <c:barChart>
        <c:barDir val="col"/>
        <c:grouping val="stacked"/>
        <c:varyColors val="0"/>
        <c:ser>
          <c:idx val="4"/>
          <c:order val="0"/>
          <c:tx>
            <c:strRef>
              <c:f>'souhrnná výkonnost 4'!$C$5</c:f>
              <c:strCache>
                <c:ptCount val="1"/>
                <c:pt idx="0">
                  <c:v>Zemědělství, lesnictví a rybářství</c:v>
                </c:pt>
              </c:strCache>
            </c:strRef>
          </c:tx>
          <c:spPr>
            <a:solidFill>
              <a:srgbClr val="86BF5E"/>
            </a:solidFill>
            <a:ln>
              <a:noFill/>
            </a:ln>
          </c:spPr>
          <c:invertIfNegative val="0"/>
          <c:val>
            <c:numRef>
              <c:f>'souhrnná výkonnost 4'!$C$14:$C$37</c:f>
              <c:numCache>
                <c:formatCode>#\ ##0.0</c:formatCode>
                <c:ptCount val="24"/>
                <c:pt idx="0">
                  <c:v>0.20474410757490741</c:v>
                </c:pt>
                <c:pt idx="1">
                  <c:v>0.18193909338973391</c:v>
                </c:pt>
                <c:pt idx="2">
                  <c:v>0.12986799571839833</c:v>
                </c:pt>
                <c:pt idx="3">
                  <c:v>6.0774672253045774E-2</c:v>
                </c:pt>
                <c:pt idx="4">
                  <c:v>-0.21896810900573507</c:v>
                </c:pt>
                <c:pt idx="5">
                  <c:v>-0.35546246774022089</c:v>
                </c:pt>
                <c:pt idx="6">
                  <c:v>-0.31345773827216172</c:v>
                </c:pt>
                <c:pt idx="7">
                  <c:v>-0.28221462677607811</c:v>
                </c:pt>
                <c:pt idx="8">
                  <c:v>-2.7607081723218754E-2</c:v>
                </c:pt>
                <c:pt idx="9">
                  <c:v>8.8416510484459823E-2</c:v>
                </c:pt>
                <c:pt idx="10">
                  <c:v>0.11003669694477575</c:v>
                </c:pt>
                <c:pt idx="11">
                  <c:v>-7.1734601521123695E-2</c:v>
                </c:pt>
                <c:pt idx="12">
                  <c:v>0.55251546503756477</c:v>
                </c:pt>
                <c:pt idx="13">
                  <c:v>0.43246198901845179</c:v>
                </c:pt>
                <c:pt idx="14">
                  <c:v>0.26031798923309352</c:v>
                </c:pt>
                <c:pt idx="15">
                  <c:v>0.57187060565368231</c:v>
                </c:pt>
                <c:pt idx="16">
                  <c:v>-9.2484293084104385E-2</c:v>
                </c:pt>
                <c:pt idx="17">
                  <c:v>1.5763907422232673E-2</c:v>
                </c:pt>
                <c:pt idx="18">
                  <c:v>0.16060866097379706</c:v>
                </c:pt>
                <c:pt idx="19">
                  <c:v>4.0801953905620608E-2</c:v>
                </c:pt>
                <c:pt idx="20">
                  <c:v>6.6142073173369412E-2</c:v>
                </c:pt>
                <c:pt idx="21">
                  <c:v>6.9252296314730344E-2</c:v>
                </c:pt>
                <c:pt idx="22">
                  <c:v>7.5663251456639199E-2</c:v>
                </c:pt>
                <c:pt idx="23">
                  <c:v>7.6138284642775167E-2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22-4EF0-A1C7-C5CAF3C0DF41}"/>
            </c:ext>
          </c:extLst>
        </c:ser>
        <c:ser>
          <c:idx val="3"/>
          <c:order val="1"/>
          <c:tx>
            <c:strRef>
              <c:f>'souhrnná výkonnost 4'!$D$5</c:f>
              <c:strCache>
                <c:ptCount val="1"/>
                <c:pt idx="0">
                  <c:v>Zpracovatelský průmysl (CZ-NACE C)</c:v>
                </c:pt>
              </c:strCache>
            </c:strRef>
          </c:tx>
          <c:spPr>
            <a:solidFill>
              <a:srgbClr val="009CB5"/>
            </a:solidFill>
            <a:ln>
              <a:noFill/>
            </a:ln>
          </c:spPr>
          <c:invertIfNegative val="0"/>
          <c:val>
            <c:numRef>
              <c:f>'souhrnná výkonnost 4'!$D$14:$D$37</c:f>
              <c:numCache>
                <c:formatCode>#\ ##0.0</c:formatCode>
                <c:ptCount val="24"/>
                <c:pt idx="0">
                  <c:v>-0.99913036972300806</c:v>
                </c:pt>
                <c:pt idx="1">
                  <c:v>-5.8646555137341574</c:v>
                </c:pt>
                <c:pt idx="2">
                  <c:v>-2.1534841805298068</c:v>
                </c:pt>
                <c:pt idx="3">
                  <c:v>-1.5540721517892744</c:v>
                </c:pt>
                <c:pt idx="4">
                  <c:v>-0.79750382840225398</c:v>
                </c:pt>
                <c:pt idx="5">
                  <c:v>3.9909379237888789</c:v>
                </c:pt>
                <c:pt idx="6">
                  <c:v>-0.74858711455149796</c:v>
                </c:pt>
                <c:pt idx="7">
                  <c:v>-0.90527326488749837</c:v>
                </c:pt>
                <c:pt idx="8">
                  <c:v>0.68544605235729006</c:v>
                </c:pt>
                <c:pt idx="9">
                  <c:v>1.6014259985527444</c:v>
                </c:pt>
                <c:pt idx="10">
                  <c:v>2.2123375450016312</c:v>
                </c:pt>
                <c:pt idx="11">
                  <c:v>2.6313203520667794</c:v>
                </c:pt>
                <c:pt idx="12">
                  <c:v>1.6312980907507209</c:v>
                </c:pt>
                <c:pt idx="13">
                  <c:v>1.105966757109025</c:v>
                </c:pt>
                <c:pt idx="14">
                  <c:v>0.58899302624669825</c:v>
                </c:pt>
                <c:pt idx="15">
                  <c:v>0.50026396716330868</c:v>
                </c:pt>
                <c:pt idx="16">
                  <c:v>-0.97314885656961803</c:v>
                </c:pt>
                <c:pt idx="17">
                  <c:v>-1.3133220466188547</c:v>
                </c:pt>
                <c:pt idx="18">
                  <c:v>-0.73770683474410603</c:v>
                </c:pt>
                <c:pt idx="19">
                  <c:v>-1.0591488873237926</c:v>
                </c:pt>
                <c:pt idx="20">
                  <c:v>0.10619860832019534</c:v>
                </c:pt>
                <c:pt idx="21">
                  <c:v>0.39309904501994147</c:v>
                </c:pt>
                <c:pt idx="22">
                  <c:v>8.9567423934869259E-2</c:v>
                </c:pt>
                <c:pt idx="23">
                  <c:v>0.53564923901138273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22-4EF0-A1C7-C5CAF3C0DF41}"/>
            </c:ext>
          </c:extLst>
        </c:ser>
        <c:ser>
          <c:idx val="2"/>
          <c:order val="2"/>
          <c:tx>
            <c:strRef>
              <c:f>'souhrnná výkonnost 4'!$E$5</c:f>
              <c:strCache>
                <c:ptCount val="1"/>
                <c:pt idx="0">
                  <c:v>Ostatní průmyslová odvětví (CZ-NACE B, D, E)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</c:spPr>
          <c:invertIfNegative val="0"/>
          <c:val>
            <c:numRef>
              <c:f>'souhrnná výkonnost 4'!$E$14:$E$37</c:f>
              <c:numCache>
                <c:formatCode>#\ ##0.0</c:formatCode>
                <c:ptCount val="24"/>
                <c:pt idx="0">
                  <c:v>-0.19031586783510557</c:v>
                </c:pt>
                <c:pt idx="1">
                  <c:v>-0.24885055868865447</c:v>
                </c:pt>
                <c:pt idx="2">
                  <c:v>-6.8100757785281907E-2</c:v>
                </c:pt>
                <c:pt idx="3">
                  <c:v>8.6873524737786978E-2</c:v>
                </c:pt>
                <c:pt idx="4">
                  <c:v>0.37090166603725971</c:v>
                </c:pt>
                <c:pt idx="5">
                  <c:v>0.43449287266447101</c:v>
                </c:pt>
                <c:pt idx="6">
                  <c:v>0.30466221362414897</c:v>
                </c:pt>
                <c:pt idx="7">
                  <c:v>1.7094673925321713E-2</c:v>
                </c:pt>
                <c:pt idx="8">
                  <c:v>-0.49498548983118773</c:v>
                </c:pt>
                <c:pt idx="9">
                  <c:v>-0.36703909153071357</c:v>
                </c:pt>
                <c:pt idx="10">
                  <c:v>-0.58289817942589317</c:v>
                </c:pt>
                <c:pt idx="11">
                  <c:v>-0.85284564576950173</c:v>
                </c:pt>
                <c:pt idx="12">
                  <c:v>-0.72089004231394793</c:v>
                </c:pt>
                <c:pt idx="13">
                  <c:v>-0.9587984772254694</c:v>
                </c:pt>
                <c:pt idx="14">
                  <c:v>-0.86317511484719223</c:v>
                </c:pt>
                <c:pt idx="15">
                  <c:v>-0.50223553688522504</c:v>
                </c:pt>
                <c:pt idx="16">
                  <c:v>-7.7240003452301531E-2</c:v>
                </c:pt>
                <c:pt idx="17">
                  <c:v>0.12703981604473547</c:v>
                </c:pt>
                <c:pt idx="18">
                  <c:v>0.25583372727332165</c:v>
                </c:pt>
                <c:pt idx="19">
                  <c:v>0.18500163447617468</c:v>
                </c:pt>
                <c:pt idx="20">
                  <c:v>0.14122285837562884</c:v>
                </c:pt>
                <c:pt idx="21">
                  <c:v>0.19424883401953347</c:v>
                </c:pt>
                <c:pt idx="22">
                  <c:v>0.10605257367440112</c:v>
                </c:pt>
                <c:pt idx="23">
                  <c:v>3.915439334887405E-2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22-4EF0-A1C7-C5CAF3C0DF41}"/>
            </c:ext>
          </c:extLst>
        </c:ser>
        <c:ser>
          <c:idx val="1"/>
          <c:order val="3"/>
          <c:tx>
            <c:strRef>
              <c:f>'souhrnná výkonnost 4'!$F$5</c:f>
              <c:strCache>
                <c:ptCount val="1"/>
                <c:pt idx="0">
                  <c:v>Stavebnictví</c:v>
                </c:pt>
              </c:strCache>
            </c:strRef>
          </c:tx>
          <c:spPr>
            <a:solidFill>
              <a:srgbClr val="174F70"/>
            </a:solidFill>
            <a:ln>
              <a:noFill/>
            </a:ln>
          </c:spPr>
          <c:invertIfNegative val="0"/>
          <c:val>
            <c:numRef>
              <c:f>'souhrnná výkonnost 4'!$F$14:$F$37</c:f>
              <c:numCache>
                <c:formatCode>#\ ##0.0</c:formatCode>
                <c:ptCount val="24"/>
                <c:pt idx="0">
                  <c:v>-0.30166772298617284</c:v>
                </c:pt>
                <c:pt idx="1">
                  <c:v>-0.48053456061289057</c:v>
                </c:pt>
                <c:pt idx="2">
                  <c:v>-0.45378387986882363</c:v>
                </c:pt>
                <c:pt idx="3">
                  <c:v>-0.43586476428987242</c:v>
                </c:pt>
                <c:pt idx="4">
                  <c:v>-0.33833459958051637</c:v>
                </c:pt>
                <c:pt idx="5">
                  <c:v>-6.4883402484855884E-2</c:v>
                </c:pt>
                <c:pt idx="6">
                  <c:v>-5.6735775192007655E-2</c:v>
                </c:pt>
                <c:pt idx="7">
                  <c:v>-0.11209281400825521</c:v>
                </c:pt>
                <c:pt idx="8">
                  <c:v>-0.10546033608204923</c:v>
                </c:pt>
                <c:pt idx="9">
                  <c:v>-0.29054660345106559</c:v>
                </c:pt>
                <c:pt idx="10">
                  <c:v>-0.451821017159387</c:v>
                </c:pt>
                <c:pt idx="11">
                  <c:v>-0.32901397344166938</c:v>
                </c:pt>
                <c:pt idx="12">
                  <c:v>-0.13840591105504113</c:v>
                </c:pt>
                <c:pt idx="13">
                  <c:v>-1.2903984714601602E-2</c:v>
                </c:pt>
                <c:pt idx="14">
                  <c:v>0.1616031723963629</c:v>
                </c:pt>
                <c:pt idx="15">
                  <c:v>3.5760466298751591E-2</c:v>
                </c:pt>
                <c:pt idx="16">
                  <c:v>3.2788154642874101E-2</c:v>
                </c:pt>
                <c:pt idx="17">
                  <c:v>2.0320941881718829E-2</c:v>
                </c:pt>
                <c:pt idx="18">
                  <c:v>2.2792210802845641E-2</c:v>
                </c:pt>
                <c:pt idx="19">
                  <c:v>0.12360584964670659</c:v>
                </c:pt>
                <c:pt idx="20">
                  <c:v>0.26578753913466358</c:v>
                </c:pt>
                <c:pt idx="21">
                  <c:v>0.3825604512050701</c:v>
                </c:pt>
                <c:pt idx="22">
                  <c:v>0.55363100581088176</c:v>
                </c:pt>
                <c:pt idx="23">
                  <c:v>0.3116678757757167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622-4EF0-A1C7-C5CAF3C0DF41}"/>
            </c:ext>
          </c:extLst>
        </c:ser>
        <c:ser>
          <c:idx val="0"/>
          <c:order val="4"/>
          <c:tx>
            <c:strRef>
              <c:f>'souhrnná výkonnost 4'!$G$5</c:f>
              <c:strCache>
                <c:ptCount val="1"/>
                <c:pt idx="0">
                  <c:v>Služby (CZ-NACE G až U)</c:v>
                </c:pt>
              </c:strCache>
            </c:strRef>
          </c:tx>
          <c:spPr>
            <a:solidFill>
              <a:srgbClr val="BC5B80"/>
            </a:solidFill>
            <a:ln>
              <a:noFill/>
            </a:ln>
          </c:spPr>
          <c:invertIfNegative val="0"/>
          <c:val>
            <c:numRef>
              <c:f>'souhrnná výkonnost 4'!$G$14:$G$37</c:f>
              <c:numCache>
                <c:formatCode>#\ ##0.0</c:formatCode>
                <c:ptCount val="24"/>
                <c:pt idx="0">
                  <c:v>7.093155569492321E-2</c:v>
                </c:pt>
                <c:pt idx="1">
                  <c:v>-4.3045407242818117</c:v>
                </c:pt>
                <c:pt idx="2">
                  <c:v>-1.7237030445478896</c:v>
                </c:pt>
                <c:pt idx="3">
                  <c:v>-2.2257304528365829</c:v>
                </c:pt>
                <c:pt idx="4">
                  <c:v>-0.13287358134730987</c:v>
                </c:pt>
                <c:pt idx="5">
                  <c:v>6.0094667700580624</c:v>
                </c:pt>
                <c:pt idx="6">
                  <c:v>4.4583427477661246</c:v>
                </c:pt>
                <c:pt idx="7">
                  <c:v>4.7441380023749824</c:v>
                </c:pt>
                <c:pt idx="8">
                  <c:v>4.2794753272124808</c:v>
                </c:pt>
                <c:pt idx="9">
                  <c:v>2.6644708506253814</c:v>
                </c:pt>
                <c:pt idx="10">
                  <c:v>0.75291420064175929</c:v>
                </c:pt>
                <c:pt idx="11">
                  <c:v>0.24070555003152422</c:v>
                </c:pt>
                <c:pt idx="12">
                  <c:v>0.21267121835186337</c:v>
                </c:pt>
                <c:pt idx="13">
                  <c:v>9.5064594177366207E-2</c:v>
                </c:pt>
                <c:pt idx="14">
                  <c:v>0.17753332068364941</c:v>
                </c:pt>
                <c:pt idx="15">
                  <c:v>-0.33669513337032031</c:v>
                </c:pt>
                <c:pt idx="16">
                  <c:v>0.5628897258482618</c:v>
                </c:pt>
                <c:pt idx="17">
                  <c:v>1.1508415136414849</c:v>
                </c:pt>
                <c:pt idx="18">
                  <c:v>1.3525782035243568</c:v>
                </c:pt>
                <c:pt idx="19">
                  <c:v>2.1230818104608744</c:v>
                </c:pt>
                <c:pt idx="20">
                  <c:v>2.0898613930157879</c:v>
                </c:pt>
                <c:pt idx="21">
                  <c:v>1.7582549561810406</c:v>
                </c:pt>
                <c:pt idx="22">
                  <c:v>2.0498560627420264</c:v>
                </c:pt>
                <c:pt idx="23">
                  <c:v>1.8134045628609765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22-4EF0-A1C7-C5CAF3C0DF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100"/>
        <c:axId val="269005952"/>
        <c:axId val="269007488"/>
      </c:barChart>
      <c:lineChart>
        <c:grouping val="standard"/>
        <c:varyColors val="0"/>
        <c:ser>
          <c:idx val="5"/>
          <c:order val="5"/>
          <c:tx>
            <c:strRef>
              <c:f>'souhrnná výkonnost 4'!$H$5</c:f>
              <c:strCache>
                <c:ptCount val="1"/>
                <c:pt idx="0">
                  <c:v>Hrubá přidaná hodnota celkem</c:v>
                </c:pt>
              </c:strCache>
            </c:strRef>
          </c:tx>
          <c:spPr>
            <a:ln w="1905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'souhrnná výkonnost 4'!$A$14:$B$37</c:f>
              <c:multiLvlStrCache>
                <c:ptCount val="2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4'!$H$14:$H$37</c:f>
              <c:numCache>
                <c:formatCode>#\ ##0.0</c:formatCode>
                <c:ptCount val="24"/>
                <c:pt idx="0">
                  <c:v>-1.2153058513710135</c:v>
                </c:pt>
                <c:pt idx="1">
                  <c:v>-10.716443173048049</c:v>
                </c:pt>
                <c:pt idx="2">
                  <c:v>-4.2693530438049407</c:v>
                </c:pt>
                <c:pt idx="3">
                  <c:v>-4.0682252377118857</c:v>
                </c:pt>
                <c:pt idx="4">
                  <c:v>-1.1167681102123339</c:v>
                </c:pt>
                <c:pt idx="5">
                  <c:v>10.014414773055606</c:v>
                </c:pt>
                <c:pt idx="6">
                  <c:v>3.6442422755888657</c:v>
                </c:pt>
                <c:pt idx="7">
                  <c:v>3.4619136451914159</c:v>
                </c:pt>
                <c:pt idx="8">
                  <c:v>4.3369045569128275</c:v>
                </c:pt>
                <c:pt idx="9">
                  <c:v>3.6967487112593602</c:v>
                </c:pt>
                <c:pt idx="10">
                  <c:v>2.0405324001032739</c:v>
                </c:pt>
                <c:pt idx="11">
                  <c:v>1.6183474426606779</c:v>
                </c:pt>
                <c:pt idx="12">
                  <c:v>1.5370994075002642</c:v>
                </c:pt>
                <c:pt idx="13">
                  <c:v>0.66174660015900599</c:v>
                </c:pt>
                <c:pt idx="14">
                  <c:v>0.32525261895825963</c:v>
                </c:pt>
                <c:pt idx="15">
                  <c:v>0.26916645993897248</c:v>
                </c:pt>
                <c:pt idx="16">
                  <c:v>-0.54725583809319289</c:v>
                </c:pt>
                <c:pt idx="17">
                  <c:v>6.9891165477997674E-4</c:v>
                </c:pt>
                <c:pt idx="18">
                  <c:v>1.0542044185658739</c:v>
                </c:pt>
                <c:pt idx="19">
                  <c:v>1.4132267851239675</c:v>
                </c:pt>
                <c:pt idx="20">
                  <c:v>2.6691992752886193</c:v>
                </c:pt>
                <c:pt idx="21">
                  <c:v>2.7973044563693463</c:v>
                </c:pt>
                <c:pt idx="22">
                  <c:v>2.8746592022160371</c:v>
                </c:pt>
                <c:pt idx="23">
                  <c:v>2.7763841605447084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622-4EF0-A1C7-C5CAF3C0DF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9005952"/>
        <c:axId val="269007488"/>
      </c:lineChart>
      <c:catAx>
        <c:axId val="269005952"/>
        <c:scaling>
          <c:orientation val="minMax"/>
        </c:scaling>
        <c:delete val="0"/>
        <c:axPos val="b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69007488"/>
        <c:crosses val="autoZero"/>
        <c:auto val="1"/>
        <c:lblAlgn val="ctr"/>
        <c:lblOffset val="100"/>
        <c:noMultiLvlLbl val="0"/>
      </c:catAx>
      <c:valAx>
        <c:axId val="269007488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69005952"/>
        <c:crosses val="autoZero"/>
        <c:crossBetween val="between"/>
        <c:majorUnit val="2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4144292468760548E-2"/>
          <c:y val="0.79016604750647301"/>
          <c:w val="0.92386482607227283"/>
          <c:h val="0.19462484520994944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CEA5EB905EA4A80C471566B3EA34E" ma:contentTypeVersion="4" ma:contentTypeDescription="Vytvoří nový dokument" ma:contentTypeScope="" ma:versionID="665595f58a29ebd0fb50f52fd1a3fb16">
  <xsd:schema xmlns:xsd="http://www.w3.org/2001/XMLSchema" xmlns:xs="http://www.w3.org/2001/XMLSchema" xmlns:p="http://schemas.microsoft.com/office/2006/metadata/properties" xmlns:ns2="7af72279-59da-4f02-a702-8316938752d7" targetNamespace="http://schemas.microsoft.com/office/2006/metadata/properties" ma:root="true" ma:fieldsID="8b23c26673a00a9a43ab51476a2e445e" ns2:_="">
    <xsd:import namespace="7af72279-59da-4f02-a702-83169387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2279-59da-4f02-a702-831693875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CC6C72-FE0A-4006-8736-F1547CB6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2279-59da-4f02-a702-83169387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1833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4</cp:revision>
  <cp:lastPrinted>2014-07-17T14:07:00Z</cp:lastPrinted>
  <dcterms:created xsi:type="dcterms:W3CDTF">2026-03-20T11:45:00Z</dcterms:created>
  <dcterms:modified xsi:type="dcterms:W3CDTF">2026-03-20T11:55:00Z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0x010100A83CEA5EB905EA4A80C471566B3EA34E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