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1A" w:rsidRPr="00F51714" w:rsidRDefault="00F51714" w:rsidP="0058471B">
      <w:pPr>
        <w:autoSpaceDE w:val="0"/>
        <w:autoSpaceDN w:val="0"/>
        <w:adjustRightInd w:val="0"/>
        <w:spacing w:after="0"/>
        <w:rPr>
          <w:rFonts w:cs="Arial"/>
          <w:b/>
          <w:bCs/>
          <w:color w:val="0071BC"/>
          <w:sz w:val="32"/>
          <w:szCs w:val="20"/>
        </w:rPr>
      </w:pPr>
      <w:r w:rsidRPr="00F51714">
        <w:rPr>
          <w:rFonts w:cs="Arial"/>
          <w:b/>
          <w:bCs/>
          <w:color w:val="0071BC"/>
          <w:sz w:val="32"/>
          <w:szCs w:val="20"/>
        </w:rPr>
        <w:t>1. Srovnání výsledků FSS 201</w:t>
      </w:r>
      <w:r w:rsidR="003F081A" w:rsidRPr="00F51714">
        <w:rPr>
          <w:rFonts w:cs="Arial"/>
          <w:b/>
          <w:bCs/>
          <w:color w:val="0071BC"/>
          <w:sz w:val="32"/>
          <w:szCs w:val="20"/>
        </w:rPr>
        <w:t>6</w:t>
      </w:r>
      <w:r w:rsidRPr="00F51714">
        <w:rPr>
          <w:rFonts w:cs="Arial"/>
          <w:b/>
          <w:bCs/>
          <w:color w:val="0071BC"/>
          <w:sz w:val="32"/>
          <w:szCs w:val="20"/>
        </w:rPr>
        <w:t xml:space="preserve"> a </w:t>
      </w:r>
      <w:proofErr w:type="spellStart"/>
      <w:r w:rsidRPr="00F51714">
        <w:rPr>
          <w:rFonts w:cs="Arial"/>
          <w:b/>
          <w:bCs/>
          <w:color w:val="0071BC"/>
          <w:sz w:val="32"/>
          <w:szCs w:val="20"/>
        </w:rPr>
        <w:t>Agrocenzu</w:t>
      </w:r>
      <w:proofErr w:type="spellEnd"/>
      <w:r w:rsidRPr="00F51714">
        <w:rPr>
          <w:rFonts w:cs="Arial"/>
          <w:b/>
          <w:bCs/>
          <w:color w:val="0071BC"/>
          <w:sz w:val="32"/>
          <w:szCs w:val="20"/>
        </w:rPr>
        <w:t xml:space="preserve"> 2000</w:t>
      </w:r>
    </w:p>
    <w:p w:rsidR="0058471B" w:rsidRPr="00F51714" w:rsidRDefault="00537EDF" w:rsidP="0058471B">
      <w:pPr>
        <w:autoSpaceDE w:val="0"/>
        <w:autoSpaceDN w:val="0"/>
        <w:adjustRightInd w:val="0"/>
        <w:spacing w:after="120"/>
        <w:jc w:val="both"/>
        <w:rPr>
          <w:rFonts w:cs="Arial"/>
          <w:b/>
          <w:bCs/>
          <w:color w:val="0071BC"/>
          <w:sz w:val="28"/>
          <w:szCs w:val="20"/>
        </w:rPr>
      </w:pPr>
      <w:r>
        <w:rPr>
          <w:rFonts w:cs="Arial"/>
          <w:b/>
          <w:bCs/>
          <w:color w:val="0071BC"/>
          <w:sz w:val="28"/>
          <w:szCs w:val="20"/>
        </w:rPr>
        <w:t xml:space="preserve"> </w:t>
      </w:r>
      <w:r w:rsidR="0058471B" w:rsidRPr="00F51714">
        <w:rPr>
          <w:rFonts w:cs="Arial"/>
          <w:b/>
          <w:bCs/>
          <w:color w:val="0071BC"/>
          <w:sz w:val="28"/>
          <w:szCs w:val="20"/>
        </w:rPr>
        <w:t xml:space="preserve">Zemědělské subjekty a jejich právní formy </w:t>
      </w:r>
    </w:p>
    <w:p w:rsidR="0058471B" w:rsidRPr="00601E4A" w:rsidRDefault="0058471B" w:rsidP="0058471B">
      <w:pPr>
        <w:spacing w:after="0"/>
        <w:ind w:firstLine="709"/>
        <w:jc w:val="both"/>
        <w:rPr>
          <w:rFonts w:cs="Arial"/>
          <w:szCs w:val="20"/>
        </w:rPr>
      </w:pPr>
      <w:r w:rsidRPr="00601E4A">
        <w:rPr>
          <w:rFonts w:cs="Arial"/>
        </w:rPr>
        <w:t>Strukturální šetření v zemědělství v roce 2016 přineslo aktualizovaná data o zemědělském sektoru v České republice</w:t>
      </w:r>
      <w:r>
        <w:rPr>
          <w:rFonts w:cs="Arial"/>
        </w:rPr>
        <w:t>.</w:t>
      </w:r>
      <w:r w:rsidRPr="00601E4A">
        <w:rPr>
          <w:rFonts w:cs="Arial"/>
        </w:rPr>
        <w:t xml:space="preserve"> </w:t>
      </w:r>
      <w:r>
        <w:rPr>
          <w:rFonts w:cs="Arial"/>
        </w:rPr>
        <w:t>D</w:t>
      </w:r>
      <w:r w:rsidRPr="00601E4A">
        <w:rPr>
          <w:rFonts w:cs="Arial"/>
        </w:rPr>
        <w:t xml:space="preserve">o šetření bylo zahrnuto 26 525 zemědělských subjektů, z toho 23 402 (88,2 %) subjektů fyzických osob a 3 123 (11,8 %) subjektů právnických osob. Mezi fyzickými osobami převažovali zemědělští </w:t>
      </w:r>
      <w:r w:rsidRPr="00601E4A">
        <w:rPr>
          <w:rFonts w:cs="Arial"/>
          <w:szCs w:val="20"/>
        </w:rPr>
        <w:t>podnikatelé (18 232 subjektů; 77,9</w:t>
      </w:r>
      <w:r>
        <w:rPr>
          <w:rFonts w:cs="Arial"/>
          <w:szCs w:val="20"/>
        </w:rPr>
        <w:t xml:space="preserve"> %)</w:t>
      </w:r>
      <w:r w:rsidRPr="00601E4A">
        <w:rPr>
          <w:rFonts w:cs="Arial"/>
          <w:szCs w:val="20"/>
        </w:rPr>
        <w:t>. Právnické osoby byly reprezentovány především společnostmi s ručením omezeným (1 836 subjektů; 58,8 %), akciovými společnostmi (621 subjektů; 19</w:t>
      </w:r>
      <w:r>
        <w:rPr>
          <w:rFonts w:cs="Arial"/>
          <w:szCs w:val="20"/>
        </w:rPr>
        <w:t>,</w:t>
      </w:r>
      <w:r w:rsidRPr="00601E4A">
        <w:rPr>
          <w:rFonts w:cs="Arial"/>
          <w:szCs w:val="20"/>
        </w:rPr>
        <w:t>9 %) a družstvy (502 subjektů; 16,1 %)</w:t>
      </w:r>
      <w:r>
        <w:rPr>
          <w:rFonts w:cs="Arial"/>
          <w:szCs w:val="20"/>
        </w:rPr>
        <w:t>.</w:t>
      </w:r>
    </w:p>
    <w:p w:rsidR="0058471B" w:rsidRPr="00601E4A" w:rsidRDefault="0058471B" w:rsidP="0058471B">
      <w:pPr>
        <w:spacing w:after="0"/>
        <w:ind w:firstLine="709"/>
        <w:jc w:val="both"/>
        <w:rPr>
          <w:rFonts w:cs="Arial"/>
        </w:rPr>
      </w:pPr>
      <w:r w:rsidRPr="00601E4A">
        <w:rPr>
          <w:rFonts w:cs="Arial"/>
        </w:rPr>
        <w:t>Počet zemědělských subjektů se od roku 2000 téměř nezměnil (</w:t>
      </w:r>
      <w:proofErr w:type="gramStart"/>
      <w:r w:rsidRPr="00601E4A">
        <w:rPr>
          <w:rFonts w:cs="Arial"/>
          <w:color w:val="000000"/>
          <w:sz w:val="18"/>
          <w:szCs w:val="20"/>
        </w:rPr>
        <w:t>−</w:t>
      </w:r>
      <w:r w:rsidRPr="00601E4A">
        <w:rPr>
          <w:rFonts w:cs="Arial"/>
        </w:rPr>
        <w:t>0,1 %).</w:t>
      </w:r>
      <w:proofErr w:type="gramEnd"/>
      <w:r w:rsidRPr="00601E4A">
        <w:rPr>
          <w:rFonts w:cs="Arial"/>
        </w:rPr>
        <w:t xml:space="preserve"> Počet subjektů fyzických osob se snížil o 1,3 %, zatímco subjektů právnických osob přibylo 10,5 %. Mezi nimi výrazně narostl počet společností s ručením omezeným (+40,2 %), zatímco počet družstev klesl o 32,2 %.</w:t>
      </w:r>
    </w:p>
    <w:p w:rsidR="003F081A" w:rsidRDefault="003F081A" w:rsidP="003F081A">
      <w:pPr>
        <w:spacing w:after="0"/>
        <w:rPr>
          <w:rFonts w:cs="Arial"/>
          <w:b/>
        </w:rPr>
      </w:pPr>
    </w:p>
    <w:p w:rsidR="003F081A" w:rsidRPr="00EA38B5" w:rsidRDefault="003F081A" w:rsidP="003F081A">
      <w:pPr>
        <w:spacing w:after="0"/>
        <w:rPr>
          <w:rFonts w:cs="Arial"/>
          <w:b/>
        </w:rPr>
      </w:pPr>
      <w:r w:rsidRPr="00EA38B5">
        <w:rPr>
          <w:rFonts w:cs="Arial"/>
          <w:b/>
        </w:rPr>
        <w:t xml:space="preserve">Tab. 1: Zemědělské subjekty a jejich obhospodařovaná zemědělská půda </w:t>
      </w:r>
    </w:p>
    <w:tbl>
      <w:tblPr>
        <w:tblW w:w="9649" w:type="dxa"/>
        <w:tblInd w:w="60" w:type="dxa"/>
        <w:tblLayout w:type="fixed"/>
        <w:tblCellMar>
          <w:left w:w="70" w:type="dxa"/>
          <w:right w:w="70" w:type="dxa"/>
        </w:tblCellMar>
        <w:tblLook w:val="04A0"/>
      </w:tblPr>
      <w:tblGrid>
        <w:gridCol w:w="1940"/>
        <w:gridCol w:w="3140"/>
        <w:gridCol w:w="913"/>
        <w:gridCol w:w="914"/>
        <w:gridCol w:w="914"/>
        <w:gridCol w:w="914"/>
        <w:gridCol w:w="914"/>
      </w:tblGrid>
      <w:tr w:rsidR="003F081A" w:rsidRPr="00EA38B5" w:rsidTr="005C4AF7">
        <w:trPr>
          <w:trHeight w:val="241"/>
        </w:trPr>
        <w:tc>
          <w:tcPr>
            <w:tcW w:w="5080" w:type="dxa"/>
            <w:gridSpan w:val="2"/>
            <w:vMerge w:val="restart"/>
            <w:tcBorders>
              <w:top w:val="single" w:sz="8" w:space="0" w:color="auto"/>
              <w:left w:val="nil"/>
              <w:bottom w:val="single" w:sz="8" w:space="0" w:color="000000"/>
              <w:right w:val="single" w:sz="4" w:space="0" w:color="000000"/>
            </w:tcBorders>
            <w:shd w:val="clear" w:color="auto" w:fill="D9EAF5"/>
            <w:noWrap/>
            <w:vAlign w:val="bottom"/>
            <w:hideMark/>
          </w:tcPr>
          <w:p w:rsidR="003F081A" w:rsidRPr="00EA38B5" w:rsidRDefault="003F081A" w:rsidP="003F081A">
            <w:pPr>
              <w:pStyle w:val="Zkladnodstavec"/>
              <w:spacing w:line="240" w:lineRule="auto"/>
              <w:jc w:val="center"/>
              <w:rPr>
                <w:rFonts w:cs="Arial"/>
                <w:b/>
                <w:sz w:val="16"/>
                <w:szCs w:val="16"/>
              </w:rPr>
            </w:pPr>
            <w:r w:rsidRPr="00EA38B5">
              <w:rPr>
                <w:rFonts w:cs="Arial"/>
                <w:b/>
                <w:sz w:val="16"/>
                <w:szCs w:val="16"/>
              </w:rPr>
              <w:t> </w:t>
            </w:r>
          </w:p>
        </w:tc>
        <w:tc>
          <w:tcPr>
            <w:tcW w:w="1827" w:type="dxa"/>
            <w:gridSpan w:val="2"/>
            <w:tcBorders>
              <w:top w:val="single" w:sz="8" w:space="0" w:color="auto"/>
              <w:left w:val="nil"/>
              <w:bottom w:val="single" w:sz="4" w:space="0" w:color="auto"/>
              <w:right w:val="single" w:sz="4" w:space="0" w:color="auto"/>
            </w:tcBorders>
            <w:shd w:val="clear" w:color="auto" w:fill="D9EAF5"/>
            <w:vAlign w:val="center"/>
            <w:hideMark/>
          </w:tcPr>
          <w:p w:rsidR="003F081A" w:rsidRPr="00EA38B5" w:rsidRDefault="003F081A" w:rsidP="003F081A">
            <w:pPr>
              <w:pStyle w:val="Zkladnodstavec"/>
              <w:spacing w:line="240" w:lineRule="auto"/>
              <w:jc w:val="center"/>
              <w:rPr>
                <w:rFonts w:cs="Arial"/>
                <w:b/>
                <w:sz w:val="16"/>
                <w:szCs w:val="16"/>
              </w:rPr>
            </w:pPr>
            <w:r w:rsidRPr="00EA38B5">
              <w:rPr>
                <w:rFonts w:cs="Arial"/>
                <w:b/>
                <w:sz w:val="16"/>
                <w:szCs w:val="16"/>
              </w:rPr>
              <w:t>FSS 2016</w:t>
            </w:r>
          </w:p>
        </w:tc>
        <w:tc>
          <w:tcPr>
            <w:tcW w:w="1828" w:type="dxa"/>
            <w:gridSpan w:val="2"/>
            <w:tcBorders>
              <w:top w:val="single" w:sz="8" w:space="0" w:color="auto"/>
              <w:left w:val="nil"/>
              <w:bottom w:val="single" w:sz="4" w:space="0" w:color="auto"/>
              <w:right w:val="single" w:sz="4" w:space="0" w:color="auto"/>
            </w:tcBorders>
            <w:shd w:val="clear" w:color="auto" w:fill="D9EAF5"/>
            <w:vAlign w:val="center"/>
            <w:hideMark/>
          </w:tcPr>
          <w:p w:rsidR="003F081A" w:rsidRPr="00EA38B5" w:rsidRDefault="003F081A" w:rsidP="003F081A">
            <w:pPr>
              <w:pStyle w:val="Zkladnodstavec"/>
              <w:spacing w:line="240" w:lineRule="auto"/>
              <w:jc w:val="center"/>
              <w:rPr>
                <w:rFonts w:cs="Arial"/>
                <w:b/>
                <w:sz w:val="16"/>
                <w:szCs w:val="16"/>
              </w:rPr>
            </w:pPr>
            <w:r w:rsidRPr="00EA38B5">
              <w:rPr>
                <w:rFonts w:cs="Arial"/>
                <w:b/>
                <w:sz w:val="16"/>
                <w:szCs w:val="16"/>
              </w:rPr>
              <w:t>AGC 2000</w:t>
            </w:r>
          </w:p>
        </w:tc>
        <w:tc>
          <w:tcPr>
            <w:tcW w:w="914" w:type="dxa"/>
            <w:vMerge w:val="restart"/>
            <w:tcBorders>
              <w:top w:val="single" w:sz="8" w:space="0" w:color="auto"/>
              <w:left w:val="single" w:sz="4" w:space="0" w:color="auto"/>
              <w:right w:val="nil"/>
            </w:tcBorders>
            <w:shd w:val="clear" w:color="auto" w:fill="D9EAF5"/>
            <w:vAlign w:val="center"/>
            <w:hideMark/>
          </w:tcPr>
          <w:p w:rsidR="003F081A" w:rsidRPr="00EA38B5" w:rsidRDefault="003F081A" w:rsidP="003F081A">
            <w:pPr>
              <w:pStyle w:val="Zkladnodstavec"/>
              <w:spacing w:line="240" w:lineRule="auto"/>
              <w:jc w:val="center"/>
              <w:rPr>
                <w:rFonts w:cs="Arial"/>
                <w:b/>
                <w:sz w:val="16"/>
                <w:szCs w:val="16"/>
              </w:rPr>
            </w:pPr>
            <w:r w:rsidRPr="00EA38B5">
              <w:rPr>
                <w:rFonts w:cs="Arial"/>
                <w:b/>
                <w:sz w:val="16"/>
                <w:szCs w:val="16"/>
              </w:rPr>
              <w:t>Index</w:t>
            </w:r>
            <w:r w:rsidRPr="00EA38B5">
              <w:rPr>
                <w:rFonts w:cs="Arial"/>
                <w:b/>
                <w:sz w:val="16"/>
                <w:szCs w:val="16"/>
              </w:rPr>
              <w:br/>
              <w:t>2016/2000</w:t>
            </w:r>
          </w:p>
        </w:tc>
      </w:tr>
      <w:tr w:rsidR="003F081A" w:rsidRPr="00EA38B5" w:rsidTr="005C4AF7">
        <w:trPr>
          <w:trHeight w:val="241"/>
        </w:trPr>
        <w:tc>
          <w:tcPr>
            <w:tcW w:w="5080" w:type="dxa"/>
            <w:gridSpan w:val="2"/>
            <w:vMerge/>
            <w:tcBorders>
              <w:top w:val="single" w:sz="8" w:space="0" w:color="auto"/>
              <w:left w:val="nil"/>
              <w:bottom w:val="single" w:sz="8" w:space="0" w:color="000000"/>
              <w:right w:val="single" w:sz="4" w:space="0" w:color="000000"/>
            </w:tcBorders>
            <w:shd w:val="clear" w:color="auto" w:fill="D9EAF5"/>
            <w:vAlign w:val="center"/>
            <w:hideMark/>
          </w:tcPr>
          <w:p w:rsidR="003F081A" w:rsidRPr="00EA38B5" w:rsidRDefault="003F081A" w:rsidP="003F081A">
            <w:pPr>
              <w:pStyle w:val="Zkladnodstavec"/>
              <w:spacing w:line="240" w:lineRule="auto"/>
              <w:jc w:val="center"/>
              <w:rPr>
                <w:rFonts w:cs="Arial"/>
                <w:b/>
                <w:sz w:val="16"/>
                <w:szCs w:val="16"/>
              </w:rPr>
            </w:pPr>
          </w:p>
        </w:tc>
        <w:tc>
          <w:tcPr>
            <w:tcW w:w="913" w:type="dxa"/>
            <w:tcBorders>
              <w:top w:val="nil"/>
              <w:left w:val="nil"/>
              <w:bottom w:val="single" w:sz="8" w:space="0" w:color="auto"/>
              <w:right w:val="single" w:sz="4" w:space="0" w:color="auto"/>
            </w:tcBorders>
            <w:shd w:val="clear" w:color="auto" w:fill="D9EAF5"/>
            <w:vAlign w:val="center"/>
            <w:hideMark/>
          </w:tcPr>
          <w:p w:rsidR="003F081A" w:rsidRPr="00EA38B5" w:rsidRDefault="003F081A" w:rsidP="003F081A">
            <w:pPr>
              <w:pStyle w:val="Zkladnodstavec"/>
              <w:spacing w:line="240" w:lineRule="auto"/>
              <w:jc w:val="center"/>
              <w:rPr>
                <w:rFonts w:cs="Arial"/>
                <w:b/>
                <w:sz w:val="16"/>
                <w:szCs w:val="16"/>
              </w:rPr>
            </w:pPr>
            <w:proofErr w:type="spellStart"/>
            <w:r w:rsidRPr="00EA38B5">
              <w:rPr>
                <w:rFonts w:cs="Arial"/>
                <w:b/>
                <w:sz w:val="16"/>
                <w:szCs w:val="16"/>
              </w:rPr>
              <w:t>abs</w:t>
            </w:r>
            <w:proofErr w:type="spellEnd"/>
            <w:r w:rsidRPr="00EA38B5">
              <w:rPr>
                <w:rFonts w:cs="Arial"/>
                <w:b/>
                <w:sz w:val="16"/>
                <w:szCs w:val="16"/>
              </w:rPr>
              <w:t>.</w:t>
            </w:r>
          </w:p>
        </w:tc>
        <w:tc>
          <w:tcPr>
            <w:tcW w:w="914" w:type="dxa"/>
            <w:tcBorders>
              <w:top w:val="nil"/>
              <w:left w:val="nil"/>
              <w:bottom w:val="single" w:sz="8" w:space="0" w:color="auto"/>
              <w:right w:val="single" w:sz="4" w:space="0" w:color="auto"/>
            </w:tcBorders>
            <w:shd w:val="clear" w:color="auto" w:fill="D9EAF5"/>
            <w:vAlign w:val="center"/>
            <w:hideMark/>
          </w:tcPr>
          <w:p w:rsidR="003F081A" w:rsidRPr="00EA38B5" w:rsidRDefault="003F081A" w:rsidP="003F081A">
            <w:pPr>
              <w:pStyle w:val="Zkladnodstavec"/>
              <w:spacing w:line="240" w:lineRule="auto"/>
              <w:jc w:val="center"/>
              <w:rPr>
                <w:rFonts w:cs="Arial"/>
                <w:b/>
                <w:sz w:val="16"/>
                <w:szCs w:val="16"/>
              </w:rPr>
            </w:pPr>
            <w:r w:rsidRPr="00EA38B5">
              <w:rPr>
                <w:rFonts w:cs="Arial"/>
                <w:b/>
                <w:sz w:val="16"/>
                <w:szCs w:val="16"/>
              </w:rPr>
              <w:t>podíl (%)</w:t>
            </w:r>
          </w:p>
        </w:tc>
        <w:tc>
          <w:tcPr>
            <w:tcW w:w="914" w:type="dxa"/>
            <w:tcBorders>
              <w:top w:val="nil"/>
              <w:left w:val="nil"/>
              <w:bottom w:val="single" w:sz="8" w:space="0" w:color="auto"/>
              <w:right w:val="single" w:sz="4" w:space="0" w:color="auto"/>
            </w:tcBorders>
            <w:shd w:val="clear" w:color="auto" w:fill="D9EAF5"/>
            <w:vAlign w:val="center"/>
            <w:hideMark/>
          </w:tcPr>
          <w:p w:rsidR="003F081A" w:rsidRPr="00EA38B5" w:rsidRDefault="003F081A" w:rsidP="003F081A">
            <w:pPr>
              <w:pStyle w:val="Zkladnodstavec"/>
              <w:spacing w:line="240" w:lineRule="auto"/>
              <w:jc w:val="center"/>
              <w:rPr>
                <w:rFonts w:cs="Arial"/>
                <w:b/>
                <w:sz w:val="16"/>
                <w:szCs w:val="16"/>
              </w:rPr>
            </w:pPr>
            <w:proofErr w:type="spellStart"/>
            <w:r w:rsidRPr="00EA38B5">
              <w:rPr>
                <w:rFonts w:cs="Arial"/>
                <w:b/>
                <w:sz w:val="16"/>
                <w:szCs w:val="16"/>
              </w:rPr>
              <w:t>abs</w:t>
            </w:r>
            <w:proofErr w:type="spellEnd"/>
            <w:r w:rsidRPr="00EA38B5">
              <w:rPr>
                <w:rFonts w:cs="Arial"/>
                <w:b/>
                <w:sz w:val="16"/>
                <w:szCs w:val="16"/>
              </w:rPr>
              <w:t>.</w:t>
            </w:r>
          </w:p>
        </w:tc>
        <w:tc>
          <w:tcPr>
            <w:tcW w:w="914" w:type="dxa"/>
            <w:tcBorders>
              <w:top w:val="nil"/>
              <w:left w:val="nil"/>
              <w:bottom w:val="single" w:sz="8" w:space="0" w:color="auto"/>
              <w:right w:val="single" w:sz="4" w:space="0" w:color="auto"/>
            </w:tcBorders>
            <w:shd w:val="clear" w:color="auto" w:fill="D9EAF5"/>
            <w:vAlign w:val="center"/>
            <w:hideMark/>
          </w:tcPr>
          <w:p w:rsidR="003F081A" w:rsidRPr="00EA38B5" w:rsidRDefault="003F081A" w:rsidP="003F081A">
            <w:pPr>
              <w:pStyle w:val="Zkladnodstavec"/>
              <w:spacing w:line="240" w:lineRule="auto"/>
              <w:jc w:val="center"/>
              <w:rPr>
                <w:rFonts w:cs="Arial"/>
                <w:b/>
                <w:sz w:val="16"/>
                <w:szCs w:val="16"/>
              </w:rPr>
            </w:pPr>
            <w:r w:rsidRPr="00EA38B5">
              <w:rPr>
                <w:rFonts w:cs="Arial"/>
                <w:b/>
                <w:sz w:val="16"/>
                <w:szCs w:val="16"/>
              </w:rPr>
              <w:t>podíl (%)</w:t>
            </w:r>
          </w:p>
        </w:tc>
        <w:tc>
          <w:tcPr>
            <w:tcW w:w="914" w:type="dxa"/>
            <w:vMerge/>
            <w:tcBorders>
              <w:left w:val="single" w:sz="4" w:space="0" w:color="auto"/>
              <w:bottom w:val="single" w:sz="8" w:space="0" w:color="000000"/>
              <w:right w:val="nil"/>
            </w:tcBorders>
            <w:shd w:val="clear" w:color="auto" w:fill="D9EAF5"/>
            <w:vAlign w:val="center"/>
            <w:hideMark/>
          </w:tcPr>
          <w:p w:rsidR="003F081A" w:rsidRPr="00EA38B5" w:rsidRDefault="003F081A" w:rsidP="003F081A">
            <w:pPr>
              <w:pStyle w:val="Zkladnodstavec"/>
              <w:spacing w:line="240" w:lineRule="auto"/>
              <w:jc w:val="center"/>
              <w:rPr>
                <w:rFonts w:cs="Arial"/>
                <w:b/>
                <w:sz w:val="16"/>
                <w:szCs w:val="16"/>
              </w:rPr>
            </w:pPr>
          </w:p>
        </w:tc>
      </w:tr>
      <w:tr w:rsidR="003F081A" w:rsidRPr="00601E4A" w:rsidTr="005C4AF7">
        <w:trPr>
          <w:trHeight w:val="241"/>
        </w:trPr>
        <w:tc>
          <w:tcPr>
            <w:tcW w:w="1940" w:type="dxa"/>
            <w:vMerge w:val="restart"/>
            <w:tcBorders>
              <w:top w:val="nil"/>
              <w:left w:val="nil"/>
              <w:bottom w:val="single" w:sz="4" w:space="0" w:color="000000"/>
              <w:right w:val="single" w:sz="4" w:space="0" w:color="auto"/>
            </w:tcBorders>
            <w:shd w:val="clear" w:color="000000" w:fill="FFFFFF"/>
            <w:vAlign w:val="center"/>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Zemědělské subjekty celkem</w:t>
            </w: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zemědělské subjekty</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26 525</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100,0</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26 539</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100,0</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99,9</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obhospodařovaná zemědělská půda (ha)</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3 456 646</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100,0</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3 604 400</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100,0</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95,9</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single" w:sz="4" w:space="0" w:color="auto"/>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průměrná výměra (ha)</w:t>
            </w:r>
          </w:p>
        </w:tc>
        <w:tc>
          <w:tcPr>
            <w:tcW w:w="913"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130</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3F081A" w:rsidRDefault="003F081A" w:rsidP="003F081A">
            <w:pPr>
              <w:spacing w:after="0" w:line="240" w:lineRule="auto"/>
              <w:jc w:val="center"/>
              <w:rPr>
                <w:rFonts w:cs="Arial"/>
                <w:color w:val="000000"/>
                <w:sz w:val="16"/>
                <w:szCs w:val="16"/>
              </w:rPr>
            </w:pPr>
            <w:r>
              <w:rPr>
                <w:rFonts w:cs="Arial"/>
                <w:color w:val="000000"/>
                <w:sz w:val="16"/>
                <w:szCs w:val="16"/>
              </w:rPr>
              <w:t>x</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136</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center"/>
              <w:rPr>
                <w:rFonts w:cs="Arial"/>
                <w:color w:val="000000"/>
                <w:sz w:val="16"/>
                <w:szCs w:val="16"/>
              </w:rPr>
            </w:pPr>
            <w:r w:rsidRPr="00601E4A">
              <w:rPr>
                <w:rFonts w:cs="Arial"/>
                <w:color w:val="000000"/>
                <w:sz w:val="16"/>
                <w:szCs w:val="16"/>
              </w:rPr>
              <w:t>x</w:t>
            </w:r>
          </w:p>
        </w:tc>
        <w:tc>
          <w:tcPr>
            <w:tcW w:w="914"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96,0</w:t>
            </w:r>
          </w:p>
        </w:tc>
      </w:tr>
      <w:tr w:rsidR="003F081A" w:rsidRPr="00601E4A" w:rsidTr="005C4AF7">
        <w:trPr>
          <w:trHeight w:val="241"/>
        </w:trPr>
        <w:tc>
          <w:tcPr>
            <w:tcW w:w="1940" w:type="dxa"/>
            <w:vMerge w:val="restart"/>
            <w:tcBorders>
              <w:top w:val="nil"/>
              <w:left w:val="nil"/>
              <w:bottom w:val="single" w:sz="4" w:space="0" w:color="000000"/>
              <w:right w:val="single" w:sz="4" w:space="0" w:color="auto"/>
            </w:tcBorders>
            <w:shd w:val="clear" w:color="000000" w:fill="FFFFFF"/>
            <w:vAlign w:val="center"/>
            <w:hideMark/>
          </w:tcPr>
          <w:p w:rsidR="003F081A" w:rsidRPr="00601E4A" w:rsidRDefault="003F081A" w:rsidP="003F081A">
            <w:pPr>
              <w:spacing w:after="0" w:line="240" w:lineRule="auto"/>
              <w:ind w:leftChars="101" w:left="202"/>
              <w:rPr>
                <w:rFonts w:cs="Arial"/>
                <w:color w:val="000000"/>
                <w:sz w:val="16"/>
                <w:szCs w:val="16"/>
              </w:rPr>
            </w:pPr>
            <w:r w:rsidRPr="00601E4A">
              <w:rPr>
                <w:rFonts w:cs="Arial"/>
                <w:color w:val="000000"/>
                <w:sz w:val="16"/>
                <w:szCs w:val="16"/>
              </w:rPr>
              <w:t>subjekty fyzických osob</w:t>
            </w: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zemědělské subjekty</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23 402</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88,2</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23 714</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89,4</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98,7</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obhospodařovaná zemědělská půda (ha)</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1 040 124</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30,1</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923 775</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25,6</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112,6</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průměrná výměra (ha)</w:t>
            </w:r>
          </w:p>
        </w:tc>
        <w:tc>
          <w:tcPr>
            <w:tcW w:w="913"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44</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3F081A" w:rsidRDefault="003F081A" w:rsidP="003F081A">
            <w:pPr>
              <w:spacing w:after="0" w:line="240" w:lineRule="auto"/>
              <w:jc w:val="center"/>
              <w:rPr>
                <w:rFonts w:cs="Arial"/>
                <w:color w:val="000000"/>
                <w:sz w:val="16"/>
                <w:szCs w:val="16"/>
              </w:rPr>
            </w:pPr>
            <w:r>
              <w:rPr>
                <w:rFonts w:cs="Arial"/>
                <w:color w:val="000000"/>
                <w:sz w:val="16"/>
                <w:szCs w:val="16"/>
              </w:rPr>
              <w:t>x</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39</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center"/>
              <w:rPr>
                <w:rFonts w:cs="Arial"/>
                <w:color w:val="000000"/>
                <w:sz w:val="16"/>
                <w:szCs w:val="16"/>
              </w:rPr>
            </w:pPr>
            <w:r w:rsidRPr="00601E4A">
              <w:rPr>
                <w:rFonts w:cs="Arial"/>
                <w:color w:val="000000"/>
                <w:sz w:val="16"/>
                <w:szCs w:val="16"/>
              </w:rPr>
              <w:t>x</w:t>
            </w:r>
          </w:p>
        </w:tc>
        <w:tc>
          <w:tcPr>
            <w:tcW w:w="914"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114,1</w:t>
            </w:r>
          </w:p>
        </w:tc>
      </w:tr>
      <w:tr w:rsidR="003F081A" w:rsidRPr="00601E4A" w:rsidTr="005C4AF7">
        <w:trPr>
          <w:trHeight w:val="241"/>
        </w:trPr>
        <w:tc>
          <w:tcPr>
            <w:tcW w:w="1940" w:type="dxa"/>
            <w:vMerge w:val="restart"/>
            <w:tcBorders>
              <w:top w:val="nil"/>
              <w:left w:val="nil"/>
              <w:bottom w:val="single" w:sz="4" w:space="0" w:color="000000"/>
              <w:right w:val="single" w:sz="4" w:space="0" w:color="auto"/>
            </w:tcBorders>
            <w:shd w:val="clear" w:color="000000" w:fill="FFFFFF"/>
            <w:vAlign w:val="center"/>
            <w:hideMark/>
          </w:tcPr>
          <w:p w:rsidR="003F081A" w:rsidRPr="00601E4A" w:rsidRDefault="003F081A" w:rsidP="003F081A">
            <w:pPr>
              <w:spacing w:after="0" w:line="240" w:lineRule="auto"/>
              <w:ind w:left="224"/>
              <w:rPr>
                <w:rFonts w:cs="Arial"/>
                <w:color w:val="000000"/>
                <w:sz w:val="16"/>
                <w:szCs w:val="16"/>
              </w:rPr>
            </w:pPr>
            <w:r w:rsidRPr="00601E4A">
              <w:rPr>
                <w:rFonts w:cs="Arial"/>
                <w:color w:val="000000"/>
                <w:sz w:val="16"/>
                <w:szCs w:val="16"/>
              </w:rPr>
              <w:t>subjekty právnických osob</w:t>
            </w:r>
          </w:p>
        </w:tc>
        <w:tc>
          <w:tcPr>
            <w:tcW w:w="3140" w:type="dxa"/>
            <w:tcBorders>
              <w:top w:val="single" w:sz="4" w:space="0" w:color="auto"/>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zemědělské subjekty</w:t>
            </w:r>
          </w:p>
        </w:tc>
        <w:tc>
          <w:tcPr>
            <w:tcW w:w="913" w:type="dxa"/>
            <w:tcBorders>
              <w:top w:val="single" w:sz="4" w:space="0" w:color="auto"/>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3 123</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11,8</w:t>
            </w:r>
          </w:p>
        </w:tc>
        <w:tc>
          <w:tcPr>
            <w:tcW w:w="914" w:type="dxa"/>
            <w:tcBorders>
              <w:top w:val="single" w:sz="4" w:space="0" w:color="auto"/>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2 825</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10,6</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110,5</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obhospodařovaná zemědělská půda (ha)</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2 416 521</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69,9</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2 680 625</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74,4</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90,1</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single" w:sz="4" w:space="0" w:color="auto"/>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průměrná výměra (ha)</w:t>
            </w:r>
          </w:p>
        </w:tc>
        <w:tc>
          <w:tcPr>
            <w:tcW w:w="913"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774</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3F081A" w:rsidRDefault="003F081A" w:rsidP="003F081A">
            <w:pPr>
              <w:spacing w:after="0" w:line="240" w:lineRule="auto"/>
              <w:jc w:val="center"/>
              <w:rPr>
                <w:rFonts w:cs="Arial"/>
                <w:color w:val="000000"/>
                <w:sz w:val="16"/>
                <w:szCs w:val="16"/>
              </w:rPr>
            </w:pPr>
            <w:r>
              <w:rPr>
                <w:rFonts w:cs="Arial"/>
                <w:color w:val="000000"/>
                <w:sz w:val="16"/>
                <w:szCs w:val="16"/>
              </w:rPr>
              <w:t>x</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949</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center"/>
              <w:rPr>
                <w:rFonts w:cs="Arial"/>
                <w:color w:val="000000"/>
                <w:sz w:val="16"/>
                <w:szCs w:val="16"/>
              </w:rPr>
            </w:pPr>
            <w:r w:rsidRPr="00601E4A">
              <w:rPr>
                <w:rFonts w:cs="Arial"/>
                <w:color w:val="000000"/>
                <w:sz w:val="16"/>
                <w:szCs w:val="16"/>
              </w:rPr>
              <w:t>x</w:t>
            </w:r>
          </w:p>
        </w:tc>
        <w:tc>
          <w:tcPr>
            <w:tcW w:w="914"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81,5</w:t>
            </w:r>
          </w:p>
        </w:tc>
      </w:tr>
      <w:tr w:rsidR="003F081A" w:rsidRPr="00601E4A" w:rsidTr="005C4AF7">
        <w:trPr>
          <w:trHeight w:val="241"/>
        </w:trPr>
        <w:tc>
          <w:tcPr>
            <w:tcW w:w="1940" w:type="dxa"/>
            <w:vMerge w:val="restart"/>
            <w:tcBorders>
              <w:top w:val="nil"/>
              <w:left w:val="nil"/>
              <w:bottom w:val="single" w:sz="4" w:space="0" w:color="000000"/>
              <w:right w:val="single" w:sz="4" w:space="0" w:color="auto"/>
            </w:tcBorders>
            <w:shd w:val="clear" w:color="000000" w:fill="FFFFFF"/>
            <w:vAlign w:val="center"/>
            <w:hideMark/>
          </w:tcPr>
          <w:p w:rsidR="003F081A" w:rsidRPr="00601E4A" w:rsidRDefault="003F081A" w:rsidP="003F081A">
            <w:pPr>
              <w:spacing w:after="0" w:line="240" w:lineRule="auto"/>
              <w:ind w:left="366"/>
              <w:rPr>
                <w:rFonts w:cs="Arial"/>
                <w:color w:val="000000"/>
                <w:sz w:val="16"/>
                <w:szCs w:val="16"/>
              </w:rPr>
            </w:pPr>
            <w:r w:rsidRPr="00601E4A">
              <w:rPr>
                <w:rFonts w:cs="Arial"/>
                <w:color w:val="000000"/>
                <w:sz w:val="16"/>
                <w:szCs w:val="16"/>
              </w:rPr>
              <w:t>obchodní společnosti</w:t>
            </w: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zemědělské subjekty</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2 507</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9,5</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1 948</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7,3</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128,7</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obhospodařovaná zemědělská půda (ha)</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1 720 555</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49,8</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1 578 841</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43,8</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109,0</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průměrná výměra (ha)</w:t>
            </w:r>
          </w:p>
        </w:tc>
        <w:tc>
          <w:tcPr>
            <w:tcW w:w="913"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686</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3F081A" w:rsidRDefault="003F081A" w:rsidP="003F081A">
            <w:pPr>
              <w:spacing w:after="0" w:line="240" w:lineRule="auto"/>
              <w:jc w:val="center"/>
              <w:rPr>
                <w:rFonts w:cs="Arial"/>
                <w:color w:val="000000"/>
                <w:sz w:val="16"/>
                <w:szCs w:val="16"/>
              </w:rPr>
            </w:pPr>
            <w:r>
              <w:rPr>
                <w:rFonts w:cs="Arial"/>
                <w:color w:val="000000"/>
                <w:sz w:val="16"/>
                <w:szCs w:val="16"/>
              </w:rPr>
              <w:t>x</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810</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center"/>
              <w:rPr>
                <w:rFonts w:cs="Arial"/>
                <w:color w:val="000000"/>
                <w:sz w:val="16"/>
                <w:szCs w:val="16"/>
              </w:rPr>
            </w:pPr>
            <w:r w:rsidRPr="00601E4A">
              <w:rPr>
                <w:rFonts w:cs="Arial"/>
                <w:color w:val="000000"/>
                <w:sz w:val="16"/>
                <w:szCs w:val="16"/>
              </w:rPr>
              <w:t>x</w:t>
            </w:r>
          </w:p>
        </w:tc>
        <w:tc>
          <w:tcPr>
            <w:tcW w:w="914"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84,7</w:t>
            </w:r>
          </w:p>
        </w:tc>
      </w:tr>
      <w:tr w:rsidR="003F081A" w:rsidRPr="00601E4A" w:rsidTr="005C4AF7">
        <w:trPr>
          <w:trHeight w:val="241"/>
        </w:trPr>
        <w:tc>
          <w:tcPr>
            <w:tcW w:w="1940" w:type="dxa"/>
            <w:vMerge w:val="restart"/>
            <w:tcBorders>
              <w:top w:val="nil"/>
              <w:left w:val="nil"/>
              <w:bottom w:val="single" w:sz="4" w:space="0" w:color="000000"/>
              <w:right w:val="single" w:sz="4" w:space="0" w:color="auto"/>
            </w:tcBorders>
            <w:shd w:val="clear" w:color="000000" w:fill="FFFFFF"/>
            <w:vAlign w:val="center"/>
            <w:hideMark/>
          </w:tcPr>
          <w:p w:rsidR="003F081A" w:rsidRPr="00601E4A" w:rsidRDefault="003F081A" w:rsidP="003F081A">
            <w:pPr>
              <w:spacing w:after="0" w:line="240" w:lineRule="auto"/>
              <w:ind w:left="507"/>
              <w:rPr>
                <w:rFonts w:cs="Arial"/>
                <w:color w:val="000000"/>
                <w:sz w:val="16"/>
                <w:szCs w:val="16"/>
              </w:rPr>
            </w:pPr>
            <w:r w:rsidRPr="00601E4A">
              <w:rPr>
                <w:rFonts w:cs="Arial"/>
                <w:color w:val="000000"/>
                <w:sz w:val="16"/>
                <w:szCs w:val="16"/>
              </w:rPr>
              <w:t>společnosti</w:t>
            </w:r>
            <w:r w:rsidRPr="00601E4A">
              <w:rPr>
                <w:rFonts w:cs="Arial"/>
                <w:color w:val="000000"/>
                <w:sz w:val="16"/>
                <w:szCs w:val="16"/>
              </w:rPr>
              <w:br/>
              <w:t>s ručením omezeným</w:t>
            </w:r>
          </w:p>
        </w:tc>
        <w:tc>
          <w:tcPr>
            <w:tcW w:w="3140" w:type="dxa"/>
            <w:tcBorders>
              <w:top w:val="single" w:sz="4" w:space="0" w:color="auto"/>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zemědělské subjekty</w:t>
            </w:r>
          </w:p>
        </w:tc>
        <w:tc>
          <w:tcPr>
            <w:tcW w:w="913" w:type="dxa"/>
            <w:tcBorders>
              <w:top w:val="single" w:sz="4" w:space="0" w:color="auto"/>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1 836</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6,9</w:t>
            </w:r>
          </w:p>
        </w:tc>
        <w:tc>
          <w:tcPr>
            <w:tcW w:w="914" w:type="dxa"/>
            <w:tcBorders>
              <w:top w:val="single" w:sz="4" w:space="0" w:color="auto"/>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1 310</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4,9</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140,2</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obhospodařovaná zemědělská půda (ha)</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839 877</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24,3</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783 686</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21,7</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10</w:t>
            </w:r>
            <w:r>
              <w:rPr>
                <w:rFonts w:cs="Arial"/>
                <w:color w:val="000000"/>
                <w:sz w:val="16"/>
                <w:szCs w:val="16"/>
              </w:rPr>
              <w:t>7</w:t>
            </w:r>
            <w:r w:rsidRPr="00601E4A">
              <w:rPr>
                <w:rFonts w:cs="Arial"/>
                <w:color w:val="000000"/>
                <w:sz w:val="16"/>
                <w:szCs w:val="16"/>
              </w:rPr>
              <w:t>,</w:t>
            </w:r>
            <w:r>
              <w:rPr>
                <w:rFonts w:cs="Arial"/>
                <w:color w:val="000000"/>
                <w:sz w:val="16"/>
                <w:szCs w:val="16"/>
              </w:rPr>
              <w:t>2</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single" w:sz="4" w:space="0" w:color="auto"/>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průměrná výměra (ha)</w:t>
            </w:r>
          </w:p>
        </w:tc>
        <w:tc>
          <w:tcPr>
            <w:tcW w:w="913"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457</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3F081A" w:rsidRDefault="003F081A" w:rsidP="003F081A">
            <w:pPr>
              <w:spacing w:after="0" w:line="240" w:lineRule="auto"/>
              <w:jc w:val="center"/>
              <w:rPr>
                <w:rFonts w:cs="Arial"/>
                <w:color w:val="000000"/>
                <w:sz w:val="16"/>
                <w:szCs w:val="16"/>
              </w:rPr>
            </w:pPr>
            <w:r>
              <w:rPr>
                <w:rFonts w:cs="Arial"/>
                <w:color w:val="000000"/>
                <w:sz w:val="16"/>
                <w:szCs w:val="16"/>
              </w:rPr>
              <w:t>x</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598</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center"/>
              <w:rPr>
                <w:rFonts w:cs="Arial"/>
                <w:color w:val="000000"/>
                <w:sz w:val="16"/>
                <w:szCs w:val="16"/>
              </w:rPr>
            </w:pPr>
            <w:r w:rsidRPr="00601E4A">
              <w:rPr>
                <w:rFonts w:cs="Arial"/>
                <w:color w:val="000000"/>
                <w:sz w:val="16"/>
                <w:szCs w:val="16"/>
              </w:rPr>
              <w:t>x</w:t>
            </w:r>
          </w:p>
        </w:tc>
        <w:tc>
          <w:tcPr>
            <w:tcW w:w="914"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Pr>
                <w:rFonts w:cs="Arial"/>
                <w:color w:val="000000"/>
                <w:sz w:val="16"/>
                <w:szCs w:val="16"/>
              </w:rPr>
              <w:t>76</w:t>
            </w:r>
            <w:r w:rsidRPr="00601E4A">
              <w:rPr>
                <w:rFonts w:cs="Arial"/>
                <w:color w:val="000000"/>
                <w:sz w:val="16"/>
                <w:szCs w:val="16"/>
              </w:rPr>
              <w:t>,</w:t>
            </w:r>
            <w:r>
              <w:rPr>
                <w:rFonts w:cs="Arial"/>
                <w:color w:val="000000"/>
                <w:sz w:val="16"/>
                <w:szCs w:val="16"/>
              </w:rPr>
              <w:t>5</w:t>
            </w:r>
          </w:p>
        </w:tc>
      </w:tr>
      <w:tr w:rsidR="003F081A" w:rsidRPr="00601E4A" w:rsidTr="005C4AF7">
        <w:trPr>
          <w:trHeight w:val="241"/>
        </w:trPr>
        <w:tc>
          <w:tcPr>
            <w:tcW w:w="1940" w:type="dxa"/>
            <w:vMerge w:val="restart"/>
            <w:tcBorders>
              <w:top w:val="nil"/>
              <w:left w:val="nil"/>
              <w:bottom w:val="single" w:sz="4" w:space="0" w:color="000000"/>
              <w:right w:val="single" w:sz="4" w:space="0" w:color="auto"/>
            </w:tcBorders>
            <w:shd w:val="clear" w:color="000000" w:fill="FFFFFF"/>
            <w:vAlign w:val="center"/>
            <w:hideMark/>
          </w:tcPr>
          <w:p w:rsidR="003F081A" w:rsidRPr="00601E4A" w:rsidRDefault="003F081A" w:rsidP="003F081A">
            <w:pPr>
              <w:spacing w:after="0" w:line="240" w:lineRule="auto"/>
              <w:ind w:left="507"/>
              <w:rPr>
                <w:rFonts w:cs="Arial"/>
                <w:color w:val="000000"/>
                <w:sz w:val="16"/>
                <w:szCs w:val="16"/>
              </w:rPr>
            </w:pPr>
            <w:r w:rsidRPr="00601E4A">
              <w:rPr>
                <w:rFonts w:cs="Arial"/>
                <w:color w:val="000000"/>
                <w:sz w:val="16"/>
                <w:szCs w:val="16"/>
              </w:rPr>
              <w:t>akciové společnosti</w:t>
            </w: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zemědělské subjekty</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621</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2,3</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602</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2,3</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103,2</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obhospodařovaná zemědělská půda (ha)</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862 945</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25,0</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779 696</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21,6</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110,7</w:t>
            </w:r>
          </w:p>
        </w:tc>
      </w:tr>
      <w:tr w:rsidR="003F081A" w:rsidRPr="00601E4A" w:rsidTr="005C4AF7">
        <w:trPr>
          <w:trHeight w:val="241"/>
        </w:trPr>
        <w:tc>
          <w:tcPr>
            <w:tcW w:w="1940" w:type="dxa"/>
            <w:vMerge/>
            <w:tcBorders>
              <w:top w:val="nil"/>
              <w:left w:val="nil"/>
              <w:bottom w:val="single" w:sz="4" w:space="0" w:color="000000"/>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single" w:sz="4" w:space="0" w:color="auto"/>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průměrná výměra (ha)</w:t>
            </w:r>
          </w:p>
        </w:tc>
        <w:tc>
          <w:tcPr>
            <w:tcW w:w="913"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1 390</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3F081A" w:rsidRDefault="003F081A" w:rsidP="003F081A">
            <w:pPr>
              <w:spacing w:after="0" w:line="240" w:lineRule="auto"/>
              <w:jc w:val="center"/>
              <w:rPr>
                <w:rFonts w:cs="Arial"/>
                <w:color w:val="000000"/>
                <w:sz w:val="16"/>
                <w:szCs w:val="16"/>
              </w:rPr>
            </w:pPr>
            <w:r>
              <w:rPr>
                <w:rFonts w:cs="Arial"/>
                <w:color w:val="000000"/>
                <w:sz w:val="16"/>
                <w:szCs w:val="16"/>
              </w:rPr>
              <w:t>x</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1 295</w:t>
            </w:r>
          </w:p>
        </w:tc>
        <w:tc>
          <w:tcPr>
            <w:tcW w:w="914" w:type="dxa"/>
            <w:tcBorders>
              <w:top w:val="nil"/>
              <w:left w:val="nil"/>
              <w:bottom w:val="single" w:sz="4" w:space="0" w:color="auto"/>
              <w:right w:val="single" w:sz="4" w:space="0" w:color="auto"/>
            </w:tcBorders>
            <w:shd w:val="clear" w:color="000000" w:fill="FFFFFF"/>
            <w:noWrap/>
            <w:vAlign w:val="center"/>
            <w:hideMark/>
          </w:tcPr>
          <w:p w:rsidR="003F081A" w:rsidRPr="00601E4A" w:rsidRDefault="003F081A" w:rsidP="003F081A">
            <w:pPr>
              <w:spacing w:after="0" w:line="240" w:lineRule="auto"/>
              <w:jc w:val="center"/>
              <w:rPr>
                <w:rFonts w:cs="Arial"/>
                <w:color w:val="000000"/>
                <w:sz w:val="16"/>
                <w:szCs w:val="16"/>
              </w:rPr>
            </w:pPr>
            <w:r w:rsidRPr="00601E4A">
              <w:rPr>
                <w:rFonts w:cs="Arial"/>
                <w:color w:val="000000"/>
                <w:sz w:val="16"/>
                <w:szCs w:val="16"/>
              </w:rPr>
              <w:t>x</w:t>
            </w:r>
          </w:p>
        </w:tc>
        <w:tc>
          <w:tcPr>
            <w:tcW w:w="914" w:type="dxa"/>
            <w:tcBorders>
              <w:top w:val="nil"/>
              <w:left w:val="nil"/>
              <w:bottom w:val="single" w:sz="4" w:space="0" w:color="auto"/>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107,3</w:t>
            </w:r>
          </w:p>
        </w:tc>
      </w:tr>
      <w:tr w:rsidR="003F081A" w:rsidRPr="00601E4A" w:rsidTr="005C4AF7">
        <w:trPr>
          <w:trHeight w:val="241"/>
        </w:trPr>
        <w:tc>
          <w:tcPr>
            <w:tcW w:w="1940" w:type="dxa"/>
            <w:vMerge w:val="restart"/>
            <w:tcBorders>
              <w:top w:val="nil"/>
              <w:left w:val="nil"/>
              <w:bottom w:val="nil"/>
              <w:right w:val="single" w:sz="4" w:space="0" w:color="auto"/>
            </w:tcBorders>
            <w:shd w:val="clear" w:color="000000" w:fill="FFFFFF"/>
            <w:vAlign w:val="center"/>
            <w:hideMark/>
          </w:tcPr>
          <w:p w:rsidR="003F081A" w:rsidRPr="00601E4A" w:rsidRDefault="003F081A" w:rsidP="003F081A">
            <w:pPr>
              <w:spacing w:after="0" w:line="240" w:lineRule="auto"/>
              <w:ind w:left="366"/>
              <w:rPr>
                <w:rFonts w:cs="Arial"/>
                <w:color w:val="000000"/>
                <w:sz w:val="16"/>
                <w:szCs w:val="16"/>
              </w:rPr>
            </w:pPr>
            <w:r w:rsidRPr="00601E4A">
              <w:rPr>
                <w:rFonts w:cs="Arial"/>
                <w:color w:val="000000"/>
                <w:sz w:val="16"/>
                <w:szCs w:val="16"/>
              </w:rPr>
              <w:t>družstva</w:t>
            </w: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zemědělské subjekty</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502</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1,9</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740</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2,8</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67,8</w:t>
            </w:r>
          </w:p>
        </w:tc>
      </w:tr>
      <w:tr w:rsidR="003F081A" w:rsidRPr="00601E4A" w:rsidTr="005C4AF7">
        <w:trPr>
          <w:trHeight w:val="241"/>
        </w:trPr>
        <w:tc>
          <w:tcPr>
            <w:tcW w:w="1940" w:type="dxa"/>
            <w:vMerge/>
            <w:tcBorders>
              <w:top w:val="nil"/>
              <w:left w:val="nil"/>
              <w:bottom w:val="nil"/>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obhospodařovaná zemědělská půda (ha)</w:t>
            </w:r>
          </w:p>
        </w:tc>
        <w:tc>
          <w:tcPr>
            <w:tcW w:w="913"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668 104</w:t>
            </w:r>
          </w:p>
        </w:tc>
        <w:tc>
          <w:tcPr>
            <w:tcW w:w="914" w:type="dxa"/>
            <w:tcBorders>
              <w:top w:val="nil"/>
              <w:left w:val="nil"/>
              <w:bottom w:val="nil"/>
              <w:right w:val="single" w:sz="4" w:space="0" w:color="auto"/>
            </w:tcBorders>
            <w:shd w:val="clear" w:color="000000" w:fill="FFFFFF"/>
            <w:noWrap/>
            <w:vAlign w:val="center"/>
            <w:hideMark/>
          </w:tcPr>
          <w:p w:rsidR="003F081A" w:rsidRDefault="003F081A" w:rsidP="003F081A">
            <w:pPr>
              <w:spacing w:after="0" w:line="240" w:lineRule="auto"/>
              <w:jc w:val="right"/>
              <w:rPr>
                <w:rFonts w:cs="Arial"/>
                <w:color w:val="000000"/>
                <w:sz w:val="16"/>
                <w:szCs w:val="16"/>
              </w:rPr>
            </w:pPr>
            <w:r>
              <w:rPr>
                <w:rFonts w:cs="Arial"/>
                <w:color w:val="000000"/>
                <w:sz w:val="16"/>
                <w:szCs w:val="16"/>
              </w:rPr>
              <w:t>19,3</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1 059 447</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29,4</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63,1</w:t>
            </w:r>
          </w:p>
        </w:tc>
      </w:tr>
      <w:tr w:rsidR="003F081A" w:rsidRPr="00601E4A" w:rsidTr="005C4AF7">
        <w:trPr>
          <w:trHeight w:val="241"/>
        </w:trPr>
        <w:tc>
          <w:tcPr>
            <w:tcW w:w="1940" w:type="dxa"/>
            <w:vMerge/>
            <w:tcBorders>
              <w:top w:val="nil"/>
              <w:left w:val="nil"/>
              <w:bottom w:val="nil"/>
              <w:right w:val="single" w:sz="4" w:space="0" w:color="auto"/>
            </w:tcBorders>
            <w:vAlign w:val="center"/>
            <w:hideMark/>
          </w:tcPr>
          <w:p w:rsidR="003F081A" w:rsidRPr="00601E4A" w:rsidRDefault="003F081A" w:rsidP="003F081A">
            <w:pPr>
              <w:spacing w:after="0" w:line="240" w:lineRule="auto"/>
              <w:rPr>
                <w:rFonts w:cs="Arial"/>
                <w:color w:val="000000"/>
                <w:sz w:val="16"/>
                <w:szCs w:val="16"/>
              </w:rPr>
            </w:pPr>
          </w:p>
        </w:tc>
        <w:tc>
          <w:tcPr>
            <w:tcW w:w="3140" w:type="dxa"/>
            <w:tcBorders>
              <w:top w:val="nil"/>
              <w:left w:val="nil"/>
              <w:bottom w:val="nil"/>
              <w:right w:val="single" w:sz="4" w:space="0" w:color="auto"/>
            </w:tcBorders>
            <w:shd w:val="clear" w:color="000000" w:fill="FFFFFF"/>
            <w:vAlign w:val="bottom"/>
            <w:hideMark/>
          </w:tcPr>
          <w:p w:rsidR="003F081A" w:rsidRPr="00601E4A" w:rsidRDefault="003F081A" w:rsidP="003F081A">
            <w:pPr>
              <w:spacing w:after="0" w:line="240" w:lineRule="auto"/>
              <w:rPr>
                <w:rFonts w:cs="Arial"/>
                <w:color w:val="000000"/>
                <w:sz w:val="16"/>
                <w:szCs w:val="16"/>
              </w:rPr>
            </w:pPr>
            <w:r w:rsidRPr="00601E4A">
              <w:rPr>
                <w:rFonts w:cs="Arial"/>
                <w:color w:val="000000"/>
                <w:sz w:val="16"/>
                <w:szCs w:val="16"/>
              </w:rPr>
              <w:t>průměrná výměra (ha)</w:t>
            </w:r>
          </w:p>
        </w:tc>
        <w:tc>
          <w:tcPr>
            <w:tcW w:w="913"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 xml:space="preserve">1 </w:t>
            </w:r>
            <w:r>
              <w:rPr>
                <w:rFonts w:cs="Arial"/>
                <w:color w:val="000000"/>
                <w:sz w:val="16"/>
                <w:szCs w:val="16"/>
              </w:rPr>
              <w:t>331</w:t>
            </w:r>
          </w:p>
        </w:tc>
        <w:tc>
          <w:tcPr>
            <w:tcW w:w="914" w:type="dxa"/>
            <w:tcBorders>
              <w:top w:val="nil"/>
              <w:left w:val="single" w:sz="4" w:space="0" w:color="auto"/>
              <w:bottom w:val="nil"/>
              <w:right w:val="single" w:sz="4" w:space="0" w:color="auto"/>
            </w:tcBorders>
            <w:shd w:val="clear" w:color="000000" w:fill="FFFFFF"/>
            <w:noWrap/>
            <w:vAlign w:val="center"/>
            <w:hideMark/>
          </w:tcPr>
          <w:p w:rsidR="003F081A" w:rsidRDefault="003F081A" w:rsidP="003F081A">
            <w:pPr>
              <w:spacing w:after="0" w:line="240" w:lineRule="auto"/>
              <w:jc w:val="center"/>
              <w:rPr>
                <w:rFonts w:cs="Arial"/>
                <w:color w:val="000000"/>
                <w:sz w:val="16"/>
                <w:szCs w:val="16"/>
              </w:rPr>
            </w:pPr>
            <w:r>
              <w:rPr>
                <w:rFonts w:cs="Arial"/>
                <w:color w:val="000000"/>
                <w:sz w:val="16"/>
                <w:szCs w:val="16"/>
              </w:rPr>
              <w:t>x</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1 432</w:t>
            </w:r>
          </w:p>
        </w:tc>
        <w:tc>
          <w:tcPr>
            <w:tcW w:w="914"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line="240" w:lineRule="auto"/>
              <w:jc w:val="center"/>
              <w:rPr>
                <w:rFonts w:cs="Arial"/>
                <w:color w:val="000000"/>
                <w:sz w:val="16"/>
                <w:szCs w:val="16"/>
              </w:rPr>
            </w:pPr>
            <w:r w:rsidRPr="00601E4A">
              <w:rPr>
                <w:rFonts w:cs="Arial"/>
                <w:color w:val="000000"/>
                <w:sz w:val="16"/>
                <w:szCs w:val="16"/>
              </w:rPr>
              <w:t>x</w:t>
            </w:r>
          </w:p>
        </w:tc>
        <w:tc>
          <w:tcPr>
            <w:tcW w:w="914" w:type="dxa"/>
            <w:tcBorders>
              <w:top w:val="nil"/>
              <w:left w:val="nil"/>
              <w:bottom w:val="nil"/>
              <w:right w:val="nil"/>
            </w:tcBorders>
            <w:shd w:val="clear" w:color="000000" w:fill="FFFFFF"/>
            <w:noWrap/>
            <w:vAlign w:val="center"/>
            <w:hideMark/>
          </w:tcPr>
          <w:p w:rsidR="003F081A" w:rsidRPr="00601E4A" w:rsidRDefault="003F081A" w:rsidP="003F081A">
            <w:pPr>
              <w:spacing w:after="0" w:line="240" w:lineRule="auto"/>
              <w:jc w:val="right"/>
              <w:rPr>
                <w:rFonts w:cs="Arial"/>
                <w:color w:val="000000"/>
                <w:sz w:val="16"/>
                <w:szCs w:val="16"/>
              </w:rPr>
            </w:pPr>
            <w:r w:rsidRPr="00601E4A">
              <w:rPr>
                <w:rFonts w:cs="Arial"/>
                <w:color w:val="000000"/>
                <w:sz w:val="16"/>
                <w:szCs w:val="16"/>
              </w:rPr>
              <w:t>93,0</w:t>
            </w:r>
          </w:p>
        </w:tc>
      </w:tr>
    </w:tbl>
    <w:p w:rsidR="003F081A" w:rsidRPr="00601E4A" w:rsidRDefault="003F081A" w:rsidP="003F081A">
      <w:pPr>
        <w:autoSpaceDE w:val="0"/>
        <w:autoSpaceDN w:val="0"/>
        <w:adjustRightInd w:val="0"/>
        <w:spacing w:after="0"/>
        <w:rPr>
          <w:rFonts w:cs="Arial"/>
          <w:b/>
          <w:bCs/>
          <w:color w:val="000000"/>
          <w:szCs w:val="20"/>
        </w:rPr>
      </w:pPr>
    </w:p>
    <w:p w:rsidR="003F081A" w:rsidRPr="00F51714" w:rsidRDefault="00F51714" w:rsidP="00537EDF">
      <w:pPr>
        <w:autoSpaceDE w:val="0"/>
        <w:autoSpaceDN w:val="0"/>
        <w:adjustRightInd w:val="0"/>
        <w:spacing w:after="120"/>
        <w:jc w:val="both"/>
        <w:rPr>
          <w:rFonts w:cs="Arial"/>
          <w:b/>
          <w:bCs/>
          <w:color w:val="0071BC"/>
          <w:sz w:val="28"/>
          <w:szCs w:val="20"/>
        </w:rPr>
      </w:pPr>
      <w:r w:rsidRPr="00F51714">
        <w:rPr>
          <w:rFonts w:cs="Arial"/>
          <w:b/>
          <w:bCs/>
          <w:color w:val="0071BC"/>
          <w:sz w:val="28"/>
          <w:szCs w:val="20"/>
        </w:rPr>
        <w:t xml:space="preserve">Velikostní struktura zemědělských subjektů </w:t>
      </w:r>
    </w:p>
    <w:p w:rsidR="003F081A" w:rsidRPr="00601E4A" w:rsidRDefault="003F081A" w:rsidP="00537EDF">
      <w:pPr>
        <w:spacing w:after="0"/>
        <w:ind w:firstLine="709"/>
        <w:jc w:val="both"/>
        <w:rPr>
          <w:rFonts w:cs="Arial"/>
        </w:rPr>
      </w:pPr>
      <w:r w:rsidRPr="00601E4A">
        <w:rPr>
          <w:rFonts w:cs="Arial"/>
        </w:rPr>
        <w:t>Zemědělská půda byla z 69,9 % obhospodařována subjekty právnických osob; od roku 2000 došlo k jejímu přesunu do subjektů fyzických osob v rozsahu 4,5 procentního bodu.</w:t>
      </w:r>
    </w:p>
    <w:p w:rsidR="003F081A" w:rsidRPr="00601E4A" w:rsidRDefault="003F081A" w:rsidP="00537EDF">
      <w:pPr>
        <w:spacing w:after="0"/>
        <w:ind w:firstLine="709"/>
        <w:jc w:val="both"/>
        <w:rPr>
          <w:rFonts w:cs="Arial"/>
        </w:rPr>
      </w:pPr>
      <w:r w:rsidRPr="00601E4A">
        <w:rPr>
          <w:rFonts w:cs="Arial"/>
        </w:rPr>
        <w:t>Nejpočetněji byla zastoupena velikostní kategorie o výměře 10</w:t>
      </w:r>
      <w:r w:rsidRPr="00601E4A">
        <w:rPr>
          <w:rFonts w:ascii="Times New Roman" w:hAnsi="Times New Roman"/>
        </w:rPr>
        <w:t>–</w:t>
      </w:r>
      <w:r w:rsidRPr="00601E4A">
        <w:rPr>
          <w:rFonts w:cs="Arial"/>
        </w:rPr>
        <w:t xml:space="preserve">50 hektarů (34,8 %), nejméně subjektů bylo v obou krajních kategoriích: subjekty s více než 2 000 hektary (1,1 %) a subjekty hospodařící bez půdy (1,3 %). Subjekty s výměrami nad 500 ha, tvořící pouze 6,6% podíl z celkového počtu, hospodařily na 68,6 % výměry půdy. Naopak subjekty s výměrami do 50 ha zaujímaly 73,0% podíl na celkovém počtu, ale jen 7,5% podíl na výměře obhospodařované zemědělské půdy. </w:t>
      </w:r>
    </w:p>
    <w:p w:rsidR="003F081A" w:rsidRPr="00601E4A" w:rsidRDefault="003F081A" w:rsidP="00537EDF">
      <w:pPr>
        <w:spacing w:after="0"/>
        <w:ind w:firstLine="709"/>
        <w:jc w:val="both"/>
        <w:rPr>
          <w:rFonts w:cs="Arial"/>
          <w:strike/>
        </w:rPr>
      </w:pPr>
      <w:r w:rsidRPr="00601E4A">
        <w:rPr>
          <w:rFonts w:cs="Arial"/>
        </w:rPr>
        <w:t>Subjekty fyzických osob obvykle obhospodařují menší výměry než subjekty právnických osob. Například kategorii subjektů do 50 ha výměry tvořily v roce 201</w:t>
      </w:r>
      <w:r>
        <w:rPr>
          <w:rFonts w:cs="Arial"/>
        </w:rPr>
        <w:t>6</w:t>
      </w:r>
      <w:r w:rsidRPr="00601E4A">
        <w:rPr>
          <w:rFonts w:cs="Arial"/>
        </w:rPr>
        <w:t xml:space="preserve"> z 96,5 % fyzické osoby a z pouhých 3,5 % právnické osoby, naproti tomu v kategorii nad 500 ha dominovaly právnické osoby představující 86,1 % subjektů. Od roku 2000 </w:t>
      </w:r>
      <w:r>
        <w:rPr>
          <w:rFonts w:cs="Arial"/>
        </w:rPr>
        <w:t>ubylo</w:t>
      </w:r>
      <w:r w:rsidRPr="00601E4A">
        <w:rPr>
          <w:rFonts w:cs="Arial"/>
        </w:rPr>
        <w:t xml:space="preserve"> subjektů do 50 ha výměry (</w:t>
      </w:r>
      <w:proofErr w:type="gramStart"/>
      <w:r w:rsidRPr="00601E4A">
        <w:rPr>
          <w:rFonts w:cs="Arial"/>
          <w:color w:val="000000"/>
          <w:sz w:val="18"/>
          <w:szCs w:val="20"/>
        </w:rPr>
        <w:t>−</w:t>
      </w:r>
      <w:r>
        <w:rPr>
          <w:rFonts w:cs="Arial"/>
        </w:rPr>
        <w:t>5</w:t>
      </w:r>
      <w:r w:rsidRPr="00601E4A">
        <w:rPr>
          <w:rFonts w:cs="Arial"/>
        </w:rPr>
        <w:t>,</w:t>
      </w:r>
      <w:r>
        <w:rPr>
          <w:rFonts w:cs="Arial"/>
        </w:rPr>
        <w:t>3</w:t>
      </w:r>
      <w:r w:rsidRPr="00601E4A">
        <w:rPr>
          <w:rFonts w:cs="Arial"/>
        </w:rPr>
        <w:t> p.</w:t>
      </w:r>
      <w:proofErr w:type="gramEnd"/>
      <w:r w:rsidRPr="00601E4A">
        <w:rPr>
          <w:rFonts w:cs="Arial"/>
        </w:rPr>
        <w:t> </w:t>
      </w:r>
      <w:proofErr w:type="spellStart"/>
      <w:r w:rsidRPr="00601E4A">
        <w:rPr>
          <w:rFonts w:cs="Arial"/>
        </w:rPr>
        <w:t>b</w:t>
      </w:r>
      <w:proofErr w:type="spellEnd"/>
      <w:r w:rsidRPr="00601E4A">
        <w:rPr>
          <w:rFonts w:cs="Arial"/>
        </w:rPr>
        <w:t xml:space="preserve">.) </w:t>
      </w:r>
      <w:r>
        <w:rPr>
          <w:rFonts w:cs="Arial"/>
        </w:rPr>
        <w:t xml:space="preserve">i </w:t>
      </w:r>
      <w:r w:rsidRPr="00601E4A">
        <w:rPr>
          <w:rFonts w:cs="Arial"/>
        </w:rPr>
        <w:t>subjektů nad 500 ha (</w:t>
      </w:r>
      <w:r w:rsidRPr="00601E4A">
        <w:rPr>
          <w:rFonts w:cs="Arial"/>
          <w:color w:val="000000"/>
          <w:sz w:val="18"/>
          <w:szCs w:val="20"/>
        </w:rPr>
        <w:t>−</w:t>
      </w:r>
      <w:r w:rsidRPr="00601E4A">
        <w:rPr>
          <w:rFonts w:cs="Arial"/>
        </w:rPr>
        <w:t>0,5 p. </w:t>
      </w:r>
      <w:proofErr w:type="spellStart"/>
      <w:r w:rsidRPr="00601E4A">
        <w:rPr>
          <w:rFonts w:cs="Arial"/>
        </w:rPr>
        <w:t>b</w:t>
      </w:r>
      <w:proofErr w:type="spellEnd"/>
      <w:r w:rsidRPr="00601E4A">
        <w:rPr>
          <w:rFonts w:cs="Arial"/>
        </w:rPr>
        <w:t>.).</w:t>
      </w:r>
    </w:p>
    <w:p w:rsidR="003F081A" w:rsidRDefault="003F081A" w:rsidP="00537EDF">
      <w:pPr>
        <w:spacing w:after="0"/>
        <w:jc w:val="both"/>
        <w:rPr>
          <w:rFonts w:cs="Arial"/>
          <w:b/>
        </w:rPr>
      </w:pPr>
    </w:p>
    <w:p w:rsidR="003F081A" w:rsidRDefault="003F081A" w:rsidP="00537EDF">
      <w:pPr>
        <w:spacing w:after="0" w:line="240" w:lineRule="auto"/>
        <w:jc w:val="both"/>
        <w:rPr>
          <w:rFonts w:cs="Arial"/>
          <w:b/>
        </w:rPr>
      </w:pPr>
      <w:r>
        <w:rPr>
          <w:rFonts w:cs="Arial"/>
          <w:b/>
        </w:rPr>
        <w:br w:type="page"/>
      </w:r>
    </w:p>
    <w:p w:rsidR="003F081A" w:rsidRPr="00F249FF" w:rsidRDefault="003F081A" w:rsidP="00537EDF">
      <w:pPr>
        <w:spacing w:after="0"/>
        <w:jc w:val="both"/>
        <w:rPr>
          <w:rFonts w:cs="Arial"/>
          <w:b/>
        </w:rPr>
      </w:pPr>
      <w:r w:rsidRPr="00F249FF">
        <w:rPr>
          <w:rFonts w:cs="Arial"/>
          <w:b/>
        </w:rPr>
        <w:lastRenderedPageBreak/>
        <w:t>Graf 1: Struktura zemědělských subjektů</w:t>
      </w:r>
    </w:p>
    <w:p w:rsidR="003F081A" w:rsidRPr="00601E4A" w:rsidRDefault="003F081A" w:rsidP="00537EDF">
      <w:pPr>
        <w:spacing w:after="0"/>
        <w:jc w:val="both"/>
        <w:rPr>
          <w:rFonts w:cs="Arial"/>
        </w:rPr>
      </w:pPr>
      <w:r w:rsidRPr="00601E4A">
        <w:rPr>
          <w:noProof/>
        </w:rPr>
        <w:drawing>
          <wp:inline distT="0" distB="0" distL="0" distR="0">
            <wp:extent cx="5780405" cy="31883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80405" cy="3188335"/>
                    </a:xfrm>
                    <a:prstGeom prst="rect">
                      <a:avLst/>
                    </a:prstGeom>
                    <a:noFill/>
                    <a:ln w="9525">
                      <a:noFill/>
                      <a:miter lim="800000"/>
                      <a:headEnd/>
                      <a:tailEnd/>
                    </a:ln>
                  </pic:spPr>
                </pic:pic>
              </a:graphicData>
            </a:graphic>
          </wp:inline>
        </w:drawing>
      </w:r>
    </w:p>
    <w:p w:rsidR="003F081A" w:rsidRPr="00601E4A" w:rsidRDefault="003F081A" w:rsidP="00537EDF">
      <w:pPr>
        <w:autoSpaceDE w:val="0"/>
        <w:autoSpaceDN w:val="0"/>
        <w:adjustRightInd w:val="0"/>
        <w:spacing w:after="0"/>
        <w:jc w:val="both"/>
        <w:rPr>
          <w:rFonts w:cs="Arial"/>
          <w:b/>
          <w:bCs/>
          <w:color w:val="000000"/>
          <w:szCs w:val="20"/>
        </w:rPr>
      </w:pPr>
    </w:p>
    <w:p w:rsidR="003F081A" w:rsidRPr="00F51714" w:rsidRDefault="00F51714" w:rsidP="00537EDF">
      <w:pPr>
        <w:autoSpaceDE w:val="0"/>
        <w:autoSpaceDN w:val="0"/>
        <w:adjustRightInd w:val="0"/>
        <w:spacing w:after="120"/>
        <w:jc w:val="both"/>
        <w:rPr>
          <w:rFonts w:cs="Arial"/>
          <w:b/>
          <w:bCs/>
          <w:color w:val="0071BC"/>
          <w:sz w:val="28"/>
          <w:szCs w:val="20"/>
        </w:rPr>
      </w:pPr>
      <w:r w:rsidRPr="00F51714">
        <w:rPr>
          <w:rFonts w:cs="Arial"/>
          <w:b/>
          <w:bCs/>
          <w:color w:val="0071BC"/>
          <w:sz w:val="28"/>
          <w:szCs w:val="20"/>
        </w:rPr>
        <w:t xml:space="preserve">Průměrná výměra zemědělského subjektu </w:t>
      </w:r>
    </w:p>
    <w:p w:rsidR="003F081A" w:rsidRPr="00601E4A" w:rsidRDefault="003F081A" w:rsidP="00537EDF">
      <w:pPr>
        <w:spacing w:after="0"/>
        <w:ind w:firstLine="709"/>
        <w:jc w:val="both"/>
        <w:rPr>
          <w:rFonts w:cs="Arial"/>
        </w:rPr>
      </w:pPr>
      <w:r w:rsidRPr="00601E4A">
        <w:rPr>
          <w:rFonts w:cs="Arial"/>
        </w:rPr>
        <w:t>Průměrná výměra zemědělského subjektu v období 2000–2016 klesla ze 136 na 130 ha. V subjektech fyzických osob přitom vzrostla o 1</w:t>
      </w:r>
      <w:r>
        <w:rPr>
          <w:rFonts w:cs="Arial"/>
        </w:rPr>
        <w:t>4</w:t>
      </w:r>
      <w:r w:rsidRPr="00601E4A">
        <w:rPr>
          <w:rFonts w:cs="Arial"/>
        </w:rPr>
        <w:t>,</w:t>
      </w:r>
      <w:r>
        <w:rPr>
          <w:rFonts w:cs="Arial"/>
        </w:rPr>
        <w:t>1</w:t>
      </w:r>
      <w:r w:rsidRPr="00601E4A">
        <w:rPr>
          <w:rFonts w:cs="Arial"/>
        </w:rPr>
        <w:t> % (z 39 ha na 44 ha) a v subjektech právnických osob klesla o 18,5 % (z 949 ha na 774 ha). V jejich rámci se nejvíce snížila ve společnostech s ručením omezeným (</w:t>
      </w:r>
      <w:proofErr w:type="gramStart"/>
      <w:r w:rsidRPr="00601E4A">
        <w:rPr>
          <w:rFonts w:cs="Arial"/>
          <w:sz w:val="18"/>
        </w:rPr>
        <w:t>−</w:t>
      </w:r>
      <w:r w:rsidRPr="00601E4A">
        <w:rPr>
          <w:rFonts w:cs="Arial"/>
        </w:rPr>
        <w:t>23,5 %);</w:t>
      </w:r>
      <w:proofErr w:type="gramEnd"/>
      <w:r w:rsidRPr="00601E4A">
        <w:rPr>
          <w:rFonts w:cs="Arial"/>
        </w:rPr>
        <w:t xml:space="preserve"> výjimkou byly akciové společnosti, v nichž se zvýšila o 7,</w:t>
      </w:r>
      <w:r>
        <w:rPr>
          <w:rFonts w:cs="Arial"/>
        </w:rPr>
        <w:t>3</w:t>
      </w:r>
      <w:r w:rsidRPr="00601E4A">
        <w:rPr>
          <w:rFonts w:cs="Arial"/>
        </w:rPr>
        <w:t xml:space="preserve"> %. </w:t>
      </w:r>
    </w:p>
    <w:p w:rsidR="003F081A" w:rsidRPr="00601E4A" w:rsidRDefault="003F081A" w:rsidP="00537EDF">
      <w:pPr>
        <w:spacing w:after="0"/>
        <w:jc w:val="both"/>
        <w:rPr>
          <w:rFonts w:cs="Arial"/>
          <w:b/>
          <w:bCs/>
          <w:color w:val="000000"/>
          <w:szCs w:val="20"/>
        </w:rPr>
      </w:pPr>
    </w:p>
    <w:p w:rsidR="003F081A" w:rsidRPr="00F51714" w:rsidRDefault="00F51714" w:rsidP="00537EDF">
      <w:pPr>
        <w:autoSpaceDE w:val="0"/>
        <w:autoSpaceDN w:val="0"/>
        <w:adjustRightInd w:val="0"/>
        <w:spacing w:after="120"/>
        <w:jc w:val="both"/>
        <w:rPr>
          <w:rFonts w:cs="Arial"/>
          <w:b/>
          <w:bCs/>
          <w:color w:val="0071BC"/>
          <w:sz w:val="28"/>
          <w:szCs w:val="20"/>
        </w:rPr>
      </w:pPr>
      <w:r w:rsidRPr="00F51714">
        <w:rPr>
          <w:rFonts w:cs="Arial"/>
          <w:b/>
          <w:bCs/>
          <w:color w:val="0071BC"/>
          <w:sz w:val="28"/>
          <w:szCs w:val="20"/>
        </w:rPr>
        <w:t>Ekologické zemědělství</w:t>
      </w:r>
    </w:p>
    <w:p w:rsidR="003F081A" w:rsidRPr="00601E4A" w:rsidRDefault="003F081A" w:rsidP="00537EDF">
      <w:pPr>
        <w:spacing w:after="0"/>
        <w:ind w:firstLine="709"/>
        <w:jc w:val="both"/>
        <w:rPr>
          <w:rFonts w:cs="Arial"/>
        </w:rPr>
      </w:pPr>
      <w:r w:rsidRPr="00601E4A">
        <w:rPr>
          <w:rFonts w:cs="Arial"/>
        </w:rPr>
        <w:t xml:space="preserve">Ekologickým zemědělstvím se v roce 2016 zabývalo celkem 2 984 zemědělských subjektů. Ekologicky bylo obhospodařováno 448 228 ha zemědělské půdy (13,0 % celkové výměry). Ve srovnání s rokem 2000, kdy ekologicky hospodařilo pouze 413 subjektů na 132 244 ha zemědělské půdy, vzrostl počet ekologicky hospodařících subjektů na </w:t>
      </w:r>
      <w:r>
        <w:rPr>
          <w:rFonts w:cs="Arial"/>
        </w:rPr>
        <w:t xml:space="preserve">více než </w:t>
      </w:r>
      <w:r w:rsidRPr="00601E4A">
        <w:rPr>
          <w:rFonts w:cs="Arial"/>
        </w:rPr>
        <w:t>sedminásobek a výměra ekologicky obhospodařované půdy se zvýšila</w:t>
      </w:r>
      <w:r>
        <w:rPr>
          <w:rFonts w:cs="Arial"/>
        </w:rPr>
        <w:t xml:space="preserve"> téměř</w:t>
      </w:r>
      <w:r w:rsidRPr="00601E4A">
        <w:rPr>
          <w:rFonts w:cs="Arial"/>
        </w:rPr>
        <w:t xml:space="preserve"> třiapůlkrát.</w:t>
      </w:r>
    </w:p>
    <w:p w:rsidR="003F081A" w:rsidRPr="00601E4A" w:rsidRDefault="003F081A" w:rsidP="00537EDF">
      <w:pPr>
        <w:spacing w:after="0"/>
        <w:ind w:firstLine="709"/>
        <w:jc w:val="both"/>
        <w:rPr>
          <w:rFonts w:cs="Arial"/>
        </w:rPr>
      </w:pPr>
    </w:p>
    <w:p w:rsidR="003F081A" w:rsidRPr="00F249FF" w:rsidRDefault="003F081A" w:rsidP="003F081A">
      <w:pPr>
        <w:spacing w:after="0"/>
        <w:rPr>
          <w:rFonts w:cs="Arial"/>
          <w:b/>
        </w:rPr>
      </w:pPr>
      <w:r w:rsidRPr="00F249FF">
        <w:rPr>
          <w:rFonts w:cs="Arial"/>
          <w:b/>
        </w:rPr>
        <w:t>Tab</w:t>
      </w:r>
      <w:r>
        <w:rPr>
          <w:rFonts w:cs="Arial"/>
          <w:b/>
        </w:rPr>
        <w:t>.</w:t>
      </w:r>
      <w:r w:rsidRPr="00F249FF">
        <w:rPr>
          <w:rFonts w:cs="Arial"/>
          <w:b/>
        </w:rPr>
        <w:t xml:space="preserve"> 2: Ekologicky hospodařící zemědělské subjekty a jejich zemědělská půda</w:t>
      </w:r>
    </w:p>
    <w:tbl>
      <w:tblPr>
        <w:tblW w:w="9480" w:type="dxa"/>
        <w:tblInd w:w="60" w:type="dxa"/>
        <w:tblCellMar>
          <w:left w:w="70" w:type="dxa"/>
          <w:right w:w="70" w:type="dxa"/>
        </w:tblCellMar>
        <w:tblLook w:val="04A0"/>
      </w:tblPr>
      <w:tblGrid>
        <w:gridCol w:w="4280"/>
        <w:gridCol w:w="1040"/>
        <w:gridCol w:w="1040"/>
        <w:gridCol w:w="1040"/>
        <w:gridCol w:w="1040"/>
        <w:gridCol w:w="1040"/>
      </w:tblGrid>
      <w:tr w:rsidR="003F081A" w:rsidRPr="00F249FF" w:rsidTr="005C4AF7">
        <w:trPr>
          <w:trHeight w:val="300"/>
        </w:trPr>
        <w:tc>
          <w:tcPr>
            <w:tcW w:w="4280" w:type="dxa"/>
            <w:vMerge w:val="restart"/>
            <w:tcBorders>
              <w:top w:val="single" w:sz="8" w:space="0" w:color="auto"/>
              <w:left w:val="nil"/>
              <w:bottom w:val="single" w:sz="8" w:space="0" w:color="000000"/>
              <w:right w:val="single" w:sz="4" w:space="0" w:color="auto"/>
            </w:tcBorders>
            <w:shd w:val="clear" w:color="auto" w:fill="D9EAF5"/>
            <w:vAlign w:val="center"/>
            <w:hideMark/>
          </w:tcPr>
          <w:p w:rsidR="003F081A" w:rsidRPr="00F249FF" w:rsidRDefault="003F081A" w:rsidP="003F081A">
            <w:pPr>
              <w:spacing w:after="0"/>
              <w:rPr>
                <w:rFonts w:cs="Arial"/>
                <w:b/>
                <w:color w:val="000000"/>
                <w:sz w:val="16"/>
                <w:szCs w:val="16"/>
              </w:rPr>
            </w:pPr>
            <w:r w:rsidRPr="00F249FF">
              <w:rPr>
                <w:rFonts w:cs="Arial"/>
                <w:b/>
                <w:color w:val="000000"/>
                <w:sz w:val="16"/>
                <w:szCs w:val="16"/>
              </w:rPr>
              <w:t> </w:t>
            </w:r>
          </w:p>
        </w:tc>
        <w:tc>
          <w:tcPr>
            <w:tcW w:w="2080" w:type="dxa"/>
            <w:gridSpan w:val="2"/>
            <w:tcBorders>
              <w:top w:val="single" w:sz="8" w:space="0" w:color="auto"/>
              <w:left w:val="nil"/>
              <w:bottom w:val="single" w:sz="4" w:space="0" w:color="auto"/>
              <w:right w:val="single" w:sz="4" w:space="0" w:color="auto"/>
            </w:tcBorders>
            <w:shd w:val="clear" w:color="auto" w:fill="D9EAF5"/>
            <w:vAlign w:val="center"/>
            <w:hideMark/>
          </w:tcPr>
          <w:p w:rsidR="003F081A" w:rsidRPr="00F249FF" w:rsidRDefault="003F081A" w:rsidP="003F081A">
            <w:pPr>
              <w:spacing w:after="0"/>
              <w:jc w:val="center"/>
              <w:rPr>
                <w:rFonts w:cs="Arial"/>
                <w:b/>
                <w:color w:val="000000"/>
                <w:sz w:val="16"/>
                <w:szCs w:val="16"/>
              </w:rPr>
            </w:pPr>
            <w:r w:rsidRPr="00F249FF">
              <w:rPr>
                <w:rFonts w:cs="Arial"/>
                <w:b/>
                <w:color w:val="000000"/>
                <w:sz w:val="16"/>
                <w:szCs w:val="16"/>
              </w:rPr>
              <w:t>FSS 2016</w:t>
            </w:r>
          </w:p>
        </w:tc>
        <w:tc>
          <w:tcPr>
            <w:tcW w:w="2080" w:type="dxa"/>
            <w:gridSpan w:val="2"/>
            <w:tcBorders>
              <w:top w:val="single" w:sz="8" w:space="0" w:color="auto"/>
              <w:left w:val="nil"/>
              <w:bottom w:val="single" w:sz="4" w:space="0" w:color="auto"/>
              <w:right w:val="single" w:sz="4" w:space="0" w:color="auto"/>
            </w:tcBorders>
            <w:shd w:val="clear" w:color="auto" w:fill="D9EAF5"/>
            <w:vAlign w:val="center"/>
            <w:hideMark/>
          </w:tcPr>
          <w:p w:rsidR="003F081A" w:rsidRPr="00F249FF" w:rsidRDefault="003F081A" w:rsidP="003F081A">
            <w:pPr>
              <w:spacing w:after="0"/>
              <w:jc w:val="center"/>
              <w:rPr>
                <w:rFonts w:cs="Arial"/>
                <w:b/>
                <w:color w:val="000000"/>
                <w:sz w:val="16"/>
                <w:szCs w:val="16"/>
              </w:rPr>
            </w:pPr>
            <w:r w:rsidRPr="00F249FF">
              <w:rPr>
                <w:rFonts w:cs="Arial"/>
                <w:b/>
                <w:color w:val="000000"/>
                <w:sz w:val="16"/>
                <w:szCs w:val="16"/>
              </w:rPr>
              <w:t>AGC 2000</w:t>
            </w:r>
          </w:p>
        </w:tc>
        <w:tc>
          <w:tcPr>
            <w:tcW w:w="1040" w:type="dxa"/>
            <w:vMerge w:val="restart"/>
            <w:tcBorders>
              <w:top w:val="single" w:sz="8" w:space="0" w:color="auto"/>
              <w:left w:val="single" w:sz="4" w:space="0" w:color="auto"/>
              <w:bottom w:val="single" w:sz="8" w:space="0" w:color="000000"/>
              <w:right w:val="nil"/>
            </w:tcBorders>
            <w:shd w:val="clear" w:color="auto" w:fill="D9EAF5"/>
            <w:vAlign w:val="center"/>
            <w:hideMark/>
          </w:tcPr>
          <w:p w:rsidR="003F081A" w:rsidRPr="00F249FF" w:rsidRDefault="003F081A" w:rsidP="003F081A">
            <w:pPr>
              <w:spacing w:after="0"/>
              <w:jc w:val="center"/>
              <w:rPr>
                <w:rFonts w:cs="Arial"/>
                <w:b/>
                <w:color w:val="000000"/>
                <w:sz w:val="16"/>
                <w:szCs w:val="16"/>
              </w:rPr>
            </w:pPr>
            <w:r w:rsidRPr="00F249FF">
              <w:rPr>
                <w:rFonts w:cs="Arial"/>
                <w:b/>
                <w:color w:val="000000"/>
                <w:sz w:val="16"/>
                <w:szCs w:val="16"/>
              </w:rPr>
              <w:t>Index 2016/2000</w:t>
            </w:r>
          </w:p>
        </w:tc>
      </w:tr>
      <w:tr w:rsidR="003F081A" w:rsidRPr="00F249FF" w:rsidTr="005C4AF7">
        <w:trPr>
          <w:trHeight w:val="300"/>
        </w:trPr>
        <w:tc>
          <w:tcPr>
            <w:tcW w:w="4280" w:type="dxa"/>
            <w:vMerge/>
            <w:tcBorders>
              <w:top w:val="single" w:sz="8" w:space="0" w:color="auto"/>
              <w:left w:val="nil"/>
              <w:bottom w:val="single" w:sz="8" w:space="0" w:color="000000"/>
              <w:right w:val="single" w:sz="4" w:space="0" w:color="auto"/>
            </w:tcBorders>
            <w:shd w:val="clear" w:color="auto" w:fill="D9EAF5"/>
            <w:vAlign w:val="center"/>
            <w:hideMark/>
          </w:tcPr>
          <w:p w:rsidR="003F081A" w:rsidRPr="00F249FF" w:rsidRDefault="003F081A" w:rsidP="003F081A">
            <w:pPr>
              <w:spacing w:after="0"/>
              <w:rPr>
                <w:rFonts w:cs="Arial"/>
                <w:b/>
                <w:color w:val="000000"/>
                <w:sz w:val="16"/>
                <w:szCs w:val="16"/>
              </w:rPr>
            </w:pPr>
          </w:p>
        </w:tc>
        <w:tc>
          <w:tcPr>
            <w:tcW w:w="1040" w:type="dxa"/>
            <w:tcBorders>
              <w:top w:val="nil"/>
              <w:left w:val="nil"/>
              <w:bottom w:val="single" w:sz="8" w:space="0" w:color="auto"/>
              <w:right w:val="single" w:sz="4" w:space="0" w:color="auto"/>
            </w:tcBorders>
            <w:shd w:val="clear" w:color="auto" w:fill="D9EAF5"/>
            <w:vAlign w:val="center"/>
            <w:hideMark/>
          </w:tcPr>
          <w:p w:rsidR="003F081A" w:rsidRPr="00F249FF" w:rsidRDefault="003F081A" w:rsidP="003F081A">
            <w:pPr>
              <w:spacing w:after="0"/>
              <w:jc w:val="center"/>
              <w:rPr>
                <w:rFonts w:cs="Arial"/>
                <w:b/>
                <w:color w:val="000000"/>
                <w:sz w:val="16"/>
                <w:szCs w:val="16"/>
              </w:rPr>
            </w:pPr>
            <w:proofErr w:type="spellStart"/>
            <w:r w:rsidRPr="00F249FF">
              <w:rPr>
                <w:rFonts w:cs="Arial"/>
                <w:b/>
                <w:color w:val="000000"/>
                <w:sz w:val="16"/>
                <w:szCs w:val="16"/>
              </w:rPr>
              <w:t>abs</w:t>
            </w:r>
            <w:proofErr w:type="spellEnd"/>
            <w:r w:rsidRPr="00F249FF">
              <w:rPr>
                <w:rFonts w:cs="Arial"/>
                <w:b/>
                <w:color w:val="000000"/>
                <w:sz w:val="16"/>
                <w:szCs w:val="16"/>
              </w:rPr>
              <w:t>.</w:t>
            </w:r>
          </w:p>
        </w:tc>
        <w:tc>
          <w:tcPr>
            <w:tcW w:w="1040" w:type="dxa"/>
            <w:tcBorders>
              <w:top w:val="nil"/>
              <w:left w:val="nil"/>
              <w:bottom w:val="single" w:sz="8" w:space="0" w:color="auto"/>
              <w:right w:val="single" w:sz="4" w:space="0" w:color="auto"/>
            </w:tcBorders>
            <w:shd w:val="clear" w:color="auto" w:fill="D9EAF5"/>
            <w:vAlign w:val="center"/>
            <w:hideMark/>
          </w:tcPr>
          <w:p w:rsidR="003F081A" w:rsidRPr="00F249FF" w:rsidRDefault="003F081A" w:rsidP="003F081A">
            <w:pPr>
              <w:spacing w:after="0"/>
              <w:jc w:val="center"/>
              <w:rPr>
                <w:rFonts w:cs="Arial"/>
                <w:b/>
                <w:color w:val="000000"/>
                <w:sz w:val="16"/>
                <w:szCs w:val="16"/>
              </w:rPr>
            </w:pPr>
            <w:r w:rsidRPr="00F249FF">
              <w:rPr>
                <w:rFonts w:cs="Arial"/>
                <w:b/>
                <w:color w:val="000000"/>
                <w:sz w:val="16"/>
                <w:szCs w:val="16"/>
              </w:rPr>
              <w:t>podíl (%)</w:t>
            </w:r>
          </w:p>
        </w:tc>
        <w:tc>
          <w:tcPr>
            <w:tcW w:w="1040" w:type="dxa"/>
            <w:tcBorders>
              <w:top w:val="nil"/>
              <w:left w:val="nil"/>
              <w:bottom w:val="single" w:sz="8" w:space="0" w:color="auto"/>
              <w:right w:val="single" w:sz="4" w:space="0" w:color="auto"/>
            </w:tcBorders>
            <w:shd w:val="clear" w:color="auto" w:fill="D9EAF5"/>
            <w:vAlign w:val="center"/>
            <w:hideMark/>
          </w:tcPr>
          <w:p w:rsidR="003F081A" w:rsidRPr="00F249FF" w:rsidRDefault="003F081A" w:rsidP="003F081A">
            <w:pPr>
              <w:spacing w:after="0"/>
              <w:jc w:val="center"/>
              <w:rPr>
                <w:rFonts w:cs="Arial"/>
                <w:b/>
                <w:color w:val="000000"/>
                <w:sz w:val="16"/>
                <w:szCs w:val="16"/>
              </w:rPr>
            </w:pPr>
            <w:proofErr w:type="spellStart"/>
            <w:r w:rsidRPr="00F249FF">
              <w:rPr>
                <w:rFonts w:cs="Arial"/>
                <w:b/>
                <w:color w:val="000000"/>
                <w:sz w:val="16"/>
                <w:szCs w:val="16"/>
              </w:rPr>
              <w:t>abs</w:t>
            </w:r>
            <w:proofErr w:type="spellEnd"/>
            <w:r w:rsidRPr="00F249FF">
              <w:rPr>
                <w:rFonts w:cs="Arial"/>
                <w:b/>
                <w:color w:val="000000"/>
                <w:sz w:val="16"/>
                <w:szCs w:val="16"/>
              </w:rPr>
              <w:t>.</w:t>
            </w:r>
          </w:p>
        </w:tc>
        <w:tc>
          <w:tcPr>
            <w:tcW w:w="1040" w:type="dxa"/>
            <w:tcBorders>
              <w:top w:val="nil"/>
              <w:left w:val="nil"/>
              <w:bottom w:val="single" w:sz="8" w:space="0" w:color="auto"/>
              <w:right w:val="single" w:sz="4" w:space="0" w:color="auto"/>
            </w:tcBorders>
            <w:shd w:val="clear" w:color="auto" w:fill="D9EAF5"/>
            <w:vAlign w:val="center"/>
            <w:hideMark/>
          </w:tcPr>
          <w:p w:rsidR="003F081A" w:rsidRPr="00F249FF" w:rsidRDefault="003F081A" w:rsidP="003F081A">
            <w:pPr>
              <w:spacing w:after="0"/>
              <w:jc w:val="center"/>
              <w:rPr>
                <w:rFonts w:cs="Arial"/>
                <w:b/>
                <w:color w:val="000000"/>
                <w:sz w:val="16"/>
                <w:szCs w:val="16"/>
              </w:rPr>
            </w:pPr>
            <w:r w:rsidRPr="00F249FF">
              <w:rPr>
                <w:rFonts w:cs="Arial"/>
                <w:b/>
                <w:color w:val="000000"/>
                <w:sz w:val="16"/>
                <w:szCs w:val="16"/>
              </w:rPr>
              <w:t>podíl (%)</w:t>
            </w:r>
          </w:p>
        </w:tc>
        <w:tc>
          <w:tcPr>
            <w:tcW w:w="1040" w:type="dxa"/>
            <w:vMerge/>
            <w:tcBorders>
              <w:top w:val="single" w:sz="8" w:space="0" w:color="auto"/>
              <w:left w:val="single" w:sz="4" w:space="0" w:color="auto"/>
              <w:bottom w:val="single" w:sz="8" w:space="0" w:color="000000"/>
              <w:right w:val="nil"/>
            </w:tcBorders>
            <w:shd w:val="clear" w:color="auto" w:fill="D9EAF5"/>
            <w:vAlign w:val="center"/>
            <w:hideMark/>
          </w:tcPr>
          <w:p w:rsidR="003F081A" w:rsidRPr="00F249FF" w:rsidRDefault="003F081A" w:rsidP="003F081A">
            <w:pPr>
              <w:spacing w:after="0"/>
              <w:rPr>
                <w:rFonts w:cs="Arial"/>
                <w:b/>
                <w:color w:val="000000"/>
                <w:sz w:val="16"/>
                <w:szCs w:val="16"/>
              </w:rPr>
            </w:pPr>
          </w:p>
        </w:tc>
      </w:tr>
      <w:tr w:rsidR="003F081A" w:rsidRPr="00601E4A" w:rsidTr="005C4AF7">
        <w:trPr>
          <w:trHeight w:val="240"/>
        </w:trPr>
        <w:tc>
          <w:tcPr>
            <w:tcW w:w="4280" w:type="dxa"/>
            <w:tcBorders>
              <w:top w:val="nil"/>
              <w:left w:val="single" w:sz="8" w:space="0" w:color="FFFFFF"/>
              <w:bottom w:val="nil"/>
              <w:right w:val="single" w:sz="4" w:space="0" w:color="auto"/>
            </w:tcBorders>
            <w:shd w:val="clear" w:color="000000" w:fill="FFFFFF"/>
            <w:vAlign w:val="bottom"/>
            <w:hideMark/>
          </w:tcPr>
          <w:p w:rsidR="003F081A" w:rsidRPr="00601E4A" w:rsidRDefault="003F081A" w:rsidP="003F081A">
            <w:pPr>
              <w:spacing w:after="0"/>
              <w:rPr>
                <w:rFonts w:cs="Arial"/>
                <w:color w:val="000000"/>
                <w:sz w:val="16"/>
                <w:szCs w:val="16"/>
              </w:rPr>
            </w:pPr>
            <w:r w:rsidRPr="00601E4A">
              <w:rPr>
                <w:rFonts w:cs="Arial"/>
                <w:color w:val="000000"/>
                <w:sz w:val="16"/>
                <w:szCs w:val="16"/>
              </w:rPr>
              <w:t>Zemědělské subjekty celkem</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26 525</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100,0</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26 539</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100,0</w:t>
            </w:r>
          </w:p>
        </w:tc>
        <w:tc>
          <w:tcPr>
            <w:tcW w:w="1040" w:type="dxa"/>
            <w:tcBorders>
              <w:top w:val="nil"/>
              <w:left w:val="nil"/>
              <w:bottom w:val="nil"/>
              <w:right w:val="single" w:sz="8" w:space="0" w:color="FFFFFF"/>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99,9</w:t>
            </w:r>
          </w:p>
        </w:tc>
      </w:tr>
      <w:tr w:rsidR="003F081A" w:rsidRPr="00601E4A" w:rsidTr="005C4AF7">
        <w:trPr>
          <w:trHeight w:val="240"/>
        </w:trPr>
        <w:tc>
          <w:tcPr>
            <w:tcW w:w="4280" w:type="dxa"/>
            <w:tcBorders>
              <w:top w:val="nil"/>
              <w:left w:val="single" w:sz="8" w:space="0" w:color="FFFFFF"/>
              <w:bottom w:val="nil"/>
              <w:right w:val="single" w:sz="4" w:space="0" w:color="auto"/>
            </w:tcBorders>
            <w:shd w:val="clear" w:color="000000" w:fill="FFFFFF"/>
            <w:vAlign w:val="bottom"/>
            <w:hideMark/>
          </w:tcPr>
          <w:p w:rsidR="003F081A" w:rsidRPr="00601E4A" w:rsidRDefault="003F081A" w:rsidP="00AE68B3">
            <w:pPr>
              <w:spacing w:after="0"/>
              <w:ind w:left="224"/>
              <w:rPr>
                <w:rFonts w:cs="Arial"/>
                <w:sz w:val="16"/>
                <w:szCs w:val="16"/>
              </w:rPr>
            </w:pPr>
            <w:r w:rsidRPr="00601E4A">
              <w:rPr>
                <w:rFonts w:cs="Arial"/>
                <w:sz w:val="16"/>
                <w:szCs w:val="16"/>
              </w:rPr>
              <w:t>z toho subjekty s půdou v EZ nebo v přechodném období</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2 984</w:t>
            </w:r>
          </w:p>
        </w:tc>
        <w:tc>
          <w:tcPr>
            <w:tcW w:w="1040" w:type="dxa"/>
            <w:tcBorders>
              <w:top w:val="nil"/>
              <w:left w:val="nil"/>
              <w:bottom w:val="nil"/>
              <w:right w:val="nil"/>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11,2</w:t>
            </w:r>
          </w:p>
        </w:tc>
        <w:tc>
          <w:tcPr>
            <w:tcW w:w="1040" w:type="dxa"/>
            <w:tcBorders>
              <w:top w:val="nil"/>
              <w:left w:val="single" w:sz="4" w:space="0" w:color="auto"/>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413</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1,6</w:t>
            </w:r>
          </w:p>
        </w:tc>
        <w:tc>
          <w:tcPr>
            <w:tcW w:w="1040" w:type="dxa"/>
            <w:tcBorders>
              <w:top w:val="nil"/>
              <w:left w:val="nil"/>
              <w:bottom w:val="nil"/>
              <w:right w:val="single" w:sz="8" w:space="0" w:color="FFFFFF"/>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722,5</w:t>
            </w:r>
          </w:p>
        </w:tc>
      </w:tr>
      <w:tr w:rsidR="003F081A" w:rsidRPr="00601E4A" w:rsidTr="005C4AF7">
        <w:trPr>
          <w:trHeight w:val="240"/>
        </w:trPr>
        <w:tc>
          <w:tcPr>
            <w:tcW w:w="4280" w:type="dxa"/>
            <w:tcBorders>
              <w:top w:val="nil"/>
              <w:left w:val="single" w:sz="8" w:space="0" w:color="FFFFFF"/>
              <w:bottom w:val="nil"/>
              <w:right w:val="single" w:sz="4" w:space="0" w:color="auto"/>
            </w:tcBorders>
            <w:shd w:val="clear" w:color="000000" w:fill="FFFFFF"/>
            <w:vAlign w:val="bottom"/>
            <w:hideMark/>
          </w:tcPr>
          <w:p w:rsidR="003F081A" w:rsidRPr="00601E4A" w:rsidRDefault="003F081A" w:rsidP="003F081A">
            <w:pPr>
              <w:spacing w:after="0"/>
              <w:rPr>
                <w:rFonts w:cs="Arial"/>
                <w:color w:val="000000"/>
                <w:sz w:val="16"/>
                <w:szCs w:val="16"/>
              </w:rPr>
            </w:pPr>
            <w:r w:rsidRPr="00601E4A">
              <w:rPr>
                <w:rFonts w:cs="Arial"/>
                <w:color w:val="000000"/>
                <w:sz w:val="16"/>
                <w:szCs w:val="16"/>
              </w:rPr>
              <w:t>Obhospodařovaná zemědělská půda celkem (ha)</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3 456 646</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100,0</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3 604 400</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100,0</w:t>
            </w:r>
          </w:p>
        </w:tc>
        <w:tc>
          <w:tcPr>
            <w:tcW w:w="1040" w:type="dxa"/>
            <w:tcBorders>
              <w:top w:val="nil"/>
              <w:left w:val="nil"/>
              <w:bottom w:val="nil"/>
              <w:right w:val="single" w:sz="8" w:space="0" w:color="FFFFFF"/>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95,9</w:t>
            </w:r>
          </w:p>
        </w:tc>
      </w:tr>
      <w:tr w:rsidR="003F081A" w:rsidRPr="005F09C5" w:rsidTr="005C4AF7">
        <w:trPr>
          <w:trHeight w:val="240"/>
        </w:trPr>
        <w:tc>
          <w:tcPr>
            <w:tcW w:w="4280" w:type="dxa"/>
            <w:tcBorders>
              <w:top w:val="nil"/>
              <w:left w:val="single" w:sz="8" w:space="0" w:color="FFFFFF"/>
              <w:bottom w:val="nil"/>
              <w:right w:val="single" w:sz="4" w:space="0" w:color="auto"/>
            </w:tcBorders>
            <w:shd w:val="clear" w:color="000000" w:fill="FFFFFF"/>
            <w:vAlign w:val="bottom"/>
            <w:hideMark/>
          </w:tcPr>
          <w:p w:rsidR="003F081A" w:rsidRPr="00601E4A" w:rsidRDefault="003F081A" w:rsidP="00AE68B3">
            <w:pPr>
              <w:spacing w:after="0"/>
              <w:ind w:firstLineChars="140" w:firstLine="224"/>
              <w:rPr>
                <w:rFonts w:cs="Arial"/>
                <w:sz w:val="16"/>
                <w:szCs w:val="16"/>
              </w:rPr>
            </w:pPr>
            <w:r w:rsidRPr="00601E4A">
              <w:rPr>
                <w:rFonts w:cs="Arial"/>
                <w:sz w:val="16"/>
                <w:szCs w:val="16"/>
              </w:rPr>
              <w:t>z toho půda v EZ nebo v přechodném období (ha)</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448 228</w:t>
            </w:r>
          </w:p>
        </w:tc>
        <w:tc>
          <w:tcPr>
            <w:tcW w:w="1040" w:type="dxa"/>
            <w:tcBorders>
              <w:top w:val="nil"/>
              <w:left w:val="nil"/>
              <w:bottom w:val="nil"/>
              <w:right w:val="nil"/>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13,0</w:t>
            </w:r>
          </w:p>
        </w:tc>
        <w:tc>
          <w:tcPr>
            <w:tcW w:w="1040" w:type="dxa"/>
            <w:tcBorders>
              <w:top w:val="nil"/>
              <w:left w:val="single" w:sz="4" w:space="0" w:color="auto"/>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132 244</w:t>
            </w:r>
          </w:p>
        </w:tc>
        <w:tc>
          <w:tcPr>
            <w:tcW w:w="1040" w:type="dxa"/>
            <w:tcBorders>
              <w:top w:val="nil"/>
              <w:left w:val="nil"/>
              <w:bottom w:val="nil"/>
              <w:right w:val="single" w:sz="4" w:space="0" w:color="auto"/>
            </w:tcBorders>
            <w:shd w:val="clear" w:color="000000" w:fill="FFFFFF"/>
            <w:noWrap/>
            <w:vAlign w:val="center"/>
            <w:hideMark/>
          </w:tcPr>
          <w:p w:rsidR="003F081A" w:rsidRPr="00601E4A" w:rsidRDefault="003F081A" w:rsidP="003F081A">
            <w:pPr>
              <w:spacing w:after="0"/>
              <w:ind w:firstLineChars="100" w:firstLine="160"/>
              <w:jc w:val="right"/>
              <w:rPr>
                <w:rFonts w:cs="Arial"/>
                <w:color w:val="000000"/>
                <w:sz w:val="16"/>
                <w:szCs w:val="16"/>
              </w:rPr>
            </w:pPr>
            <w:r w:rsidRPr="00601E4A">
              <w:rPr>
                <w:rFonts w:cs="Arial"/>
                <w:color w:val="000000"/>
                <w:sz w:val="16"/>
                <w:szCs w:val="16"/>
              </w:rPr>
              <w:t>3,7</w:t>
            </w:r>
          </w:p>
        </w:tc>
        <w:tc>
          <w:tcPr>
            <w:tcW w:w="1040" w:type="dxa"/>
            <w:tcBorders>
              <w:top w:val="nil"/>
              <w:left w:val="nil"/>
              <w:bottom w:val="nil"/>
              <w:right w:val="single" w:sz="8" w:space="0" w:color="FFFFFF"/>
            </w:tcBorders>
            <w:shd w:val="clear" w:color="000000" w:fill="FFFFFF"/>
            <w:noWrap/>
            <w:vAlign w:val="center"/>
            <w:hideMark/>
          </w:tcPr>
          <w:p w:rsidR="003F081A" w:rsidRPr="005F09C5" w:rsidRDefault="003F081A" w:rsidP="003F081A">
            <w:pPr>
              <w:spacing w:after="0"/>
              <w:ind w:firstLineChars="100" w:firstLine="160"/>
              <w:jc w:val="right"/>
              <w:rPr>
                <w:rFonts w:cs="Arial"/>
                <w:color w:val="000000"/>
                <w:sz w:val="16"/>
                <w:szCs w:val="16"/>
              </w:rPr>
            </w:pPr>
            <w:r w:rsidRPr="00601E4A">
              <w:rPr>
                <w:rFonts w:cs="Arial"/>
                <w:color w:val="000000"/>
                <w:sz w:val="16"/>
                <w:szCs w:val="16"/>
              </w:rPr>
              <w:t>338,9</w:t>
            </w:r>
          </w:p>
        </w:tc>
      </w:tr>
    </w:tbl>
    <w:p w:rsidR="003F081A" w:rsidRDefault="003F081A" w:rsidP="003F081A">
      <w:pPr>
        <w:spacing w:after="0"/>
        <w:rPr>
          <w:rFonts w:cs="Arial"/>
          <w:b/>
          <w:bCs/>
          <w:color w:val="000000"/>
          <w:sz w:val="24"/>
          <w:szCs w:val="20"/>
        </w:rPr>
      </w:pPr>
      <w:r>
        <w:rPr>
          <w:rFonts w:cs="Arial"/>
          <w:b/>
          <w:bCs/>
          <w:color w:val="000000"/>
          <w:sz w:val="24"/>
          <w:szCs w:val="20"/>
        </w:rPr>
        <w:br w:type="page"/>
      </w:r>
    </w:p>
    <w:p w:rsidR="003F081A" w:rsidRPr="00F51714" w:rsidRDefault="00537EDF" w:rsidP="00BD1B77">
      <w:pPr>
        <w:autoSpaceDE w:val="0"/>
        <w:autoSpaceDN w:val="0"/>
        <w:adjustRightInd w:val="0"/>
        <w:spacing w:after="120"/>
        <w:jc w:val="both"/>
        <w:rPr>
          <w:rFonts w:cs="Arial"/>
          <w:b/>
          <w:bCs/>
          <w:color w:val="0071BC"/>
          <w:sz w:val="28"/>
          <w:szCs w:val="20"/>
        </w:rPr>
      </w:pPr>
      <w:r>
        <w:rPr>
          <w:rFonts w:cs="Arial"/>
          <w:b/>
          <w:bCs/>
          <w:color w:val="0071BC"/>
          <w:sz w:val="28"/>
          <w:szCs w:val="20"/>
        </w:rPr>
        <w:lastRenderedPageBreak/>
        <w:t>N</w:t>
      </w:r>
      <w:r w:rsidR="00F51714" w:rsidRPr="00F51714">
        <w:rPr>
          <w:rFonts w:cs="Arial"/>
          <w:b/>
          <w:bCs/>
          <w:color w:val="0071BC"/>
          <w:sz w:val="28"/>
          <w:szCs w:val="20"/>
        </w:rPr>
        <w:t xml:space="preserve">ajatá </w:t>
      </w:r>
      <w:r w:rsidRPr="00F51714">
        <w:rPr>
          <w:rFonts w:cs="Arial"/>
          <w:b/>
          <w:bCs/>
          <w:color w:val="0071BC"/>
          <w:sz w:val="28"/>
          <w:szCs w:val="20"/>
        </w:rPr>
        <w:t xml:space="preserve">a </w:t>
      </w:r>
      <w:r>
        <w:rPr>
          <w:rFonts w:cs="Arial"/>
          <w:b/>
          <w:bCs/>
          <w:color w:val="0071BC"/>
          <w:sz w:val="28"/>
          <w:szCs w:val="20"/>
        </w:rPr>
        <w:t>v</w:t>
      </w:r>
      <w:r w:rsidRPr="00F51714">
        <w:rPr>
          <w:rFonts w:cs="Arial"/>
          <w:b/>
          <w:bCs/>
          <w:color w:val="0071BC"/>
          <w:sz w:val="28"/>
          <w:szCs w:val="20"/>
        </w:rPr>
        <w:t xml:space="preserve">lastní </w:t>
      </w:r>
      <w:r w:rsidR="00F51714" w:rsidRPr="00F51714">
        <w:rPr>
          <w:rFonts w:cs="Arial"/>
          <w:b/>
          <w:bCs/>
          <w:color w:val="0071BC"/>
          <w:sz w:val="28"/>
          <w:szCs w:val="20"/>
        </w:rPr>
        <w:t>zemědělská půda</w:t>
      </w:r>
    </w:p>
    <w:p w:rsidR="003F081A" w:rsidRPr="00601E4A" w:rsidRDefault="003F081A" w:rsidP="00BD1B77">
      <w:pPr>
        <w:spacing w:after="0"/>
        <w:ind w:firstLine="709"/>
        <w:jc w:val="both"/>
        <w:rPr>
          <w:rFonts w:cs="Arial"/>
        </w:rPr>
      </w:pPr>
      <w:r w:rsidRPr="00601E4A">
        <w:rPr>
          <w:rFonts w:cs="Arial"/>
        </w:rPr>
        <w:t>V roce 2016 hospodařilo 352 subjektů (tj. 1,3 %) bez zemědělské půdy. Vlastní zemědělskou půdu využívaly zemědělské subjekty jen z 26,9 %, zbývajících 73,1 % měly pronajato. Podíl vlastní zemědělské půdy klesal s rostoucí velikostí zemědělského subjektu. Ve velikostní kategorii do 3 ha vlastnily subjekty 80,4 % zemědělské půdy, zatímco ve velikostní kategorii nad 2 000 ha to bylo pouze 18,0 % půdy.</w:t>
      </w:r>
    </w:p>
    <w:p w:rsidR="003F081A" w:rsidRPr="00601E4A" w:rsidRDefault="003F081A" w:rsidP="00BD1B77">
      <w:pPr>
        <w:spacing w:after="0"/>
        <w:ind w:firstLine="709"/>
        <w:jc w:val="both"/>
        <w:rPr>
          <w:rFonts w:cs="Arial"/>
        </w:rPr>
      </w:pPr>
      <w:r w:rsidRPr="00601E4A">
        <w:rPr>
          <w:rFonts w:cs="Arial"/>
        </w:rPr>
        <w:t>Od roku 2000 podíl vlastní půdy v zemědělských subjektech vzrostl; tehdy tvořila vlastní půda pouze 7,6% podíl veškeré výměry. Nejvíce vzrostl podíl vlastní půdy ve velikostní kategorii 100–500 ha, a to o 24,2 procentního bodu.</w:t>
      </w:r>
    </w:p>
    <w:p w:rsidR="003F081A" w:rsidRPr="00601E4A" w:rsidRDefault="003F081A" w:rsidP="00BD1B77">
      <w:pPr>
        <w:spacing w:after="0"/>
        <w:ind w:firstLine="709"/>
        <w:jc w:val="both"/>
        <w:rPr>
          <w:rFonts w:cs="Arial"/>
        </w:rPr>
      </w:pPr>
      <w:r w:rsidRPr="00601E4A">
        <w:rPr>
          <w:rFonts w:cs="Arial"/>
        </w:rPr>
        <w:t xml:space="preserve">V subjektech fyzických osob tvořila vlastní zemědělská půda téměř polovinu celkového půdního fondu (47,9 %). Nejmenší podíl činil 23,4 % ve velikostní skupině nad 2 000 ha, ve velikostních skupinách do 50 ha tvořila vlastní půda </w:t>
      </w:r>
      <w:r>
        <w:rPr>
          <w:rFonts w:cs="Arial"/>
        </w:rPr>
        <w:t>63,5</w:t>
      </w:r>
      <w:r w:rsidRPr="00601E4A">
        <w:rPr>
          <w:rFonts w:cs="Arial"/>
        </w:rPr>
        <w:t xml:space="preserve"> % celkové výměry a v nejmenších subjektech do 10 ha dokonce tři čtvrtiny výměry. Naproti tomu subjekty právnických osob si zemědělskou půdu pronajímaly v mnohem větší míře, vlastní půda v nich zaujímala jen 17,8 %. Subjekty do 10 ha vlastnily polovinu (</w:t>
      </w:r>
      <w:r>
        <w:rPr>
          <w:rFonts w:cs="Arial"/>
        </w:rPr>
        <w:t>50</w:t>
      </w:r>
      <w:r w:rsidRPr="00601E4A">
        <w:rPr>
          <w:rFonts w:cs="Arial"/>
        </w:rPr>
        <w:t>,</w:t>
      </w:r>
      <w:r>
        <w:rPr>
          <w:rFonts w:cs="Arial"/>
        </w:rPr>
        <w:t>7</w:t>
      </w:r>
      <w:r w:rsidRPr="00601E4A">
        <w:rPr>
          <w:rFonts w:cs="Arial"/>
        </w:rPr>
        <w:t> %) zemědělské půdy, zatímco subjekty nad 500 ha jen 17,</w:t>
      </w:r>
      <w:r>
        <w:rPr>
          <w:rFonts w:cs="Arial"/>
        </w:rPr>
        <w:t>2</w:t>
      </w:r>
      <w:r w:rsidRPr="00601E4A">
        <w:rPr>
          <w:rFonts w:cs="Arial"/>
        </w:rPr>
        <w:t> % půdy.</w:t>
      </w:r>
    </w:p>
    <w:p w:rsidR="003F081A" w:rsidRDefault="003F081A" w:rsidP="00BD1B77">
      <w:pPr>
        <w:spacing w:after="0"/>
        <w:jc w:val="both"/>
        <w:rPr>
          <w:rFonts w:cs="Arial"/>
          <w:b/>
        </w:rPr>
      </w:pPr>
    </w:p>
    <w:p w:rsidR="003F081A" w:rsidRPr="001624EF" w:rsidRDefault="003F081A" w:rsidP="00BD1B77">
      <w:pPr>
        <w:spacing w:after="0"/>
        <w:jc w:val="both"/>
        <w:rPr>
          <w:rFonts w:cs="Arial"/>
          <w:b/>
        </w:rPr>
      </w:pPr>
      <w:r w:rsidRPr="001624EF">
        <w:rPr>
          <w:rFonts w:cs="Arial"/>
          <w:b/>
        </w:rPr>
        <w:t>Graf 2: Najatá a vlastní půda dle právních forem</w:t>
      </w:r>
    </w:p>
    <w:p w:rsidR="003F081A" w:rsidRPr="00601E4A" w:rsidRDefault="003F081A" w:rsidP="00BD1B77">
      <w:pPr>
        <w:spacing w:after="0"/>
        <w:jc w:val="both"/>
        <w:rPr>
          <w:rFonts w:eastAsia="Calibri" w:cs="Arial"/>
        </w:rPr>
      </w:pPr>
      <w:r w:rsidRPr="009B340D">
        <w:rPr>
          <w:noProof/>
        </w:rPr>
        <w:drawing>
          <wp:inline distT="0" distB="0" distL="0" distR="0">
            <wp:extent cx="4456832" cy="1764000"/>
            <wp:effectExtent l="0" t="0" r="0"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56832" cy="1764000"/>
                    </a:xfrm>
                    <a:prstGeom prst="rect">
                      <a:avLst/>
                    </a:prstGeom>
                    <a:noFill/>
                    <a:ln w="9525">
                      <a:noFill/>
                      <a:miter lim="800000"/>
                      <a:headEnd/>
                      <a:tailEnd/>
                    </a:ln>
                  </pic:spPr>
                </pic:pic>
              </a:graphicData>
            </a:graphic>
          </wp:inline>
        </w:drawing>
      </w:r>
    </w:p>
    <w:p w:rsidR="003F081A" w:rsidRPr="00601E4A" w:rsidRDefault="003F081A" w:rsidP="00BD1B77">
      <w:pPr>
        <w:spacing w:after="0"/>
        <w:ind w:firstLine="709"/>
        <w:jc w:val="both"/>
        <w:rPr>
          <w:rFonts w:eastAsia="Calibri" w:cs="Arial"/>
        </w:rPr>
      </w:pPr>
      <w:r w:rsidRPr="00601E4A">
        <w:rPr>
          <w:rFonts w:eastAsia="Calibri" w:cs="Arial"/>
        </w:rPr>
        <w:t xml:space="preserve">Procento pronajaté zemědělské půdy se </w:t>
      </w:r>
      <w:r w:rsidRPr="00601E4A">
        <w:rPr>
          <w:rFonts w:cs="Arial"/>
        </w:rPr>
        <w:t>od roku</w:t>
      </w:r>
      <w:r w:rsidRPr="00601E4A">
        <w:rPr>
          <w:rFonts w:eastAsia="Calibri" w:cs="Arial"/>
        </w:rPr>
        <w:t xml:space="preserve"> 2000</w:t>
      </w:r>
      <w:r w:rsidRPr="00601E4A">
        <w:rPr>
          <w:rFonts w:cs="Arial"/>
        </w:rPr>
        <w:t xml:space="preserve"> do roku </w:t>
      </w:r>
      <w:r w:rsidRPr="00601E4A">
        <w:rPr>
          <w:rFonts w:eastAsia="Calibri" w:cs="Arial"/>
        </w:rPr>
        <w:t>201</w:t>
      </w:r>
      <w:r w:rsidRPr="00601E4A">
        <w:rPr>
          <w:rFonts w:cs="Arial"/>
        </w:rPr>
        <w:t>6</w:t>
      </w:r>
      <w:r w:rsidRPr="00601E4A">
        <w:rPr>
          <w:rFonts w:eastAsia="Calibri" w:cs="Arial"/>
        </w:rPr>
        <w:t xml:space="preserve"> výrazně snížilo jak u subjektů fyzických osob (o 21,</w:t>
      </w:r>
      <w:r w:rsidRPr="00601E4A">
        <w:rPr>
          <w:rFonts w:cs="Arial"/>
        </w:rPr>
        <w:t>9</w:t>
      </w:r>
      <w:r w:rsidRPr="00601E4A">
        <w:rPr>
          <w:rFonts w:eastAsia="Calibri" w:cs="Arial"/>
        </w:rPr>
        <w:t> p. </w:t>
      </w:r>
      <w:proofErr w:type="spellStart"/>
      <w:r w:rsidRPr="00601E4A">
        <w:rPr>
          <w:rFonts w:eastAsia="Calibri" w:cs="Arial"/>
        </w:rPr>
        <w:t>b</w:t>
      </w:r>
      <w:proofErr w:type="spellEnd"/>
      <w:r w:rsidRPr="00601E4A">
        <w:rPr>
          <w:rFonts w:eastAsia="Calibri" w:cs="Arial"/>
        </w:rPr>
        <w:t>.), tak právnických osob (o 1</w:t>
      </w:r>
      <w:r w:rsidRPr="00601E4A">
        <w:rPr>
          <w:rFonts w:cs="Arial"/>
        </w:rPr>
        <w:t>6</w:t>
      </w:r>
      <w:r w:rsidRPr="00601E4A">
        <w:rPr>
          <w:rFonts w:eastAsia="Calibri" w:cs="Arial"/>
        </w:rPr>
        <w:t>,</w:t>
      </w:r>
      <w:r w:rsidRPr="00601E4A">
        <w:rPr>
          <w:rFonts w:cs="Arial"/>
        </w:rPr>
        <w:t>5</w:t>
      </w:r>
      <w:r w:rsidRPr="00601E4A">
        <w:rPr>
          <w:rFonts w:eastAsia="Calibri" w:cs="Arial"/>
        </w:rPr>
        <w:t> p. </w:t>
      </w:r>
      <w:proofErr w:type="spellStart"/>
      <w:r w:rsidRPr="00601E4A">
        <w:rPr>
          <w:rFonts w:eastAsia="Calibri" w:cs="Arial"/>
        </w:rPr>
        <w:t>b</w:t>
      </w:r>
      <w:proofErr w:type="spellEnd"/>
      <w:r w:rsidRPr="00601E4A">
        <w:rPr>
          <w:rFonts w:eastAsia="Calibri" w:cs="Arial"/>
        </w:rPr>
        <w:t>.). Mezi subjekty fyzických osob došlo k největšímu nárůstu vlastní půdy v kategorii 500–2 000 ha (+39,2 p. b), mezi subjekty právnických osob pak v kategorii 50–100 ha (+20,8 p. </w:t>
      </w:r>
      <w:proofErr w:type="spellStart"/>
      <w:r w:rsidRPr="00601E4A">
        <w:rPr>
          <w:rFonts w:eastAsia="Calibri" w:cs="Arial"/>
        </w:rPr>
        <w:t>b</w:t>
      </w:r>
      <w:proofErr w:type="spellEnd"/>
      <w:r w:rsidRPr="00601E4A">
        <w:rPr>
          <w:rFonts w:eastAsia="Calibri" w:cs="Arial"/>
        </w:rPr>
        <w:t>.).</w:t>
      </w:r>
    </w:p>
    <w:p w:rsidR="003F081A" w:rsidRDefault="003F081A" w:rsidP="00BD1B77">
      <w:pPr>
        <w:spacing w:after="0"/>
        <w:jc w:val="both"/>
        <w:rPr>
          <w:rFonts w:cs="Arial"/>
          <w:b/>
        </w:rPr>
      </w:pPr>
    </w:p>
    <w:p w:rsidR="003F081A" w:rsidRPr="001624EF" w:rsidRDefault="003F081A" w:rsidP="00BD1B77">
      <w:pPr>
        <w:spacing w:after="0"/>
        <w:jc w:val="both"/>
        <w:rPr>
          <w:rFonts w:cs="Arial"/>
          <w:b/>
        </w:rPr>
      </w:pPr>
      <w:r w:rsidRPr="001624EF">
        <w:rPr>
          <w:rFonts w:cs="Arial"/>
          <w:b/>
        </w:rPr>
        <w:t>Graf 3: Najatá a vlastní zemědělská půda podle velikostních skupin</w:t>
      </w:r>
    </w:p>
    <w:p w:rsidR="003F081A" w:rsidRDefault="003F081A" w:rsidP="00BD1B77">
      <w:pPr>
        <w:spacing w:after="0"/>
        <w:jc w:val="both"/>
        <w:rPr>
          <w:rFonts w:cs="Arial"/>
        </w:rPr>
      </w:pPr>
      <w:r w:rsidRPr="0059669B">
        <w:rPr>
          <w:noProof/>
        </w:rPr>
        <w:drawing>
          <wp:inline distT="0" distB="0" distL="0" distR="0">
            <wp:extent cx="6120130" cy="2868928"/>
            <wp:effectExtent l="0" t="0" r="0" b="0"/>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120130" cy="2868928"/>
                    </a:xfrm>
                    <a:prstGeom prst="rect">
                      <a:avLst/>
                    </a:prstGeom>
                    <a:noFill/>
                    <a:ln w="9525">
                      <a:noFill/>
                      <a:miter lim="800000"/>
                      <a:headEnd/>
                      <a:tailEnd/>
                    </a:ln>
                  </pic:spPr>
                </pic:pic>
              </a:graphicData>
            </a:graphic>
          </wp:inline>
        </w:drawing>
      </w:r>
    </w:p>
    <w:p w:rsidR="003F081A" w:rsidRDefault="003F081A" w:rsidP="00BD1B77">
      <w:pPr>
        <w:spacing w:after="0"/>
        <w:jc w:val="both"/>
        <w:rPr>
          <w:rFonts w:cs="Arial"/>
          <w:b/>
          <w:bCs/>
          <w:color w:val="000000"/>
          <w:sz w:val="24"/>
          <w:szCs w:val="20"/>
        </w:rPr>
      </w:pPr>
      <w:r>
        <w:rPr>
          <w:rFonts w:cs="Arial"/>
          <w:b/>
          <w:bCs/>
          <w:color w:val="000000"/>
          <w:sz w:val="24"/>
          <w:szCs w:val="20"/>
        </w:rPr>
        <w:br w:type="page"/>
      </w:r>
    </w:p>
    <w:p w:rsidR="003F081A" w:rsidRPr="00F51714" w:rsidRDefault="00F51714" w:rsidP="00BD1B77">
      <w:pPr>
        <w:autoSpaceDE w:val="0"/>
        <w:autoSpaceDN w:val="0"/>
        <w:adjustRightInd w:val="0"/>
        <w:spacing w:after="120"/>
        <w:jc w:val="both"/>
        <w:rPr>
          <w:rFonts w:cs="Arial"/>
          <w:b/>
          <w:bCs/>
          <w:color w:val="0071BC"/>
          <w:sz w:val="28"/>
          <w:szCs w:val="20"/>
        </w:rPr>
      </w:pPr>
      <w:r w:rsidRPr="00F51714">
        <w:rPr>
          <w:rFonts w:cs="Arial"/>
          <w:b/>
          <w:bCs/>
          <w:color w:val="0071BC"/>
          <w:sz w:val="28"/>
          <w:szCs w:val="20"/>
        </w:rPr>
        <w:lastRenderedPageBreak/>
        <w:t>Zemědělský půdní fond</w:t>
      </w:r>
    </w:p>
    <w:p w:rsidR="003F081A" w:rsidRPr="00601E4A" w:rsidRDefault="003F081A" w:rsidP="00BD1B77">
      <w:pPr>
        <w:pStyle w:val="Zkladntext2"/>
        <w:spacing w:line="288" w:lineRule="auto"/>
        <w:ind w:firstLine="709"/>
        <w:rPr>
          <w:color w:val="auto"/>
        </w:rPr>
      </w:pPr>
      <w:r w:rsidRPr="00601E4A">
        <w:rPr>
          <w:color w:val="auto"/>
        </w:rPr>
        <w:t>Obhospodařovaná zemědělská půda se v roce 2016 rozkládala na 3 456 64</w:t>
      </w:r>
      <w:r>
        <w:rPr>
          <w:color w:val="auto"/>
        </w:rPr>
        <w:t>6</w:t>
      </w:r>
      <w:r w:rsidRPr="00601E4A">
        <w:rPr>
          <w:color w:val="auto"/>
        </w:rPr>
        <w:t xml:space="preserve"> ha, tj. 43,8 % rozlohy České republiky. Od roku 2000 jí </w:t>
      </w:r>
      <w:r>
        <w:rPr>
          <w:color w:val="auto"/>
        </w:rPr>
        <w:t>1</w:t>
      </w:r>
      <w:r w:rsidRPr="00601E4A">
        <w:rPr>
          <w:color w:val="auto"/>
        </w:rPr>
        <w:t>,</w:t>
      </w:r>
      <w:r>
        <w:rPr>
          <w:color w:val="auto"/>
        </w:rPr>
        <w:t>9</w:t>
      </w:r>
      <w:r w:rsidRPr="00601E4A">
        <w:rPr>
          <w:color w:val="auto"/>
        </w:rPr>
        <w:t> procentního bodu ubylo ve prospěch zastavěné a ostatní plochy nebo lesních pozemků. Výměra obhospodařované zemědělské půdy v tomto období klesla o 4,1 %, tj. o</w:t>
      </w:r>
      <w:r w:rsidR="00FA7A9B">
        <w:rPr>
          <w:color w:val="auto"/>
        </w:rPr>
        <w:t> </w:t>
      </w:r>
      <w:r w:rsidRPr="00601E4A">
        <w:rPr>
          <w:color w:val="auto"/>
        </w:rPr>
        <w:t>147</w:t>
      </w:r>
      <w:r w:rsidR="00FA7A9B">
        <w:rPr>
          <w:color w:val="auto"/>
        </w:rPr>
        <w:t> </w:t>
      </w:r>
      <w:r w:rsidRPr="00601E4A">
        <w:rPr>
          <w:color w:val="auto"/>
        </w:rPr>
        <w:t>75</w:t>
      </w:r>
      <w:r>
        <w:rPr>
          <w:color w:val="auto"/>
        </w:rPr>
        <w:t>5</w:t>
      </w:r>
      <w:r w:rsidR="00FA7A9B">
        <w:rPr>
          <w:color w:val="auto"/>
        </w:rPr>
        <w:t> </w:t>
      </w:r>
      <w:r w:rsidRPr="00601E4A">
        <w:rPr>
          <w:color w:val="auto"/>
        </w:rPr>
        <w:t>ha, a výměra orné půdy dokonce o 9,8 % (o </w:t>
      </w:r>
      <w:r w:rsidRPr="00601E4A">
        <w:rPr>
          <w:rFonts w:eastAsiaTheme="minorHAnsi"/>
          <w:szCs w:val="22"/>
          <w:lang w:eastAsia="en-US"/>
        </w:rPr>
        <w:t xml:space="preserve">267 350 </w:t>
      </w:r>
      <w:r w:rsidRPr="00601E4A">
        <w:rPr>
          <w:color w:val="auto"/>
        </w:rPr>
        <w:t>ha). Procento zornění se během období 2000–2016 snížilo o 4,5 p. </w:t>
      </w:r>
      <w:proofErr w:type="spellStart"/>
      <w:r w:rsidRPr="00601E4A">
        <w:rPr>
          <w:color w:val="auto"/>
        </w:rPr>
        <w:t>b</w:t>
      </w:r>
      <w:proofErr w:type="spellEnd"/>
      <w:r w:rsidRPr="00601E4A">
        <w:rPr>
          <w:color w:val="auto"/>
        </w:rPr>
        <w:t>. Část orné půdy byla zatravněna na základě odpovídajících dotačních titulů Evropské unie. Díky tomu od roku 2000 vzrostla výměra trvalých travních porostů o 1</w:t>
      </w:r>
      <w:r w:rsidRPr="00601E4A">
        <w:t>5</w:t>
      </w:r>
      <w:r w:rsidRPr="00601E4A">
        <w:rPr>
          <w:color w:val="auto"/>
        </w:rPr>
        <w:t>,</w:t>
      </w:r>
      <w:r w:rsidRPr="00601E4A">
        <w:t>0</w:t>
      </w:r>
      <w:r w:rsidRPr="00601E4A">
        <w:rPr>
          <w:color w:val="auto"/>
        </w:rPr>
        <w:t> %, tj. o 1</w:t>
      </w:r>
      <w:r w:rsidRPr="00601E4A">
        <w:t>23</w:t>
      </w:r>
      <w:r w:rsidRPr="00601E4A">
        <w:rPr>
          <w:color w:val="auto"/>
        </w:rPr>
        <w:t> </w:t>
      </w:r>
      <w:r w:rsidRPr="00601E4A">
        <w:t>136</w:t>
      </w:r>
      <w:r w:rsidRPr="00601E4A">
        <w:rPr>
          <w:color w:val="auto"/>
        </w:rPr>
        <w:t xml:space="preserve"> ha. Narostly i</w:t>
      </w:r>
      <w:r>
        <w:rPr>
          <w:color w:val="auto"/>
        </w:rPr>
        <w:t> </w:t>
      </w:r>
      <w:r w:rsidRPr="00601E4A">
        <w:rPr>
          <w:color w:val="auto"/>
        </w:rPr>
        <w:t xml:space="preserve">plochy vinic, a to o </w:t>
      </w:r>
      <w:r w:rsidRPr="00601E4A">
        <w:t>4</w:t>
      </w:r>
      <w:r>
        <w:t>2</w:t>
      </w:r>
      <w:r w:rsidRPr="00601E4A">
        <w:rPr>
          <w:color w:val="auto"/>
        </w:rPr>
        <w:t>,</w:t>
      </w:r>
      <w:r>
        <w:t>0</w:t>
      </w:r>
      <w:r w:rsidRPr="00601E4A">
        <w:rPr>
          <w:color w:val="auto"/>
        </w:rPr>
        <w:t> %, zatímco ovocných sadů 17,</w:t>
      </w:r>
      <w:r>
        <w:rPr>
          <w:color w:val="auto"/>
        </w:rPr>
        <w:t>7</w:t>
      </w:r>
      <w:r w:rsidRPr="00601E4A">
        <w:rPr>
          <w:color w:val="auto"/>
        </w:rPr>
        <w:t> % ubylo.</w:t>
      </w:r>
    </w:p>
    <w:p w:rsidR="003F081A" w:rsidRPr="00537907" w:rsidRDefault="003F081A" w:rsidP="00BD1B77">
      <w:pPr>
        <w:pStyle w:val="Zkladntext2"/>
        <w:spacing w:line="288" w:lineRule="auto"/>
        <w:ind w:firstLine="709"/>
        <w:rPr>
          <w:strike/>
        </w:rPr>
      </w:pPr>
      <w:r w:rsidRPr="00601E4A">
        <w:t xml:space="preserve">Orná půda v roce 2016 tvořila 71,5 % celkové výměry obhospodařované zemědělské půdy </w:t>
      </w:r>
      <w:r w:rsidRPr="00601E4A">
        <w:rPr>
          <w:rFonts w:eastAsia="Calibri"/>
        </w:rPr>
        <w:t xml:space="preserve">a trvalé travní porosty dalších 27,3 %. Ostatní trvalé kultury (chmelnice, vinice, sady, zahrady a další trvalé kultury jako např. rychle rostoucí dřeviny na zemědělské půdě) tvořily dohromady jen 1,2% podíl na zemědělské půdě. </w:t>
      </w:r>
      <w:r w:rsidRPr="00601E4A">
        <w:t xml:space="preserve">Fyzické osoby měly procento zornění výrazně nižší (60,5 %) než právnické osoby (76,2 %), zvláště akciové společnosti (81,9 %) a družstva </w:t>
      </w:r>
      <w:r w:rsidRPr="00601E4A">
        <w:rPr>
          <w:rFonts w:ascii="Calibri" w:hAnsi="Calibri"/>
        </w:rPr>
        <w:t>(</w:t>
      </w:r>
      <w:r w:rsidRPr="00601E4A">
        <w:t>81,7 %).</w:t>
      </w:r>
      <w:r w:rsidRPr="00537907">
        <w:rPr>
          <w:rFonts w:eastAsia="Calibri"/>
        </w:rPr>
        <w:t xml:space="preserve"> </w:t>
      </w:r>
    </w:p>
    <w:p w:rsidR="003F081A" w:rsidRDefault="003F081A" w:rsidP="00BD1B77">
      <w:pPr>
        <w:spacing w:after="0"/>
        <w:jc w:val="both"/>
        <w:rPr>
          <w:rFonts w:cs="Arial"/>
          <w:b/>
        </w:rPr>
      </w:pPr>
    </w:p>
    <w:p w:rsidR="003F081A" w:rsidRPr="001624EF" w:rsidRDefault="003F081A" w:rsidP="00BD1B77">
      <w:pPr>
        <w:spacing w:after="0"/>
        <w:jc w:val="both"/>
        <w:rPr>
          <w:rFonts w:cs="Arial"/>
          <w:b/>
        </w:rPr>
      </w:pPr>
      <w:r w:rsidRPr="001624EF">
        <w:rPr>
          <w:rFonts w:cs="Arial"/>
          <w:b/>
        </w:rPr>
        <w:t>Graf 4: Podíly orné půdy, trvalých travních porostů a trvalých kultur ve velikostních skupinách</w:t>
      </w:r>
    </w:p>
    <w:p w:rsidR="003F081A" w:rsidRDefault="003F081A" w:rsidP="00BD1B77">
      <w:pPr>
        <w:spacing w:after="0"/>
        <w:jc w:val="both"/>
        <w:rPr>
          <w:rFonts w:cs="Arial"/>
        </w:rPr>
      </w:pPr>
      <w:r w:rsidRPr="0059669B">
        <w:rPr>
          <w:noProof/>
        </w:rPr>
        <w:drawing>
          <wp:inline distT="0" distB="0" distL="0" distR="0">
            <wp:extent cx="5725160" cy="2926080"/>
            <wp:effectExtent l="0" t="0" r="0" b="0"/>
            <wp:docPr id="1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5160" cy="2926080"/>
                    </a:xfrm>
                    <a:prstGeom prst="rect">
                      <a:avLst/>
                    </a:prstGeom>
                    <a:noFill/>
                    <a:ln w="9525">
                      <a:noFill/>
                      <a:miter lim="800000"/>
                      <a:headEnd/>
                      <a:tailEnd/>
                    </a:ln>
                  </pic:spPr>
                </pic:pic>
              </a:graphicData>
            </a:graphic>
          </wp:inline>
        </w:drawing>
      </w:r>
    </w:p>
    <w:p w:rsidR="003F081A" w:rsidRDefault="003F081A" w:rsidP="00BD1B77">
      <w:pPr>
        <w:spacing w:after="0"/>
        <w:jc w:val="both"/>
        <w:rPr>
          <w:rFonts w:cs="Arial"/>
        </w:rPr>
      </w:pPr>
    </w:p>
    <w:p w:rsidR="003F081A" w:rsidRPr="00DB3D33" w:rsidRDefault="003F081A" w:rsidP="00BD1B77">
      <w:pPr>
        <w:pStyle w:val="Zkladntext2"/>
        <w:tabs>
          <w:tab w:val="left" w:pos="2410"/>
        </w:tabs>
        <w:spacing w:line="288" w:lineRule="auto"/>
        <w:ind w:firstLine="709"/>
        <w:rPr>
          <w:color w:val="auto"/>
        </w:rPr>
      </w:pPr>
      <w:r w:rsidRPr="00601E4A">
        <w:rPr>
          <w:color w:val="auto"/>
        </w:rPr>
        <w:t xml:space="preserve">Trvalé kultury i přes svůj malý podíl na zemědělské půdě hrají důležitou roli v rostlinné produkci </w:t>
      </w:r>
      <w:r w:rsidRPr="001F011C">
        <w:rPr>
          <w:color w:val="auto"/>
        </w:rPr>
        <w:t>subjektů s malými výměrami. Vinice se v subjektech fyzických osob s výměrou do 3 hektarů zemědělské půdy rozkládaly na 33,6 % a sady na 15,9 % jejich výměry. V subjektech právnických osob stejné velikostní skupiny činily tyto podíly 24,6 % pro vinice a 25,1 % pro sady.</w:t>
      </w:r>
    </w:p>
    <w:p w:rsidR="003F081A" w:rsidRPr="00601E4A" w:rsidRDefault="003F081A" w:rsidP="00BD1B77">
      <w:pPr>
        <w:pStyle w:val="Zkladntext2"/>
        <w:tabs>
          <w:tab w:val="left" w:pos="2410"/>
        </w:tabs>
        <w:spacing w:line="288" w:lineRule="auto"/>
        <w:ind w:firstLine="709"/>
        <w:rPr>
          <w:color w:val="auto"/>
        </w:rPr>
      </w:pPr>
      <w:r w:rsidRPr="00601E4A">
        <w:rPr>
          <w:color w:val="auto"/>
        </w:rPr>
        <w:t>Velké zemědělské subjekty se naproti tomu zabývaly především pěstováním plodin na orné půdě. Ve velikostní skupině nad 500 ha zemědělské půdy představovala orná půda 69,6 % výměry v subjektech fyzických osob a 78,</w:t>
      </w:r>
      <w:r>
        <w:rPr>
          <w:color w:val="auto"/>
        </w:rPr>
        <w:t>7</w:t>
      </w:r>
      <w:r w:rsidRPr="00601E4A">
        <w:rPr>
          <w:color w:val="auto"/>
        </w:rPr>
        <w:t xml:space="preserve"> % výměry v subjektech právnických osob. </w:t>
      </w:r>
    </w:p>
    <w:p w:rsidR="003F081A" w:rsidRPr="00601E4A" w:rsidRDefault="003F081A" w:rsidP="00BD1B77">
      <w:pPr>
        <w:pStyle w:val="Zkladntext2"/>
        <w:tabs>
          <w:tab w:val="left" w:pos="2410"/>
        </w:tabs>
        <w:spacing w:line="288" w:lineRule="auto"/>
        <w:ind w:firstLine="709"/>
        <w:rPr>
          <w:color w:val="auto"/>
        </w:rPr>
      </w:pPr>
      <w:r w:rsidRPr="00601E4A">
        <w:rPr>
          <w:color w:val="auto"/>
        </w:rPr>
        <w:t>V podílu trvalých travních porostů se od sebe fyzické a právnické osoby lišily. V subjektech fyzických osob byl jejich podíl největší ve skupině s 3–10 ha zemědělské půdy, kde tvořily více než polovinu výměry (55,9 %), zatímco v subjektech právnických osob měly největší zastoupení v subjektech o velikosti 100–500 ha, kde zaujímaly 41,1 % zemědělské půdy.</w:t>
      </w:r>
    </w:p>
    <w:p w:rsidR="003F081A" w:rsidRPr="00601E4A" w:rsidRDefault="003F081A" w:rsidP="00BD1B77">
      <w:pPr>
        <w:pStyle w:val="Zkladntext2"/>
        <w:spacing w:line="288" w:lineRule="auto"/>
        <w:rPr>
          <w:b/>
          <w:color w:val="auto"/>
        </w:rPr>
      </w:pPr>
    </w:p>
    <w:p w:rsidR="003F081A" w:rsidRPr="00601E4A" w:rsidRDefault="003F081A" w:rsidP="00BD1B77">
      <w:pPr>
        <w:spacing w:after="0"/>
        <w:jc w:val="both"/>
        <w:rPr>
          <w:rFonts w:cs="Arial"/>
          <w:b/>
          <w:szCs w:val="16"/>
        </w:rPr>
      </w:pPr>
      <w:r w:rsidRPr="00601E4A">
        <w:rPr>
          <w:b/>
        </w:rPr>
        <w:br w:type="page"/>
      </w:r>
    </w:p>
    <w:p w:rsidR="003F081A" w:rsidRPr="001624EF" w:rsidRDefault="003F081A" w:rsidP="003F081A">
      <w:pPr>
        <w:pStyle w:val="Zkladntext2"/>
        <w:keepNext/>
        <w:spacing w:line="288" w:lineRule="auto"/>
        <w:rPr>
          <w:b/>
          <w:color w:val="auto"/>
        </w:rPr>
      </w:pPr>
      <w:r w:rsidRPr="001624EF">
        <w:rPr>
          <w:b/>
          <w:color w:val="auto"/>
        </w:rPr>
        <w:lastRenderedPageBreak/>
        <w:t>Tab. 3: Využití obhospodařované zemědělské půdy podle právních forem</w:t>
      </w:r>
    </w:p>
    <w:tbl>
      <w:tblPr>
        <w:tblW w:w="9597" w:type="dxa"/>
        <w:tblInd w:w="70" w:type="dxa"/>
        <w:tblLayout w:type="fixed"/>
        <w:tblCellMar>
          <w:left w:w="70" w:type="dxa"/>
          <w:right w:w="70" w:type="dxa"/>
        </w:tblCellMar>
        <w:tblLook w:val="04A0"/>
      </w:tblPr>
      <w:tblGrid>
        <w:gridCol w:w="1418"/>
        <w:gridCol w:w="567"/>
        <w:gridCol w:w="1134"/>
        <w:gridCol w:w="992"/>
        <w:gridCol w:w="992"/>
        <w:gridCol w:w="993"/>
        <w:gridCol w:w="992"/>
        <w:gridCol w:w="850"/>
        <w:gridCol w:w="851"/>
        <w:gridCol w:w="808"/>
      </w:tblGrid>
      <w:tr w:rsidR="003F081A" w:rsidRPr="001624EF" w:rsidTr="005C4AF7">
        <w:trPr>
          <w:trHeight w:val="264"/>
        </w:trPr>
        <w:tc>
          <w:tcPr>
            <w:tcW w:w="1418" w:type="dxa"/>
            <w:vMerge w:val="restart"/>
            <w:tcBorders>
              <w:top w:val="single" w:sz="8" w:space="0" w:color="auto"/>
              <w:left w:val="nil"/>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 </w:t>
            </w:r>
          </w:p>
        </w:tc>
        <w:tc>
          <w:tcPr>
            <w:tcW w:w="567" w:type="dxa"/>
            <w:vMerge w:val="restart"/>
            <w:tcBorders>
              <w:top w:val="single" w:sz="8" w:space="0" w:color="auto"/>
              <w:left w:val="single" w:sz="4" w:space="0" w:color="auto"/>
              <w:bottom w:val="nil"/>
              <w:right w:val="single" w:sz="4" w:space="0" w:color="auto"/>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Rok</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Zemědělské subjekty</w:t>
            </w:r>
            <w:r w:rsidRPr="001624EF">
              <w:rPr>
                <w:rFonts w:cs="Arial"/>
                <w:b/>
                <w:color w:val="000000"/>
                <w:sz w:val="16"/>
                <w:szCs w:val="16"/>
              </w:rPr>
              <w:br/>
              <w:t>celkem</w:t>
            </w:r>
          </w:p>
        </w:tc>
        <w:tc>
          <w:tcPr>
            <w:tcW w:w="6478" w:type="dxa"/>
            <w:gridSpan w:val="7"/>
            <w:tcBorders>
              <w:top w:val="single" w:sz="8" w:space="0" w:color="auto"/>
              <w:left w:val="nil"/>
              <w:bottom w:val="single" w:sz="4" w:space="0" w:color="auto"/>
              <w:right w:val="nil"/>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v tom subjekty</w:t>
            </w:r>
          </w:p>
        </w:tc>
      </w:tr>
      <w:tr w:rsidR="003F081A" w:rsidRPr="001624EF" w:rsidTr="005C4AF7">
        <w:trPr>
          <w:trHeight w:val="264"/>
        </w:trPr>
        <w:tc>
          <w:tcPr>
            <w:tcW w:w="1418" w:type="dxa"/>
            <w:vMerge/>
            <w:tcBorders>
              <w:top w:val="single" w:sz="8" w:space="0" w:color="auto"/>
              <w:left w:val="nil"/>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567" w:type="dxa"/>
            <w:vMerge/>
            <w:tcBorders>
              <w:top w:val="single" w:sz="8" w:space="0" w:color="auto"/>
              <w:left w:val="single" w:sz="4" w:space="0" w:color="auto"/>
              <w:bottom w:val="nil"/>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1134" w:type="dxa"/>
            <w:vMerge/>
            <w:tcBorders>
              <w:top w:val="single" w:sz="8" w:space="0" w:color="auto"/>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992" w:type="dxa"/>
            <w:vMerge w:val="restart"/>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fyzických</w:t>
            </w:r>
            <w:r w:rsidRPr="001624EF">
              <w:rPr>
                <w:rFonts w:cs="Arial"/>
                <w:b/>
                <w:color w:val="000000"/>
                <w:sz w:val="16"/>
                <w:szCs w:val="16"/>
              </w:rPr>
              <w:br/>
              <w:t>osob</w:t>
            </w:r>
            <w:r w:rsidRPr="001624EF">
              <w:rPr>
                <w:rFonts w:cs="Arial"/>
                <w:b/>
                <w:color w:val="000000"/>
                <w:sz w:val="16"/>
                <w:szCs w:val="16"/>
              </w:rPr>
              <w:br/>
              <w:t>celkem</w:t>
            </w:r>
          </w:p>
        </w:tc>
        <w:tc>
          <w:tcPr>
            <w:tcW w:w="992" w:type="dxa"/>
            <w:vMerge w:val="restart"/>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z toho</w:t>
            </w:r>
            <w:r w:rsidRPr="001624EF">
              <w:rPr>
                <w:rFonts w:cs="Arial"/>
                <w:b/>
                <w:color w:val="000000"/>
                <w:sz w:val="16"/>
                <w:szCs w:val="16"/>
              </w:rPr>
              <w:br/>
              <w:t>zemědělští podnikatelé</w:t>
            </w:r>
          </w:p>
        </w:tc>
        <w:tc>
          <w:tcPr>
            <w:tcW w:w="993" w:type="dxa"/>
            <w:vMerge w:val="restart"/>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právnických</w:t>
            </w:r>
            <w:r w:rsidRPr="001624EF">
              <w:rPr>
                <w:rFonts w:cs="Arial"/>
                <w:b/>
                <w:color w:val="000000"/>
                <w:sz w:val="16"/>
                <w:szCs w:val="16"/>
              </w:rPr>
              <w:br/>
              <w:t>osob</w:t>
            </w:r>
            <w:r w:rsidRPr="001624EF">
              <w:rPr>
                <w:rFonts w:cs="Arial"/>
                <w:b/>
                <w:color w:val="000000"/>
                <w:sz w:val="16"/>
                <w:szCs w:val="16"/>
              </w:rPr>
              <w:br/>
              <w:t>celkem</w:t>
            </w:r>
          </w:p>
        </w:tc>
        <w:tc>
          <w:tcPr>
            <w:tcW w:w="3501" w:type="dxa"/>
            <w:gridSpan w:val="4"/>
            <w:tcBorders>
              <w:top w:val="single" w:sz="4" w:space="0" w:color="auto"/>
              <w:left w:val="nil"/>
              <w:bottom w:val="single" w:sz="4" w:space="0" w:color="auto"/>
              <w:right w:val="nil"/>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z toho</w:t>
            </w:r>
          </w:p>
        </w:tc>
      </w:tr>
      <w:tr w:rsidR="003F081A" w:rsidRPr="001624EF" w:rsidTr="005C4AF7">
        <w:trPr>
          <w:trHeight w:val="264"/>
        </w:trPr>
        <w:tc>
          <w:tcPr>
            <w:tcW w:w="1418" w:type="dxa"/>
            <w:vMerge/>
            <w:tcBorders>
              <w:top w:val="single" w:sz="8" w:space="0" w:color="auto"/>
              <w:left w:val="nil"/>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567" w:type="dxa"/>
            <w:vMerge/>
            <w:tcBorders>
              <w:top w:val="single" w:sz="8" w:space="0" w:color="auto"/>
              <w:left w:val="single" w:sz="4" w:space="0" w:color="auto"/>
              <w:bottom w:val="nil"/>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1134" w:type="dxa"/>
            <w:vMerge/>
            <w:tcBorders>
              <w:top w:val="single" w:sz="8" w:space="0" w:color="auto"/>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993" w:type="dxa"/>
            <w:vMerge/>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992" w:type="dxa"/>
            <w:vMerge w:val="restart"/>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obchodní společnosti</w:t>
            </w:r>
          </w:p>
        </w:tc>
        <w:tc>
          <w:tcPr>
            <w:tcW w:w="1701" w:type="dxa"/>
            <w:gridSpan w:val="2"/>
            <w:tcBorders>
              <w:top w:val="single" w:sz="4" w:space="0" w:color="auto"/>
              <w:left w:val="nil"/>
              <w:bottom w:val="single" w:sz="4" w:space="0" w:color="auto"/>
              <w:right w:val="single" w:sz="4" w:space="0" w:color="000000"/>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z toho</w:t>
            </w:r>
          </w:p>
        </w:tc>
        <w:tc>
          <w:tcPr>
            <w:tcW w:w="808" w:type="dxa"/>
            <w:vMerge w:val="restart"/>
            <w:tcBorders>
              <w:top w:val="nil"/>
              <w:left w:val="single" w:sz="4" w:space="0" w:color="auto"/>
              <w:bottom w:val="single" w:sz="8" w:space="0" w:color="000000"/>
              <w:right w:val="nil"/>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družstva</w:t>
            </w:r>
          </w:p>
        </w:tc>
      </w:tr>
      <w:tr w:rsidR="003F081A" w:rsidRPr="001624EF" w:rsidTr="005C4AF7">
        <w:trPr>
          <w:trHeight w:val="300"/>
        </w:trPr>
        <w:tc>
          <w:tcPr>
            <w:tcW w:w="1418" w:type="dxa"/>
            <w:vMerge/>
            <w:tcBorders>
              <w:top w:val="single" w:sz="8" w:space="0" w:color="auto"/>
              <w:left w:val="nil"/>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567" w:type="dxa"/>
            <w:vMerge/>
            <w:tcBorders>
              <w:top w:val="single" w:sz="8" w:space="0" w:color="auto"/>
              <w:left w:val="single" w:sz="4" w:space="0" w:color="auto"/>
              <w:bottom w:val="nil"/>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1134" w:type="dxa"/>
            <w:vMerge/>
            <w:tcBorders>
              <w:top w:val="single" w:sz="8" w:space="0" w:color="auto"/>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993" w:type="dxa"/>
            <w:vMerge/>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c>
          <w:tcPr>
            <w:tcW w:w="850" w:type="dxa"/>
            <w:tcBorders>
              <w:top w:val="nil"/>
              <w:left w:val="nil"/>
              <w:bottom w:val="single" w:sz="8" w:space="0" w:color="auto"/>
              <w:right w:val="single" w:sz="4" w:space="0" w:color="auto"/>
            </w:tcBorders>
            <w:shd w:val="clear" w:color="auto" w:fill="D9EAF5"/>
            <w:tcMar>
              <w:left w:w="28" w:type="dxa"/>
              <w:right w:w="28" w:type="dxa"/>
            </w:tcMar>
            <w:vAlign w:val="center"/>
            <w:hideMark/>
          </w:tcPr>
          <w:p w:rsidR="003F081A" w:rsidRDefault="003F081A" w:rsidP="003F081A">
            <w:pPr>
              <w:spacing w:after="0"/>
              <w:jc w:val="center"/>
              <w:rPr>
                <w:rFonts w:cs="Arial"/>
                <w:b/>
                <w:color w:val="000000"/>
                <w:sz w:val="16"/>
                <w:szCs w:val="16"/>
              </w:rPr>
            </w:pPr>
            <w:r w:rsidRPr="001624EF">
              <w:rPr>
                <w:rFonts w:cs="Arial"/>
                <w:b/>
                <w:color w:val="000000"/>
                <w:sz w:val="16"/>
                <w:szCs w:val="16"/>
              </w:rPr>
              <w:t xml:space="preserve">spol. </w:t>
            </w:r>
          </w:p>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s r.o.</w:t>
            </w:r>
          </w:p>
        </w:tc>
        <w:tc>
          <w:tcPr>
            <w:tcW w:w="851" w:type="dxa"/>
            <w:tcBorders>
              <w:top w:val="nil"/>
              <w:left w:val="nil"/>
              <w:bottom w:val="single" w:sz="8" w:space="0" w:color="auto"/>
              <w:right w:val="single" w:sz="4" w:space="0" w:color="auto"/>
            </w:tcBorders>
            <w:shd w:val="clear" w:color="auto" w:fill="D9EAF5"/>
            <w:tcMar>
              <w:left w:w="28" w:type="dxa"/>
              <w:right w:w="28" w:type="dxa"/>
            </w:tcMar>
            <w:vAlign w:val="center"/>
            <w:hideMark/>
          </w:tcPr>
          <w:p w:rsidR="003F081A" w:rsidRPr="001624EF" w:rsidRDefault="003F081A" w:rsidP="003F081A">
            <w:pPr>
              <w:spacing w:after="0"/>
              <w:jc w:val="center"/>
              <w:rPr>
                <w:rFonts w:cs="Arial"/>
                <w:b/>
                <w:color w:val="000000"/>
                <w:sz w:val="16"/>
                <w:szCs w:val="16"/>
              </w:rPr>
            </w:pPr>
            <w:r w:rsidRPr="001624EF">
              <w:rPr>
                <w:rFonts w:cs="Arial"/>
                <w:b/>
                <w:color w:val="000000"/>
                <w:sz w:val="16"/>
                <w:szCs w:val="16"/>
              </w:rPr>
              <w:t>a.s.</w:t>
            </w:r>
          </w:p>
        </w:tc>
        <w:tc>
          <w:tcPr>
            <w:tcW w:w="808" w:type="dxa"/>
            <w:vMerge/>
            <w:tcBorders>
              <w:top w:val="nil"/>
              <w:left w:val="single" w:sz="4" w:space="0" w:color="auto"/>
              <w:bottom w:val="single" w:sz="8" w:space="0" w:color="000000"/>
              <w:right w:val="nil"/>
            </w:tcBorders>
            <w:shd w:val="clear" w:color="auto" w:fill="D9EAF5"/>
            <w:tcMar>
              <w:left w:w="28" w:type="dxa"/>
              <w:right w:w="28" w:type="dxa"/>
            </w:tcMar>
            <w:vAlign w:val="center"/>
            <w:hideMark/>
          </w:tcPr>
          <w:p w:rsidR="003F081A" w:rsidRPr="001624EF" w:rsidRDefault="003F081A" w:rsidP="003F081A">
            <w:pPr>
              <w:spacing w:after="0"/>
              <w:rPr>
                <w:rFonts w:cs="Arial"/>
                <w:b/>
                <w:color w:val="000000"/>
                <w:sz w:val="16"/>
                <w:szCs w:val="16"/>
              </w:rPr>
            </w:pPr>
          </w:p>
        </w:tc>
      </w:tr>
      <w:tr w:rsidR="003F081A" w:rsidRPr="00601E4A" w:rsidTr="005C4AF7">
        <w:trPr>
          <w:trHeight w:val="264"/>
        </w:trPr>
        <w:tc>
          <w:tcPr>
            <w:tcW w:w="1418" w:type="dxa"/>
            <w:vMerge w:val="restart"/>
            <w:tcBorders>
              <w:top w:val="nil"/>
              <w:left w:val="single" w:sz="8" w:space="0" w:color="FFFFFF"/>
              <w:bottom w:val="single" w:sz="4" w:space="0" w:color="000000"/>
              <w:right w:val="single" w:sz="4" w:space="0" w:color="auto"/>
            </w:tcBorders>
            <w:shd w:val="clear" w:color="auto" w:fill="auto"/>
            <w:tcMar>
              <w:left w:w="28" w:type="dxa"/>
              <w:right w:w="28" w:type="dxa"/>
            </w:tcMar>
            <w:vAlign w:val="center"/>
            <w:hideMark/>
          </w:tcPr>
          <w:p w:rsidR="003F081A" w:rsidRPr="00601E4A" w:rsidRDefault="003F081A" w:rsidP="003F081A">
            <w:pPr>
              <w:spacing w:after="0"/>
              <w:rPr>
                <w:rFonts w:cs="Arial"/>
                <w:sz w:val="16"/>
                <w:szCs w:val="16"/>
              </w:rPr>
            </w:pPr>
            <w:r w:rsidRPr="00601E4A">
              <w:rPr>
                <w:rFonts w:cs="Arial"/>
                <w:sz w:val="16"/>
                <w:szCs w:val="16"/>
              </w:rPr>
              <w:t>Zemědělské subjekty</w:t>
            </w:r>
          </w:p>
        </w:tc>
        <w:tc>
          <w:tcPr>
            <w:tcW w:w="567" w:type="dxa"/>
            <w:tcBorders>
              <w:top w:val="single" w:sz="8" w:space="0" w:color="auto"/>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2016</w:t>
            </w:r>
          </w:p>
        </w:tc>
        <w:tc>
          <w:tcPr>
            <w:tcW w:w="1134"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26 525</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23 402</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ascii="Arial CE" w:hAnsi="Arial CE" w:cs="Arial CE"/>
                <w:sz w:val="16"/>
                <w:szCs w:val="16"/>
              </w:rPr>
            </w:pPr>
            <w:r w:rsidRPr="00601E4A">
              <w:rPr>
                <w:rFonts w:ascii="Arial CE" w:hAnsi="Arial CE" w:cs="Arial CE"/>
                <w:sz w:val="16"/>
                <w:szCs w:val="16"/>
              </w:rPr>
              <w:t>18 232</w:t>
            </w:r>
          </w:p>
        </w:tc>
        <w:tc>
          <w:tcPr>
            <w:tcW w:w="993"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3 123</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2 507</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1 836</w:t>
            </w:r>
          </w:p>
        </w:tc>
        <w:tc>
          <w:tcPr>
            <w:tcW w:w="851" w:type="dxa"/>
            <w:tcBorders>
              <w:top w:val="nil"/>
              <w:left w:val="nil"/>
              <w:bottom w:val="nil"/>
              <w:right w:val="nil"/>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621</w:t>
            </w:r>
          </w:p>
        </w:tc>
        <w:tc>
          <w:tcPr>
            <w:tcW w:w="808" w:type="dxa"/>
            <w:tcBorders>
              <w:top w:val="nil"/>
              <w:left w:val="single" w:sz="4" w:space="0" w:color="auto"/>
              <w:bottom w:val="nil"/>
              <w:right w:val="nil"/>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502</w:t>
            </w:r>
          </w:p>
        </w:tc>
      </w:tr>
      <w:tr w:rsidR="003F081A" w:rsidRPr="00601E4A" w:rsidTr="005C4AF7">
        <w:trPr>
          <w:trHeight w:val="264"/>
        </w:trPr>
        <w:tc>
          <w:tcPr>
            <w:tcW w:w="1418" w:type="dxa"/>
            <w:vMerge/>
            <w:tcBorders>
              <w:top w:val="nil"/>
              <w:left w:val="single" w:sz="8" w:space="0" w:color="FFFFFF"/>
              <w:bottom w:val="single" w:sz="4" w:space="0" w:color="000000"/>
              <w:right w:val="single" w:sz="4" w:space="0" w:color="auto"/>
            </w:tcBorders>
            <w:tcMar>
              <w:left w:w="28" w:type="dxa"/>
              <w:right w:w="28" w:type="dxa"/>
            </w:tcMar>
            <w:vAlign w:val="center"/>
            <w:hideMark/>
          </w:tcPr>
          <w:p w:rsidR="003F081A" w:rsidRPr="00601E4A" w:rsidRDefault="003F081A" w:rsidP="003F081A">
            <w:pPr>
              <w:spacing w:after="0"/>
              <w:rPr>
                <w:rFonts w:cs="Arial"/>
                <w:sz w:val="16"/>
                <w:szCs w:val="16"/>
              </w:rPr>
            </w:pPr>
          </w:p>
        </w:tc>
        <w:tc>
          <w:tcPr>
            <w:tcW w:w="56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26 539</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23 714</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19 746</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2 825</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1 948</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1 310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602</w:t>
            </w:r>
          </w:p>
        </w:tc>
        <w:tc>
          <w:tcPr>
            <w:tcW w:w="808" w:type="dxa"/>
            <w:tcBorders>
              <w:top w:val="nil"/>
              <w:left w:val="nil"/>
              <w:bottom w:val="single" w:sz="4" w:space="0" w:color="auto"/>
              <w:right w:val="single" w:sz="8" w:space="0" w:color="FFFFFF"/>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740</w:t>
            </w:r>
          </w:p>
        </w:tc>
      </w:tr>
      <w:tr w:rsidR="003F081A" w:rsidRPr="00601E4A" w:rsidTr="005C4AF7">
        <w:trPr>
          <w:trHeight w:val="264"/>
        </w:trPr>
        <w:tc>
          <w:tcPr>
            <w:tcW w:w="1418" w:type="dxa"/>
            <w:vMerge w:val="restart"/>
            <w:tcBorders>
              <w:top w:val="nil"/>
              <w:left w:val="single" w:sz="8" w:space="0" w:color="FFFFFF"/>
              <w:bottom w:val="single" w:sz="4" w:space="0" w:color="000000"/>
              <w:right w:val="single" w:sz="4" w:space="0" w:color="auto"/>
            </w:tcBorders>
            <w:shd w:val="clear" w:color="auto" w:fill="auto"/>
            <w:tcMar>
              <w:left w:w="28" w:type="dxa"/>
              <w:right w:w="28" w:type="dxa"/>
            </w:tcMar>
            <w:vAlign w:val="center"/>
            <w:hideMark/>
          </w:tcPr>
          <w:p w:rsidR="003F081A" w:rsidRPr="00601E4A" w:rsidRDefault="003F081A" w:rsidP="003F081A">
            <w:pPr>
              <w:spacing w:after="0"/>
              <w:rPr>
                <w:rFonts w:cs="Arial"/>
                <w:sz w:val="16"/>
                <w:szCs w:val="16"/>
              </w:rPr>
            </w:pPr>
            <w:r w:rsidRPr="00601E4A">
              <w:rPr>
                <w:rFonts w:cs="Arial"/>
                <w:sz w:val="16"/>
                <w:szCs w:val="16"/>
              </w:rPr>
              <w:t>Obhospodařovaná zemědělská půda (ha)</w:t>
            </w:r>
          </w:p>
        </w:tc>
        <w:tc>
          <w:tcPr>
            <w:tcW w:w="567" w:type="dxa"/>
            <w:tcBorders>
              <w:top w:val="nil"/>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2016</w:t>
            </w:r>
          </w:p>
        </w:tc>
        <w:tc>
          <w:tcPr>
            <w:tcW w:w="1134"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3 456 646</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1 040 124</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ascii="Arial CE" w:hAnsi="Arial CE" w:cs="Arial CE"/>
                <w:sz w:val="16"/>
                <w:szCs w:val="16"/>
              </w:rPr>
            </w:pPr>
            <w:r w:rsidRPr="00601E4A">
              <w:rPr>
                <w:rFonts w:ascii="Arial CE" w:hAnsi="Arial CE" w:cs="Arial CE"/>
                <w:sz w:val="16"/>
                <w:szCs w:val="16"/>
              </w:rPr>
              <w:t>945 869</w:t>
            </w:r>
          </w:p>
        </w:tc>
        <w:tc>
          <w:tcPr>
            <w:tcW w:w="993"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2 416 521</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1 720 555</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839 877</w:t>
            </w:r>
          </w:p>
        </w:tc>
        <w:tc>
          <w:tcPr>
            <w:tcW w:w="851"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862 945</w:t>
            </w:r>
          </w:p>
        </w:tc>
        <w:tc>
          <w:tcPr>
            <w:tcW w:w="808" w:type="dxa"/>
            <w:tcBorders>
              <w:top w:val="nil"/>
              <w:left w:val="nil"/>
              <w:bottom w:val="nil"/>
              <w:right w:val="nil"/>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668 104</w:t>
            </w:r>
          </w:p>
        </w:tc>
      </w:tr>
      <w:tr w:rsidR="003F081A" w:rsidRPr="00601E4A" w:rsidTr="005C4AF7">
        <w:trPr>
          <w:trHeight w:val="264"/>
        </w:trPr>
        <w:tc>
          <w:tcPr>
            <w:tcW w:w="1418" w:type="dxa"/>
            <w:vMerge/>
            <w:tcBorders>
              <w:top w:val="nil"/>
              <w:left w:val="single" w:sz="8" w:space="0" w:color="FFFFFF"/>
              <w:bottom w:val="single" w:sz="4" w:space="0" w:color="000000"/>
              <w:right w:val="single" w:sz="4" w:space="0" w:color="auto"/>
            </w:tcBorders>
            <w:tcMar>
              <w:left w:w="28" w:type="dxa"/>
              <w:right w:w="28" w:type="dxa"/>
            </w:tcMar>
            <w:vAlign w:val="center"/>
            <w:hideMark/>
          </w:tcPr>
          <w:p w:rsidR="003F081A" w:rsidRPr="00601E4A" w:rsidRDefault="003F081A" w:rsidP="003F081A">
            <w:pPr>
              <w:spacing w:after="0"/>
              <w:rPr>
                <w:rFonts w:cs="Arial"/>
                <w:sz w:val="16"/>
                <w:szCs w:val="16"/>
              </w:rPr>
            </w:pPr>
          </w:p>
        </w:tc>
        <w:tc>
          <w:tcPr>
            <w:tcW w:w="56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3 604 400</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923 775</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842 044</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2 680 625</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1 578 841</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783 686</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779 696</w:t>
            </w:r>
          </w:p>
        </w:tc>
        <w:tc>
          <w:tcPr>
            <w:tcW w:w="808" w:type="dxa"/>
            <w:tcBorders>
              <w:top w:val="nil"/>
              <w:left w:val="nil"/>
              <w:bottom w:val="single" w:sz="4" w:space="0" w:color="auto"/>
              <w:right w:val="single" w:sz="8" w:space="0" w:color="FFFFFF"/>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1 059 447</w:t>
            </w:r>
          </w:p>
        </w:tc>
      </w:tr>
      <w:tr w:rsidR="003F081A" w:rsidRPr="00601E4A" w:rsidTr="005C4AF7">
        <w:trPr>
          <w:trHeight w:val="264"/>
        </w:trPr>
        <w:tc>
          <w:tcPr>
            <w:tcW w:w="1418" w:type="dxa"/>
            <w:vMerge w:val="restart"/>
            <w:tcBorders>
              <w:top w:val="nil"/>
              <w:left w:val="single" w:sz="8" w:space="0" w:color="FFFFFF"/>
              <w:bottom w:val="single" w:sz="4" w:space="0" w:color="000000"/>
              <w:right w:val="single" w:sz="4" w:space="0" w:color="auto"/>
            </w:tcBorders>
            <w:shd w:val="clear" w:color="auto" w:fill="auto"/>
            <w:tcMar>
              <w:left w:w="28" w:type="dxa"/>
              <w:right w:w="28" w:type="dxa"/>
            </w:tcMar>
            <w:vAlign w:val="center"/>
            <w:hideMark/>
          </w:tcPr>
          <w:p w:rsidR="003F081A" w:rsidRPr="00601E4A" w:rsidRDefault="003F081A" w:rsidP="003F081A">
            <w:pPr>
              <w:spacing w:after="0"/>
              <w:ind w:left="214"/>
              <w:rPr>
                <w:rFonts w:cs="Arial"/>
                <w:sz w:val="16"/>
                <w:szCs w:val="16"/>
              </w:rPr>
            </w:pPr>
            <w:r w:rsidRPr="00601E4A">
              <w:rPr>
                <w:rFonts w:cs="Arial"/>
                <w:sz w:val="16"/>
                <w:szCs w:val="16"/>
              </w:rPr>
              <w:t>Orná půda (ha)</w:t>
            </w:r>
          </w:p>
        </w:tc>
        <w:tc>
          <w:tcPr>
            <w:tcW w:w="567" w:type="dxa"/>
            <w:tcBorders>
              <w:top w:val="nil"/>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2016</w:t>
            </w:r>
          </w:p>
        </w:tc>
        <w:tc>
          <w:tcPr>
            <w:tcW w:w="1134"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2 471 000</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629 604</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574 067</w:t>
            </w:r>
          </w:p>
        </w:tc>
        <w:tc>
          <w:tcPr>
            <w:tcW w:w="993"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1 841 396</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1 279 372</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558 687</w:t>
            </w:r>
          </w:p>
        </w:tc>
        <w:tc>
          <w:tcPr>
            <w:tcW w:w="851"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706 847</w:t>
            </w:r>
          </w:p>
        </w:tc>
        <w:tc>
          <w:tcPr>
            <w:tcW w:w="808" w:type="dxa"/>
            <w:tcBorders>
              <w:top w:val="nil"/>
              <w:left w:val="nil"/>
              <w:bottom w:val="nil"/>
              <w:right w:val="nil"/>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545 564</w:t>
            </w:r>
          </w:p>
        </w:tc>
      </w:tr>
      <w:tr w:rsidR="003F081A" w:rsidRPr="00601E4A" w:rsidTr="005C4AF7">
        <w:trPr>
          <w:trHeight w:val="264"/>
        </w:trPr>
        <w:tc>
          <w:tcPr>
            <w:tcW w:w="1418" w:type="dxa"/>
            <w:vMerge/>
            <w:tcBorders>
              <w:top w:val="nil"/>
              <w:left w:val="single" w:sz="8" w:space="0" w:color="FFFFFF"/>
              <w:bottom w:val="single" w:sz="4" w:space="0" w:color="000000"/>
              <w:right w:val="single" w:sz="4" w:space="0" w:color="auto"/>
            </w:tcBorders>
            <w:tcMar>
              <w:left w:w="28" w:type="dxa"/>
              <w:right w:w="28" w:type="dxa"/>
            </w:tcMar>
            <w:vAlign w:val="center"/>
            <w:hideMark/>
          </w:tcPr>
          <w:p w:rsidR="003F081A" w:rsidRPr="00601E4A" w:rsidRDefault="003F081A" w:rsidP="003F081A">
            <w:pPr>
              <w:spacing w:after="0"/>
              <w:rPr>
                <w:rFonts w:cs="Arial"/>
                <w:sz w:val="16"/>
                <w:szCs w:val="16"/>
              </w:rPr>
            </w:pPr>
          </w:p>
        </w:tc>
        <w:tc>
          <w:tcPr>
            <w:tcW w:w="567" w:type="dxa"/>
            <w:tcBorders>
              <w:top w:val="nil"/>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2 738 350</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633 402</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581 846</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2 104 948</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1 211 058</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560 555</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639 882</w:t>
            </w:r>
          </w:p>
        </w:tc>
        <w:tc>
          <w:tcPr>
            <w:tcW w:w="808" w:type="dxa"/>
            <w:tcBorders>
              <w:top w:val="nil"/>
              <w:left w:val="nil"/>
              <w:bottom w:val="single" w:sz="4" w:space="0" w:color="auto"/>
              <w:right w:val="single" w:sz="8" w:space="0" w:color="FFFFFF"/>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863 284</w:t>
            </w:r>
          </w:p>
        </w:tc>
      </w:tr>
      <w:tr w:rsidR="003F081A" w:rsidRPr="00601E4A" w:rsidTr="005C4AF7">
        <w:trPr>
          <w:trHeight w:val="264"/>
        </w:trPr>
        <w:tc>
          <w:tcPr>
            <w:tcW w:w="1418" w:type="dxa"/>
            <w:vMerge w:val="restart"/>
            <w:tcBorders>
              <w:top w:val="nil"/>
              <w:left w:val="single" w:sz="8" w:space="0" w:color="FFFFFF"/>
              <w:bottom w:val="single" w:sz="4" w:space="0" w:color="000000"/>
              <w:right w:val="single" w:sz="4" w:space="0" w:color="auto"/>
            </w:tcBorders>
            <w:shd w:val="clear" w:color="auto" w:fill="auto"/>
            <w:tcMar>
              <w:left w:w="28" w:type="dxa"/>
              <w:right w:w="28" w:type="dxa"/>
            </w:tcMar>
            <w:vAlign w:val="center"/>
            <w:hideMark/>
          </w:tcPr>
          <w:p w:rsidR="003F081A" w:rsidRPr="00601E4A" w:rsidRDefault="003F081A" w:rsidP="003F081A">
            <w:pPr>
              <w:spacing w:after="0"/>
              <w:ind w:left="214"/>
              <w:rPr>
                <w:rFonts w:cs="Arial"/>
                <w:sz w:val="16"/>
                <w:szCs w:val="16"/>
              </w:rPr>
            </w:pPr>
            <w:r w:rsidRPr="00601E4A">
              <w:rPr>
                <w:rFonts w:cs="Arial"/>
                <w:sz w:val="16"/>
                <w:szCs w:val="16"/>
              </w:rPr>
              <w:t>Chmelnice (ha)</w:t>
            </w:r>
          </w:p>
        </w:tc>
        <w:tc>
          <w:tcPr>
            <w:tcW w:w="567" w:type="dxa"/>
            <w:tcBorders>
              <w:top w:val="single" w:sz="4" w:space="0" w:color="auto"/>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2016</w:t>
            </w:r>
          </w:p>
        </w:tc>
        <w:tc>
          <w:tcPr>
            <w:tcW w:w="1134"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5 167</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679</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651</w:t>
            </w:r>
          </w:p>
        </w:tc>
        <w:tc>
          <w:tcPr>
            <w:tcW w:w="993"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4 488</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3 370</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2 391</w:t>
            </w:r>
          </w:p>
        </w:tc>
        <w:tc>
          <w:tcPr>
            <w:tcW w:w="851"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979</w:t>
            </w:r>
          </w:p>
        </w:tc>
        <w:tc>
          <w:tcPr>
            <w:tcW w:w="808" w:type="dxa"/>
            <w:tcBorders>
              <w:top w:val="nil"/>
              <w:left w:val="nil"/>
              <w:bottom w:val="nil"/>
              <w:right w:val="nil"/>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1 087</w:t>
            </w:r>
          </w:p>
        </w:tc>
      </w:tr>
      <w:tr w:rsidR="003F081A" w:rsidRPr="00601E4A" w:rsidTr="005C4AF7">
        <w:trPr>
          <w:trHeight w:val="264"/>
        </w:trPr>
        <w:tc>
          <w:tcPr>
            <w:tcW w:w="1418" w:type="dxa"/>
            <w:vMerge/>
            <w:tcBorders>
              <w:top w:val="nil"/>
              <w:left w:val="single" w:sz="8" w:space="0" w:color="FFFFFF"/>
              <w:bottom w:val="single" w:sz="4" w:space="0" w:color="000000"/>
              <w:right w:val="single" w:sz="4" w:space="0" w:color="auto"/>
            </w:tcBorders>
            <w:tcMar>
              <w:left w:w="28" w:type="dxa"/>
              <w:right w:w="28" w:type="dxa"/>
            </w:tcMar>
            <w:vAlign w:val="center"/>
            <w:hideMark/>
          </w:tcPr>
          <w:p w:rsidR="003F081A" w:rsidRPr="00601E4A" w:rsidRDefault="003F081A" w:rsidP="003F081A">
            <w:pPr>
              <w:spacing w:after="0"/>
              <w:rPr>
                <w:rFonts w:cs="Arial"/>
                <w:sz w:val="16"/>
                <w:szCs w:val="16"/>
              </w:rPr>
            </w:pPr>
          </w:p>
        </w:tc>
        <w:tc>
          <w:tcPr>
            <w:tcW w:w="56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6 966</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1 245</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1 048</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5 721</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3 853</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2 717</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977</w:t>
            </w:r>
          </w:p>
        </w:tc>
        <w:tc>
          <w:tcPr>
            <w:tcW w:w="808" w:type="dxa"/>
            <w:tcBorders>
              <w:top w:val="nil"/>
              <w:left w:val="nil"/>
              <w:bottom w:val="single" w:sz="4" w:space="0" w:color="auto"/>
              <w:right w:val="single" w:sz="8" w:space="0" w:color="FFFFFF"/>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1 788</w:t>
            </w:r>
          </w:p>
        </w:tc>
      </w:tr>
      <w:tr w:rsidR="003F081A" w:rsidRPr="00601E4A" w:rsidTr="005C4AF7">
        <w:trPr>
          <w:trHeight w:val="264"/>
        </w:trPr>
        <w:tc>
          <w:tcPr>
            <w:tcW w:w="1418" w:type="dxa"/>
            <w:vMerge w:val="restart"/>
            <w:tcBorders>
              <w:top w:val="nil"/>
              <w:left w:val="single" w:sz="8" w:space="0" w:color="FFFFFF"/>
              <w:bottom w:val="single" w:sz="4" w:space="0" w:color="000000"/>
              <w:right w:val="single" w:sz="4" w:space="0" w:color="auto"/>
            </w:tcBorders>
            <w:shd w:val="clear" w:color="auto" w:fill="auto"/>
            <w:tcMar>
              <w:left w:w="28" w:type="dxa"/>
              <w:right w:w="28" w:type="dxa"/>
            </w:tcMar>
            <w:vAlign w:val="center"/>
            <w:hideMark/>
          </w:tcPr>
          <w:p w:rsidR="003F081A" w:rsidRPr="00601E4A" w:rsidRDefault="003F081A" w:rsidP="003F081A">
            <w:pPr>
              <w:spacing w:after="0"/>
              <w:ind w:leftChars="97" w:left="194"/>
              <w:rPr>
                <w:rFonts w:cs="Arial"/>
                <w:sz w:val="16"/>
                <w:szCs w:val="16"/>
              </w:rPr>
            </w:pPr>
            <w:r w:rsidRPr="00601E4A">
              <w:rPr>
                <w:rFonts w:cs="Arial"/>
                <w:sz w:val="16"/>
                <w:szCs w:val="16"/>
              </w:rPr>
              <w:t>Vinice (ha)</w:t>
            </w:r>
          </w:p>
        </w:tc>
        <w:tc>
          <w:tcPr>
            <w:tcW w:w="567" w:type="dxa"/>
            <w:tcBorders>
              <w:top w:val="nil"/>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2016</w:t>
            </w:r>
          </w:p>
        </w:tc>
        <w:tc>
          <w:tcPr>
            <w:tcW w:w="1134"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15 020</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5 657</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4 590</w:t>
            </w:r>
          </w:p>
        </w:tc>
        <w:tc>
          <w:tcPr>
            <w:tcW w:w="993"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9 364</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8 073</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4 543</w:t>
            </w:r>
          </w:p>
        </w:tc>
        <w:tc>
          <w:tcPr>
            <w:tcW w:w="851"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3 475</w:t>
            </w:r>
          </w:p>
        </w:tc>
        <w:tc>
          <w:tcPr>
            <w:tcW w:w="808" w:type="dxa"/>
            <w:tcBorders>
              <w:top w:val="nil"/>
              <w:left w:val="nil"/>
              <w:bottom w:val="nil"/>
              <w:right w:val="nil"/>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1 031</w:t>
            </w:r>
          </w:p>
        </w:tc>
      </w:tr>
      <w:tr w:rsidR="003F081A" w:rsidRPr="00601E4A" w:rsidTr="005C4AF7">
        <w:trPr>
          <w:trHeight w:val="264"/>
        </w:trPr>
        <w:tc>
          <w:tcPr>
            <w:tcW w:w="1418" w:type="dxa"/>
            <w:vMerge/>
            <w:tcBorders>
              <w:top w:val="nil"/>
              <w:left w:val="single" w:sz="8" w:space="0" w:color="FFFFFF"/>
              <w:bottom w:val="single" w:sz="4" w:space="0" w:color="000000"/>
              <w:right w:val="single" w:sz="4" w:space="0" w:color="auto"/>
            </w:tcBorders>
            <w:tcMar>
              <w:left w:w="28" w:type="dxa"/>
              <w:right w:w="28" w:type="dxa"/>
            </w:tcMar>
            <w:vAlign w:val="center"/>
            <w:hideMark/>
          </w:tcPr>
          <w:p w:rsidR="003F081A" w:rsidRPr="00601E4A" w:rsidRDefault="003F081A" w:rsidP="003F081A">
            <w:pPr>
              <w:spacing w:after="0"/>
              <w:rPr>
                <w:rFonts w:cs="Arial"/>
                <w:sz w:val="16"/>
                <w:szCs w:val="16"/>
              </w:rPr>
            </w:pPr>
          </w:p>
        </w:tc>
        <w:tc>
          <w:tcPr>
            <w:tcW w:w="567" w:type="dxa"/>
            <w:tcBorders>
              <w:top w:val="nil"/>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10 581</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2 852</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2 077</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7 729</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6 031</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2 518</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3 267</w:t>
            </w:r>
          </w:p>
        </w:tc>
        <w:tc>
          <w:tcPr>
            <w:tcW w:w="808" w:type="dxa"/>
            <w:tcBorders>
              <w:top w:val="nil"/>
              <w:left w:val="nil"/>
              <w:bottom w:val="single" w:sz="4" w:space="0" w:color="auto"/>
              <w:right w:val="single" w:sz="8" w:space="0" w:color="FFFFFF"/>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1 349</w:t>
            </w:r>
          </w:p>
        </w:tc>
      </w:tr>
      <w:tr w:rsidR="003F081A" w:rsidRPr="00601E4A" w:rsidTr="005C4AF7">
        <w:trPr>
          <w:trHeight w:val="264"/>
        </w:trPr>
        <w:tc>
          <w:tcPr>
            <w:tcW w:w="1418" w:type="dxa"/>
            <w:vMerge w:val="restart"/>
            <w:tcBorders>
              <w:top w:val="nil"/>
              <w:left w:val="single" w:sz="8" w:space="0" w:color="FFFFFF"/>
              <w:bottom w:val="single" w:sz="4" w:space="0" w:color="000000"/>
              <w:right w:val="single" w:sz="4" w:space="0" w:color="auto"/>
            </w:tcBorders>
            <w:shd w:val="clear" w:color="auto" w:fill="auto"/>
            <w:tcMar>
              <w:left w:w="28" w:type="dxa"/>
              <w:right w:w="28" w:type="dxa"/>
            </w:tcMar>
            <w:vAlign w:val="center"/>
            <w:hideMark/>
          </w:tcPr>
          <w:p w:rsidR="003F081A" w:rsidRPr="00601E4A" w:rsidRDefault="003F081A" w:rsidP="003F081A">
            <w:pPr>
              <w:spacing w:after="0"/>
              <w:ind w:left="214"/>
              <w:rPr>
                <w:rFonts w:cs="Arial"/>
                <w:sz w:val="16"/>
                <w:szCs w:val="16"/>
              </w:rPr>
            </w:pPr>
            <w:r w:rsidRPr="00601E4A">
              <w:rPr>
                <w:rFonts w:cs="Arial"/>
                <w:sz w:val="16"/>
                <w:szCs w:val="16"/>
              </w:rPr>
              <w:t>Zelinářské zahrady (ha)</w:t>
            </w:r>
          </w:p>
        </w:tc>
        <w:tc>
          <w:tcPr>
            <w:tcW w:w="567" w:type="dxa"/>
            <w:tcBorders>
              <w:top w:val="single" w:sz="4" w:space="0" w:color="auto"/>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2016</w:t>
            </w:r>
          </w:p>
        </w:tc>
        <w:tc>
          <w:tcPr>
            <w:tcW w:w="1134"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87</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86</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46</w:t>
            </w:r>
          </w:p>
        </w:tc>
        <w:tc>
          <w:tcPr>
            <w:tcW w:w="993"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2</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w:t>
            </w:r>
          </w:p>
        </w:tc>
        <w:tc>
          <w:tcPr>
            <w:tcW w:w="851"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w:t>
            </w:r>
          </w:p>
        </w:tc>
        <w:tc>
          <w:tcPr>
            <w:tcW w:w="808" w:type="dxa"/>
            <w:tcBorders>
              <w:top w:val="nil"/>
              <w:left w:val="nil"/>
              <w:bottom w:val="nil"/>
              <w:right w:val="nil"/>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0</w:t>
            </w:r>
          </w:p>
        </w:tc>
      </w:tr>
      <w:tr w:rsidR="003F081A" w:rsidRPr="00601E4A" w:rsidTr="005C4AF7">
        <w:trPr>
          <w:trHeight w:val="264"/>
        </w:trPr>
        <w:tc>
          <w:tcPr>
            <w:tcW w:w="1418" w:type="dxa"/>
            <w:vMerge/>
            <w:tcBorders>
              <w:top w:val="nil"/>
              <w:left w:val="single" w:sz="8" w:space="0" w:color="FFFFFF"/>
              <w:bottom w:val="single" w:sz="4" w:space="0" w:color="000000"/>
              <w:right w:val="single" w:sz="4" w:space="0" w:color="auto"/>
            </w:tcBorders>
            <w:tcMar>
              <w:left w:w="28" w:type="dxa"/>
              <w:right w:w="28" w:type="dxa"/>
            </w:tcMar>
            <w:vAlign w:val="center"/>
            <w:hideMark/>
          </w:tcPr>
          <w:p w:rsidR="003F081A" w:rsidRPr="00601E4A" w:rsidRDefault="003F081A" w:rsidP="003F081A">
            <w:pPr>
              <w:spacing w:after="0"/>
              <w:rPr>
                <w:rFonts w:cs="Arial"/>
                <w:sz w:val="16"/>
                <w:szCs w:val="16"/>
              </w:rPr>
            </w:pPr>
          </w:p>
        </w:tc>
        <w:tc>
          <w:tcPr>
            <w:tcW w:w="56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4 617</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2 999</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2 344</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1 618</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734</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396</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328</w:t>
            </w:r>
          </w:p>
        </w:tc>
        <w:tc>
          <w:tcPr>
            <w:tcW w:w="808" w:type="dxa"/>
            <w:tcBorders>
              <w:top w:val="nil"/>
              <w:left w:val="nil"/>
              <w:bottom w:val="single" w:sz="4" w:space="0" w:color="auto"/>
              <w:right w:val="single" w:sz="8" w:space="0" w:color="FFFFFF"/>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514</w:t>
            </w:r>
          </w:p>
        </w:tc>
      </w:tr>
      <w:tr w:rsidR="003F081A" w:rsidRPr="00601E4A" w:rsidTr="005C4AF7">
        <w:trPr>
          <w:trHeight w:val="264"/>
        </w:trPr>
        <w:tc>
          <w:tcPr>
            <w:tcW w:w="1418" w:type="dxa"/>
            <w:vMerge w:val="restart"/>
            <w:tcBorders>
              <w:top w:val="nil"/>
              <w:left w:val="single" w:sz="8" w:space="0" w:color="FFFFFF"/>
              <w:bottom w:val="single" w:sz="4" w:space="0" w:color="000000"/>
              <w:right w:val="single" w:sz="4" w:space="0" w:color="auto"/>
            </w:tcBorders>
            <w:shd w:val="clear" w:color="auto" w:fill="auto"/>
            <w:tcMar>
              <w:left w:w="28" w:type="dxa"/>
              <w:right w:w="28" w:type="dxa"/>
            </w:tcMar>
            <w:vAlign w:val="center"/>
            <w:hideMark/>
          </w:tcPr>
          <w:p w:rsidR="003F081A" w:rsidRPr="00601E4A" w:rsidRDefault="003F081A" w:rsidP="003F081A">
            <w:pPr>
              <w:spacing w:after="0"/>
              <w:ind w:left="214"/>
              <w:rPr>
                <w:rFonts w:cs="Arial"/>
                <w:sz w:val="16"/>
                <w:szCs w:val="16"/>
              </w:rPr>
            </w:pPr>
            <w:r w:rsidRPr="00601E4A">
              <w:rPr>
                <w:rFonts w:cs="Arial"/>
                <w:sz w:val="16"/>
                <w:szCs w:val="16"/>
              </w:rPr>
              <w:t>Ovocné sady (ha)</w:t>
            </w:r>
          </w:p>
        </w:tc>
        <w:tc>
          <w:tcPr>
            <w:tcW w:w="567" w:type="dxa"/>
            <w:tcBorders>
              <w:top w:val="nil"/>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2016</w:t>
            </w:r>
          </w:p>
        </w:tc>
        <w:tc>
          <w:tcPr>
            <w:tcW w:w="1134"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18 220</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7 734</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6 482</w:t>
            </w:r>
          </w:p>
        </w:tc>
        <w:tc>
          <w:tcPr>
            <w:tcW w:w="993"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10 486</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8 818</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6 509</w:t>
            </w:r>
          </w:p>
        </w:tc>
        <w:tc>
          <w:tcPr>
            <w:tcW w:w="851"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2 243</w:t>
            </w:r>
          </w:p>
        </w:tc>
        <w:tc>
          <w:tcPr>
            <w:tcW w:w="808" w:type="dxa"/>
            <w:tcBorders>
              <w:top w:val="nil"/>
              <w:left w:val="nil"/>
              <w:bottom w:val="nil"/>
              <w:right w:val="nil"/>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1 549</w:t>
            </w:r>
          </w:p>
        </w:tc>
      </w:tr>
      <w:tr w:rsidR="003F081A" w:rsidRPr="00601E4A" w:rsidTr="005C4AF7">
        <w:trPr>
          <w:trHeight w:val="264"/>
        </w:trPr>
        <w:tc>
          <w:tcPr>
            <w:tcW w:w="1418" w:type="dxa"/>
            <w:vMerge/>
            <w:tcBorders>
              <w:top w:val="nil"/>
              <w:left w:val="single" w:sz="8" w:space="0" w:color="FFFFFF"/>
              <w:bottom w:val="single" w:sz="4" w:space="0" w:color="000000"/>
              <w:right w:val="single" w:sz="4" w:space="0" w:color="auto"/>
            </w:tcBorders>
            <w:tcMar>
              <w:left w:w="28" w:type="dxa"/>
              <w:right w:w="28" w:type="dxa"/>
            </w:tcMar>
            <w:vAlign w:val="center"/>
            <w:hideMark/>
          </w:tcPr>
          <w:p w:rsidR="003F081A" w:rsidRPr="00601E4A" w:rsidRDefault="003F081A" w:rsidP="003F081A">
            <w:pPr>
              <w:spacing w:after="0"/>
              <w:rPr>
                <w:rFonts w:cs="Arial"/>
                <w:sz w:val="16"/>
                <w:szCs w:val="16"/>
              </w:rPr>
            </w:pPr>
          </w:p>
        </w:tc>
        <w:tc>
          <w:tcPr>
            <w:tcW w:w="567" w:type="dxa"/>
            <w:tcBorders>
              <w:top w:val="nil"/>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22 130</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6 062</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5 268</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16 068</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11 155</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5 317</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5 707</w:t>
            </w:r>
          </w:p>
        </w:tc>
        <w:tc>
          <w:tcPr>
            <w:tcW w:w="808" w:type="dxa"/>
            <w:tcBorders>
              <w:top w:val="nil"/>
              <w:left w:val="nil"/>
              <w:bottom w:val="single" w:sz="4" w:space="0" w:color="auto"/>
              <w:right w:val="single" w:sz="8" w:space="0" w:color="FFFFFF"/>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4 581</w:t>
            </w:r>
          </w:p>
        </w:tc>
      </w:tr>
      <w:tr w:rsidR="003F081A" w:rsidRPr="00601E4A" w:rsidTr="005C4AF7">
        <w:trPr>
          <w:trHeight w:val="264"/>
        </w:trPr>
        <w:tc>
          <w:tcPr>
            <w:tcW w:w="1418" w:type="dxa"/>
            <w:vMerge w:val="restart"/>
            <w:tcBorders>
              <w:top w:val="nil"/>
              <w:left w:val="single" w:sz="8" w:space="0" w:color="FFFFFF"/>
              <w:bottom w:val="single" w:sz="8" w:space="0" w:color="FFFFFF"/>
              <w:right w:val="single" w:sz="4" w:space="0" w:color="auto"/>
            </w:tcBorders>
            <w:shd w:val="clear" w:color="auto" w:fill="auto"/>
            <w:tcMar>
              <w:left w:w="28" w:type="dxa"/>
              <w:right w:w="28" w:type="dxa"/>
            </w:tcMar>
            <w:vAlign w:val="center"/>
            <w:hideMark/>
          </w:tcPr>
          <w:p w:rsidR="003F081A" w:rsidRPr="00601E4A" w:rsidRDefault="003F081A" w:rsidP="003F081A">
            <w:pPr>
              <w:spacing w:after="0"/>
              <w:ind w:left="224" w:hanging="10"/>
              <w:rPr>
                <w:rFonts w:cs="Arial"/>
                <w:sz w:val="16"/>
                <w:szCs w:val="16"/>
              </w:rPr>
            </w:pPr>
            <w:r w:rsidRPr="00601E4A">
              <w:rPr>
                <w:rFonts w:cs="Arial"/>
                <w:sz w:val="16"/>
                <w:szCs w:val="16"/>
              </w:rPr>
              <w:t>Trvalé travní porosty (ha)</w:t>
            </w:r>
          </w:p>
        </w:tc>
        <w:tc>
          <w:tcPr>
            <w:tcW w:w="567" w:type="dxa"/>
            <w:tcBorders>
              <w:top w:val="single" w:sz="4" w:space="0" w:color="auto"/>
              <w:left w:val="nil"/>
              <w:bottom w:val="nil"/>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2016</w:t>
            </w:r>
          </w:p>
        </w:tc>
        <w:tc>
          <w:tcPr>
            <w:tcW w:w="1134"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ascii="Arial CE" w:hAnsi="Arial CE" w:cs="Arial CE"/>
                <w:color w:val="000000"/>
                <w:sz w:val="16"/>
                <w:szCs w:val="16"/>
              </w:rPr>
            </w:pPr>
            <w:r w:rsidRPr="00601E4A">
              <w:rPr>
                <w:rFonts w:ascii="Arial CE" w:hAnsi="Arial CE" w:cs="Arial CE"/>
                <w:color w:val="000000"/>
                <w:sz w:val="16"/>
                <w:szCs w:val="16"/>
              </w:rPr>
              <w:t>944 893</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395 062</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359 343</w:t>
            </w:r>
          </w:p>
        </w:tc>
        <w:tc>
          <w:tcPr>
            <w:tcW w:w="993"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549 831</w:t>
            </w:r>
          </w:p>
        </w:tc>
        <w:tc>
          <w:tcPr>
            <w:tcW w:w="992"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420 022</w:t>
            </w:r>
          </w:p>
        </w:tc>
        <w:tc>
          <w:tcPr>
            <w:tcW w:w="850"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266 912</w:t>
            </w:r>
          </w:p>
        </w:tc>
        <w:tc>
          <w:tcPr>
            <w:tcW w:w="851" w:type="dxa"/>
            <w:tcBorders>
              <w:top w:val="nil"/>
              <w:left w:val="nil"/>
              <w:bottom w:val="nil"/>
              <w:right w:val="single" w:sz="4" w:space="0" w:color="auto"/>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149 336</w:t>
            </w:r>
          </w:p>
        </w:tc>
        <w:tc>
          <w:tcPr>
            <w:tcW w:w="808" w:type="dxa"/>
            <w:tcBorders>
              <w:top w:val="nil"/>
              <w:left w:val="nil"/>
              <w:bottom w:val="nil"/>
              <w:right w:val="nil"/>
            </w:tcBorders>
            <w:shd w:val="clear" w:color="auto" w:fill="auto"/>
            <w:noWrap/>
            <w:tcMar>
              <w:left w:w="28" w:type="dxa"/>
              <w:right w:w="28" w:type="dxa"/>
            </w:tcMar>
            <w:vAlign w:val="center"/>
            <w:hideMark/>
          </w:tcPr>
          <w:p w:rsidR="003F081A" w:rsidRPr="00601E4A" w:rsidRDefault="003F081A" w:rsidP="003F081A">
            <w:pPr>
              <w:spacing w:after="0"/>
              <w:ind w:firstLineChars="100" w:firstLine="160"/>
              <w:jc w:val="right"/>
              <w:rPr>
                <w:rFonts w:cs="Arial"/>
                <w:sz w:val="16"/>
                <w:szCs w:val="16"/>
              </w:rPr>
            </w:pPr>
            <w:r w:rsidRPr="00601E4A">
              <w:rPr>
                <w:rFonts w:cs="Arial"/>
                <w:sz w:val="16"/>
                <w:szCs w:val="16"/>
              </w:rPr>
              <w:t>118 828</w:t>
            </w:r>
          </w:p>
        </w:tc>
      </w:tr>
      <w:tr w:rsidR="003F081A" w:rsidRPr="00601E4A" w:rsidTr="005C4AF7">
        <w:trPr>
          <w:trHeight w:val="276"/>
        </w:trPr>
        <w:tc>
          <w:tcPr>
            <w:tcW w:w="1418" w:type="dxa"/>
            <w:vMerge/>
            <w:tcBorders>
              <w:top w:val="nil"/>
              <w:left w:val="single" w:sz="8" w:space="0" w:color="FFFFFF"/>
              <w:bottom w:val="single" w:sz="8" w:space="0" w:color="FFFFFF"/>
              <w:right w:val="single" w:sz="4" w:space="0" w:color="auto"/>
            </w:tcBorders>
            <w:tcMar>
              <w:left w:w="28" w:type="dxa"/>
              <w:right w:w="28" w:type="dxa"/>
            </w:tcMar>
            <w:vAlign w:val="center"/>
            <w:hideMark/>
          </w:tcPr>
          <w:p w:rsidR="003F081A" w:rsidRPr="00601E4A" w:rsidRDefault="003F081A" w:rsidP="003F081A">
            <w:pPr>
              <w:spacing w:after="0"/>
              <w:rPr>
                <w:rFonts w:cs="Arial"/>
                <w:sz w:val="16"/>
                <w:szCs w:val="16"/>
              </w:rPr>
            </w:pPr>
          </w:p>
        </w:tc>
        <w:tc>
          <w:tcPr>
            <w:tcW w:w="567" w:type="dxa"/>
            <w:tcBorders>
              <w:top w:val="nil"/>
              <w:left w:val="nil"/>
              <w:bottom w:val="single" w:sz="8" w:space="0" w:color="FFFFFF"/>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2000</w:t>
            </w:r>
          </w:p>
        </w:tc>
        <w:tc>
          <w:tcPr>
            <w:tcW w:w="1134" w:type="dxa"/>
            <w:tcBorders>
              <w:top w:val="nil"/>
              <w:left w:val="nil"/>
              <w:bottom w:val="single" w:sz="8" w:space="0" w:color="FFFFFF"/>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821 756</w:t>
            </w:r>
          </w:p>
        </w:tc>
        <w:tc>
          <w:tcPr>
            <w:tcW w:w="992" w:type="dxa"/>
            <w:tcBorders>
              <w:top w:val="nil"/>
              <w:left w:val="nil"/>
              <w:bottom w:val="single" w:sz="8" w:space="0" w:color="FFFFFF"/>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277 215</w:t>
            </w:r>
          </w:p>
        </w:tc>
        <w:tc>
          <w:tcPr>
            <w:tcW w:w="992" w:type="dxa"/>
            <w:tcBorders>
              <w:top w:val="nil"/>
              <w:left w:val="nil"/>
              <w:bottom w:val="single" w:sz="8" w:space="0" w:color="FFFFFF"/>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249 461</w:t>
            </w:r>
          </w:p>
        </w:tc>
        <w:tc>
          <w:tcPr>
            <w:tcW w:w="993" w:type="dxa"/>
            <w:tcBorders>
              <w:top w:val="nil"/>
              <w:left w:val="nil"/>
              <w:bottom w:val="single" w:sz="8" w:space="0" w:color="FFFFFF"/>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544 541</w:t>
            </w:r>
          </w:p>
        </w:tc>
        <w:tc>
          <w:tcPr>
            <w:tcW w:w="992" w:type="dxa"/>
            <w:tcBorders>
              <w:top w:val="nil"/>
              <w:left w:val="nil"/>
              <w:bottom w:val="single" w:sz="8" w:space="0" w:color="FFFFFF"/>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346 010</w:t>
            </w:r>
          </w:p>
        </w:tc>
        <w:tc>
          <w:tcPr>
            <w:tcW w:w="850" w:type="dxa"/>
            <w:tcBorders>
              <w:top w:val="nil"/>
              <w:left w:val="nil"/>
              <w:bottom w:val="single" w:sz="8" w:space="0" w:color="FFFFFF"/>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212 183</w:t>
            </w:r>
          </w:p>
        </w:tc>
        <w:tc>
          <w:tcPr>
            <w:tcW w:w="851" w:type="dxa"/>
            <w:tcBorders>
              <w:top w:val="nil"/>
              <w:left w:val="nil"/>
              <w:bottom w:val="single" w:sz="8" w:space="0" w:color="FFFFFF"/>
              <w:right w:val="single" w:sz="4" w:space="0" w:color="auto"/>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129 535</w:t>
            </w:r>
          </w:p>
        </w:tc>
        <w:tc>
          <w:tcPr>
            <w:tcW w:w="808" w:type="dxa"/>
            <w:tcBorders>
              <w:top w:val="nil"/>
              <w:left w:val="nil"/>
              <w:bottom w:val="single" w:sz="8" w:space="0" w:color="FFFFFF"/>
              <w:right w:val="single" w:sz="8" w:space="0" w:color="FFFFFF"/>
            </w:tcBorders>
            <w:shd w:val="clear" w:color="000000" w:fill="FFFFFF"/>
            <w:noWrap/>
            <w:tcMar>
              <w:left w:w="28" w:type="dxa"/>
              <w:right w:w="28" w:type="dxa"/>
            </w:tcMar>
            <w:vAlign w:val="center"/>
            <w:hideMark/>
          </w:tcPr>
          <w:p w:rsidR="003F081A" w:rsidRPr="00601E4A" w:rsidRDefault="003F081A" w:rsidP="003F081A">
            <w:pPr>
              <w:spacing w:after="0"/>
              <w:jc w:val="right"/>
              <w:rPr>
                <w:rFonts w:ascii="Arial CE" w:hAnsi="Arial CE" w:cs="Arial CE"/>
                <w:sz w:val="16"/>
                <w:szCs w:val="16"/>
              </w:rPr>
            </w:pPr>
            <w:r w:rsidRPr="00601E4A">
              <w:rPr>
                <w:rFonts w:ascii="Arial CE" w:hAnsi="Arial CE" w:cs="Arial CE"/>
                <w:sz w:val="16"/>
                <w:szCs w:val="16"/>
              </w:rPr>
              <w:t>187 930</w:t>
            </w:r>
          </w:p>
        </w:tc>
      </w:tr>
    </w:tbl>
    <w:p w:rsidR="003F081A" w:rsidRPr="00601E4A" w:rsidRDefault="003F081A" w:rsidP="003F081A">
      <w:pPr>
        <w:spacing w:after="0"/>
        <w:rPr>
          <w:rFonts w:cs="Arial"/>
        </w:rPr>
      </w:pPr>
    </w:p>
    <w:p w:rsidR="003F081A" w:rsidRPr="00601E4A" w:rsidRDefault="003F081A" w:rsidP="003F081A">
      <w:pPr>
        <w:pStyle w:val="Zkladntext2"/>
        <w:spacing w:line="288" w:lineRule="auto"/>
        <w:ind w:firstLine="709"/>
        <w:rPr>
          <w:color w:val="auto"/>
        </w:rPr>
      </w:pPr>
      <w:r w:rsidRPr="00601E4A">
        <w:rPr>
          <w:color w:val="auto"/>
        </w:rPr>
        <w:t xml:space="preserve">V režimu ekologického zemědělství dominovaly z 86,1 % plochy trvalých travních porostů. Z celkové výměry trvalých travních porostů bylo ekologicky obhospodařováno 40,8 %. Ekologické způsoby hospodaření byly často využívány také v ovocných sadech (21,9 % jejich výměry), zatímco pro vinice to bylo pouze 5,4 % a pro ornou půdu dokonce jen 2,3 % celkové výměry. </w:t>
      </w:r>
    </w:p>
    <w:p w:rsidR="003F081A" w:rsidRDefault="003F081A" w:rsidP="003F081A">
      <w:pPr>
        <w:pStyle w:val="Zkladntext2"/>
        <w:spacing w:line="288" w:lineRule="auto"/>
        <w:rPr>
          <w:b/>
          <w:color w:val="auto"/>
        </w:rPr>
      </w:pPr>
    </w:p>
    <w:p w:rsidR="003F081A" w:rsidRPr="00E15C67" w:rsidRDefault="003F081A" w:rsidP="003F081A">
      <w:pPr>
        <w:pStyle w:val="Zkladntext2"/>
        <w:spacing w:line="288" w:lineRule="auto"/>
        <w:rPr>
          <w:b/>
          <w:color w:val="auto"/>
        </w:rPr>
      </w:pPr>
      <w:r w:rsidRPr="00E15C67">
        <w:rPr>
          <w:b/>
          <w:color w:val="auto"/>
        </w:rPr>
        <w:t xml:space="preserve">Graf 5: Podíly </w:t>
      </w:r>
      <w:r w:rsidRPr="00E15C67">
        <w:rPr>
          <w:b/>
          <w:bCs/>
          <w:color w:val="auto"/>
        </w:rPr>
        <w:t>kultur na ekologicky obhospodařované zemědělské půdě</w:t>
      </w:r>
    </w:p>
    <w:p w:rsidR="003F081A" w:rsidRPr="00E3069B" w:rsidRDefault="00A63E1D" w:rsidP="003F081A">
      <w:pPr>
        <w:spacing w:after="0"/>
        <w:rPr>
          <w:rFonts w:cs="Arial"/>
          <w:b/>
        </w:rPr>
      </w:pPr>
      <w:r w:rsidRPr="00A63E1D">
        <w:rPr>
          <w:rFonts w:cs="Arial"/>
          <w:b/>
          <w:noProof/>
        </w:rPr>
        <w:drawing>
          <wp:inline distT="0" distB="0" distL="0" distR="0">
            <wp:extent cx="5880945" cy="2782845"/>
            <wp:effectExtent l="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081A" w:rsidRDefault="003F081A" w:rsidP="003F081A">
      <w:pPr>
        <w:spacing w:after="0"/>
        <w:rPr>
          <w:rFonts w:cs="Arial"/>
          <w:b/>
          <w:bCs/>
          <w:color w:val="000000"/>
          <w:sz w:val="24"/>
          <w:szCs w:val="20"/>
        </w:rPr>
      </w:pPr>
      <w:r>
        <w:rPr>
          <w:rFonts w:cs="Arial"/>
          <w:b/>
          <w:bCs/>
          <w:color w:val="000000"/>
          <w:sz w:val="24"/>
          <w:szCs w:val="20"/>
        </w:rPr>
        <w:br w:type="page"/>
      </w:r>
    </w:p>
    <w:p w:rsidR="003F081A" w:rsidRPr="00F51714" w:rsidRDefault="00F51714" w:rsidP="003F081A">
      <w:pPr>
        <w:autoSpaceDE w:val="0"/>
        <w:autoSpaceDN w:val="0"/>
        <w:adjustRightInd w:val="0"/>
        <w:spacing w:after="120"/>
        <w:rPr>
          <w:rFonts w:cs="Arial"/>
          <w:b/>
          <w:bCs/>
          <w:color w:val="0071BC"/>
          <w:sz w:val="28"/>
          <w:szCs w:val="20"/>
        </w:rPr>
      </w:pPr>
      <w:r w:rsidRPr="00F51714">
        <w:rPr>
          <w:rFonts w:cs="Arial"/>
          <w:b/>
          <w:bCs/>
          <w:color w:val="0071BC"/>
          <w:sz w:val="28"/>
          <w:szCs w:val="20"/>
        </w:rPr>
        <w:lastRenderedPageBreak/>
        <w:t>Osevní plochy</w:t>
      </w:r>
    </w:p>
    <w:p w:rsidR="003F081A" w:rsidRPr="00A11DCB" w:rsidRDefault="003F081A" w:rsidP="003F081A">
      <w:pPr>
        <w:pStyle w:val="Zkladntext2"/>
        <w:spacing w:line="288" w:lineRule="auto"/>
        <w:ind w:firstLine="709"/>
        <w:rPr>
          <w:color w:val="auto"/>
        </w:rPr>
      </w:pPr>
      <w:r w:rsidRPr="00A11DCB">
        <w:rPr>
          <w:color w:val="auto"/>
        </w:rPr>
        <w:t xml:space="preserve">V roce 2016 hospodařily zemědělské subjekty na 2 471 000 ha orné půdy. Největší podíl (54,9 %) připadal na obiloviny, především na pšenici, která zaujímala více než polovinu (62,2 %) obilných polí. Další čtvrtina (23,6 %) obilných ploch byla oseta ječmenem. Oproti roku 2000 se </w:t>
      </w:r>
      <w:r>
        <w:rPr>
          <w:color w:val="auto"/>
        </w:rPr>
        <w:t>téměř</w:t>
      </w:r>
      <w:r w:rsidRPr="00A11DCB">
        <w:rPr>
          <w:color w:val="auto"/>
        </w:rPr>
        <w:t xml:space="preserve"> dvojnásobně navýšily osevní plochy kukuřice na zrno (+83,9 %), a naopak plochy ječmene zaznamenaly úbytek o 28,0 %.</w:t>
      </w:r>
    </w:p>
    <w:p w:rsidR="003F081A" w:rsidRPr="00A11DCB" w:rsidRDefault="003F081A" w:rsidP="003F081A">
      <w:pPr>
        <w:pStyle w:val="Zkladntext2"/>
        <w:spacing w:line="288" w:lineRule="auto"/>
        <w:ind w:firstLine="709"/>
        <w:rPr>
          <w:color w:val="auto"/>
        </w:rPr>
      </w:pPr>
      <w:r w:rsidRPr="00A11DCB">
        <w:rPr>
          <w:color w:val="auto"/>
        </w:rPr>
        <w:t xml:space="preserve">Plochy oseté technickými plodinami vzrostly oproti roku 2000 o 48 tisíc ha (+11,2 %). K tomu přispělo především pěstování řepky, jejíž výměry vzrostly o 61 tisíc ha (+18,5 %). V roce 2000 </w:t>
      </w:r>
      <w:r>
        <w:rPr>
          <w:color w:val="auto"/>
        </w:rPr>
        <w:t>pokrývala</w:t>
      </w:r>
      <w:r w:rsidRPr="00A11DCB">
        <w:rPr>
          <w:color w:val="auto"/>
        </w:rPr>
        <w:t xml:space="preserve"> řepka 12,0 % </w:t>
      </w:r>
      <w:r>
        <w:rPr>
          <w:color w:val="auto"/>
        </w:rPr>
        <w:t>orné půdy</w:t>
      </w:r>
      <w:r w:rsidRPr="00A11DCB">
        <w:rPr>
          <w:color w:val="auto"/>
        </w:rPr>
        <w:t xml:space="preserve"> a do roku 201</w:t>
      </w:r>
      <w:r>
        <w:rPr>
          <w:color w:val="auto"/>
        </w:rPr>
        <w:t>6</w:t>
      </w:r>
      <w:r w:rsidRPr="00A11DCB">
        <w:rPr>
          <w:color w:val="auto"/>
        </w:rPr>
        <w:t xml:space="preserve"> vzrostl její podíl o dalších 3,8 p. </w:t>
      </w:r>
      <w:proofErr w:type="spellStart"/>
      <w:r w:rsidRPr="00A11DCB">
        <w:rPr>
          <w:color w:val="auto"/>
        </w:rPr>
        <w:t>b</w:t>
      </w:r>
      <w:proofErr w:type="spellEnd"/>
      <w:r w:rsidRPr="00A11DCB">
        <w:rPr>
          <w:color w:val="auto"/>
        </w:rPr>
        <w:t xml:space="preserve">. Výrazný vliv zde měla poptávka po řepkovém semeni pro výrobu </w:t>
      </w:r>
      <w:proofErr w:type="spellStart"/>
      <w:r w:rsidRPr="00A11DCB">
        <w:rPr>
          <w:color w:val="auto"/>
        </w:rPr>
        <w:t>metylesteru</w:t>
      </w:r>
      <w:proofErr w:type="spellEnd"/>
      <w:r w:rsidRPr="00A11DCB">
        <w:rPr>
          <w:color w:val="auto"/>
        </w:rPr>
        <w:t xml:space="preserve"> řepkového oleje – jedné ze základních složek </w:t>
      </w:r>
      <w:proofErr w:type="spellStart"/>
      <w:r w:rsidRPr="00A11DCB">
        <w:rPr>
          <w:color w:val="auto"/>
        </w:rPr>
        <w:t>biopaliv</w:t>
      </w:r>
      <w:proofErr w:type="spellEnd"/>
      <w:r w:rsidRPr="00A11DCB">
        <w:rPr>
          <w:color w:val="auto"/>
        </w:rPr>
        <w:t>. K nárůstu téměř na patnáctinásobek došlo u ploch ostatních technických plodin (např. plodin pěstovaných pro energetické účely), a to ze 134 ha na 1 996 ha. Více než pětinásobně (+438,1 %) pak vzrostly plochy sóji.</w:t>
      </w:r>
    </w:p>
    <w:p w:rsidR="003F081A" w:rsidRPr="00E20201" w:rsidRDefault="003F081A" w:rsidP="003F081A">
      <w:pPr>
        <w:pStyle w:val="Zkladntext2"/>
        <w:spacing w:line="288" w:lineRule="auto"/>
        <w:ind w:firstLine="709"/>
        <w:rPr>
          <w:color w:val="auto"/>
        </w:rPr>
      </w:pPr>
      <w:r w:rsidRPr="00A11DCB">
        <w:rPr>
          <w:color w:val="auto"/>
        </w:rPr>
        <w:t>Opačným trendem prochází pěstování brambor, jejichž výměra od roku 2000 poklesla o dvě pětiny (</w:t>
      </w:r>
      <w:proofErr w:type="gramStart"/>
      <w:r w:rsidRPr="00A11DCB">
        <w:rPr>
          <w:color w:val="auto"/>
          <w:sz w:val="18"/>
        </w:rPr>
        <w:t>−</w:t>
      </w:r>
      <w:r w:rsidRPr="00A11DCB">
        <w:rPr>
          <w:color w:val="auto"/>
        </w:rPr>
        <w:t>40,3 %), především</w:t>
      </w:r>
      <w:proofErr w:type="gramEnd"/>
      <w:r w:rsidRPr="00A11DCB">
        <w:rPr>
          <w:color w:val="auto"/>
        </w:rPr>
        <w:t xml:space="preserve"> v souvislosti se snížením jejich spotřeby a zároveň rostoucím dovozem. Výrazně ubylo i ploch zeleniny (</w:t>
      </w:r>
      <w:proofErr w:type="gramStart"/>
      <w:r w:rsidRPr="00A11DCB">
        <w:rPr>
          <w:color w:val="auto"/>
          <w:sz w:val="18"/>
        </w:rPr>
        <w:t>−</w:t>
      </w:r>
      <w:r w:rsidRPr="00A11DCB">
        <w:rPr>
          <w:color w:val="auto"/>
        </w:rPr>
        <w:t>18,4 %) a plodin</w:t>
      </w:r>
      <w:proofErr w:type="gramEnd"/>
      <w:r w:rsidRPr="00A11DCB">
        <w:rPr>
          <w:color w:val="auto"/>
        </w:rPr>
        <w:t xml:space="preserve"> sklízených na zeleno (</w:t>
      </w:r>
      <w:r w:rsidRPr="00A11DCB">
        <w:rPr>
          <w:color w:val="auto"/>
          <w:sz w:val="18"/>
        </w:rPr>
        <w:t>−</w:t>
      </w:r>
      <w:r w:rsidRPr="00A11DCB">
        <w:rPr>
          <w:color w:val="auto"/>
        </w:rPr>
        <w:t>17,6 %), jejichž redukce souvisí s poklesem stavů skotu. K největšímu procentuálnímu propadu došlo u přadného lnu (z 5 691 ha na pouhých 34 ha, tj. o</w:t>
      </w:r>
      <w:r>
        <w:rPr>
          <w:color w:val="auto"/>
        </w:rPr>
        <w:t> </w:t>
      </w:r>
      <w:r w:rsidRPr="00A11DCB">
        <w:rPr>
          <w:color w:val="auto"/>
        </w:rPr>
        <w:t>99,4 %).</w:t>
      </w:r>
    </w:p>
    <w:p w:rsidR="003F081A" w:rsidRPr="00BE2559" w:rsidRDefault="003F081A" w:rsidP="003F081A">
      <w:pPr>
        <w:pStyle w:val="Zkladntext2"/>
        <w:spacing w:line="288" w:lineRule="auto"/>
        <w:ind w:firstLine="709"/>
        <w:rPr>
          <w:color w:val="auto"/>
          <w:highlight w:val="red"/>
        </w:rPr>
      </w:pPr>
      <w:r w:rsidRPr="00046587">
        <w:rPr>
          <w:color w:val="auto"/>
        </w:rPr>
        <w:t>Subjekty různých právních forem se od sebe ve skladbě plodin až na výjimky nelišily. Mnohem větší rozdíly lze nalézt při srovnání subjektů podle velikostních kategorií. Ve všech kategoriích zaujímaly největší podíl pěstovaných plodin obiloviny. V subjektech fyzických osob do 3 ha však pokrývaly jen 27,6 % orné půdy, zatímco už ve skupině 3–10 ha to bylo 71,3 % a ve vyšších kategoriích pak jejich podíl opět mírně klesal až na 55,6 % ve skupině 500–2 000 ha a 58,1 % ve skupině nad 2 000 ha. V subjektech právnických osob do 3 ha se obiloviny pěstovaly dokonce jen na 8,7 % orné půdy a ve vyšších kategoriích jejich zastoupení opět rostlo až na nadpoloviční podíl (nejvíce 55,9 % ve skupině 100–500 ha).</w:t>
      </w:r>
    </w:p>
    <w:p w:rsidR="003F081A" w:rsidRDefault="003F081A" w:rsidP="003F081A">
      <w:pPr>
        <w:pStyle w:val="Zkladntext2"/>
        <w:spacing w:line="288" w:lineRule="auto"/>
        <w:ind w:firstLine="709"/>
        <w:rPr>
          <w:color w:val="auto"/>
        </w:rPr>
      </w:pPr>
      <w:r w:rsidRPr="00887028">
        <w:rPr>
          <w:color w:val="auto"/>
        </w:rPr>
        <w:t xml:space="preserve">Pro fyzické osoby s výměrami do 3 ha bylo typické pěstování zeleniny (22,4 % výměry orné půdy), </w:t>
      </w:r>
      <w:r w:rsidRPr="0023198E">
        <w:rPr>
          <w:color w:val="auto"/>
        </w:rPr>
        <w:t xml:space="preserve">brambor (11,4 %) a květin a okrasných rostlin (8,9 %). Právnické osoby této velikostní skupiny se zaměřily na květiny a okrasné rostliny (69,4%). Subjekty velikostní skupiny nad 2 000 ha se zabývaly pěstováním například řepky (25,0 % orné půdy v subjektech fyzických osob a 16,1 % u právnických osob) nebo kukuřice na zeleno </w:t>
      </w:r>
      <w:r w:rsidRPr="0023198E">
        <w:rPr>
          <w:color w:val="auto"/>
          <w:sz w:val="18"/>
        </w:rPr>
        <w:t>(</w:t>
      </w:r>
      <w:r w:rsidRPr="0023198E">
        <w:rPr>
          <w:color w:val="auto"/>
        </w:rPr>
        <w:t>7,9 % orné půdy pro fyzické osoby a 12,8 % pro právnické osoby).</w:t>
      </w:r>
    </w:p>
    <w:p w:rsidR="003F081A" w:rsidRDefault="003F081A" w:rsidP="003F081A">
      <w:pPr>
        <w:spacing w:after="0"/>
        <w:rPr>
          <w:rFonts w:cs="Arial"/>
          <w:b/>
          <w:szCs w:val="16"/>
        </w:rPr>
      </w:pPr>
    </w:p>
    <w:p w:rsidR="003F081A" w:rsidRPr="00175988" w:rsidRDefault="003F081A" w:rsidP="003F081A">
      <w:pPr>
        <w:spacing w:after="0"/>
        <w:rPr>
          <w:rFonts w:cs="Arial"/>
          <w:b/>
          <w:szCs w:val="16"/>
        </w:rPr>
      </w:pPr>
      <w:r w:rsidRPr="00175988">
        <w:rPr>
          <w:rFonts w:cs="Arial"/>
          <w:b/>
          <w:szCs w:val="16"/>
        </w:rPr>
        <w:t>Graf 6:</w:t>
      </w:r>
      <w:r w:rsidRPr="00175988">
        <w:rPr>
          <w:b/>
        </w:rPr>
        <w:t xml:space="preserve"> </w:t>
      </w:r>
      <w:r w:rsidRPr="00175988">
        <w:rPr>
          <w:rFonts w:cs="Arial"/>
          <w:b/>
          <w:szCs w:val="16"/>
        </w:rPr>
        <w:t>Podíly vybraných plodin na orné půdě</w:t>
      </w:r>
    </w:p>
    <w:p w:rsidR="003F081A" w:rsidRDefault="003F081A" w:rsidP="003F081A">
      <w:pPr>
        <w:spacing w:after="0"/>
        <w:rPr>
          <w:rFonts w:cs="Arial"/>
        </w:rPr>
      </w:pPr>
      <w:r w:rsidRPr="00484102">
        <w:rPr>
          <w:rFonts w:cs="Arial"/>
          <w:noProof/>
        </w:rPr>
        <w:drawing>
          <wp:inline distT="0" distB="0" distL="0" distR="0">
            <wp:extent cx="5800725" cy="3267075"/>
            <wp:effectExtent l="0" t="0" r="0" b="0"/>
            <wp:docPr id="17" name="obrázek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cstate="print"/>
                    <a:srcRect/>
                    <a:stretch>
                      <a:fillRect/>
                    </a:stretch>
                  </pic:blipFill>
                  <pic:spPr bwMode="auto">
                    <a:xfrm>
                      <a:off x="0" y="0"/>
                      <a:ext cx="5800725" cy="3267075"/>
                    </a:xfrm>
                    <a:prstGeom prst="rect">
                      <a:avLst/>
                    </a:prstGeom>
                    <a:noFill/>
                  </pic:spPr>
                </pic:pic>
              </a:graphicData>
            </a:graphic>
          </wp:inline>
        </w:drawing>
      </w:r>
      <w:r>
        <w:rPr>
          <w:rFonts w:cs="Arial"/>
        </w:rPr>
        <w:br w:type="page"/>
      </w:r>
    </w:p>
    <w:p w:rsidR="003F081A" w:rsidRPr="00F51714" w:rsidRDefault="00F51714" w:rsidP="003F081A">
      <w:pPr>
        <w:autoSpaceDE w:val="0"/>
        <w:autoSpaceDN w:val="0"/>
        <w:adjustRightInd w:val="0"/>
        <w:spacing w:after="120"/>
        <w:rPr>
          <w:rFonts w:cs="Arial"/>
          <w:b/>
          <w:bCs/>
          <w:color w:val="0071BC"/>
          <w:sz w:val="28"/>
          <w:szCs w:val="20"/>
        </w:rPr>
      </w:pPr>
      <w:r w:rsidRPr="00F51714">
        <w:rPr>
          <w:rFonts w:cs="Arial"/>
          <w:b/>
          <w:bCs/>
          <w:color w:val="0071BC"/>
          <w:sz w:val="28"/>
          <w:szCs w:val="20"/>
        </w:rPr>
        <w:lastRenderedPageBreak/>
        <w:t xml:space="preserve">Zemědělské subjekty hospodařící bez půdy </w:t>
      </w:r>
    </w:p>
    <w:p w:rsidR="003F081A" w:rsidRPr="00A11DCB" w:rsidRDefault="003F081A" w:rsidP="003F081A">
      <w:pPr>
        <w:pStyle w:val="Zkladntext2"/>
        <w:spacing w:line="288" w:lineRule="auto"/>
        <w:ind w:firstLine="709"/>
        <w:rPr>
          <w:color w:val="auto"/>
        </w:rPr>
      </w:pPr>
      <w:r w:rsidRPr="00A11DCB">
        <w:rPr>
          <w:color w:val="auto"/>
        </w:rPr>
        <w:t>Malá část zemědělských subjektů (232 subjektů fyzických osob, tj. 1,0 %, a 120 subjektů právnických osob, tj. 3,8 %) neobhospodařovala žádnou zemědělskou půdu a specializovala se na živočišnou výrobu. Počet těchto subjektů se ve srovnání s rokem 2000 snížil téměř o polovinu (</w:t>
      </w:r>
      <w:proofErr w:type="gramStart"/>
      <w:r w:rsidRPr="00A11DCB">
        <w:rPr>
          <w:color w:val="auto"/>
          <w:sz w:val="18"/>
        </w:rPr>
        <w:t>−</w:t>
      </w:r>
      <w:r w:rsidRPr="00A11DCB">
        <w:rPr>
          <w:color w:val="auto"/>
        </w:rPr>
        <w:t>47,2 %);</w:t>
      </w:r>
      <w:proofErr w:type="gramEnd"/>
      <w:r w:rsidRPr="00A11DCB">
        <w:rPr>
          <w:color w:val="auto"/>
        </w:rPr>
        <w:t xml:space="preserve"> u</w:t>
      </w:r>
      <w:r>
        <w:rPr>
          <w:color w:val="auto"/>
        </w:rPr>
        <w:t> </w:t>
      </w:r>
      <w:r w:rsidRPr="00A11DCB">
        <w:rPr>
          <w:color w:val="auto"/>
        </w:rPr>
        <w:t>subjektů fyzických osob to bylo o 48,1 % a u právnických subjektů o 45,5 %.</w:t>
      </w:r>
    </w:p>
    <w:p w:rsidR="003F081A" w:rsidRPr="00A11DCB" w:rsidRDefault="003F081A" w:rsidP="003F081A">
      <w:pPr>
        <w:pStyle w:val="Zkladntext2"/>
        <w:spacing w:line="288" w:lineRule="auto"/>
        <w:ind w:firstLine="709"/>
        <w:rPr>
          <w:color w:val="auto"/>
        </w:rPr>
      </w:pPr>
    </w:p>
    <w:p w:rsidR="003F081A" w:rsidRPr="00E7230C" w:rsidRDefault="003F081A" w:rsidP="003F081A">
      <w:pPr>
        <w:pStyle w:val="Zkladntext2"/>
        <w:spacing w:line="288" w:lineRule="auto"/>
        <w:rPr>
          <w:b/>
          <w:color w:val="auto"/>
        </w:rPr>
      </w:pPr>
      <w:r w:rsidRPr="00E7230C">
        <w:rPr>
          <w:b/>
          <w:color w:val="auto"/>
        </w:rPr>
        <w:t>Tab. 4: Zemědělské subjekty hospodařící bez půdy</w:t>
      </w:r>
    </w:p>
    <w:tbl>
      <w:tblPr>
        <w:tblW w:w="8871" w:type="dxa"/>
        <w:tblInd w:w="60" w:type="dxa"/>
        <w:tblLayout w:type="fixed"/>
        <w:tblCellMar>
          <w:left w:w="0" w:type="dxa"/>
          <w:right w:w="28" w:type="dxa"/>
        </w:tblCellMar>
        <w:tblLook w:val="04A0"/>
      </w:tblPr>
      <w:tblGrid>
        <w:gridCol w:w="1708"/>
        <w:gridCol w:w="1060"/>
        <w:gridCol w:w="1048"/>
        <w:gridCol w:w="1048"/>
        <w:gridCol w:w="1048"/>
        <w:gridCol w:w="1048"/>
        <w:gridCol w:w="918"/>
        <w:gridCol w:w="993"/>
      </w:tblGrid>
      <w:tr w:rsidR="003F081A" w:rsidRPr="00E7230C" w:rsidTr="005C4AF7">
        <w:trPr>
          <w:trHeight w:val="227"/>
        </w:trPr>
        <w:tc>
          <w:tcPr>
            <w:tcW w:w="1708" w:type="dxa"/>
            <w:vMerge w:val="restart"/>
            <w:tcBorders>
              <w:top w:val="single" w:sz="8" w:space="0" w:color="auto"/>
              <w:left w:val="nil"/>
              <w:bottom w:val="single" w:sz="8" w:space="0" w:color="000000"/>
              <w:right w:val="single" w:sz="4" w:space="0" w:color="auto"/>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 </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Zemědělské subjekty</w:t>
            </w:r>
            <w:r w:rsidRPr="00E7230C">
              <w:rPr>
                <w:rFonts w:cs="Arial"/>
                <w:b/>
                <w:color w:val="000000"/>
                <w:sz w:val="16"/>
                <w:szCs w:val="16"/>
              </w:rPr>
              <w:br/>
              <w:t>celkem</w:t>
            </w:r>
          </w:p>
        </w:tc>
        <w:tc>
          <w:tcPr>
            <w:tcW w:w="6103" w:type="dxa"/>
            <w:gridSpan w:val="6"/>
            <w:tcBorders>
              <w:top w:val="single" w:sz="8" w:space="0" w:color="auto"/>
              <w:left w:val="nil"/>
              <w:bottom w:val="single" w:sz="4" w:space="0" w:color="auto"/>
              <w:right w:val="nil"/>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v tom subjekty</w:t>
            </w:r>
          </w:p>
        </w:tc>
      </w:tr>
      <w:tr w:rsidR="003F081A" w:rsidRPr="00E7230C" w:rsidTr="005C4AF7">
        <w:trPr>
          <w:trHeight w:val="227"/>
        </w:trPr>
        <w:tc>
          <w:tcPr>
            <w:tcW w:w="1708" w:type="dxa"/>
            <w:vMerge/>
            <w:tcBorders>
              <w:top w:val="single" w:sz="8" w:space="0" w:color="auto"/>
              <w:left w:val="nil"/>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60" w:type="dxa"/>
            <w:vMerge/>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48" w:type="dxa"/>
            <w:vMerge w:val="restart"/>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fyzických osob</w:t>
            </w:r>
            <w:r w:rsidRPr="00E7230C">
              <w:rPr>
                <w:rFonts w:cs="Arial"/>
                <w:b/>
                <w:color w:val="000000"/>
                <w:sz w:val="16"/>
                <w:szCs w:val="16"/>
              </w:rPr>
              <w:br/>
              <w:t>celkem</w:t>
            </w:r>
          </w:p>
        </w:tc>
        <w:tc>
          <w:tcPr>
            <w:tcW w:w="1048" w:type="dxa"/>
            <w:vMerge w:val="restart"/>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z toho zemědělští podnikatelé</w:t>
            </w:r>
          </w:p>
        </w:tc>
        <w:tc>
          <w:tcPr>
            <w:tcW w:w="1048" w:type="dxa"/>
            <w:vMerge w:val="restart"/>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právnických osob</w:t>
            </w:r>
            <w:r w:rsidRPr="00E7230C">
              <w:rPr>
                <w:rFonts w:cs="Arial"/>
                <w:b/>
                <w:color w:val="000000"/>
                <w:sz w:val="16"/>
                <w:szCs w:val="16"/>
              </w:rPr>
              <w:br/>
              <w:t>celkem</w:t>
            </w:r>
          </w:p>
        </w:tc>
        <w:tc>
          <w:tcPr>
            <w:tcW w:w="2959" w:type="dxa"/>
            <w:gridSpan w:val="3"/>
            <w:tcBorders>
              <w:top w:val="single" w:sz="4" w:space="0" w:color="auto"/>
              <w:left w:val="nil"/>
              <w:bottom w:val="single" w:sz="4" w:space="0" w:color="auto"/>
              <w:right w:val="nil"/>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z toho</w:t>
            </w:r>
          </w:p>
        </w:tc>
      </w:tr>
      <w:tr w:rsidR="003F081A" w:rsidRPr="00E7230C" w:rsidTr="005C4AF7">
        <w:trPr>
          <w:trHeight w:val="227"/>
        </w:trPr>
        <w:tc>
          <w:tcPr>
            <w:tcW w:w="1708" w:type="dxa"/>
            <w:vMerge/>
            <w:tcBorders>
              <w:top w:val="single" w:sz="8" w:space="0" w:color="auto"/>
              <w:left w:val="nil"/>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60" w:type="dxa"/>
            <w:vMerge/>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48"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48"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48"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48" w:type="dxa"/>
            <w:vMerge w:val="restart"/>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obchodní společnosti</w:t>
            </w:r>
          </w:p>
        </w:tc>
        <w:tc>
          <w:tcPr>
            <w:tcW w:w="1911" w:type="dxa"/>
            <w:gridSpan w:val="2"/>
            <w:tcBorders>
              <w:top w:val="single" w:sz="4" w:space="0" w:color="auto"/>
              <w:left w:val="nil"/>
              <w:bottom w:val="single" w:sz="4" w:space="0" w:color="auto"/>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z toho</w:t>
            </w:r>
          </w:p>
        </w:tc>
      </w:tr>
      <w:tr w:rsidR="003F081A" w:rsidRPr="00E7230C" w:rsidTr="005C4AF7">
        <w:trPr>
          <w:trHeight w:val="227"/>
        </w:trPr>
        <w:tc>
          <w:tcPr>
            <w:tcW w:w="1708" w:type="dxa"/>
            <w:vMerge/>
            <w:tcBorders>
              <w:top w:val="single" w:sz="8" w:space="0" w:color="auto"/>
              <w:left w:val="nil"/>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60" w:type="dxa"/>
            <w:vMerge/>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48"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48"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48"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1048"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E7230C" w:rsidRDefault="003F081A" w:rsidP="003F081A">
            <w:pPr>
              <w:spacing w:after="0"/>
              <w:rPr>
                <w:rFonts w:cs="Arial"/>
                <w:b/>
                <w:color w:val="000000"/>
                <w:sz w:val="16"/>
                <w:szCs w:val="16"/>
              </w:rPr>
            </w:pPr>
          </w:p>
        </w:tc>
        <w:tc>
          <w:tcPr>
            <w:tcW w:w="918" w:type="dxa"/>
            <w:tcBorders>
              <w:top w:val="nil"/>
              <w:left w:val="nil"/>
              <w:bottom w:val="single" w:sz="8" w:space="0" w:color="auto"/>
              <w:right w:val="single" w:sz="4" w:space="0" w:color="auto"/>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spol. s r.o.</w:t>
            </w:r>
          </w:p>
        </w:tc>
        <w:tc>
          <w:tcPr>
            <w:tcW w:w="993" w:type="dxa"/>
            <w:tcBorders>
              <w:top w:val="nil"/>
              <w:left w:val="nil"/>
              <w:bottom w:val="single" w:sz="8" w:space="0" w:color="auto"/>
            </w:tcBorders>
            <w:shd w:val="clear" w:color="auto" w:fill="D9EAF5"/>
            <w:vAlign w:val="center"/>
            <w:hideMark/>
          </w:tcPr>
          <w:p w:rsidR="003F081A" w:rsidRPr="00E7230C" w:rsidRDefault="003F081A" w:rsidP="003F081A">
            <w:pPr>
              <w:spacing w:after="0"/>
              <w:jc w:val="center"/>
              <w:rPr>
                <w:rFonts w:cs="Arial"/>
                <w:b/>
                <w:color w:val="000000"/>
                <w:sz w:val="16"/>
                <w:szCs w:val="16"/>
              </w:rPr>
            </w:pPr>
            <w:r w:rsidRPr="00E7230C">
              <w:rPr>
                <w:rFonts w:cs="Arial"/>
                <w:b/>
                <w:color w:val="000000"/>
                <w:sz w:val="16"/>
                <w:szCs w:val="16"/>
              </w:rPr>
              <w:t>a.s.</w:t>
            </w:r>
          </w:p>
        </w:tc>
      </w:tr>
      <w:tr w:rsidR="003F081A" w:rsidRPr="00A11DCB" w:rsidTr="005C4AF7">
        <w:trPr>
          <w:trHeight w:val="227"/>
        </w:trPr>
        <w:tc>
          <w:tcPr>
            <w:tcW w:w="1708" w:type="dxa"/>
            <w:tcBorders>
              <w:top w:val="nil"/>
              <w:left w:val="nil"/>
              <w:bottom w:val="nil"/>
              <w:right w:val="single" w:sz="4" w:space="0" w:color="auto"/>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Zemědělské subjekty</w:t>
            </w:r>
          </w:p>
        </w:tc>
        <w:tc>
          <w:tcPr>
            <w:tcW w:w="1060"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352</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232</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152</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120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109</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81</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27</w:t>
            </w:r>
          </w:p>
        </w:tc>
      </w:tr>
      <w:tr w:rsidR="003F081A" w:rsidRPr="00A11DCB" w:rsidTr="005C4AF7">
        <w:trPr>
          <w:trHeight w:val="227"/>
        </w:trPr>
        <w:tc>
          <w:tcPr>
            <w:tcW w:w="1708" w:type="dxa"/>
            <w:tcBorders>
              <w:top w:val="nil"/>
              <w:left w:val="nil"/>
              <w:bottom w:val="nil"/>
              <w:right w:val="single" w:sz="4" w:space="0" w:color="auto"/>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Skot (ks)</w:t>
            </w:r>
          </w:p>
        </w:tc>
        <w:tc>
          <w:tcPr>
            <w:tcW w:w="1060"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4 648</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1 071</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944</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3 577</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3 559</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1 497</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2 062</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Prasata (ks)</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429 771</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13 952</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12 265</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415 819</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415 309</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69 244</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332 569</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Drůbež (ks)</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13 895 892</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1 058 781</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967 370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12 837 111</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12 766 002</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8 077 711</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4 688 291</w:t>
            </w:r>
          </w:p>
        </w:tc>
      </w:tr>
      <w:tr w:rsidR="003F081A" w:rsidRPr="00A11DCB" w:rsidTr="005C4AF7">
        <w:trPr>
          <w:trHeight w:val="227"/>
        </w:trPr>
        <w:tc>
          <w:tcPr>
            <w:tcW w:w="8871" w:type="dxa"/>
            <w:gridSpan w:val="8"/>
            <w:tcBorders>
              <w:top w:val="single" w:sz="4" w:space="0" w:color="auto"/>
              <w:left w:val="nil"/>
              <w:bottom w:val="single" w:sz="4" w:space="0" w:color="auto"/>
            </w:tcBorders>
            <w:shd w:val="clear" w:color="000000" w:fill="FFFFFF"/>
            <w:vAlign w:val="center"/>
            <w:hideMark/>
          </w:tcPr>
          <w:p w:rsidR="003F081A" w:rsidRPr="00A11DCB" w:rsidRDefault="003F081A" w:rsidP="003F081A">
            <w:pPr>
              <w:spacing w:after="0"/>
              <w:jc w:val="center"/>
              <w:rPr>
                <w:rFonts w:cs="Arial"/>
                <w:color w:val="000000"/>
                <w:sz w:val="16"/>
                <w:szCs w:val="16"/>
              </w:rPr>
            </w:pPr>
            <w:r w:rsidRPr="00A11DCB">
              <w:rPr>
                <w:rFonts w:cs="Arial"/>
                <w:color w:val="000000"/>
                <w:sz w:val="16"/>
                <w:szCs w:val="16"/>
              </w:rPr>
              <w:t>Průměrný počet připadající na 1 zemědělský subjekt</w:t>
            </w:r>
          </w:p>
        </w:tc>
      </w:tr>
      <w:tr w:rsidR="003F081A" w:rsidRPr="00A11DCB" w:rsidTr="005C4AF7">
        <w:trPr>
          <w:trHeight w:val="227"/>
        </w:trPr>
        <w:tc>
          <w:tcPr>
            <w:tcW w:w="1708" w:type="dxa"/>
            <w:tcBorders>
              <w:top w:val="nil"/>
              <w:left w:val="nil"/>
              <w:bottom w:val="nil"/>
              <w:right w:val="single" w:sz="4" w:space="0" w:color="auto"/>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Skot (ks)</w:t>
            </w:r>
          </w:p>
        </w:tc>
        <w:tc>
          <w:tcPr>
            <w:tcW w:w="1060"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13</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5</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6</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33</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18</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76</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Prasata (ks)</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1 223</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60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81</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3 465</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3 810</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855</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12 317</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Drůbež (ks)</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39 530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4 573</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6 367</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106 976</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117 119</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99 725</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173 640</w:t>
            </w:r>
          </w:p>
        </w:tc>
      </w:tr>
      <w:tr w:rsidR="003F081A" w:rsidRPr="00A11DCB" w:rsidTr="005C4AF7">
        <w:trPr>
          <w:trHeight w:val="227"/>
        </w:trPr>
        <w:tc>
          <w:tcPr>
            <w:tcW w:w="8871" w:type="dxa"/>
            <w:gridSpan w:val="8"/>
            <w:tcBorders>
              <w:top w:val="single" w:sz="4" w:space="0" w:color="auto"/>
              <w:left w:val="nil"/>
              <w:bottom w:val="single" w:sz="4" w:space="0" w:color="auto"/>
              <w:right w:val="nil"/>
            </w:tcBorders>
            <w:shd w:val="clear" w:color="000000" w:fill="FFFFFF"/>
            <w:vAlign w:val="center"/>
            <w:hideMark/>
          </w:tcPr>
          <w:p w:rsidR="003F081A" w:rsidRPr="00A11DCB" w:rsidRDefault="003F081A" w:rsidP="003F081A">
            <w:pPr>
              <w:spacing w:after="0"/>
              <w:jc w:val="center"/>
              <w:rPr>
                <w:rFonts w:cs="Arial"/>
                <w:color w:val="000000"/>
                <w:sz w:val="16"/>
                <w:szCs w:val="16"/>
              </w:rPr>
            </w:pPr>
            <w:r w:rsidRPr="00A11DCB">
              <w:rPr>
                <w:rFonts w:cs="Arial"/>
                <w:color w:val="000000"/>
                <w:sz w:val="16"/>
                <w:szCs w:val="16"/>
              </w:rPr>
              <w:t>Podíl právních forem na subjektech bez půdy (%)</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Zemědělské subjekty</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100,0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65,9</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43,2</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34,1</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31,0</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23,0</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7,7</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Skot</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100,0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23,0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20,3</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77,0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76,6</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32,2</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44,4</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Prasata</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100,0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3,2</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2,9</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96,8</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96,6</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16,1</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77,4</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Drůbež</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100,0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7,6</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7,0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92,4</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91,9</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58,1</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33,7</w:t>
            </w:r>
          </w:p>
        </w:tc>
      </w:tr>
      <w:tr w:rsidR="003F081A" w:rsidRPr="00A11DCB" w:rsidTr="005C4AF7">
        <w:trPr>
          <w:trHeight w:val="227"/>
        </w:trPr>
        <w:tc>
          <w:tcPr>
            <w:tcW w:w="8871" w:type="dxa"/>
            <w:gridSpan w:val="8"/>
            <w:tcBorders>
              <w:top w:val="single" w:sz="4" w:space="0" w:color="auto"/>
              <w:left w:val="nil"/>
              <w:bottom w:val="single" w:sz="4" w:space="0" w:color="auto"/>
              <w:right w:val="nil"/>
            </w:tcBorders>
            <w:shd w:val="clear" w:color="000000" w:fill="FFFFFF"/>
            <w:vAlign w:val="center"/>
            <w:hideMark/>
          </w:tcPr>
          <w:p w:rsidR="003F081A" w:rsidRPr="00A11DCB" w:rsidRDefault="003F081A" w:rsidP="003F081A">
            <w:pPr>
              <w:spacing w:after="0"/>
              <w:jc w:val="center"/>
              <w:rPr>
                <w:rFonts w:cs="Arial"/>
                <w:color w:val="000000"/>
                <w:sz w:val="16"/>
                <w:szCs w:val="16"/>
              </w:rPr>
            </w:pPr>
            <w:r w:rsidRPr="00A11DCB">
              <w:rPr>
                <w:rFonts w:cs="Arial"/>
                <w:color w:val="000000"/>
                <w:sz w:val="16"/>
                <w:szCs w:val="16"/>
              </w:rPr>
              <w:t>Podíl na úhrnu všech zemědělských subjektů (%)</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Zemědělské subjekty</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1,3</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0,8</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3,8</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4,3</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4,4</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4,3</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Skot</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0,3</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0,3</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0,3</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0,3</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0,5</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0,6</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0,5</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Prasata</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27,9</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14,0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15,0</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28,8</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34,8</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34,0</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34,1</w:t>
            </w:r>
          </w:p>
        </w:tc>
      </w:tr>
      <w:tr w:rsidR="003F081A" w:rsidRPr="00A11DCB" w:rsidTr="005C4AF7">
        <w:trPr>
          <w:trHeight w:val="227"/>
        </w:trPr>
        <w:tc>
          <w:tcPr>
            <w:tcW w:w="1708" w:type="dxa"/>
            <w:tcBorders>
              <w:top w:val="nil"/>
              <w:left w:val="nil"/>
              <w:bottom w:val="nil"/>
              <w:right w:val="nil"/>
            </w:tcBorders>
            <w:shd w:val="clear" w:color="000000" w:fill="FFFFFF"/>
            <w:noWrap/>
            <w:vAlign w:val="bottom"/>
            <w:hideMark/>
          </w:tcPr>
          <w:p w:rsidR="003F081A" w:rsidRPr="00A11DCB" w:rsidRDefault="003F081A" w:rsidP="003F081A">
            <w:pPr>
              <w:spacing w:after="0"/>
              <w:rPr>
                <w:rFonts w:cs="Arial"/>
                <w:color w:val="000000"/>
                <w:sz w:val="16"/>
                <w:szCs w:val="16"/>
              </w:rPr>
            </w:pPr>
            <w:r w:rsidRPr="00A11DCB">
              <w:rPr>
                <w:rFonts w:cs="Arial"/>
                <w:color w:val="000000"/>
                <w:sz w:val="16"/>
                <w:szCs w:val="16"/>
              </w:rPr>
              <w:t>Drůbež</w:t>
            </w:r>
          </w:p>
        </w:tc>
        <w:tc>
          <w:tcPr>
            <w:tcW w:w="1060" w:type="dxa"/>
            <w:tcBorders>
              <w:top w:val="nil"/>
              <w:left w:val="single" w:sz="4" w:space="0" w:color="auto"/>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55,4</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63,9</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63,7</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54,8</w:t>
            </w:r>
          </w:p>
        </w:tc>
        <w:tc>
          <w:tcPr>
            <w:tcW w:w="104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58,0</w:t>
            </w:r>
          </w:p>
        </w:tc>
        <w:tc>
          <w:tcPr>
            <w:tcW w:w="918"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68,3</w:t>
            </w:r>
          </w:p>
        </w:tc>
        <w:tc>
          <w:tcPr>
            <w:tcW w:w="993" w:type="dxa"/>
            <w:tcBorders>
              <w:top w:val="nil"/>
              <w:left w:val="nil"/>
              <w:bottom w:val="nil"/>
            </w:tcBorders>
            <w:shd w:val="clear" w:color="000000" w:fill="FFFFFF"/>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46,1</w:t>
            </w:r>
          </w:p>
        </w:tc>
      </w:tr>
    </w:tbl>
    <w:p w:rsidR="003F081A" w:rsidRPr="00A11DCB" w:rsidRDefault="003F081A" w:rsidP="003F081A">
      <w:pPr>
        <w:pStyle w:val="Zkladntext2"/>
        <w:spacing w:line="288" w:lineRule="auto"/>
        <w:rPr>
          <w:color w:val="auto"/>
        </w:rPr>
      </w:pPr>
    </w:p>
    <w:p w:rsidR="003F081A" w:rsidRPr="00A11DCB" w:rsidRDefault="003F081A" w:rsidP="003F081A">
      <w:pPr>
        <w:pStyle w:val="Zkladntext2"/>
        <w:spacing w:line="288" w:lineRule="auto"/>
        <w:ind w:firstLine="709"/>
      </w:pPr>
      <w:r w:rsidRPr="00A11DCB">
        <w:t>Přestože zemědělské subjekty bez půdy tvoří nevýznamnou skupinu co do počtu, jejich podíl na chovu hospodářských zvířat je zásadní. V roce 201</w:t>
      </w:r>
      <w:r>
        <w:t>6</w:t>
      </w:r>
      <w:r w:rsidRPr="00A11DCB">
        <w:t xml:space="preserve"> chovaly tyto subjekty více než polovinu veškeré drůbeže (55,4 %) a více než čtvrtinu všech prasat (27,9 %). </w:t>
      </w:r>
    </w:p>
    <w:p w:rsidR="003F081A" w:rsidRPr="00A11DCB" w:rsidRDefault="003F081A" w:rsidP="003F081A">
      <w:pPr>
        <w:pStyle w:val="Zkladntext2"/>
        <w:spacing w:line="288" w:lineRule="auto"/>
        <w:ind w:firstLine="709"/>
      </w:pPr>
      <w:r w:rsidRPr="00A11DCB">
        <w:t>Drtivá většina chovů byla soustředěna v subjektech právnických osob, a to prasata z 96,8 %, drůbež z 92,4 % a skot ze 77,0 %. Z toho 77,4 % prasat a 44,4 % skotu chovaly akciové společnosti a 58,1 % drůbeže společnosti s ručením omezeným. Zemědělští podnikatelé bez půdy chovali 20,3 % skotu, 7,0 % drůbeže a jen 2,9 % prasat.</w:t>
      </w:r>
    </w:p>
    <w:p w:rsidR="003F081A" w:rsidRDefault="003F081A" w:rsidP="003F081A">
      <w:pPr>
        <w:pStyle w:val="Zkladntext2"/>
        <w:spacing w:line="288" w:lineRule="auto"/>
        <w:rPr>
          <w:b/>
          <w:color w:val="auto"/>
        </w:rPr>
      </w:pPr>
    </w:p>
    <w:p w:rsidR="003F081A" w:rsidRPr="00DC00F6" w:rsidRDefault="003F081A" w:rsidP="003F081A">
      <w:pPr>
        <w:pStyle w:val="Zkladntext2"/>
        <w:spacing w:line="288" w:lineRule="auto"/>
        <w:rPr>
          <w:b/>
          <w:color w:val="auto"/>
        </w:rPr>
      </w:pPr>
      <w:r w:rsidRPr="00DC00F6">
        <w:rPr>
          <w:b/>
          <w:color w:val="auto"/>
        </w:rPr>
        <w:t>Graf 7: Podíl právních forem na subjektech bez půdy</w:t>
      </w:r>
    </w:p>
    <w:p w:rsidR="003F081A" w:rsidRPr="00A11DCB" w:rsidRDefault="003F081A" w:rsidP="003F081A">
      <w:pPr>
        <w:pStyle w:val="Zkladntext2"/>
        <w:spacing w:line="288" w:lineRule="auto"/>
        <w:rPr>
          <w:color w:val="auto"/>
        </w:rPr>
      </w:pPr>
      <w:r w:rsidRPr="00A11DCB">
        <w:rPr>
          <w:color w:val="auto"/>
        </w:rPr>
        <w:t xml:space="preserve"> </w:t>
      </w:r>
      <w:r w:rsidRPr="00A11DCB">
        <w:rPr>
          <w:noProof/>
        </w:rPr>
        <w:drawing>
          <wp:inline distT="0" distB="0" distL="0" distR="0">
            <wp:extent cx="6050915" cy="1351915"/>
            <wp:effectExtent l="0" t="0" r="0" b="0"/>
            <wp:docPr id="18"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6050915" cy="1351915"/>
                    </a:xfrm>
                    <a:prstGeom prst="rect">
                      <a:avLst/>
                    </a:prstGeom>
                    <a:noFill/>
                    <a:ln w="9525">
                      <a:noFill/>
                      <a:miter lim="800000"/>
                      <a:headEnd/>
                      <a:tailEnd/>
                    </a:ln>
                  </pic:spPr>
                </pic:pic>
              </a:graphicData>
            </a:graphic>
          </wp:inline>
        </w:drawing>
      </w:r>
    </w:p>
    <w:p w:rsidR="003F081A" w:rsidRDefault="003F081A" w:rsidP="003F081A">
      <w:pPr>
        <w:pStyle w:val="Zkladntext2"/>
        <w:spacing w:line="288" w:lineRule="auto"/>
        <w:ind w:firstLine="709"/>
      </w:pPr>
      <w:r w:rsidRPr="00A11DCB">
        <w:t>V porovnání s rokem 2000 se v zemědělských subjektech bez půdy zvýšila koncentrace chovaných prasat z 1 088 ks na 1 223 ks/subjekt a koncentrace drůbeže z 19 593 ks na 39 530 ks/subjekt, u skotu naopak klesla z 28 ks na 13 ks/subjekt. Mezi subjekty zabývajícími se chovem prasat vzrostl podíl akciových společností (z 67,8 % na 77,4 %) a snížil se podíl společností s ručením omezeným (z 21,6 % na 16,1 %). Společnosti s ručením omezeným se naopak více zaměřily na chov drůbeže (navýšení podílu z 38,6 % na 58,1 %).</w:t>
      </w:r>
    </w:p>
    <w:p w:rsidR="003F081A" w:rsidRDefault="003F081A" w:rsidP="003F081A">
      <w:pPr>
        <w:spacing w:after="0"/>
        <w:jc w:val="both"/>
        <w:rPr>
          <w:rFonts w:cs="Arial"/>
          <w:b/>
          <w:bCs/>
          <w:color w:val="000000"/>
          <w:sz w:val="24"/>
          <w:szCs w:val="20"/>
        </w:rPr>
      </w:pPr>
      <w:r>
        <w:rPr>
          <w:rFonts w:cs="Arial"/>
          <w:b/>
          <w:bCs/>
          <w:color w:val="000000"/>
          <w:sz w:val="24"/>
          <w:szCs w:val="20"/>
        </w:rPr>
        <w:br w:type="page"/>
      </w:r>
    </w:p>
    <w:p w:rsidR="003F081A" w:rsidRPr="00F51714" w:rsidRDefault="00F51714" w:rsidP="00F51714">
      <w:pPr>
        <w:autoSpaceDE w:val="0"/>
        <w:autoSpaceDN w:val="0"/>
        <w:adjustRightInd w:val="0"/>
        <w:spacing w:after="120"/>
        <w:rPr>
          <w:rFonts w:cs="Arial"/>
          <w:b/>
          <w:bCs/>
          <w:color w:val="0071BC"/>
          <w:sz w:val="28"/>
          <w:szCs w:val="20"/>
        </w:rPr>
      </w:pPr>
      <w:r w:rsidRPr="00F51714">
        <w:rPr>
          <w:rFonts w:cs="Arial"/>
          <w:b/>
          <w:bCs/>
          <w:color w:val="0071BC"/>
          <w:sz w:val="28"/>
          <w:szCs w:val="20"/>
        </w:rPr>
        <w:lastRenderedPageBreak/>
        <w:t xml:space="preserve">Stavy zvířat </w:t>
      </w:r>
    </w:p>
    <w:p w:rsidR="003F081A" w:rsidRPr="00A11DCB" w:rsidRDefault="003F081A" w:rsidP="003F081A">
      <w:pPr>
        <w:spacing w:after="0"/>
        <w:ind w:firstLine="708"/>
        <w:jc w:val="both"/>
        <w:rPr>
          <w:rFonts w:cs="Arial"/>
        </w:rPr>
      </w:pPr>
      <w:r w:rsidRPr="00A11DCB">
        <w:rPr>
          <w:rFonts w:cs="Arial"/>
        </w:rPr>
        <w:t xml:space="preserve">Od roku 2000 do roku 2016 stavy všech hlavních druhů hospodářských zvířat </w:t>
      </w:r>
      <w:r>
        <w:rPr>
          <w:rFonts w:cs="Arial"/>
        </w:rPr>
        <w:t>– vyjma ovcí a koz –</w:t>
      </w:r>
      <w:r w:rsidRPr="00A11DCB">
        <w:rPr>
          <w:rFonts w:cs="Arial"/>
        </w:rPr>
        <w:t xml:space="preserve"> klesaly. Největší propad byl zaznamenán u prasat (</w:t>
      </w:r>
      <w:proofErr w:type="gramStart"/>
      <w:r w:rsidRPr="00A11DCB">
        <w:rPr>
          <w:rFonts w:cs="Arial"/>
        </w:rPr>
        <w:t>−55,1 %);</w:t>
      </w:r>
      <w:proofErr w:type="gramEnd"/>
      <w:r w:rsidRPr="00A11DCB">
        <w:rPr>
          <w:rFonts w:cs="Arial"/>
        </w:rPr>
        <w:t xml:space="preserve"> mírnější úbytek proběhl u drůbeže (</w:t>
      </w:r>
      <w:proofErr w:type="gramStart"/>
      <w:r w:rsidRPr="00A11DCB">
        <w:rPr>
          <w:rFonts w:cs="Arial"/>
        </w:rPr>
        <w:t>−17,2 %) a</w:t>
      </w:r>
      <w:r>
        <w:rPr>
          <w:rFonts w:cs="Arial"/>
        </w:rPr>
        <w:t> </w:t>
      </w:r>
      <w:r w:rsidRPr="00A11DCB">
        <w:rPr>
          <w:rFonts w:cs="Arial"/>
        </w:rPr>
        <w:t>u skotu</w:t>
      </w:r>
      <w:proofErr w:type="gramEnd"/>
      <w:r w:rsidRPr="00A11DCB">
        <w:rPr>
          <w:rFonts w:cs="Arial"/>
        </w:rPr>
        <w:t xml:space="preserve"> (−8,8 %). Chov prasat byl ukončen v 64,</w:t>
      </w:r>
      <w:r>
        <w:rPr>
          <w:rFonts w:cs="Arial"/>
        </w:rPr>
        <w:t>6</w:t>
      </w:r>
      <w:r w:rsidRPr="00A11DCB">
        <w:rPr>
          <w:rFonts w:cs="Arial"/>
        </w:rPr>
        <w:t xml:space="preserve"> % subjektů, chov drůbeže ve 33,1 % subjektů a chov skotu ve 22,0 % subjektů. Následkem toho se koncentrace zvířat v zemědělských subjektech zvýšila. Naproti tomu za stejné období vzrostly stavy ovcí o 250,4 %, koz o 171,3 % a koní o 35,2 %. </w:t>
      </w:r>
    </w:p>
    <w:p w:rsidR="003F081A" w:rsidRPr="00A11DCB" w:rsidRDefault="003F081A" w:rsidP="003F081A">
      <w:pPr>
        <w:spacing w:after="0"/>
        <w:ind w:firstLine="709"/>
        <w:jc w:val="both"/>
        <w:rPr>
          <w:rFonts w:cs="Arial"/>
        </w:rPr>
      </w:pPr>
      <w:r w:rsidRPr="00A11DCB">
        <w:rPr>
          <w:rFonts w:cs="Arial"/>
        </w:rPr>
        <w:t xml:space="preserve">Při srovnání subjektů dle právních forem nalezneme i výjimky z těchto trendů: například v subjektech fyzických osob se zvýšily stavy skotu (+21,9 %) a ve společnostech s ručením omezeným výrazně přibylo drůbeže (+46,3 %), naopak koz chovaných v družstvech ubyly </w:t>
      </w:r>
      <w:r>
        <w:rPr>
          <w:rFonts w:cs="Arial"/>
        </w:rPr>
        <w:t xml:space="preserve">téměř </w:t>
      </w:r>
      <w:r w:rsidRPr="00A11DCB">
        <w:rPr>
          <w:rFonts w:cs="Arial"/>
        </w:rPr>
        <w:t>čtyři pětiny (</w:t>
      </w:r>
      <w:proofErr w:type="gramStart"/>
      <w:r w:rsidRPr="00A11DCB">
        <w:rPr>
          <w:rFonts w:cs="Arial"/>
        </w:rPr>
        <w:t>−77,7 %).</w:t>
      </w:r>
      <w:proofErr w:type="gramEnd"/>
    </w:p>
    <w:p w:rsidR="003F081A" w:rsidRPr="00A11DCB" w:rsidRDefault="003F081A" w:rsidP="003F081A">
      <w:pPr>
        <w:spacing w:after="0"/>
        <w:ind w:firstLine="709"/>
        <w:rPr>
          <w:rFonts w:cs="Arial"/>
        </w:rPr>
      </w:pPr>
    </w:p>
    <w:p w:rsidR="003F081A" w:rsidRPr="00DC00F6" w:rsidRDefault="003F081A" w:rsidP="003F081A">
      <w:pPr>
        <w:spacing w:after="0"/>
        <w:rPr>
          <w:rFonts w:cs="Arial"/>
          <w:b/>
        </w:rPr>
      </w:pPr>
      <w:r w:rsidRPr="00DC00F6">
        <w:rPr>
          <w:rFonts w:cs="Arial"/>
          <w:b/>
        </w:rPr>
        <w:t>Tab</w:t>
      </w:r>
      <w:r>
        <w:rPr>
          <w:rFonts w:cs="Arial"/>
          <w:b/>
        </w:rPr>
        <w:t>.</w:t>
      </w:r>
      <w:r w:rsidRPr="00DC00F6">
        <w:rPr>
          <w:rFonts w:cs="Arial"/>
          <w:b/>
        </w:rPr>
        <w:t xml:space="preserve"> 5: Základní ukazatele živočišné výroby podle právních forem subjektů</w:t>
      </w:r>
    </w:p>
    <w:tbl>
      <w:tblPr>
        <w:tblW w:w="9723" w:type="dxa"/>
        <w:tblInd w:w="58" w:type="dxa"/>
        <w:tblLayout w:type="fixed"/>
        <w:tblCellMar>
          <w:left w:w="0" w:type="dxa"/>
          <w:right w:w="28" w:type="dxa"/>
        </w:tblCellMar>
        <w:tblLook w:val="04A0"/>
      </w:tblPr>
      <w:tblGrid>
        <w:gridCol w:w="1075"/>
        <w:gridCol w:w="566"/>
        <w:gridCol w:w="1134"/>
        <w:gridCol w:w="993"/>
        <w:gridCol w:w="992"/>
        <w:gridCol w:w="992"/>
        <w:gridCol w:w="993"/>
        <w:gridCol w:w="993"/>
        <w:gridCol w:w="992"/>
        <w:gridCol w:w="8"/>
        <w:gridCol w:w="985"/>
      </w:tblGrid>
      <w:tr w:rsidR="003F081A" w:rsidRPr="00A11DCB" w:rsidTr="005C4AF7">
        <w:trPr>
          <w:trHeight w:val="284"/>
        </w:trPr>
        <w:tc>
          <w:tcPr>
            <w:tcW w:w="1076" w:type="dxa"/>
            <w:vMerge w:val="restart"/>
            <w:tcBorders>
              <w:top w:val="single" w:sz="8" w:space="0" w:color="auto"/>
              <w:left w:val="nil"/>
              <w:bottom w:val="single" w:sz="8" w:space="0" w:color="000000"/>
              <w:right w:val="single" w:sz="4" w:space="0" w:color="auto"/>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Rok</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Zemědělské subjekty</w:t>
            </w:r>
            <w:r w:rsidRPr="00DC00F6">
              <w:rPr>
                <w:rFonts w:cs="Arial"/>
                <w:b/>
                <w:color w:val="000000"/>
                <w:sz w:val="16"/>
                <w:szCs w:val="16"/>
              </w:rPr>
              <w:br/>
              <w:t>celkem</w:t>
            </w:r>
          </w:p>
        </w:tc>
        <w:tc>
          <w:tcPr>
            <w:tcW w:w="6946" w:type="dxa"/>
            <w:gridSpan w:val="8"/>
            <w:tcBorders>
              <w:top w:val="single" w:sz="8" w:space="0" w:color="auto"/>
              <w:left w:val="nil"/>
              <w:bottom w:val="single" w:sz="4" w:space="0" w:color="auto"/>
              <w:right w:val="nil"/>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v tom subjekty</w:t>
            </w:r>
          </w:p>
        </w:tc>
      </w:tr>
      <w:tr w:rsidR="003F081A" w:rsidRPr="00A11DCB" w:rsidTr="005C4AF7">
        <w:trPr>
          <w:trHeight w:val="284"/>
        </w:trPr>
        <w:tc>
          <w:tcPr>
            <w:tcW w:w="1076" w:type="dxa"/>
            <w:vMerge/>
            <w:tcBorders>
              <w:top w:val="single" w:sz="8" w:space="0" w:color="auto"/>
              <w:left w:val="nil"/>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567" w:type="dxa"/>
            <w:vMerge/>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1134" w:type="dxa"/>
            <w:vMerge/>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3" w:type="dxa"/>
            <w:vMerge w:val="restart"/>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fyzických osob</w:t>
            </w:r>
            <w:r w:rsidRPr="00DC00F6">
              <w:rPr>
                <w:rFonts w:cs="Arial"/>
                <w:b/>
                <w:color w:val="000000"/>
                <w:sz w:val="16"/>
                <w:szCs w:val="16"/>
              </w:rPr>
              <w:br/>
              <w:t>celkem</w:t>
            </w:r>
          </w:p>
        </w:tc>
        <w:tc>
          <w:tcPr>
            <w:tcW w:w="992" w:type="dxa"/>
            <w:vMerge w:val="restart"/>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z toho zemědělští podnikatelé</w:t>
            </w:r>
          </w:p>
        </w:tc>
        <w:tc>
          <w:tcPr>
            <w:tcW w:w="992" w:type="dxa"/>
            <w:vMerge w:val="restart"/>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právnických osob</w:t>
            </w:r>
            <w:r w:rsidRPr="00DC00F6">
              <w:rPr>
                <w:rFonts w:cs="Arial"/>
                <w:b/>
                <w:color w:val="000000"/>
                <w:sz w:val="16"/>
                <w:szCs w:val="16"/>
              </w:rPr>
              <w:br/>
              <w:t>celkem</w:t>
            </w:r>
          </w:p>
        </w:tc>
        <w:tc>
          <w:tcPr>
            <w:tcW w:w="3969" w:type="dxa"/>
            <w:gridSpan w:val="5"/>
            <w:tcBorders>
              <w:top w:val="single" w:sz="4" w:space="0" w:color="auto"/>
              <w:left w:val="nil"/>
              <w:bottom w:val="single" w:sz="4" w:space="0" w:color="auto"/>
              <w:right w:val="nil"/>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z toho</w:t>
            </w:r>
          </w:p>
        </w:tc>
      </w:tr>
      <w:tr w:rsidR="003F081A" w:rsidRPr="00A11DCB" w:rsidTr="005C4AF7">
        <w:trPr>
          <w:trHeight w:val="284"/>
        </w:trPr>
        <w:tc>
          <w:tcPr>
            <w:tcW w:w="1076" w:type="dxa"/>
            <w:vMerge/>
            <w:tcBorders>
              <w:top w:val="single" w:sz="8" w:space="0" w:color="auto"/>
              <w:left w:val="nil"/>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567" w:type="dxa"/>
            <w:vMerge/>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1134" w:type="dxa"/>
            <w:vMerge/>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3"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2" w:type="dxa"/>
            <w:vMerge w:val="restart"/>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obchodní společnosti</w:t>
            </w:r>
          </w:p>
        </w:tc>
        <w:tc>
          <w:tcPr>
            <w:tcW w:w="1993" w:type="dxa"/>
            <w:gridSpan w:val="3"/>
            <w:tcBorders>
              <w:top w:val="single" w:sz="4" w:space="0" w:color="auto"/>
              <w:left w:val="nil"/>
              <w:bottom w:val="single" w:sz="4" w:space="0" w:color="auto"/>
              <w:right w:val="single" w:sz="4" w:space="0" w:color="000000"/>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z toho</w:t>
            </w:r>
          </w:p>
        </w:tc>
        <w:tc>
          <w:tcPr>
            <w:tcW w:w="984" w:type="dxa"/>
            <w:tcBorders>
              <w:top w:val="nil"/>
              <w:left w:val="single" w:sz="4" w:space="0" w:color="auto"/>
              <w:bottom w:val="single" w:sz="8" w:space="0" w:color="000000"/>
              <w:right w:val="nil"/>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družstva</w:t>
            </w:r>
          </w:p>
        </w:tc>
      </w:tr>
      <w:tr w:rsidR="003F081A" w:rsidRPr="00A11DCB" w:rsidTr="005C4AF7">
        <w:trPr>
          <w:trHeight w:val="284"/>
        </w:trPr>
        <w:tc>
          <w:tcPr>
            <w:tcW w:w="1076" w:type="dxa"/>
            <w:vMerge/>
            <w:tcBorders>
              <w:top w:val="single" w:sz="8" w:space="0" w:color="auto"/>
              <w:left w:val="nil"/>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567" w:type="dxa"/>
            <w:vMerge/>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1134" w:type="dxa"/>
            <w:vMerge/>
            <w:tcBorders>
              <w:top w:val="single" w:sz="8" w:space="0" w:color="auto"/>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3"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2" w:type="dxa"/>
            <w:vMerge/>
            <w:tcBorders>
              <w:top w:val="nil"/>
              <w:left w:val="single" w:sz="4" w:space="0" w:color="auto"/>
              <w:bottom w:val="single" w:sz="8" w:space="0" w:color="000000"/>
              <w:right w:val="single" w:sz="4" w:space="0" w:color="auto"/>
            </w:tcBorders>
            <w:shd w:val="clear" w:color="auto" w:fill="D9EAF5"/>
            <w:vAlign w:val="center"/>
            <w:hideMark/>
          </w:tcPr>
          <w:p w:rsidR="003F081A" w:rsidRPr="00DC00F6" w:rsidRDefault="003F081A" w:rsidP="003F081A">
            <w:pPr>
              <w:spacing w:after="0"/>
              <w:rPr>
                <w:rFonts w:cs="Arial"/>
                <w:b/>
                <w:color w:val="000000"/>
                <w:sz w:val="16"/>
                <w:szCs w:val="16"/>
              </w:rPr>
            </w:pPr>
          </w:p>
        </w:tc>
        <w:tc>
          <w:tcPr>
            <w:tcW w:w="993" w:type="dxa"/>
            <w:tcBorders>
              <w:top w:val="nil"/>
              <w:left w:val="nil"/>
              <w:bottom w:val="single" w:sz="8" w:space="0" w:color="auto"/>
              <w:right w:val="single" w:sz="4" w:space="0" w:color="auto"/>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spol. s r.o.</w:t>
            </w:r>
          </w:p>
        </w:tc>
        <w:tc>
          <w:tcPr>
            <w:tcW w:w="1000" w:type="dxa"/>
            <w:gridSpan w:val="2"/>
            <w:tcBorders>
              <w:top w:val="nil"/>
              <w:left w:val="nil"/>
              <w:bottom w:val="single" w:sz="8" w:space="0" w:color="auto"/>
              <w:right w:val="single" w:sz="4" w:space="0" w:color="auto"/>
            </w:tcBorders>
            <w:shd w:val="clear" w:color="auto" w:fill="D9EAF5"/>
            <w:vAlign w:val="center"/>
            <w:hideMark/>
          </w:tcPr>
          <w:p w:rsidR="003F081A" w:rsidRPr="00DC00F6" w:rsidRDefault="003F081A" w:rsidP="003F081A">
            <w:pPr>
              <w:spacing w:after="0"/>
              <w:jc w:val="center"/>
              <w:rPr>
                <w:rFonts w:cs="Arial"/>
                <w:b/>
                <w:color w:val="000000"/>
                <w:sz w:val="16"/>
                <w:szCs w:val="16"/>
              </w:rPr>
            </w:pPr>
            <w:r w:rsidRPr="00DC00F6">
              <w:rPr>
                <w:rFonts w:cs="Arial"/>
                <w:b/>
                <w:color w:val="000000"/>
                <w:sz w:val="16"/>
                <w:szCs w:val="16"/>
              </w:rPr>
              <w:t>a. s.</w:t>
            </w:r>
          </w:p>
        </w:tc>
        <w:tc>
          <w:tcPr>
            <w:tcW w:w="984" w:type="dxa"/>
            <w:tcBorders>
              <w:top w:val="nil"/>
              <w:left w:val="single" w:sz="4" w:space="0" w:color="auto"/>
              <w:bottom w:val="single" w:sz="8" w:space="0" w:color="000000"/>
              <w:right w:val="nil"/>
            </w:tcBorders>
            <w:shd w:val="clear" w:color="auto" w:fill="D9EAF5"/>
            <w:vAlign w:val="center"/>
            <w:hideMark/>
          </w:tcPr>
          <w:p w:rsidR="003F081A" w:rsidRPr="00DC00F6" w:rsidRDefault="003F081A" w:rsidP="003F081A">
            <w:pPr>
              <w:spacing w:after="0"/>
              <w:rPr>
                <w:rFonts w:cs="Arial"/>
                <w:b/>
                <w:color w:val="000000"/>
                <w:sz w:val="16"/>
                <w:szCs w:val="16"/>
              </w:rPr>
            </w:pPr>
          </w:p>
        </w:tc>
      </w:tr>
      <w:tr w:rsidR="003F081A" w:rsidRPr="00A11DCB" w:rsidTr="005C4AF7">
        <w:trPr>
          <w:trHeight w:val="284"/>
        </w:trPr>
        <w:tc>
          <w:tcPr>
            <w:tcW w:w="1076" w:type="dxa"/>
            <w:vMerge w:val="restart"/>
            <w:tcBorders>
              <w:top w:val="nil"/>
              <w:left w:val="nil"/>
              <w:bottom w:val="single" w:sz="4" w:space="0" w:color="000000"/>
              <w:right w:val="single" w:sz="4" w:space="0" w:color="auto"/>
            </w:tcBorders>
            <w:shd w:val="clear" w:color="000000" w:fill="FFFFFF"/>
            <w:vAlign w:val="center"/>
            <w:hideMark/>
          </w:tcPr>
          <w:p w:rsidR="003F081A" w:rsidRPr="00A11DCB" w:rsidRDefault="003F081A" w:rsidP="003F081A">
            <w:pPr>
              <w:spacing w:after="0"/>
              <w:rPr>
                <w:rFonts w:cs="Arial"/>
                <w:sz w:val="16"/>
                <w:szCs w:val="16"/>
              </w:rPr>
            </w:pPr>
            <w:r w:rsidRPr="00A11DCB">
              <w:rPr>
                <w:rFonts w:cs="Arial"/>
                <w:sz w:val="16"/>
                <w:szCs w:val="16"/>
              </w:rPr>
              <w:t>Zemědělské subjekty</w:t>
            </w:r>
          </w:p>
        </w:tc>
        <w:tc>
          <w:tcPr>
            <w:tcW w:w="567" w:type="dxa"/>
            <w:tcBorders>
              <w:top w:val="nil"/>
              <w:left w:val="nil"/>
              <w:bottom w:val="nil"/>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2016</w:t>
            </w:r>
          </w:p>
        </w:tc>
        <w:tc>
          <w:tcPr>
            <w:tcW w:w="1134"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sz w:val="16"/>
                <w:szCs w:val="16"/>
              </w:rPr>
            </w:pPr>
            <w:r w:rsidRPr="00A11DCB">
              <w:rPr>
                <w:rFonts w:cs="Arial"/>
                <w:sz w:val="16"/>
                <w:szCs w:val="16"/>
              </w:rPr>
              <w:t>26 525</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sz w:val="16"/>
                <w:szCs w:val="16"/>
              </w:rPr>
            </w:pPr>
            <w:r w:rsidRPr="00A11DCB">
              <w:rPr>
                <w:rFonts w:cs="Arial"/>
                <w:sz w:val="16"/>
                <w:szCs w:val="16"/>
              </w:rPr>
              <w:t>23 402</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ascii="Arial CE" w:hAnsi="Arial CE" w:cs="Arial CE"/>
                <w:sz w:val="16"/>
                <w:szCs w:val="16"/>
              </w:rPr>
            </w:pPr>
            <w:r w:rsidRPr="00A11DCB">
              <w:rPr>
                <w:rFonts w:ascii="Arial CE" w:hAnsi="Arial CE" w:cs="Arial CE"/>
                <w:sz w:val="16"/>
                <w:szCs w:val="16"/>
              </w:rPr>
              <w:t>18 232</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sz w:val="16"/>
                <w:szCs w:val="16"/>
              </w:rPr>
            </w:pPr>
            <w:r w:rsidRPr="00A11DCB">
              <w:rPr>
                <w:rFonts w:cs="Arial"/>
                <w:sz w:val="16"/>
                <w:szCs w:val="16"/>
              </w:rPr>
              <w:t>3 123</w:t>
            </w:r>
          </w:p>
        </w:tc>
        <w:tc>
          <w:tcPr>
            <w:tcW w:w="993"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sz w:val="16"/>
                <w:szCs w:val="16"/>
              </w:rPr>
            </w:pPr>
            <w:r w:rsidRPr="00A11DCB">
              <w:rPr>
                <w:rFonts w:cs="Arial"/>
                <w:sz w:val="16"/>
                <w:szCs w:val="16"/>
              </w:rPr>
              <w:t>2 507</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sz w:val="16"/>
                <w:szCs w:val="16"/>
              </w:rPr>
            </w:pPr>
            <w:r w:rsidRPr="00A11DCB">
              <w:rPr>
                <w:rFonts w:cs="Arial"/>
                <w:sz w:val="16"/>
                <w:szCs w:val="16"/>
              </w:rPr>
              <w:t>1 836</w:t>
            </w:r>
          </w:p>
        </w:tc>
        <w:tc>
          <w:tcPr>
            <w:tcW w:w="992" w:type="dxa"/>
            <w:tcBorders>
              <w:top w:val="nil"/>
              <w:left w:val="nil"/>
              <w:bottom w:val="nil"/>
              <w:right w:val="nil"/>
            </w:tcBorders>
            <w:shd w:val="clear" w:color="auto" w:fill="auto"/>
            <w:noWrap/>
            <w:vAlign w:val="center"/>
            <w:hideMark/>
          </w:tcPr>
          <w:p w:rsidR="003F081A" w:rsidRPr="00A11DCB" w:rsidRDefault="003F081A" w:rsidP="003F081A">
            <w:pPr>
              <w:spacing w:after="0"/>
              <w:ind w:firstLineChars="100" w:firstLine="160"/>
              <w:jc w:val="right"/>
              <w:rPr>
                <w:rFonts w:cs="Arial"/>
                <w:sz w:val="16"/>
                <w:szCs w:val="16"/>
              </w:rPr>
            </w:pPr>
            <w:r w:rsidRPr="00A11DCB">
              <w:rPr>
                <w:rFonts w:cs="Arial"/>
                <w:sz w:val="16"/>
                <w:szCs w:val="16"/>
              </w:rPr>
              <w:t>621</w:t>
            </w:r>
          </w:p>
        </w:tc>
        <w:tc>
          <w:tcPr>
            <w:tcW w:w="993" w:type="dxa"/>
            <w:gridSpan w:val="2"/>
            <w:tcBorders>
              <w:top w:val="nil"/>
              <w:left w:val="single" w:sz="4" w:space="0" w:color="auto"/>
              <w:bottom w:val="nil"/>
              <w:right w:val="nil"/>
            </w:tcBorders>
            <w:shd w:val="clear" w:color="auto" w:fill="auto"/>
            <w:noWrap/>
            <w:vAlign w:val="center"/>
            <w:hideMark/>
          </w:tcPr>
          <w:p w:rsidR="003F081A" w:rsidRPr="00A11DCB" w:rsidRDefault="003F081A" w:rsidP="003F081A">
            <w:pPr>
              <w:spacing w:after="0"/>
              <w:ind w:firstLineChars="100" w:firstLine="160"/>
              <w:jc w:val="right"/>
              <w:rPr>
                <w:rFonts w:cs="Arial"/>
                <w:sz w:val="16"/>
                <w:szCs w:val="16"/>
              </w:rPr>
            </w:pPr>
            <w:r w:rsidRPr="00A11DCB">
              <w:rPr>
                <w:rFonts w:cs="Arial"/>
                <w:sz w:val="16"/>
                <w:szCs w:val="16"/>
              </w:rPr>
              <w:t>502</w:t>
            </w:r>
          </w:p>
        </w:tc>
      </w:tr>
      <w:tr w:rsidR="003F081A" w:rsidRPr="00A11DCB" w:rsidTr="005C4AF7">
        <w:trPr>
          <w:trHeight w:val="284"/>
        </w:trPr>
        <w:tc>
          <w:tcPr>
            <w:tcW w:w="1076" w:type="dxa"/>
            <w:vMerge/>
            <w:tcBorders>
              <w:top w:val="nil"/>
              <w:left w:val="nil"/>
              <w:bottom w:val="single" w:sz="4" w:space="0" w:color="000000"/>
              <w:right w:val="single" w:sz="4" w:space="0" w:color="auto"/>
            </w:tcBorders>
            <w:vAlign w:val="center"/>
            <w:hideMark/>
          </w:tcPr>
          <w:p w:rsidR="003F081A" w:rsidRPr="00A11DCB" w:rsidRDefault="003F081A" w:rsidP="003F081A">
            <w:pPr>
              <w:spacing w:after="0"/>
              <w:rPr>
                <w:rFonts w:cs="Arial"/>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26 539</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23 714</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19 746</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2 825</w:t>
            </w:r>
          </w:p>
        </w:tc>
        <w:tc>
          <w:tcPr>
            <w:tcW w:w="993"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1 948</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1 310</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602</w:t>
            </w:r>
          </w:p>
        </w:tc>
        <w:tc>
          <w:tcPr>
            <w:tcW w:w="993" w:type="dxa"/>
            <w:gridSpan w:val="2"/>
            <w:tcBorders>
              <w:top w:val="nil"/>
              <w:left w:val="nil"/>
              <w:bottom w:val="single" w:sz="4" w:space="0" w:color="auto"/>
              <w:right w:val="nil"/>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740</w:t>
            </w:r>
          </w:p>
        </w:tc>
      </w:tr>
      <w:tr w:rsidR="003F081A" w:rsidRPr="00A11DCB" w:rsidTr="005C4AF7">
        <w:trPr>
          <w:trHeight w:val="284"/>
        </w:trPr>
        <w:tc>
          <w:tcPr>
            <w:tcW w:w="1076" w:type="dxa"/>
            <w:vMerge w:val="restart"/>
            <w:tcBorders>
              <w:top w:val="single" w:sz="4" w:space="0" w:color="auto"/>
              <w:left w:val="nil"/>
              <w:bottom w:val="single" w:sz="4" w:space="0" w:color="000000"/>
              <w:right w:val="single" w:sz="4" w:space="0" w:color="auto"/>
            </w:tcBorders>
            <w:shd w:val="clear" w:color="000000" w:fill="FFFFFF"/>
            <w:vAlign w:val="center"/>
            <w:hideMark/>
          </w:tcPr>
          <w:p w:rsidR="003F081A" w:rsidRPr="00A11DCB" w:rsidRDefault="003F081A" w:rsidP="003F081A">
            <w:pPr>
              <w:spacing w:after="0"/>
              <w:rPr>
                <w:rFonts w:cs="Arial"/>
                <w:sz w:val="16"/>
                <w:szCs w:val="16"/>
              </w:rPr>
            </w:pPr>
            <w:r w:rsidRPr="00A11DCB">
              <w:rPr>
                <w:rFonts w:cs="Arial"/>
                <w:sz w:val="16"/>
                <w:szCs w:val="16"/>
              </w:rPr>
              <w:t>Skot (ks)</w:t>
            </w:r>
          </w:p>
        </w:tc>
        <w:tc>
          <w:tcPr>
            <w:tcW w:w="567" w:type="dxa"/>
            <w:tcBorders>
              <w:top w:val="single" w:sz="4" w:space="0" w:color="auto"/>
              <w:left w:val="nil"/>
              <w:bottom w:val="nil"/>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2016</w:t>
            </w:r>
          </w:p>
        </w:tc>
        <w:tc>
          <w:tcPr>
            <w:tcW w:w="1134"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1 409 773</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357 873</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328 608</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1 051 900</w:t>
            </w:r>
          </w:p>
        </w:tc>
        <w:tc>
          <w:tcPr>
            <w:tcW w:w="993"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679 665</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272 125</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404 046</w:t>
            </w:r>
          </w:p>
        </w:tc>
        <w:tc>
          <w:tcPr>
            <w:tcW w:w="993" w:type="dxa"/>
            <w:gridSpan w:val="2"/>
            <w:tcBorders>
              <w:top w:val="single" w:sz="4" w:space="0" w:color="auto"/>
              <w:left w:val="nil"/>
              <w:bottom w:val="nil"/>
              <w:right w:val="nil"/>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360 710</w:t>
            </w:r>
          </w:p>
        </w:tc>
      </w:tr>
      <w:tr w:rsidR="003F081A" w:rsidRPr="00A11DCB" w:rsidTr="005C4AF7">
        <w:trPr>
          <w:trHeight w:val="284"/>
        </w:trPr>
        <w:tc>
          <w:tcPr>
            <w:tcW w:w="1076" w:type="dxa"/>
            <w:vMerge/>
            <w:tcBorders>
              <w:top w:val="single" w:sz="4" w:space="0" w:color="auto"/>
              <w:left w:val="nil"/>
              <w:bottom w:val="single" w:sz="4" w:space="0" w:color="000000"/>
              <w:right w:val="single" w:sz="4" w:space="0" w:color="auto"/>
            </w:tcBorders>
            <w:vAlign w:val="center"/>
            <w:hideMark/>
          </w:tcPr>
          <w:p w:rsidR="003F081A" w:rsidRPr="00A11DCB" w:rsidRDefault="003F081A" w:rsidP="003F081A">
            <w:pPr>
              <w:spacing w:after="0"/>
              <w:rPr>
                <w:rFonts w:cs="Arial"/>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1 545 309</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293 522</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270 628</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1 251 787</w:t>
            </w:r>
          </w:p>
        </w:tc>
        <w:tc>
          <w:tcPr>
            <w:tcW w:w="993"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658 773</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263 431</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389 710</w:t>
            </w:r>
          </w:p>
        </w:tc>
        <w:tc>
          <w:tcPr>
            <w:tcW w:w="993" w:type="dxa"/>
            <w:gridSpan w:val="2"/>
            <w:tcBorders>
              <w:top w:val="nil"/>
              <w:left w:val="nil"/>
              <w:bottom w:val="single" w:sz="4" w:space="0" w:color="auto"/>
              <w:right w:val="nil"/>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574 478</w:t>
            </w:r>
          </w:p>
        </w:tc>
      </w:tr>
      <w:tr w:rsidR="003F081A" w:rsidRPr="00A11DCB" w:rsidTr="005C4AF7">
        <w:trPr>
          <w:trHeight w:val="284"/>
        </w:trPr>
        <w:tc>
          <w:tcPr>
            <w:tcW w:w="1076" w:type="dxa"/>
            <w:vMerge w:val="restart"/>
            <w:tcBorders>
              <w:top w:val="nil"/>
              <w:left w:val="nil"/>
              <w:bottom w:val="single" w:sz="4" w:space="0" w:color="000000"/>
              <w:right w:val="single" w:sz="4" w:space="0" w:color="auto"/>
            </w:tcBorders>
            <w:shd w:val="clear" w:color="000000" w:fill="FFFFFF"/>
            <w:vAlign w:val="center"/>
            <w:hideMark/>
          </w:tcPr>
          <w:p w:rsidR="003F081A" w:rsidRPr="00A11DCB" w:rsidRDefault="003F081A" w:rsidP="003F081A">
            <w:pPr>
              <w:spacing w:after="0"/>
              <w:rPr>
                <w:rFonts w:cs="Arial"/>
                <w:sz w:val="16"/>
                <w:szCs w:val="16"/>
              </w:rPr>
            </w:pPr>
            <w:r w:rsidRPr="00A11DCB">
              <w:rPr>
                <w:rFonts w:cs="Arial"/>
                <w:sz w:val="16"/>
                <w:szCs w:val="16"/>
              </w:rPr>
              <w:t>Prasata (ks)</w:t>
            </w:r>
          </w:p>
        </w:tc>
        <w:tc>
          <w:tcPr>
            <w:tcW w:w="567" w:type="dxa"/>
            <w:tcBorders>
              <w:top w:val="nil"/>
              <w:left w:val="nil"/>
              <w:bottom w:val="nil"/>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2016</w:t>
            </w:r>
          </w:p>
        </w:tc>
        <w:tc>
          <w:tcPr>
            <w:tcW w:w="1134"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1 542 210</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99 812</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81 542</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1 442 398</w:t>
            </w:r>
          </w:p>
        </w:tc>
        <w:tc>
          <w:tcPr>
            <w:tcW w:w="993"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1 192 050</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203 812</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974 736</w:t>
            </w:r>
          </w:p>
        </w:tc>
        <w:tc>
          <w:tcPr>
            <w:tcW w:w="993" w:type="dxa"/>
            <w:gridSpan w:val="2"/>
            <w:tcBorders>
              <w:top w:val="nil"/>
              <w:left w:val="nil"/>
              <w:bottom w:val="nil"/>
              <w:right w:val="nil"/>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240 408</w:t>
            </w:r>
          </w:p>
        </w:tc>
      </w:tr>
      <w:tr w:rsidR="003F081A" w:rsidRPr="00A11DCB" w:rsidTr="005C4AF7">
        <w:trPr>
          <w:trHeight w:val="284"/>
        </w:trPr>
        <w:tc>
          <w:tcPr>
            <w:tcW w:w="1076" w:type="dxa"/>
            <w:vMerge/>
            <w:tcBorders>
              <w:top w:val="nil"/>
              <w:left w:val="nil"/>
              <w:bottom w:val="single" w:sz="4" w:space="0" w:color="000000"/>
              <w:right w:val="single" w:sz="4" w:space="0" w:color="auto"/>
            </w:tcBorders>
            <w:vAlign w:val="center"/>
            <w:hideMark/>
          </w:tcPr>
          <w:p w:rsidR="003F081A" w:rsidRPr="00A11DCB" w:rsidRDefault="003F081A" w:rsidP="003F081A">
            <w:pPr>
              <w:spacing w:after="0"/>
              <w:rPr>
                <w:rFonts w:cs="Arial"/>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2000</w:t>
            </w:r>
          </w:p>
        </w:tc>
        <w:tc>
          <w:tcPr>
            <w:tcW w:w="1134"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3 432 950</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355 958</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330 876</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3 076 992</w:t>
            </w:r>
          </w:p>
        </w:tc>
        <w:tc>
          <w:tcPr>
            <w:tcW w:w="993"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2 116 380</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611 513</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1 498 837</w:t>
            </w:r>
          </w:p>
        </w:tc>
        <w:tc>
          <w:tcPr>
            <w:tcW w:w="993" w:type="dxa"/>
            <w:gridSpan w:val="2"/>
            <w:tcBorders>
              <w:top w:val="nil"/>
              <w:left w:val="nil"/>
              <w:bottom w:val="nil"/>
              <w:right w:val="nil"/>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931 276</w:t>
            </w:r>
          </w:p>
        </w:tc>
      </w:tr>
      <w:tr w:rsidR="003F081A" w:rsidRPr="00A11DCB" w:rsidTr="005C4AF7">
        <w:trPr>
          <w:trHeight w:val="284"/>
        </w:trPr>
        <w:tc>
          <w:tcPr>
            <w:tcW w:w="1076" w:type="dxa"/>
            <w:vMerge w:val="restart"/>
            <w:tcBorders>
              <w:top w:val="nil"/>
              <w:left w:val="nil"/>
              <w:bottom w:val="single" w:sz="4" w:space="0" w:color="000000"/>
              <w:right w:val="single" w:sz="4" w:space="0" w:color="auto"/>
            </w:tcBorders>
            <w:shd w:val="clear" w:color="000000" w:fill="FFFFFF"/>
            <w:vAlign w:val="center"/>
            <w:hideMark/>
          </w:tcPr>
          <w:p w:rsidR="003F081A" w:rsidRPr="00A11DCB" w:rsidRDefault="003F081A" w:rsidP="003F081A">
            <w:pPr>
              <w:spacing w:after="0"/>
              <w:rPr>
                <w:rFonts w:cs="Arial"/>
                <w:sz w:val="16"/>
                <w:szCs w:val="16"/>
              </w:rPr>
            </w:pPr>
            <w:r w:rsidRPr="00A11DCB">
              <w:rPr>
                <w:rFonts w:cs="Arial"/>
                <w:sz w:val="16"/>
                <w:szCs w:val="16"/>
              </w:rPr>
              <w:t>Drůbež (ks)</w:t>
            </w:r>
          </w:p>
        </w:tc>
        <w:tc>
          <w:tcPr>
            <w:tcW w:w="567" w:type="dxa"/>
            <w:tcBorders>
              <w:top w:val="nil"/>
              <w:left w:val="nil"/>
              <w:bottom w:val="nil"/>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2016</w:t>
            </w:r>
          </w:p>
        </w:tc>
        <w:tc>
          <w:tcPr>
            <w:tcW w:w="1134"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25 103 855</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1 657 269</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1 518 408</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23 446 586</w:t>
            </w:r>
          </w:p>
        </w:tc>
        <w:tc>
          <w:tcPr>
            <w:tcW w:w="993"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21 993 529</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11 822 043</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10 171 458</w:t>
            </w:r>
          </w:p>
        </w:tc>
        <w:tc>
          <w:tcPr>
            <w:tcW w:w="993" w:type="dxa"/>
            <w:gridSpan w:val="2"/>
            <w:tcBorders>
              <w:top w:val="single" w:sz="4" w:space="0" w:color="auto"/>
              <w:left w:val="nil"/>
              <w:bottom w:val="nil"/>
              <w:right w:val="nil"/>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1 386 929</w:t>
            </w:r>
          </w:p>
        </w:tc>
      </w:tr>
      <w:tr w:rsidR="003F081A" w:rsidRPr="00A11DCB" w:rsidTr="005C4AF7">
        <w:trPr>
          <w:trHeight w:val="284"/>
        </w:trPr>
        <w:tc>
          <w:tcPr>
            <w:tcW w:w="1076" w:type="dxa"/>
            <w:vMerge/>
            <w:tcBorders>
              <w:top w:val="nil"/>
              <w:left w:val="nil"/>
              <w:bottom w:val="single" w:sz="4" w:space="0" w:color="000000"/>
              <w:right w:val="single" w:sz="4" w:space="0" w:color="auto"/>
            </w:tcBorders>
            <w:vAlign w:val="center"/>
            <w:hideMark/>
          </w:tcPr>
          <w:p w:rsidR="003F081A" w:rsidRPr="00A11DCB" w:rsidRDefault="003F081A" w:rsidP="003F081A">
            <w:pPr>
              <w:spacing w:after="0"/>
              <w:rPr>
                <w:rFonts w:cs="Arial"/>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30 321 070</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4 815 570</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4 191 842</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25 505 500</w:t>
            </w:r>
          </w:p>
        </w:tc>
        <w:tc>
          <w:tcPr>
            <w:tcW w:w="993"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21 762 693</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8 081 112</w:t>
            </w:r>
          </w:p>
        </w:tc>
        <w:tc>
          <w:tcPr>
            <w:tcW w:w="992" w:type="dxa"/>
            <w:tcBorders>
              <w:top w:val="nil"/>
              <w:left w:val="nil"/>
              <w:bottom w:val="single" w:sz="4" w:space="0" w:color="auto"/>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13 681 581</w:t>
            </w:r>
          </w:p>
        </w:tc>
        <w:tc>
          <w:tcPr>
            <w:tcW w:w="993" w:type="dxa"/>
            <w:gridSpan w:val="2"/>
            <w:tcBorders>
              <w:top w:val="nil"/>
              <w:left w:val="nil"/>
              <w:bottom w:val="single" w:sz="4" w:space="0" w:color="auto"/>
              <w:right w:val="nil"/>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3 609 453</w:t>
            </w:r>
          </w:p>
        </w:tc>
      </w:tr>
      <w:tr w:rsidR="003F081A" w:rsidRPr="00A11DCB" w:rsidTr="005C4AF7">
        <w:trPr>
          <w:trHeight w:val="284"/>
        </w:trPr>
        <w:tc>
          <w:tcPr>
            <w:tcW w:w="1076" w:type="dxa"/>
            <w:vMerge w:val="restart"/>
            <w:tcBorders>
              <w:top w:val="nil"/>
              <w:left w:val="nil"/>
              <w:bottom w:val="nil"/>
              <w:right w:val="single" w:sz="4" w:space="0" w:color="auto"/>
            </w:tcBorders>
            <w:shd w:val="clear" w:color="000000" w:fill="FFFFFF"/>
            <w:vAlign w:val="center"/>
            <w:hideMark/>
          </w:tcPr>
          <w:p w:rsidR="003F081A" w:rsidRPr="00A11DCB" w:rsidRDefault="003F081A" w:rsidP="003F081A">
            <w:pPr>
              <w:spacing w:after="0"/>
              <w:rPr>
                <w:rFonts w:cs="Arial"/>
                <w:sz w:val="16"/>
                <w:szCs w:val="16"/>
              </w:rPr>
            </w:pPr>
            <w:r w:rsidRPr="00A11DCB">
              <w:rPr>
                <w:rFonts w:cs="Arial"/>
                <w:sz w:val="16"/>
                <w:szCs w:val="16"/>
              </w:rPr>
              <w:t>Ovce (ks)</w:t>
            </w:r>
          </w:p>
        </w:tc>
        <w:tc>
          <w:tcPr>
            <w:tcW w:w="567" w:type="dxa"/>
            <w:tcBorders>
              <w:top w:val="nil"/>
              <w:left w:val="nil"/>
              <w:bottom w:val="nil"/>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2016</w:t>
            </w:r>
          </w:p>
        </w:tc>
        <w:tc>
          <w:tcPr>
            <w:tcW w:w="1134"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230 911</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195 863</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162 067</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35 048</w:t>
            </w:r>
          </w:p>
        </w:tc>
        <w:tc>
          <w:tcPr>
            <w:tcW w:w="993"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31 842</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27 554</w:t>
            </w:r>
          </w:p>
        </w:tc>
        <w:tc>
          <w:tcPr>
            <w:tcW w:w="992" w:type="dxa"/>
            <w:tcBorders>
              <w:top w:val="nil"/>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3 539</w:t>
            </w:r>
          </w:p>
        </w:tc>
        <w:tc>
          <w:tcPr>
            <w:tcW w:w="993" w:type="dxa"/>
            <w:gridSpan w:val="2"/>
            <w:tcBorders>
              <w:top w:val="nil"/>
              <w:left w:val="nil"/>
              <w:bottom w:val="nil"/>
              <w:right w:val="nil"/>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1 771</w:t>
            </w:r>
          </w:p>
        </w:tc>
      </w:tr>
      <w:tr w:rsidR="003F081A" w:rsidRPr="00A11DCB" w:rsidTr="005C4AF7">
        <w:trPr>
          <w:trHeight w:val="284"/>
        </w:trPr>
        <w:tc>
          <w:tcPr>
            <w:tcW w:w="1076" w:type="dxa"/>
            <w:vMerge/>
            <w:tcBorders>
              <w:top w:val="nil"/>
              <w:left w:val="nil"/>
              <w:bottom w:val="nil"/>
              <w:right w:val="single" w:sz="4" w:space="0" w:color="auto"/>
            </w:tcBorders>
            <w:vAlign w:val="center"/>
            <w:hideMark/>
          </w:tcPr>
          <w:p w:rsidR="003F081A" w:rsidRPr="00A11DCB" w:rsidRDefault="003F081A" w:rsidP="003F081A">
            <w:pPr>
              <w:spacing w:after="0"/>
              <w:rPr>
                <w:rFonts w:cs="Arial"/>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2000</w:t>
            </w:r>
          </w:p>
        </w:tc>
        <w:tc>
          <w:tcPr>
            <w:tcW w:w="1134"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65 890</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50 799</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42 365</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15 091</w:t>
            </w:r>
          </w:p>
        </w:tc>
        <w:tc>
          <w:tcPr>
            <w:tcW w:w="993"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11 851</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9 587</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2 046</w:t>
            </w:r>
          </w:p>
        </w:tc>
        <w:tc>
          <w:tcPr>
            <w:tcW w:w="993" w:type="dxa"/>
            <w:gridSpan w:val="2"/>
            <w:tcBorders>
              <w:top w:val="nil"/>
              <w:left w:val="nil"/>
              <w:bottom w:val="nil"/>
              <w:right w:val="nil"/>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3 094</w:t>
            </w:r>
          </w:p>
        </w:tc>
      </w:tr>
      <w:tr w:rsidR="003F081A" w:rsidRPr="00A11DCB" w:rsidTr="005C4AF7">
        <w:trPr>
          <w:trHeight w:val="284"/>
        </w:trPr>
        <w:tc>
          <w:tcPr>
            <w:tcW w:w="1076" w:type="dxa"/>
            <w:vMerge w:val="restart"/>
            <w:tcBorders>
              <w:top w:val="single" w:sz="4" w:space="0" w:color="auto"/>
              <w:left w:val="nil"/>
              <w:bottom w:val="nil"/>
              <w:right w:val="single" w:sz="4" w:space="0" w:color="auto"/>
            </w:tcBorders>
            <w:shd w:val="clear" w:color="000000" w:fill="FFFFFF"/>
            <w:vAlign w:val="center"/>
            <w:hideMark/>
          </w:tcPr>
          <w:p w:rsidR="003F081A" w:rsidRPr="00A11DCB" w:rsidRDefault="003F081A" w:rsidP="003F081A">
            <w:pPr>
              <w:spacing w:after="0"/>
              <w:rPr>
                <w:rFonts w:cs="Arial"/>
                <w:sz w:val="16"/>
                <w:szCs w:val="16"/>
              </w:rPr>
            </w:pPr>
            <w:r w:rsidRPr="00A11DCB">
              <w:rPr>
                <w:rFonts w:cs="Arial"/>
                <w:sz w:val="16"/>
                <w:szCs w:val="16"/>
              </w:rPr>
              <w:t>Kozy (ks)</w:t>
            </w:r>
          </w:p>
        </w:tc>
        <w:tc>
          <w:tcPr>
            <w:tcW w:w="567" w:type="dxa"/>
            <w:tcBorders>
              <w:top w:val="nil"/>
              <w:left w:val="nil"/>
              <w:bottom w:val="nil"/>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2016</w:t>
            </w:r>
          </w:p>
        </w:tc>
        <w:tc>
          <w:tcPr>
            <w:tcW w:w="1134"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21 960</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17 546</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12 483</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4 414</w:t>
            </w:r>
          </w:p>
        </w:tc>
        <w:tc>
          <w:tcPr>
            <w:tcW w:w="993"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3 934</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3 696</w:t>
            </w:r>
          </w:p>
        </w:tc>
        <w:tc>
          <w:tcPr>
            <w:tcW w:w="992" w:type="dxa"/>
            <w:tcBorders>
              <w:top w:val="single" w:sz="4" w:space="0" w:color="auto"/>
              <w:left w:val="nil"/>
              <w:bottom w:val="nil"/>
              <w:right w:val="single" w:sz="4" w:space="0" w:color="auto"/>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236</w:t>
            </w:r>
          </w:p>
        </w:tc>
        <w:tc>
          <w:tcPr>
            <w:tcW w:w="993" w:type="dxa"/>
            <w:gridSpan w:val="2"/>
            <w:tcBorders>
              <w:top w:val="single" w:sz="4" w:space="0" w:color="auto"/>
              <w:left w:val="nil"/>
              <w:bottom w:val="nil"/>
              <w:right w:val="nil"/>
            </w:tcBorders>
            <w:shd w:val="clear" w:color="auto" w:fill="auto"/>
            <w:noWrap/>
            <w:vAlign w:val="center"/>
            <w:hideMark/>
          </w:tcPr>
          <w:p w:rsidR="003F081A" w:rsidRPr="00A11DCB" w:rsidRDefault="003F081A" w:rsidP="003F081A">
            <w:pPr>
              <w:spacing w:after="0"/>
              <w:ind w:firstLineChars="100" w:firstLine="160"/>
              <w:jc w:val="right"/>
              <w:rPr>
                <w:rFonts w:cs="Arial"/>
                <w:color w:val="000000"/>
                <w:sz w:val="16"/>
                <w:szCs w:val="16"/>
              </w:rPr>
            </w:pPr>
            <w:r w:rsidRPr="00A11DCB">
              <w:rPr>
                <w:rFonts w:cs="Arial"/>
                <w:color w:val="000000"/>
                <w:sz w:val="16"/>
                <w:szCs w:val="16"/>
              </w:rPr>
              <w:t>82</w:t>
            </w:r>
          </w:p>
        </w:tc>
      </w:tr>
      <w:tr w:rsidR="003F081A" w:rsidRPr="00A11DCB" w:rsidTr="005C4AF7">
        <w:trPr>
          <w:trHeight w:val="284"/>
        </w:trPr>
        <w:tc>
          <w:tcPr>
            <w:tcW w:w="1076" w:type="dxa"/>
            <w:vMerge/>
            <w:tcBorders>
              <w:top w:val="single" w:sz="4" w:space="0" w:color="auto"/>
              <w:left w:val="nil"/>
              <w:bottom w:val="nil"/>
              <w:right w:val="single" w:sz="4" w:space="0" w:color="auto"/>
            </w:tcBorders>
            <w:vAlign w:val="center"/>
            <w:hideMark/>
          </w:tcPr>
          <w:p w:rsidR="003F081A" w:rsidRPr="00A11DCB" w:rsidRDefault="003F081A" w:rsidP="003F081A">
            <w:pPr>
              <w:spacing w:after="0"/>
              <w:rPr>
                <w:rFonts w:cs="Arial"/>
                <w:sz w:val="16"/>
                <w:szCs w:val="16"/>
              </w:rPr>
            </w:pPr>
          </w:p>
        </w:tc>
        <w:tc>
          <w:tcPr>
            <w:tcW w:w="567" w:type="dxa"/>
            <w:tcBorders>
              <w:top w:val="nil"/>
              <w:left w:val="nil"/>
              <w:bottom w:val="nil"/>
              <w:right w:val="single" w:sz="4" w:space="0" w:color="auto"/>
            </w:tcBorders>
            <w:shd w:val="clear" w:color="000000" w:fill="FFFFFF"/>
            <w:vAlign w:val="center"/>
            <w:hideMark/>
          </w:tcPr>
          <w:p w:rsidR="003F081A" w:rsidRPr="00A11DCB" w:rsidRDefault="003F081A" w:rsidP="003F081A">
            <w:pPr>
              <w:spacing w:after="0"/>
              <w:jc w:val="right"/>
              <w:rPr>
                <w:rFonts w:cs="Arial"/>
                <w:sz w:val="16"/>
                <w:szCs w:val="16"/>
              </w:rPr>
            </w:pPr>
            <w:r w:rsidRPr="00A11DCB">
              <w:rPr>
                <w:rFonts w:cs="Arial"/>
                <w:sz w:val="16"/>
                <w:szCs w:val="16"/>
              </w:rPr>
              <w:t>2000</w:t>
            </w:r>
          </w:p>
        </w:tc>
        <w:tc>
          <w:tcPr>
            <w:tcW w:w="1134"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8 093</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7 298</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6 052</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795</w:t>
            </w:r>
          </w:p>
        </w:tc>
        <w:tc>
          <w:tcPr>
            <w:tcW w:w="993"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328</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317</w:t>
            </w:r>
          </w:p>
        </w:tc>
        <w:tc>
          <w:tcPr>
            <w:tcW w:w="992" w:type="dxa"/>
            <w:tcBorders>
              <w:top w:val="nil"/>
              <w:left w:val="nil"/>
              <w:bottom w:val="nil"/>
              <w:right w:val="single" w:sz="4" w:space="0" w:color="auto"/>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5</w:t>
            </w:r>
          </w:p>
        </w:tc>
        <w:tc>
          <w:tcPr>
            <w:tcW w:w="993" w:type="dxa"/>
            <w:gridSpan w:val="2"/>
            <w:tcBorders>
              <w:top w:val="nil"/>
              <w:left w:val="nil"/>
              <w:bottom w:val="nil"/>
              <w:right w:val="nil"/>
            </w:tcBorders>
            <w:shd w:val="clear" w:color="000000" w:fill="FFFFFF"/>
            <w:noWrap/>
            <w:vAlign w:val="center"/>
            <w:hideMark/>
          </w:tcPr>
          <w:p w:rsidR="003F081A" w:rsidRPr="00A11DCB" w:rsidRDefault="003F081A" w:rsidP="003F081A">
            <w:pPr>
              <w:spacing w:after="0"/>
              <w:jc w:val="right"/>
              <w:rPr>
                <w:rFonts w:ascii="Arial CE" w:hAnsi="Arial CE" w:cs="Arial CE"/>
                <w:sz w:val="16"/>
                <w:szCs w:val="16"/>
              </w:rPr>
            </w:pPr>
            <w:r w:rsidRPr="00A11DCB">
              <w:rPr>
                <w:rFonts w:ascii="Arial CE" w:hAnsi="Arial CE" w:cs="Arial CE"/>
                <w:sz w:val="16"/>
                <w:szCs w:val="16"/>
              </w:rPr>
              <w:t>367</w:t>
            </w:r>
          </w:p>
        </w:tc>
      </w:tr>
    </w:tbl>
    <w:p w:rsidR="003F081A" w:rsidRDefault="003F081A" w:rsidP="003F081A">
      <w:pPr>
        <w:keepNext/>
        <w:spacing w:after="0"/>
        <w:outlineLvl w:val="3"/>
        <w:rPr>
          <w:rFonts w:cs="Arial"/>
          <w:b/>
          <w:bCs/>
        </w:rPr>
      </w:pPr>
    </w:p>
    <w:p w:rsidR="003F081A" w:rsidRPr="00DE4FF9" w:rsidRDefault="003F081A" w:rsidP="003F081A">
      <w:pPr>
        <w:keepNext/>
        <w:spacing w:after="0"/>
        <w:outlineLvl w:val="3"/>
        <w:rPr>
          <w:rFonts w:cs="Arial"/>
          <w:b/>
          <w:bCs/>
        </w:rPr>
      </w:pPr>
      <w:r w:rsidRPr="00DE4FF9">
        <w:rPr>
          <w:rFonts w:cs="Arial"/>
          <w:b/>
          <w:bCs/>
        </w:rPr>
        <w:t>Graf 8: Podíl subjektů dle právních forem na celkových stavech hospodářských zvířat</w:t>
      </w:r>
    </w:p>
    <w:p w:rsidR="003F081A" w:rsidRPr="00A11DCB" w:rsidRDefault="003F081A" w:rsidP="003F081A">
      <w:pPr>
        <w:spacing w:after="0"/>
        <w:jc w:val="both"/>
        <w:rPr>
          <w:rFonts w:cs="Arial"/>
        </w:rPr>
      </w:pPr>
      <w:r w:rsidRPr="00A11DCB">
        <w:rPr>
          <w:noProof/>
        </w:rPr>
        <w:drawing>
          <wp:inline distT="0" distB="0" distL="0" distR="0">
            <wp:extent cx="5812155" cy="2616200"/>
            <wp:effectExtent l="0" t="0" r="0" b="0"/>
            <wp:docPr id="1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812155" cy="2616200"/>
                    </a:xfrm>
                    <a:prstGeom prst="rect">
                      <a:avLst/>
                    </a:prstGeom>
                    <a:noFill/>
                    <a:ln w="9525">
                      <a:noFill/>
                      <a:miter lim="800000"/>
                      <a:headEnd/>
                      <a:tailEnd/>
                    </a:ln>
                  </pic:spPr>
                </pic:pic>
              </a:graphicData>
            </a:graphic>
          </wp:inline>
        </w:drawing>
      </w:r>
    </w:p>
    <w:p w:rsidR="003F081A" w:rsidRPr="00A11DCB" w:rsidRDefault="003F081A" w:rsidP="003F081A">
      <w:pPr>
        <w:spacing w:after="0"/>
        <w:ind w:firstLine="709"/>
        <w:jc w:val="both"/>
        <w:rPr>
          <w:rFonts w:cs="Arial"/>
        </w:rPr>
      </w:pPr>
      <w:r w:rsidRPr="00A11DCB">
        <w:rPr>
          <w:rFonts w:cs="Arial"/>
        </w:rPr>
        <w:t>Ekologicky hospodařící zemědělské subjekty chovaly především ovce (41,6 % jejich celkových stavů), kozy (36,3 % stavů) a koně, osli a jejich křížence (27,4 %). Ekologicky chovaného skotu je 17,5 %; chov drůbeže a prasat v ekologickém hospodářství je zanedbatelný (0,1 % a 0,2 % celkových stavů).</w:t>
      </w:r>
    </w:p>
    <w:p w:rsidR="003F081A" w:rsidRDefault="003F081A" w:rsidP="003F081A">
      <w:pPr>
        <w:spacing w:after="0"/>
        <w:jc w:val="both"/>
        <w:rPr>
          <w:rFonts w:cs="Arial"/>
          <w:b/>
          <w:bCs/>
          <w:color w:val="000000"/>
          <w:sz w:val="24"/>
          <w:szCs w:val="20"/>
        </w:rPr>
      </w:pPr>
      <w:r>
        <w:rPr>
          <w:rFonts w:cs="Arial"/>
          <w:b/>
          <w:bCs/>
          <w:color w:val="000000"/>
          <w:sz w:val="24"/>
          <w:szCs w:val="20"/>
        </w:rPr>
        <w:br w:type="page"/>
      </w:r>
    </w:p>
    <w:p w:rsidR="003F081A" w:rsidRPr="00F51714" w:rsidRDefault="00F51714" w:rsidP="00F51714">
      <w:pPr>
        <w:autoSpaceDE w:val="0"/>
        <w:autoSpaceDN w:val="0"/>
        <w:adjustRightInd w:val="0"/>
        <w:spacing w:after="120"/>
        <w:rPr>
          <w:rFonts w:cs="Arial"/>
          <w:b/>
          <w:bCs/>
          <w:color w:val="0071BC"/>
          <w:sz w:val="28"/>
          <w:szCs w:val="20"/>
        </w:rPr>
      </w:pPr>
      <w:r w:rsidRPr="00F51714">
        <w:rPr>
          <w:rFonts w:cs="Arial"/>
          <w:b/>
          <w:bCs/>
          <w:color w:val="0071BC"/>
          <w:sz w:val="28"/>
          <w:szCs w:val="20"/>
        </w:rPr>
        <w:lastRenderedPageBreak/>
        <w:t>Chov skotu</w:t>
      </w:r>
    </w:p>
    <w:p w:rsidR="003F081A" w:rsidRPr="00A11DCB" w:rsidRDefault="003F081A" w:rsidP="003F081A">
      <w:pPr>
        <w:spacing w:after="0"/>
        <w:ind w:firstLine="709"/>
        <w:jc w:val="both"/>
        <w:rPr>
          <w:rFonts w:cs="Arial"/>
        </w:rPr>
      </w:pPr>
      <w:r w:rsidRPr="00A11DCB">
        <w:rPr>
          <w:rFonts w:cs="Arial"/>
        </w:rPr>
        <w:t>V roce 2016 bylo v 11 619 zemědělských subjektech chováno celkem 1 409 773 kusů skotu. Oproti roku 2000 se stavy skotu snížily o 8,8 % a počet chovatelů klesl o 22,0 %, což se projevilo ve zvýšení průměrného počtu kusů chovaných na jeden zemědělský podnik ze 104 ks na 121 ks. Intenzita chovu skotu se snížila ze 43 ks/100 ha zemědělské půdy na 41 ks/100 ha zemědělské půdy.</w:t>
      </w:r>
    </w:p>
    <w:p w:rsidR="003F081A" w:rsidRPr="00A11DCB" w:rsidRDefault="003F081A" w:rsidP="003F081A">
      <w:pPr>
        <w:spacing w:after="0"/>
        <w:ind w:firstLine="709"/>
        <w:jc w:val="both"/>
        <w:rPr>
          <w:rFonts w:cs="Arial"/>
        </w:rPr>
      </w:pPr>
      <w:r w:rsidRPr="00A11DCB">
        <w:rPr>
          <w:rFonts w:cs="Arial"/>
        </w:rPr>
        <w:t>Subjekty právnických osob chovaly tři čtvrtiny skotu (74,6 %), v roce 2000 byl tento podíl 81,0 % celkových stavů. V subjektech fyzických osob stavy skotu narostly o 21,9 % a průměrný počet kusů chovaných na jedné farmě se zvýšil z 22 ks na 36 ks, naopak u právnických osob došlo k poklesu stavů o 16,0 % a průměrného počtu skotu na podnik ze 702 ks na 619 ks.</w:t>
      </w:r>
    </w:p>
    <w:p w:rsidR="003F081A" w:rsidRPr="00A11DCB" w:rsidRDefault="003F081A" w:rsidP="003F081A">
      <w:pPr>
        <w:spacing w:after="0"/>
        <w:ind w:firstLine="709"/>
        <w:jc w:val="both"/>
        <w:rPr>
          <w:rFonts w:cs="Arial"/>
        </w:rPr>
      </w:pPr>
      <w:r w:rsidRPr="00A11DCB">
        <w:rPr>
          <w:rFonts w:cs="Arial"/>
        </w:rPr>
        <w:t>Z právnických osob měly na stavech skotu největší podíl akciové společnosti (28,7 %), které v porovnání s rokem 2000 zaznamenaly zvýšení stavů o 3,7 %. Celkový pokles stavů skotu je způsoben především propadem chovu v družstvech (</w:t>
      </w:r>
      <w:proofErr w:type="gramStart"/>
      <w:r w:rsidRPr="00A11DCB">
        <w:rPr>
          <w:rFonts w:cs="Arial"/>
          <w:sz w:val="18"/>
        </w:rPr>
        <w:t>−</w:t>
      </w:r>
      <w:r w:rsidRPr="00A11DCB">
        <w:rPr>
          <w:rFonts w:cs="Arial"/>
        </w:rPr>
        <w:t>37,2 %);</w:t>
      </w:r>
      <w:proofErr w:type="gramEnd"/>
      <w:r w:rsidRPr="00A11DCB">
        <w:rPr>
          <w:rFonts w:cs="Arial"/>
        </w:rPr>
        <w:t xml:space="preserve"> při 2</w:t>
      </w:r>
      <w:r>
        <w:rPr>
          <w:rFonts w:cs="Arial"/>
        </w:rPr>
        <w:t>5,</w:t>
      </w:r>
      <w:r w:rsidRPr="00A11DCB">
        <w:rPr>
          <w:rFonts w:cs="Arial"/>
        </w:rPr>
        <w:t xml:space="preserve">6% podílu družstev na chovu se jedná o úbytek více než 200 tisíc kusů skotu. </w:t>
      </w:r>
    </w:p>
    <w:p w:rsidR="003F081A" w:rsidRPr="00A11DCB" w:rsidRDefault="003F081A" w:rsidP="003F081A">
      <w:pPr>
        <w:spacing w:after="0"/>
        <w:ind w:firstLine="709"/>
        <w:jc w:val="both"/>
        <w:rPr>
          <w:rFonts w:cs="Arial"/>
        </w:rPr>
      </w:pPr>
      <w:r w:rsidRPr="00A11DCB">
        <w:rPr>
          <w:rFonts w:cs="Arial"/>
        </w:rPr>
        <w:t xml:space="preserve">Téměř dvě třetiny (63,2 %) stavů skotu byly soustředěny v chovech čítajících více než 500 kusů. Mezi právními formami však existovaly velké rozdíly ve velikostní struktuře stád. Pro subjekty fyzických osob </w:t>
      </w:r>
      <w:r w:rsidRPr="008D6985">
        <w:rPr>
          <w:rFonts w:cs="Arial"/>
        </w:rPr>
        <w:t>byla typická málo početná stáda</w:t>
      </w:r>
      <w:r>
        <w:rPr>
          <w:rFonts w:cs="Arial"/>
        </w:rPr>
        <w:t xml:space="preserve"> –</w:t>
      </w:r>
      <w:r w:rsidRPr="008D6985">
        <w:rPr>
          <w:rFonts w:cs="Arial"/>
        </w:rPr>
        <w:t xml:space="preserve"> </w:t>
      </w:r>
      <w:r>
        <w:rPr>
          <w:rFonts w:cs="Arial"/>
        </w:rPr>
        <w:t>j</w:t>
      </w:r>
      <w:r w:rsidRPr="008D6985">
        <w:rPr>
          <w:rFonts w:cs="Arial"/>
        </w:rPr>
        <w:t>en 18,8 % z nich chovalo více než 50 kusů</w:t>
      </w:r>
      <w:r>
        <w:rPr>
          <w:rFonts w:cs="Arial"/>
        </w:rPr>
        <w:t>;</w:t>
      </w:r>
      <w:r w:rsidRPr="008D6985">
        <w:rPr>
          <w:rFonts w:cs="Arial"/>
        </w:rPr>
        <w:t xml:space="preserve"> </w:t>
      </w:r>
      <w:r>
        <w:rPr>
          <w:rFonts w:cs="Arial"/>
        </w:rPr>
        <w:t>nicméně</w:t>
      </w:r>
      <w:r w:rsidRPr="008D6985">
        <w:rPr>
          <w:rFonts w:cs="Arial"/>
        </w:rPr>
        <w:t xml:space="preserve"> v roce 2000 to bylo </w:t>
      </w:r>
      <w:r>
        <w:rPr>
          <w:rFonts w:cs="Arial"/>
        </w:rPr>
        <w:t xml:space="preserve">jen </w:t>
      </w:r>
      <w:r w:rsidRPr="008D6985">
        <w:rPr>
          <w:rFonts w:cs="Arial"/>
        </w:rPr>
        <w:t>8,4 % subjektů. Naproti tomu v subjektech právnických osob bylo nejčastější velikostní skupinou stádo o</w:t>
      </w:r>
      <w:r>
        <w:rPr>
          <w:rFonts w:cs="Arial"/>
        </w:rPr>
        <w:t> </w:t>
      </w:r>
      <w:r w:rsidRPr="00A11DCB">
        <w:rPr>
          <w:rFonts w:cs="Arial"/>
        </w:rPr>
        <w:t>101–500 kusech, vyskytující se v 39,4 % chovatelských subjektů. Oproti roku 2000 se velikostní struktura stád v subjektech právnických osob téměř nezměnila (rozdíly jen několik procentních bodů).</w:t>
      </w:r>
    </w:p>
    <w:p w:rsidR="003F081A" w:rsidRPr="00A11DCB" w:rsidRDefault="003F081A" w:rsidP="003F081A">
      <w:pPr>
        <w:spacing w:after="0"/>
        <w:ind w:firstLine="709"/>
        <w:jc w:val="both"/>
        <w:rPr>
          <w:rFonts w:cs="Arial"/>
        </w:rPr>
      </w:pPr>
      <w:r w:rsidRPr="00A11DCB">
        <w:rPr>
          <w:rFonts w:cs="Arial"/>
        </w:rPr>
        <w:t xml:space="preserve">Stavy krav se v porovnání s rokem 2000 snížily o 5 854 kusů na </w:t>
      </w:r>
      <w:r w:rsidRPr="00A11DCB">
        <w:rPr>
          <w:rFonts w:cs="Arial"/>
          <w:color w:val="000000"/>
          <w:szCs w:val="16"/>
        </w:rPr>
        <w:t>5</w:t>
      </w:r>
      <w:r>
        <w:rPr>
          <w:rFonts w:cs="Arial"/>
          <w:color w:val="000000"/>
          <w:szCs w:val="16"/>
        </w:rPr>
        <w:t>87</w:t>
      </w:r>
      <w:r w:rsidRPr="00A11DCB">
        <w:rPr>
          <w:rFonts w:cs="Arial"/>
          <w:color w:val="000000"/>
          <w:szCs w:val="16"/>
        </w:rPr>
        <w:t> </w:t>
      </w:r>
      <w:r>
        <w:rPr>
          <w:rFonts w:cs="Arial"/>
          <w:color w:val="000000"/>
          <w:szCs w:val="16"/>
        </w:rPr>
        <w:t>283</w:t>
      </w:r>
      <w:r w:rsidRPr="00A11DCB">
        <w:rPr>
          <w:rFonts w:cs="Arial"/>
          <w:color w:val="000000"/>
          <w:szCs w:val="16"/>
        </w:rPr>
        <w:t xml:space="preserve"> </w:t>
      </w:r>
      <w:r w:rsidRPr="00A11DCB">
        <w:rPr>
          <w:rFonts w:cs="Arial"/>
        </w:rPr>
        <w:t>kusů a jejich podíl na celkových stavech se zvýšil z 38,4 % na 41,7 %. V roce 2016 chovaly zemědělské subjekty  z</w:t>
      </w:r>
      <w:r>
        <w:rPr>
          <w:rFonts w:cs="Arial"/>
        </w:rPr>
        <w:t xml:space="preserve"> téměř</w:t>
      </w:r>
      <w:r w:rsidRPr="00A11DCB">
        <w:rPr>
          <w:rFonts w:cs="Arial"/>
        </w:rPr>
        <w:t>  dvou třetin (62,9 %) dojené krávy. Přes zvyšující se užitkovost chovaných plemen se podíl dojených krav ve srovnání s rokem 2000 o 20,8 p. </w:t>
      </w:r>
      <w:proofErr w:type="spellStart"/>
      <w:r w:rsidRPr="00A11DCB">
        <w:rPr>
          <w:rFonts w:cs="Arial"/>
        </w:rPr>
        <w:t>b</w:t>
      </w:r>
      <w:proofErr w:type="spellEnd"/>
      <w:r w:rsidRPr="00A11DCB">
        <w:rPr>
          <w:rFonts w:cs="Arial"/>
        </w:rPr>
        <w:t xml:space="preserve">. </w:t>
      </w:r>
      <w:proofErr w:type="gramStart"/>
      <w:r w:rsidRPr="00A11DCB">
        <w:rPr>
          <w:rFonts w:cs="Arial"/>
        </w:rPr>
        <w:t>snížil</w:t>
      </w:r>
      <w:proofErr w:type="gramEnd"/>
      <w:r w:rsidRPr="00A11DCB">
        <w:rPr>
          <w:rFonts w:cs="Arial"/>
        </w:rPr>
        <w:t>. Chov dojených krav je ovlivněn dlouhodobými trendy ve výkupní ceně mléka, které nebyly ve sledovaném období příliš příznivé. Naproti tomu chov ostatních krav byl podpořen státními i unijními dotačními programy.</w:t>
      </w:r>
    </w:p>
    <w:p w:rsidR="003F081A" w:rsidRDefault="003F081A" w:rsidP="003F081A">
      <w:pPr>
        <w:spacing w:after="0"/>
        <w:jc w:val="both"/>
        <w:rPr>
          <w:rFonts w:cs="Arial"/>
          <w:b/>
        </w:rPr>
      </w:pPr>
    </w:p>
    <w:p w:rsidR="003F081A" w:rsidRPr="004F6D94" w:rsidRDefault="003F081A" w:rsidP="003F081A">
      <w:pPr>
        <w:spacing w:after="0"/>
        <w:jc w:val="both"/>
        <w:rPr>
          <w:rFonts w:cs="Arial"/>
          <w:b/>
        </w:rPr>
      </w:pPr>
      <w:r w:rsidRPr="004F6D94">
        <w:rPr>
          <w:rFonts w:cs="Arial"/>
          <w:b/>
        </w:rPr>
        <w:t>Graf 9: Podíl subjektů dle právních forem v kategoriích dle počtu kusů skotu na subjekt</w:t>
      </w:r>
    </w:p>
    <w:p w:rsidR="003F081A" w:rsidRDefault="003F081A" w:rsidP="003F081A">
      <w:pPr>
        <w:spacing w:after="0"/>
        <w:jc w:val="both"/>
        <w:rPr>
          <w:rFonts w:cs="Arial"/>
        </w:rPr>
      </w:pPr>
      <w:r w:rsidRPr="00A11DCB">
        <w:rPr>
          <w:noProof/>
        </w:rPr>
        <w:drawing>
          <wp:inline distT="0" distB="0" distL="0" distR="0">
            <wp:extent cx="5804535" cy="3498850"/>
            <wp:effectExtent l="0" t="0" r="0" b="0"/>
            <wp:docPr id="2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804535" cy="3498850"/>
                    </a:xfrm>
                    <a:prstGeom prst="rect">
                      <a:avLst/>
                    </a:prstGeom>
                    <a:noFill/>
                    <a:ln w="9525">
                      <a:noFill/>
                      <a:miter lim="800000"/>
                      <a:headEnd/>
                      <a:tailEnd/>
                    </a:ln>
                  </pic:spPr>
                </pic:pic>
              </a:graphicData>
            </a:graphic>
          </wp:inline>
        </w:drawing>
      </w:r>
    </w:p>
    <w:p w:rsidR="003F081A" w:rsidRDefault="003F081A" w:rsidP="003F081A">
      <w:pPr>
        <w:spacing w:after="0"/>
        <w:jc w:val="both"/>
        <w:rPr>
          <w:rFonts w:cs="Arial"/>
        </w:rPr>
      </w:pPr>
      <w:r>
        <w:rPr>
          <w:rFonts w:cs="Arial"/>
        </w:rPr>
        <w:br w:type="page"/>
      </w:r>
    </w:p>
    <w:p w:rsidR="003F081A" w:rsidRPr="00F51714" w:rsidRDefault="00F51714" w:rsidP="003F081A">
      <w:pPr>
        <w:autoSpaceDE w:val="0"/>
        <w:autoSpaceDN w:val="0"/>
        <w:adjustRightInd w:val="0"/>
        <w:spacing w:after="120"/>
        <w:jc w:val="both"/>
        <w:rPr>
          <w:rFonts w:cs="Arial"/>
          <w:b/>
          <w:bCs/>
          <w:color w:val="0071BC"/>
          <w:sz w:val="28"/>
          <w:szCs w:val="20"/>
        </w:rPr>
      </w:pPr>
      <w:r w:rsidRPr="00F51714">
        <w:rPr>
          <w:rFonts w:cs="Arial"/>
          <w:b/>
          <w:bCs/>
          <w:color w:val="0071BC"/>
          <w:sz w:val="28"/>
          <w:szCs w:val="20"/>
        </w:rPr>
        <w:lastRenderedPageBreak/>
        <w:t>Chov prasat</w:t>
      </w:r>
    </w:p>
    <w:p w:rsidR="003F081A" w:rsidRPr="00A11DCB" w:rsidRDefault="003F081A" w:rsidP="003F081A">
      <w:pPr>
        <w:autoSpaceDE w:val="0"/>
        <w:autoSpaceDN w:val="0"/>
        <w:adjustRightInd w:val="0"/>
        <w:spacing w:after="0"/>
        <w:ind w:firstLine="680"/>
        <w:jc w:val="both"/>
        <w:rPr>
          <w:rFonts w:cs="Arial"/>
          <w:color w:val="000000"/>
          <w:szCs w:val="20"/>
        </w:rPr>
      </w:pPr>
      <w:r w:rsidRPr="00A11DCB">
        <w:rPr>
          <w:rFonts w:eastAsia="Calibri" w:cs="Arial"/>
          <w:color w:val="000000"/>
          <w:szCs w:val="20"/>
        </w:rPr>
        <w:t>Zemědělské subjekty v roce 201</w:t>
      </w:r>
      <w:r w:rsidRPr="00A11DCB">
        <w:rPr>
          <w:rFonts w:cs="Arial"/>
          <w:color w:val="000000"/>
          <w:szCs w:val="20"/>
        </w:rPr>
        <w:t>6</w:t>
      </w:r>
      <w:r w:rsidRPr="00A11DCB">
        <w:rPr>
          <w:rFonts w:eastAsia="Calibri" w:cs="Arial"/>
          <w:color w:val="000000"/>
          <w:szCs w:val="20"/>
        </w:rPr>
        <w:t xml:space="preserve"> chovaly </w:t>
      </w:r>
      <w:r w:rsidRPr="00A11DCB">
        <w:rPr>
          <w:rFonts w:cs="Arial"/>
          <w:color w:val="000000"/>
          <w:szCs w:val="20"/>
        </w:rPr>
        <w:t xml:space="preserve">1 542 210 </w:t>
      </w:r>
      <w:r w:rsidRPr="00A11DCB">
        <w:rPr>
          <w:rFonts w:eastAsia="Calibri" w:cs="Arial"/>
          <w:color w:val="000000"/>
          <w:szCs w:val="20"/>
        </w:rPr>
        <w:t>prasat</w:t>
      </w:r>
      <w:r w:rsidRPr="00A11DCB">
        <w:rPr>
          <w:rFonts w:cs="Arial"/>
          <w:color w:val="000000"/>
          <w:szCs w:val="20"/>
        </w:rPr>
        <w:t>;</w:t>
      </w:r>
      <w:r w:rsidRPr="00A11DCB">
        <w:rPr>
          <w:rFonts w:eastAsia="Calibri" w:cs="Arial"/>
          <w:color w:val="000000"/>
          <w:szCs w:val="20"/>
        </w:rPr>
        <w:t xml:space="preserve"> ve srovnání s rokem 2000 </w:t>
      </w:r>
      <w:r w:rsidRPr="00A11DCB">
        <w:rPr>
          <w:rFonts w:cs="Arial"/>
          <w:color w:val="000000"/>
          <w:szCs w:val="20"/>
        </w:rPr>
        <w:t xml:space="preserve">se </w:t>
      </w:r>
      <w:r w:rsidRPr="00A11DCB">
        <w:rPr>
          <w:rFonts w:eastAsia="Calibri" w:cs="Arial"/>
          <w:color w:val="000000"/>
          <w:szCs w:val="20"/>
        </w:rPr>
        <w:t xml:space="preserve">stavy prasat </w:t>
      </w:r>
      <w:r w:rsidRPr="00A11DCB">
        <w:rPr>
          <w:rFonts w:cs="Arial"/>
          <w:color w:val="000000"/>
          <w:szCs w:val="20"/>
        </w:rPr>
        <w:t>propadly</w:t>
      </w:r>
      <w:r w:rsidRPr="00A11DCB">
        <w:rPr>
          <w:rFonts w:eastAsia="Calibri" w:cs="Arial"/>
          <w:color w:val="000000"/>
          <w:szCs w:val="20"/>
        </w:rPr>
        <w:t xml:space="preserve"> </w:t>
      </w:r>
      <w:r w:rsidRPr="00A11DCB">
        <w:rPr>
          <w:rFonts w:cs="Arial"/>
          <w:color w:val="000000"/>
          <w:szCs w:val="20"/>
        </w:rPr>
        <w:t>na méně než polovinu (</w:t>
      </w:r>
      <w:r w:rsidRPr="00A11DCB">
        <w:rPr>
          <w:rFonts w:eastAsia="Calibri" w:cs="Arial"/>
          <w:color w:val="000000"/>
          <w:szCs w:val="20"/>
        </w:rPr>
        <w:t>4</w:t>
      </w:r>
      <w:r w:rsidRPr="00A11DCB">
        <w:rPr>
          <w:rFonts w:cs="Arial"/>
          <w:color w:val="000000"/>
          <w:szCs w:val="20"/>
        </w:rPr>
        <w:t>4</w:t>
      </w:r>
      <w:r w:rsidRPr="00A11DCB">
        <w:rPr>
          <w:rFonts w:eastAsia="Calibri" w:cs="Arial"/>
          <w:color w:val="000000"/>
          <w:szCs w:val="20"/>
        </w:rPr>
        <w:t>,</w:t>
      </w:r>
      <w:r w:rsidRPr="00A11DCB">
        <w:rPr>
          <w:rFonts w:cs="Arial"/>
          <w:color w:val="000000"/>
          <w:szCs w:val="20"/>
        </w:rPr>
        <w:t>9</w:t>
      </w:r>
      <w:r w:rsidRPr="00A11DCB">
        <w:rPr>
          <w:rFonts w:eastAsia="Calibri" w:cs="Arial"/>
          <w:szCs w:val="20"/>
        </w:rPr>
        <w:t> </w:t>
      </w:r>
      <w:r w:rsidRPr="00A11DCB">
        <w:rPr>
          <w:rFonts w:eastAsia="Calibri" w:cs="Arial"/>
          <w:color w:val="000000"/>
          <w:szCs w:val="20"/>
        </w:rPr>
        <w:t>%</w:t>
      </w:r>
      <w:r w:rsidRPr="00A11DCB">
        <w:rPr>
          <w:rFonts w:cs="Arial"/>
          <w:color w:val="000000"/>
          <w:szCs w:val="20"/>
        </w:rPr>
        <w:t>)</w:t>
      </w:r>
      <w:r w:rsidRPr="00A11DCB">
        <w:rPr>
          <w:rFonts w:eastAsia="Calibri" w:cs="Arial"/>
          <w:color w:val="000000"/>
          <w:szCs w:val="20"/>
        </w:rPr>
        <w:t xml:space="preserve">. </w:t>
      </w:r>
      <w:r w:rsidRPr="00A11DCB">
        <w:rPr>
          <w:rFonts w:cs="Arial"/>
          <w:color w:val="000000"/>
          <w:szCs w:val="20"/>
        </w:rPr>
        <w:t>Podobně se i počet chovatelů snížil o 64,</w:t>
      </w:r>
      <w:r>
        <w:rPr>
          <w:rFonts w:cs="Arial"/>
          <w:color w:val="000000"/>
          <w:szCs w:val="20"/>
        </w:rPr>
        <w:t>6</w:t>
      </w:r>
      <w:r w:rsidRPr="00A11DCB">
        <w:rPr>
          <w:rFonts w:cs="Arial"/>
          <w:color w:val="000000"/>
          <w:szCs w:val="20"/>
        </w:rPr>
        <w:t xml:space="preserve"> % na 4 045 subjektů. </w:t>
      </w:r>
      <w:r w:rsidRPr="00A11DCB">
        <w:rPr>
          <w:rFonts w:eastAsia="Calibri" w:cs="Arial"/>
          <w:color w:val="000000"/>
          <w:szCs w:val="20"/>
        </w:rPr>
        <w:t>Počet kusů na jeden chovatelský subjekt vzrostl z 299 ks na 381 ks, zatímco intenzita chovu oproti roku 2000 klesla na polovinu ze 125 ks/</w:t>
      </w:r>
      <w:r>
        <w:rPr>
          <w:rFonts w:eastAsia="Calibri" w:cs="Arial"/>
          <w:color w:val="000000"/>
          <w:szCs w:val="20"/>
        </w:rPr>
        <w:t xml:space="preserve">100 </w:t>
      </w:r>
      <w:r w:rsidRPr="00A11DCB">
        <w:rPr>
          <w:rFonts w:eastAsia="Calibri" w:cs="Arial"/>
          <w:color w:val="000000"/>
          <w:szCs w:val="20"/>
        </w:rPr>
        <w:t>ha orné půdy na pouhých 62 ks/</w:t>
      </w:r>
      <w:r>
        <w:rPr>
          <w:rFonts w:eastAsia="Calibri" w:cs="Arial"/>
          <w:color w:val="000000"/>
          <w:szCs w:val="20"/>
        </w:rPr>
        <w:t xml:space="preserve">100 </w:t>
      </w:r>
      <w:r w:rsidRPr="00A11DCB">
        <w:rPr>
          <w:rFonts w:eastAsia="Calibri" w:cs="Arial"/>
          <w:color w:val="000000"/>
          <w:szCs w:val="20"/>
        </w:rPr>
        <w:t>ha orné půdy.</w:t>
      </w:r>
    </w:p>
    <w:p w:rsidR="003F081A" w:rsidRPr="00A11DCB" w:rsidRDefault="003F081A" w:rsidP="003F081A">
      <w:pPr>
        <w:autoSpaceDE w:val="0"/>
        <w:autoSpaceDN w:val="0"/>
        <w:adjustRightInd w:val="0"/>
        <w:spacing w:after="0"/>
        <w:ind w:firstLine="680"/>
        <w:jc w:val="both"/>
        <w:rPr>
          <w:rFonts w:eastAsia="Calibri" w:cs="Arial"/>
          <w:color w:val="000000"/>
          <w:szCs w:val="20"/>
        </w:rPr>
      </w:pPr>
      <w:r w:rsidRPr="00A11DCB">
        <w:rPr>
          <w:rFonts w:eastAsia="Calibri" w:cs="Arial"/>
          <w:color w:val="000000"/>
          <w:szCs w:val="20"/>
        </w:rPr>
        <w:t>Z právnických osob se chovem prasat zabývalo 469 subjektů</w:t>
      </w:r>
      <w:r w:rsidRPr="00A11DCB">
        <w:rPr>
          <w:rFonts w:eastAsia="Calibri" w:cs="Arial"/>
          <w:szCs w:val="20"/>
        </w:rPr>
        <w:t xml:space="preserve">, což je méně než třetina (31,9 %) jejich počtu v roce 2000. Jejich podíl na celkových stavech prasat představoval 93,5 %. V průměru připadalo na jeden subjekt právnické osoby 3 074 kusů. Proti roku 2000 se průměrný počet prasat na jednu farmu zvýšil o 981 </w:t>
      </w:r>
      <w:r w:rsidRPr="00A11DCB">
        <w:rPr>
          <w:rFonts w:eastAsia="Calibri" w:cs="Arial"/>
          <w:color w:val="000000"/>
          <w:szCs w:val="20"/>
        </w:rPr>
        <w:t xml:space="preserve">kusů. </w:t>
      </w:r>
    </w:p>
    <w:p w:rsidR="003F081A" w:rsidRPr="00A11DCB" w:rsidRDefault="003F081A" w:rsidP="003F081A">
      <w:pPr>
        <w:pStyle w:val="Zkladntext2"/>
        <w:spacing w:line="288" w:lineRule="auto"/>
        <w:ind w:firstLine="680"/>
        <w:rPr>
          <w:color w:val="auto"/>
          <w:szCs w:val="20"/>
        </w:rPr>
      </w:pPr>
      <w:r w:rsidRPr="00A11DCB">
        <w:rPr>
          <w:color w:val="auto"/>
          <w:szCs w:val="20"/>
        </w:rPr>
        <w:t>Z 10 001 subjektů fyzických osob v roce 2000 zůstalo v roce 201</w:t>
      </w:r>
      <w:r>
        <w:rPr>
          <w:color w:val="auto"/>
          <w:szCs w:val="20"/>
        </w:rPr>
        <w:t>6</w:t>
      </w:r>
      <w:r w:rsidRPr="00A11DCB">
        <w:rPr>
          <w:color w:val="auto"/>
          <w:szCs w:val="20"/>
        </w:rPr>
        <w:t xml:space="preserve"> pouze 3 576. Počet prasat v nich chovaných klesl o tři čtvrtiny (</w:t>
      </w:r>
      <w:proofErr w:type="gramStart"/>
      <w:r w:rsidRPr="00A11DCB">
        <w:rPr>
          <w:color w:val="auto"/>
          <w:sz w:val="18"/>
          <w:szCs w:val="20"/>
        </w:rPr>
        <w:t>−</w:t>
      </w:r>
      <w:r w:rsidRPr="00A11DCB">
        <w:rPr>
          <w:color w:val="auto"/>
          <w:szCs w:val="20"/>
        </w:rPr>
        <w:t>7</w:t>
      </w:r>
      <w:r>
        <w:rPr>
          <w:color w:val="auto"/>
          <w:szCs w:val="20"/>
        </w:rPr>
        <w:t>2</w:t>
      </w:r>
      <w:r w:rsidRPr="00A11DCB">
        <w:rPr>
          <w:color w:val="auto"/>
          <w:szCs w:val="20"/>
        </w:rPr>
        <w:t>,0 %) na</w:t>
      </w:r>
      <w:proofErr w:type="gramEnd"/>
      <w:r w:rsidRPr="00A11DCB">
        <w:rPr>
          <w:color w:val="auto"/>
          <w:szCs w:val="20"/>
        </w:rPr>
        <w:t xml:space="preserve"> </w:t>
      </w:r>
      <w:r>
        <w:rPr>
          <w:color w:val="auto"/>
          <w:szCs w:val="20"/>
        </w:rPr>
        <w:t>99,8</w:t>
      </w:r>
      <w:r w:rsidRPr="00A11DCB">
        <w:rPr>
          <w:color w:val="auto"/>
          <w:szCs w:val="20"/>
        </w:rPr>
        <w:t xml:space="preserve"> tis. kusů. Průměrně v roce 201</w:t>
      </w:r>
      <w:r>
        <w:rPr>
          <w:color w:val="auto"/>
          <w:szCs w:val="20"/>
        </w:rPr>
        <w:t>6</w:t>
      </w:r>
      <w:r w:rsidRPr="00A11DCB">
        <w:rPr>
          <w:color w:val="auto"/>
          <w:szCs w:val="20"/>
        </w:rPr>
        <w:t xml:space="preserve"> připadalo na jeden subjekt 28 kusů, což je o </w:t>
      </w:r>
      <w:r>
        <w:rPr>
          <w:color w:val="auto"/>
          <w:szCs w:val="20"/>
        </w:rPr>
        <w:t>8</w:t>
      </w:r>
      <w:r w:rsidRPr="00A11DCB">
        <w:rPr>
          <w:color w:val="auto"/>
          <w:szCs w:val="20"/>
        </w:rPr>
        <w:t xml:space="preserve"> kusů méně než v roce 2000. </w:t>
      </w:r>
    </w:p>
    <w:p w:rsidR="003F081A" w:rsidRPr="00A11DCB" w:rsidRDefault="003F081A" w:rsidP="003F081A">
      <w:pPr>
        <w:autoSpaceDE w:val="0"/>
        <w:autoSpaceDN w:val="0"/>
        <w:adjustRightInd w:val="0"/>
        <w:spacing w:after="0"/>
        <w:ind w:firstLine="680"/>
        <w:jc w:val="both"/>
        <w:rPr>
          <w:rFonts w:cs="Arial"/>
        </w:rPr>
      </w:pPr>
      <w:r w:rsidRPr="00A11DCB">
        <w:rPr>
          <w:rFonts w:eastAsia="Calibri" w:cs="Arial"/>
          <w:szCs w:val="20"/>
        </w:rPr>
        <w:t>Prasata byla chována nejčastěji (90,7 % stavů) ve velkochovech nad 1 000 kusů, naopak z chovů čítajících méně než 100 kusů pocházela pouze 2,3 % stavů. Mezi subjekty fyzických osob sice převažovali chovatelé s méně než 10 kusy (73,4 % chovatelských subjektů), ale subjekty právnických osob patřily v největším počtu případů do skupiny s více než 1 000</w:t>
      </w:r>
      <w:r w:rsidRPr="00A11DCB">
        <w:rPr>
          <w:rFonts w:cs="Arial"/>
        </w:rPr>
        <w:t xml:space="preserve"> kusy (41,6 % chovatelů). Oproti roku 2000 došlo ve</w:t>
      </w:r>
      <w:r>
        <w:rPr>
          <w:rFonts w:cs="Arial"/>
        </w:rPr>
        <w:t> </w:t>
      </w:r>
      <w:r w:rsidRPr="00A11DCB">
        <w:rPr>
          <w:rFonts w:cs="Arial"/>
        </w:rPr>
        <w:t xml:space="preserve">velikostní struktuře k určitému posunu směrem k méně početným chovům, jde však o rozdíly v řádu jen několika procentních bodů. </w:t>
      </w:r>
    </w:p>
    <w:p w:rsidR="003F081A" w:rsidRDefault="003F081A" w:rsidP="003F081A">
      <w:pPr>
        <w:keepNext/>
        <w:spacing w:after="0"/>
        <w:jc w:val="both"/>
        <w:rPr>
          <w:rFonts w:eastAsia="Calibri" w:cs="Arial"/>
          <w:b/>
          <w:bCs/>
          <w:szCs w:val="20"/>
        </w:rPr>
      </w:pPr>
    </w:p>
    <w:p w:rsidR="003F081A" w:rsidRPr="002E2B66" w:rsidRDefault="003F081A" w:rsidP="003F081A">
      <w:pPr>
        <w:keepNext/>
        <w:spacing w:after="0"/>
        <w:jc w:val="both"/>
        <w:rPr>
          <w:rFonts w:eastAsia="Calibri" w:cs="Arial"/>
          <w:b/>
          <w:bCs/>
          <w:szCs w:val="20"/>
        </w:rPr>
      </w:pPr>
      <w:r w:rsidRPr="002E2B66">
        <w:rPr>
          <w:rFonts w:eastAsia="Calibri" w:cs="Arial"/>
          <w:b/>
          <w:bCs/>
          <w:szCs w:val="20"/>
        </w:rPr>
        <w:t xml:space="preserve">Graf 10: Podíl subjektů dle právních forem v kategoriích dle počtu kusů prasat na subjekt </w:t>
      </w:r>
    </w:p>
    <w:p w:rsidR="003F081A" w:rsidRDefault="003F081A" w:rsidP="003F081A">
      <w:pPr>
        <w:spacing w:after="0"/>
        <w:jc w:val="both"/>
        <w:rPr>
          <w:rFonts w:cs="Arial"/>
        </w:rPr>
      </w:pPr>
      <w:r w:rsidRPr="00A11DCB">
        <w:rPr>
          <w:noProof/>
        </w:rPr>
        <w:drawing>
          <wp:inline distT="0" distB="0" distL="0" distR="0">
            <wp:extent cx="5788660" cy="3315970"/>
            <wp:effectExtent l="0" t="0" r="0" b="0"/>
            <wp:docPr id="21"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5788660" cy="3315970"/>
                    </a:xfrm>
                    <a:prstGeom prst="rect">
                      <a:avLst/>
                    </a:prstGeom>
                    <a:noFill/>
                    <a:ln w="9525">
                      <a:noFill/>
                      <a:miter lim="800000"/>
                      <a:headEnd/>
                      <a:tailEnd/>
                    </a:ln>
                  </pic:spPr>
                </pic:pic>
              </a:graphicData>
            </a:graphic>
          </wp:inline>
        </w:drawing>
      </w:r>
    </w:p>
    <w:p w:rsidR="003F081A" w:rsidRDefault="003F081A" w:rsidP="003F081A">
      <w:pPr>
        <w:autoSpaceDE w:val="0"/>
        <w:autoSpaceDN w:val="0"/>
        <w:adjustRightInd w:val="0"/>
        <w:spacing w:after="0"/>
        <w:jc w:val="both"/>
        <w:rPr>
          <w:rFonts w:cs="Arial"/>
          <w:b/>
          <w:bCs/>
          <w:color w:val="000000"/>
          <w:sz w:val="24"/>
          <w:szCs w:val="20"/>
        </w:rPr>
      </w:pPr>
    </w:p>
    <w:p w:rsidR="003F081A" w:rsidRPr="00F51714" w:rsidRDefault="00F51714" w:rsidP="003F081A">
      <w:pPr>
        <w:autoSpaceDE w:val="0"/>
        <w:autoSpaceDN w:val="0"/>
        <w:adjustRightInd w:val="0"/>
        <w:spacing w:after="120"/>
        <w:jc w:val="both"/>
        <w:rPr>
          <w:rFonts w:cs="Arial"/>
          <w:b/>
          <w:bCs/>
          <w:color w:val="0071BC"/>
          <w:sz w:val="28"/>
          <w:szCs w:val="20"/>
        </w:rPr>
      </w:pPr>
      <w:r w:rsidRPr="00F51714">
        <w:rPr>
          <w:rFonts w:cs="Arial"/>
          <w:b/>
          <w:bCs/>
          <w:color w:val="0071BC"/>
          <w:sz w:val="28"/>
          <w:szCs w:val="20"/>
        </w:rPr>
        <w:t>Chov drůbeže</w:t>
      </w:r>
    </w:p>
    <w:p w:rsidR="003F081A" w:rsidRPr="00A11DCB" w:rsidRDefault="003F081A" w:rsidP="003F081A">
      <w:pPr>
        <w:autoSpaceDE w:val="0"/>
        <w:autoSpaceDN w:val="0"/>
        <w:adjustRightInd w:val="0"/>
        <w:spacing w:after="0"/>
        <w:ind w:firstLine="709"/>
        <w:jc w:val="both"/>
        <w:rPr>
          <w:rFonts w:cs="Arial"/>
          <w:color w:val="000000"/>
          <w:szCs w:val="20"/>
        </w:rPr>
      </w:pPr>
      <w:r w:rsidRPr="00A11DCB">
        <w:rPr>
          <w:rFonts w:cs="Arial"/>
          <w:color w:val="000000"/>
          <w:szCs w:val="20"/>
        </w:rPr>
        <w:t>V roce 2016 působilo v České republice 7 443 subjektů s chovem drůbeže, jejichž chovy zahrnovaly více než 25 miliónů kusů. Více než polovina (5</w:t>
      </w:r>
      <w:r>
        <w:rPr>
          <w:rFonts w:cs="Arial"/>
          <w:color w:val="000000"/>
          <w:szCs w:val="20"/>
        </w:rPr>
        <w:t>5</w:t>
      </w:r>
      <w:r w:rsidRPr="00A11DCB">
        <w:rPr>
          <w:rFonts w:cs="Arial"/>
          <w:color w:val="000000"/>
          <w:szCs w:val="20"/>
        </w:rPr>
        <w:t>,</w:t>
      </w:r>
      <w:r>
        <w:rPr>
          <w:rFonts w:cs="Arial"/>
          <w:color w:val="000000"/>
          <w:szCs w:val="20"/>
        </w:rPr>
        <w:t>4</w:t>
      </w:r>
      <w:r w:rsidRPr="00A11DCB">
        <w:rPr>
          <w:rFonts w:cs="Arial"/>
          <w:color w:val="000000"/>
          <w:szCs w:val="20"/>
        </w:rPr>
        <w:t> %) stavů drůbeže pochází ze zemědělských subjektů bez půdy. Mezi chovateli dominovaly subjekty fyzických osob (7 179, tj. 96,5</w:t>
      </w:r>
      <w:r w:rsidRPr="00A11DCB">
        <w:rPr>
          <w:rFonts w:cs="Arial"/>
          <w:szCs w:val="20"/>
        </w:rPr>
        <w:t> </w:t>
      </w:r>
      <w:r w:rsidRPr="00A11DCB">
        <w:rPr>
          <w:rFonts w:cs="Arial"/>
          <w:color w:val="000000"/>
          <w:szCs w:val="20"/>
        </w:rPr>
        <w:t>% chovatelů), které však chovaly pouze 6,6</w:t>
      </w:r>
      <w:r w:rsidRPr="00A11DCB">
        <w:rPr>
          <w:rFonts w:cs="Arial"/>
          <w:szCs w:val="20"/>
        </w:rPr>
        <w:t> </w:t>
      </w:r>
      <w:r w:rsidRPr="00A11DCB">
        <w:rPr>
          <w:rFonts w:cs="Arial"/>
          <w:color w:val="000000"/>
          <w:szCs w:val="20"/>
        </w:rPr>
        <w:t>% z celkového počtu kusů. Zbylých 93,4</w:t>
      </w:r>
      <w:r w:rsidRPr="00A11DCB">
        <w:rPr>
          <w:rFonts w:cs="Arial"/>
          <w:szCs w:val="20"/>
        </w:rPr>
        <w:t> </w:t>
      </w:r>
      <w:r w:rsidRPr="00A11DCB">
        <w:rPr>
          <w:rFonts w:cs="Arial"/>
          <w:color w:val="000000"/>
          <w:szCs w:val="20"/>
        </w:rPr>
        <w:t xml:space="preserve">% kusů bylo soustředěno do 264 subjektů právnických osob. </w:t>
      </w:r>
    </w:p>
    <w:p w:rsidR="003F081A" w:rsidRPr="00A11DCB" w:rsidRDefault="003F081A" w:rsidP="003F081A">
      <w:pPr>
        <w:autoSpaceDE w:val="0"/>
        <w:autoSpaceDN w:val="0"/>
        <w:adjustRightInd w:val="0"/>
        <w:spacing w:after="0"/>
        <w:ind w:firstLine="709"/>
        <w:jc w:val="both"/>
        <w:rPr>
          <w:rFonts w:cs="Arial"/>
          <w:color w:val="000000"/>
          <w:szCs w:val="20"/>
        </w:rPr>
      </w:pPr>
      <w:r w:rsidRPr="00A11DCB">
        <w:rPr>
          <w:rFonts w:cs="Arial"/>
          <w:color w:val="000000"/>
          <w:szCs w:val="20"/>
        </w:rPr>
        <w:t>Během období 2000–2016 se stavy drůbeže snížily o 17,2</w:t>
      </w:r>
      <w:r w:rsidRPr="00A11DCB">
        <w:rPr>
          <w:rFonts w:cs="Arial"/>
          <w:szCs w:val="20"/>
        </w:rPr>
        <w:t> </w:t>
      </w:r>
      <w:r w:rsidRPr="00A11DCB">
        <w:rPr>
          <w:rFonts w:cs="Arial"/>
          <w:color w:val="000000"/>
          <w:szCs w:val="20"/>
        </w:rPr>
        <w:t>% a počet jejích chovatelů o 33,1 %. Koncentrace drůbeže v chovech vzrostla o 648 kusů na 3</w:t>
      </w:r>
      <w:r w:rsidRPr="00A11DCB">
        <w:rPr>
          <w:rFonts w:cs="Arial"/>
          <w:szCs w:val="20"/>
        </w:rPr>
        <w:t> </w:t>
      </w:r>
      <w:r w:rsidRPr="00A11DCB">
        <w:rPr>
          <w:rFonts w:cs="Arial"/>
          <w:color w:val="000000"/>
          <w:szCs w:val="20"/>
        </w:rPr>
        <w:t xml:space="preserve">373 kusů na jeden subjekt. Intenzita chovu klesla </w:t>
      </w:r>
      <w:r w:rsidRPr="00A11DCB">
        <w:rPr>
          <w:rFonts w:cs="Arial"/>
          <w:color w:val="000000"/>
          <w:szCs w:val="20"/>
        </w:rPr>
        <w:lastRenderedPageBreak/>
        <w:t>z 1 107 ks/100 ha orné půdy na 1 016 ks/100 ha orné půdy. Pokles stavů byl způsoben zejména ústupem chovu kuřat na výkrm (</w:t>
      </w:r>
      <w:proofErr w:type="gramStart"/>
      <w:r w:rsidRPr="00A11DCB">
        <w:rPr>
          <w:rFonts w:cs="Arial"/>
          <w:color w:val="000000"/>
          <w:szCs w:val="20"/>
        </w:rPr>
        <w:t>−29,5 %);</w:t>
      </w:r>
      <w:proofErr w:type="gramEnd"/>
      <w:r w:rsidRPr="00A11DCB">
        <w:rPr>
          <w:rFonts w:cs="Arial"/>
          <w:color w:val="000000"/>
          <w:szCs w:val="20"/>
        </w:rPr>
        <w:t xml:space="preserve"> naproti tomu výrazně vzrostly stavy kuřat na chov (+49,2 %). </w:t>
      </w:r>
    </w:p>
    <w:p w:rsidR="003F081A" w:rsidRDefault="003F081A" w:rsidP="003F081A">
      <w:pPr>
        <w:autoSpaceDE w:val="0"/>
        <w:autoSpaceDN w:val="0"/>
        <w:adjustRightInd w:val="0"/>
        <w:spacing w:after="0"/>
        <w:ind w:firstLine="709"/>
        <w:jc w:val="both"/>
        <w:rPr>
          <w:rFonts w:cs="Arial"/>
          <w:color w:val="000000"/>
          <w:szCs w:val="20"/>
        </w:rPr>
      </w:pPr>
      <w:r w:rsidRPr="00A11DCB">
        <w:rPr>
          <w:rFonts w:cs="Arial"/>
          <w:color w:val="000000"/>
          <w:szCs w:val="20"/>
        </w:rPr>
        <w:t>V subjektech fyzických osob se stavy drůbeže snížily o 65,6</w:t>
      </w:r>
      <w:r w:rsidRPr="00A11DCB">
        <w:rPr>
          <w:rFonts w:cs="Arial"/>
          <w:szCs w:val="20"/>
        </w:rPr>
        <w:t> </w:t>
      </w:r>
      <w:r w:rsidRPr="00A11DCB">
        <w:rPr>
          <w:rFonts w:cs="Arial"/>
          <w:color w:val="000000"/>
          <w:szCs w:val="20"/>
        </w:rPr>
        <w:t>%, u slepic dokonce o 68,2</w:t>
      </w:r>
      <w:r w:rsidRPr="00A11DCB">
        <w:rPr>
          <w:rFonts w:cs="Arial"/>
          <w:szCs w:val="20"/>
        </w:rPr>
        <w:t> </w:t>
      </w:r>
      <w:r w:rsidRPr="00A11DCB">
        <w:rPr>
          <w:rFonts w:cs="Arial"/>
          <w:color w:val="000000"/>
          <w:szCs w:val="20"/>
        </w:rPr>
        <w:t xml:space="preserve">%. U právnických osob se jednalo celkově o 8,1% úbytek stavů, stavy slepic se však o 1,4 % zvýšily. K největšímu propadu chovu drůbeže došlo ve družstvech, a to </w:t>
      </w:r>
      <w:r>
        <w:rPr>
          <w:rFonts w:cs="Arial"/>
          <w:color w:val="000000"/>
          <w:szCs w:val="20"/>
        </w:rPr>
        <w:t>téměř o dvě třetiny</w:t>
      </w:r>
      <w:r w:rsidRPr="00A11DCB">
        <w:rPr>
          <w:rFonts w:cs="Arial"/>
          <w:color w:val="000000"/>
          <w:szCs w:val="20"/>
        </w:rPr>
        <w:t xml:space="preserve"> (</w:t>
      </w:r>
      <w:proofErr w:type="gramStart"/>
      <w:r w:rsidRPr="00A11DCB">
        <w:rPr>
          <w:rFonts w:cs="Arial"/>
          <w:color w:val="000000"/>
          <w:sz w:val="18"/>
          <w:szCs w:val="20"/>
        </w:rPr>
        <w:t>−</w:t>
      </w:r>
      <w:r w:rsidRPr="00A11DCB">
        <w:rPr>
          <w:rFonts w:cs="Arial"/>
          <w:color w:val="000000"/>
          <w:szCs w:val="20"/>
        </w:rPr>
        <w:t>61,6 %).</w:t>
      </w:r>
      <w:proofErr w:type="gramEnd"/>
      <w:r w:rsidRPr="00A11DCB">
        <w:rPr>
          <w:rFonts w:cs="Arial"/>
          <w:color w:val="000000"/>
          <w:szCs w:val="20"/>
        </w:rPr>
        <w:t xml:space="preserve"> Chovy v akciových společnostech byly redukovány o 25,7</w:t>
      </w:r>
      <w:r w:rsidRPr="00A11DCB">
        <w:rPr>
          <w:rFonts w:cs="Arial"/>
          <w:szCs w:val="20"/>
        </w:rPr>
        <w:t> </w:t>
      </w:r>
      <w:r w:rsidRPr="00A11DCB">
        <w:rPr>
          <w:rFonts w:cs="Arial"/>
          <w:color w:val="000000"/>
          <w:szCs w:val="20"/>
        </w:rPr>
        <w:t>%. Naopak u společností s ručením omezeným se podařilo stavy drůbeže navýšit o 46,3 % na 11,8 mil. ks.</w:t>
      </w:r>
      <w:r>
        <w:rPr>
          <w:rFonts w:cs="Arial"/>
          <w:color w:val="000000"/>
          <w:szCs w:val="20"/>
        </w:rPr>
        <w:t xml:space="preserve"> </w:t>
      </w:r>
    </w:p>
    <w:p w:rsidR="003F081A" w:rsidRDefault="003F081A" w:rsidP="003F081A">
      <w:pPr>
        <w:autoSpaceDE w:val="0"/>
        <w:autoSpaceDN w:val="0"/>
        <w:adjustRightInd w:val="0"/>
        <w:spacing w:after="0"/>
        <w:jc w:val="both"/>
        <w:rPr>
          <w:rFonts w:cs="Arial"/>
          <w:b/>
          <w:color w:val="000000"/>
          <w:szCs w:val="20"/>
        </w:rPr>
      </w:pPr>
    </w:p>
    <w:p w:rsidR="003F081A" w:rsidRPr="002E2B66" w:rsidRDefault="003F081A" w:rsidP="003F081A">
      <w:pPr>
        <w:autoSpaceDE w:val="0"/>
        <w:autoSpaceDN w:val="0"/>
        <w:adjustRightInd w:val="0"/>
        <w:spacing w:after="0"/>
        <w:jc w:val="both"/>
        <w:rPr>
          <w:rFonts w:cs="Arial"/>
          <w:b/>
          <w:color w:val="000000"/>
          <w:szCs w:val="20"/>
        </w:rPr>
      </w:pPr>
      <w:r w:rsidRPr="002E2B66">
        <w:rPr>
          <w:rFonts w:cs="Arial"/>
          <w:b/>
          <w:color w:val="000000"/>
          <w:szCs w:val="20"/>
        </w:rPr>
        <w:t>Graf 11: Chov kura domácího v subjektech dle právních forem</w:t>
      </w:r>
    </w:p>
    <w:p w:rsidR="003F081A" w:rsidRDefault="003F081A" w:rsidP="003F081A">
      <w:pPr>
        <w:autoSpaceDE w:val="0"/>
        <w:autoSpaceDN w:val="0"/>
        <w:adjustRightInd w:val="0"/>
        <w:spacing w:after="0"/>
        <w:jc w:val="both"/>
        <w:rPr>
          <w:rFonts w:cs="Arial"/>
          <w:color w:val="000000"/>
          <w:szCs w:val="20"/>
        </w:rPr>
      </w:pPr>
      <w:r w:rsidRPr="00CF09D8">
        <w:rPr>
          <w:noProof/>
          <w:szCs w:val="20"/>
        </w:rPr>
        <w:drawing>
          <wp:inline distT="0" distB="0" distL="0" distR="0">
            <wp:extent cx="5780405" cy="3315970"/>
            <wp:effectExtent l="0" t="0" r="0" b="0"/>
            <wp:docPr id="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780405" cy="3315970"/>
                    </a:xfrm>
                    <a:prstGeom prst="rect">
                      <a:avLst/>
                    </a:prstGeom>
                    <a:noFill/>
                    <a:ln w="9525">
                      <a:noFill/>
                      <a:miter lim="800000"/>
                      <a:headEnd/>
                      <a:tailEnd/>
                    </a:ln>
                  </pic:spPr>
                </pic:pic>
              </a:graphicData>
            </a:graphic>
          </wp:inline>
        </w:drawing>
      </w:r>
    </w:p>
    <w:p w:rsidR="003F081A" w:rsidRDefault="003F081A" w:rsidP="003F081A">
      <w:pPr>
        <w:autoSpaceDE w:val="0"/>
        <w:autoSpaceDN w:val="0"/>
        <w:adjustRightInd w:val="0"/>
        <w:spacing w:after="0"/>
        <w:jc w:val="both"/>
        <w:rPr>
          <w:rFonts w:cs="Arial"/>
          <w:color w:val="000000"/>
          <w:szCs w:val="20"/>
        </w:rPr>
      </w:pPr>
    </w:p>
    <w:p w:rsidR="003F081A" w:rsidRPr="00A11DCB" w:rsidRDefault="003F081A" w:rsidP="003F081A">
      <w:pPr>
        <w:autoSpaceDE w:val="0"/>
        <w:autoSpaceDN w:val="0"/>
        <w:adjustRightInd w:val="0"/>
        <w:spacing w:after="0"/>
        <w:ind w:firstLine="709"/>
        <w:jc w:val="both"/>
        <w:rPr>
          <w:rFonts w:cs="Arial"/>
          <w:color w:val="000000"/>
          <w:szCs w:val="20"/>
        </w:rPr>
      </w:pPr>
      <w:r w:rsidRPr="00A11DCB">
        <w:rPr>
          <w:rFonts w:cs="Arial"/>
          <w:color w:val="000000"/>
          <w:szCs w:val="20"/>
        </w:rPr>
        <w:t>Ze subjektů fyzických osob 96,6 % chovalo méně než 100 kusů drůbeže, zatímco polovina (52,6 %) subjektů právnických osob měla velkochovy o více než 10 tisících kusech. Útlum chovů od roku 2000 se v subjektech fyzických osob dotkl všech velikostních kategorií, z nich nejvíce chovů o 5–10 tis. kusech (</w:t>
      </w:r>
      <w:proofErr w:type="gramStart"/>
      <w:r w:rsidRPr="00A11DCB">
        <w:rPr>
          <w:rFonts w:cs="Arial"/>
          <w:color w:val="000000"/>
          <w:szCs w:val="20"/>
        </w:rPr>
        <w:t>−74,2 % stavů</w:t>
      </w:r>
      <w:proofErr w:type="gramEnd"/>
      <w:r w:rsidRPr="00A11DCB">
        <w:rPr>
          <w:rFonts w:cs="Arial"/>
          <w:color w:val="000000"/>
          <w:szCs w:val="20"/>
        </w:rPr>
        <w:t xml:space="preserve">; −70,7 % subjektů). Zajímavější vývoj proběhl v subjektech právnických osob, kde došlo k redukci především ve velkochovech (skupiny o </w:t>
      </w:r>
      <w:r>
        <w:rPr>
          <w:rFonts w:cs="Arial"/>
          <w:color w:val="000000"/>
          <w:szCs w:val="20"/>
        </w:rPr>
        <w:t>5</w:t>
      </w:r>
      <w:r w:rsidRPr="00A11DCB">
        <w:rPr>
          <w:rFonts w:cs="Arial"/>
          <w:color w:val="000000"/>
          <w:szCs w:val="20"/>
        </w:rPr>
        <w:t>0–</w:t>
      </w:r>
      <w:r>
        <w:rPr>
          <w:rFonts w:cs="Arial"/>
          <w:color w:val="000000"/>
          <w:szCs w:val="20"/>
        </w:rPr>
        <w:t>10</w:t>
      </w:r>
      <w:r w:rsidRPr="00A11DCB">
        <w:rPr>
          <w:rFonts w:cs="Arial"/>
          <w:color w:val="000000"/>
          <w:szCs w:val="20"/>
        </w:rPr>
        <w:t xml:space="preserve">0 tis. ks o 61,0 % </w:t>
      </w:r>
      <w:r>
        <w:rPr>
          <w:rFonts w:cs="Arial"/>
          <w:color w:val="000000"/>
          <w:szCs w:val="20"/>
        </w:rPr>
        <w:t xml:space="preserve">stavů </w:t>
      </w:r>
      <w:r w:rsidRPr="00A11DCB">
        <w:rPr>
          <w:rFonts w:cs="Arial"/>
          <w:color w:val="000000"/>
          <w:szCs w:val="20"/>
        </w:rPr>
        <w:t xml:space="preserve">a 60,4 % subjektů), ale naproti tomu v chovech do 100 kusů vzrostl počet subjektů i stavy na dvojnásobek (+226,1 % subjektů; +186,5 % stavů). Ačkoli jde pouze o několik desítek subjektů, je tím naznačen vzrůstající zájem o chov drůbeže v podmínkách držících se zásad </w:t>
      </w:r>
      <w:proofErr w:type="spellStart"/>
      <w:r w:rsidRPr="00A11DCB">
        <w:rPr>
          <w:rFonts w:cs="Arial"/>
          <w:color w:val="000000"/>
          <w:szCs w:val="20"/>
        </w:rPr>
        <w:t>welfare</w:t>
      </w:r>
      <w:proofErr w:type="spellEnd"/>
      <w:r w:rsidRPr="00A11DCB">
        <w:rPr>
          <w:rFonts w:cs="Arial"/>
          <w:color w:val="000000"/>
          <w:szCs w:val="20"/>
        </w:rPr>
        <w:t xml:space="preserve"> chovu.</w:t>
      </w:r>
    </w:p>
    <w:p w:rsidR="003F081A" w:rsidRPr="00A11DCB" w:rsidRDefault="003F081A" w:rsidP="003F081A">
      <w:pPr>
        <w:autoSpaceDE w:val="0"/>
        <w:autoSpaceDN w:val="0"/>
        <w:adjustRightInd w:val="0"/>
        <w:spacing w:after="0"/>
        <w:ind w:firstLine="709"/>
        <w:jc w:val="both"/>
        <w:rPr>
          <w:rFonts w:cs="Arial"/>
          <w:color w:val="000000"/>
          <w:szCs w:val="20"/>
        </w:rPr>
      </w:pPr>
      <w:r w:rsidRPr="00A11DCB">
        <w:rPr>
          <w:rFonts w:cs="Arial"/>
          <w:color w:val="000000"/>
          <w:szCs w:val="20"/>
        </w:rPr>
        <w:t>Podíl jednotlivých druhů drůbeže na celkovém počtu se v období 2000–2016 téměř nezměnil. Zcela převažuje chov kura domácího; z celkového počtu drůbeže bylo 54,3</w:t>
      </w:r>
      <w:r w:rsidRPr="00A11DCB">
        <w:rPr>
          <w:rFonts w:cs="Arial"/>
          <w:szCs w:val="20"/>
        </w:rPr>
        <w:t> </w:t>
      </w:r>
      <w:r w:rsidRPr="00A11DCB">
        <w:rPr>
          <w:rFonts w:cs="Arial"/>
          <w:color w:val="000000"/>
          <w:szCs w:val="20"/>
        </w:rPr>
        <w:t>% kuřat na výkrm, 24,8</w:t>
      </w:r>
      <w:r w:rsidRPr="00A11DCB">
        <w:rPr>
          <w:rFonts w:cs="Arial"/>
          <w:szCs w:val="20"/>
        </w:rPr>
        <w:t> </w:t>
      </w:r>
      <w:r w:rsidRPr="00A11DCB">
        <w:rPr>
          <w:rFonts w:cs="Arial"/>
          <w:color w:val="000000"/>
          <w:szCs w:val="20"/>
        </w:rPr>
        <w:t>% slepic a 16,0</w:t>
      </w:r>
      <w:r w:rsidRPr="00A11DCB">
        <w:rPr>
          <w:rFonts w:cs="Arial"/>
          <w:szCs w:val="20"/>
        </w:rPr>
        <w:t> </w:t>
      </w:r>
      <w:r w:rsidRPr="00A11DCB">
        <w:rPr>
          <w:rFonts w:cs="Arial"/>
          <w:color w:val="000000"/>
          <w:szCs w:val="20"/>
        </w:rPr>
        <w:t>% kuřat na chov. Z ostatních druhů drůbeže se nejvíce chovaly kachny a krůty; na celkových stavech drůbeže se podílely 2,6 %, resp. 1,7</w:t>
      </w:r>
      <w:r w:rsidRPr="00A11DCB">
        <w:rPr>
          <w:rFonts w:cs="Arial"/>
          <w:szCs w:val="20"/>
        </w:rPr>
        <w:t> </w:t>
      </w:r>
      <w:r w:rsidRPr="00A11DCB">
        <w:rPr>
          <w:rFonts w:cs="Arial"/>
          <w:color w:val="000000"/>
          <w:szCs w:val="20"/>
        </w:rPr>
        <w:t>%. V roce 2000 dominoval chov kuřat na výkrm s 63,8</w:t>
      </w:r>
      <w:r w:rsidRPr="00A11DCB">
        <w:rPr>
          <w:rFonts w:cs="Arial"/>
          <w:szCs w:val="20"/>
        </w:rPr>
        <w:t> </w:t>
      </w:r>
      <w:r w:rsidRPr="00A11DCB">
        <w:rPr>
          <w:rFonts w:cs="Arial"/>
          <w:color w:val="000000"/>
          <w:szCs w:val="20"/>
        </w:rPr>
        <w:t>% následovaný chovem slepic s 21,8</w:t>
      </w:r>
      <w:r w:rsidRPr="00A11DCB">
        <w:rPr>
          <w:rFonts w:cs="Arial"/>
          <w:szCs w:val="20"/>
        </w:rPr>
        <w:t> </w:t>
      </w:r>
      <w:r w:rsidRPr="00A11DCB">
        <w:rPr>
          <w:rFonts w:cs="Arial"/>
          <w:color w:val="000000"/>
          <w:szCs w:val="20"/>
        </w:rPr>
        <w:t>% a chovem kuřat určených k chovu s 8,9</w:t>
      </w:r>
      <w:r w:rsidRPr="00A11DCB">
        <w:rPr>
          <w:rFonts w:cs="Arial"/>
          <w:szCs w:val="20"/>
        </w:rPr>
        <w:t> </w:t>
      </w:r>
      <w:r w:rsidRPr="00A11DCB">
        <w:rPr>
          <w:rFonts w:cs="Arial"/>
          <w:color w:val="000000"/>
          <w:szCs w:val="20"/>
        </w:rPr>
        <w:t>%; mezi ostatním</w:t>
      </w:r>
      <w:r w:rsidR="00E3156F">
        <w:rPr>
          <w:rFonts w:cs="Arial"/>
          <w:color w:val="000000"/>
          <w:szCs w:val="20"/>
        </w:rPr>
        <w:t>i</w:t>
      </w:r>
      <w:r w:rsidRPr="00A11DCB">
        <w:rPr>
          <w:rFonts w:cs="Arial"/>
          <w:color w:val="000000"/>
          <w:szCs w:val="20"/>
        </w:rPr>
        <w:t xml:space="preserve"> druhy převažovaly krůty s 2,9% podílem a kachny se 1,6% podílem na celkových stavech.</w:t>
      </w:r>
    </w:p>
    <w:p w:rsidR="003F081A" w:rsidRDefault="003F081A" w:rsidP="003F081A">
      <w:pPr>
        <w:autoSpaceDE w:val="0"/>
        <w:autoSpaceDN w:val="0"/>
        <w:adjustRightInd w:val="0"/>
        <w:spacing w:after="0"/>
        <w:jc w:val="both"/>
        <w:rPr>
          <w:rFonts w:cs="Arial"/>
          <w:b/>
          <w:bCs/>
          <w:color w:val="000000"/>
          <w:szCs w:val="20"/>
        </w:rPr>
      </w:pPr>
    </w:p>
    <w:p w:rsidR="003F081A" w:rsidRPr="00F51714" w:rsidRDefault="00F51714" w:rsidP="003F081A">
      <w:pPr>
        <w:autoSpaceDE w:val="0"/>
        <w:autoSpaceDN w:val="0"/>
        <w:adjustRightInd w:val="0"/>
        <w:spacing w:after="120"/>
        <w:jc w:val="both"/>
        <w:rPr>
          <w:rFonts w:cs="Arial"/>
          <w:b/>
          <w:bCs/>
          <w:color w:val="0071BC"/>
          <w:sz w:val="28"/>
          <w:szCs w:val="20"/>
        </w:rPr>
      </w:pPr>
      <w:r w:rsidRPr="00F51714">
        <w:rPr>
          <w:rFonts w:cs="Arial"/>
          <w:b/>
          <w:bCs/>
          <w:color w:val="0071BC"/>
          <w:sz w:val="28"/>
          <w:szCs w:val="20"/>
        </w:rPr>
        <w:t>Chov ovcí a koz</w:t>
      </w:r>
    </w:p>
    <w:p w:rsidR="003F081A" w:rsidRPr="00A11DCB" w:rsidRDefault="003F081A" w:rsidP="003F081A">
      <w:pPr>
        <w:autoSpaceDE w:val="0"/>
        <w:autoSpaceDN w:val="0"/>
        <w:adjustRightInd w:val="0"/>
        <w:spacing w:after="0"/>
        <w:ind w:firstLine="709"/>
        <w:jc w:val="both"/>
        <w:rPr>
          <w:rFonts w:cs="Arial"/>
          <w:color w:val="000000"/>
          <w:szCs w:val="20"/>
        </w:rPr>
      </w:pPr>
      <w:r w:rsidRPr="00A11DCB">
        <w:rPr>
          <w:rFonts w:cs="Arial"/>
          <w:color w:val="000000"/>
          <w:szCs w:val="20"/>
        </w:rPr>
        <w:t xml:space="preserve">Stavy ovcí a koz od roku 2000 zaznamenaly ze sledovaných hospodářských zvířat nejvyšší nárůst. Počty ovcí </w:t>
      </w:r>
      <w:r>
        <w:rPr>
          <w:rFonts w:cs="Arial"/>
          <w:color w:val="000000"/>
          <w:szCs w:val="20"/>
        </w:rPr>
        <w:t>vzrostly o</w:t>
      </w:r>
      <w:r w:rsidRPr="00A11DCB">
        <w:rPr>
          <w:rFonts w:cs="Arial"/>
          <w:color w:val="000000"/>
          <w:szCs w:val="20"/>
        </w:rPr>
        <w:t xml:space="preserve"> +250,4 % na 230 911 kusů a stavy koz o 171,3 % na 21 960 kusů. Do šetření bylo zahrnuto 5 734 chovatelů ovcí a 1 780 chovatelů koz. Zatímco chovatelů ovcí </w:t>
      </w:r>
      <w:r>
        <w:rPr>
          <w:rFonts w:cs="Arial"/>
          <w:color w:val="000000"/>
          <w:szCs w:val="20"/>
        </w:rPr>
        <w:t>od roku 2000</w:t>
      </w:r>
      <w:r w:rsidRPr="00A11DCB">
        <w:rPr>
          <w:rFonts w:cs="Arial"/>
          <w:color w:val="000000"/>
          <w:szCs w:val="20"/>
        </w:rPr>
        <w:t xml:space="preserve"> přibylo</w:t>
      </w:r>
      <w:r>
        <w:rPr>
          <w:rFonts w:cs="Arial"/>
          <w:color w:val="000000"/>
          <w:szCs w:val="20"/>
        </w:rPr>
        <w:t xml:space="preserve"> </w:t>
      </w:r>
      <w:r w:rsidRPr="00A11DCB">
        <w:rPr>
          <w:rFonts w:cs="Arial"/>
          <w:color w:val="000000"/>
          <w:szCs w:val="20"/>
        </w:rPr>
        <w:t>98,4</w:t>
      </w:r>
      <w:r w:rsidRPr="00A11DCB">
        <w:rPr>
          <w:rFonts w:cs="Arial"/>
          <w:szCs w:val="20"/>
        </w:rPr>
        <w:t> </w:t>
      </w:r>
      <w:r w:rsidRPr="00A11DCB">
        <w:rPr>
          <w:rFonts w:cs="Arial"/>
          <w:color w:val="000000"/>
          <w:szCs w:val="20"/>
        </w:rPr>
        <w:t>%, chovu koz se věnuje o 9,8</w:t>
      </w:r>
      <w:r w:rsidRPr="00A11DCB">
        <w:rPr>
          <w:rFonts w:cs="Arial"/>
          <w:szCs w:val="20"/>
        </w:rPr>
        <w:t> </w:t>
      </w:r>
      <w:r w:rsidRPr="00A11DCB">
        <w:rPr>
          <w:rFonts w:cs="Arial"/>
          <w:color w:val="000000"/>
          <w:szCs w:val="20"/>
        </w:rPr>
        <w:t>% farmářů méně.</w:t>
      </w:r>
    </w:p>
    <w:p w:rsidR="003F081A" w:rsidRPr="00A11DCB" w:rsidRDefault="003F081A" w:rsidP="003F081A">
      <w:pPr>
        <w:autoSpaceDE w:val="0"/>
        <w:autoSpaceDN w:val="0"/>
        <w:adjustRightInd w:val="0"/>
        <w:spacing w:after="0"/>
        <w:ind w:firstLine="709"/>
        <w:jc w:val="both"/>
        <w:rPr>
          <w:rFonts w:cs="Arial"/>
          <w:color w:val="000000"/>
          <w:szCs w:val="20"/>
        </w:rPr>
      </w:pPr>
      <w:r w:rsidRPr="00A11DCB">
        <w:rPr>
          <w:rFonts w:cs="Arial"/>
          <w:color w:val="000000"/>
          <w:szCs w:val="20"/>
        </w:rPr>
        <w:t xml:space="preserve">Chov obou druhů je soustředěn především v subjektech fyzických osob, mezi nimiž je </w:t>
      </w:r>
      <w:r>
        <w:rPr>
          <w:rFonts w:cs="Arial"/>
          <w:color w:val="000000"/>
          <w:szCs w:val="20"/>
        </w:rPr>
        <w:t>93</w:t>
      </w:r>
      <w:r w:rsidRPr="00A11DCB">
        <w:rPr>
          <w:rFonts w:cs="Arial"/>
          <w:color w:val="000000"/>
          <w:szCs w:val="20"/>
        </w:rPr>
        <w:t>,</w:t>
      </w:r>
      <w:r>
        <w:rPr>
          <w:rFonts w:cs="Arial"/>
          <w:color w:val="000000"/>
          <w:szCs w:val="20"/>
        </w:rPr>
        <w:t>0</w:t>
      </w:r>
      <w:r w:rsidRPr="00A11DCB">
        <w:rPr>
          <w:rFonts w:cs="Arial"/>
          <w:szCs w:val="20"/>
        </w:rPr>
        <w:t> </w:t>
      </w:r>
      <w:r w:rsidRPr="00A11DCB">
        <w:rPr>
          <w:rFonts w:cs="Arial"/>
          <w:color w:val="000000"/>
          <w:szCs w:val="20"/>
        </w:rPr>
        <w:t xml:space="preserve">% všech chovatelů ovcí </w:t>
      </w:r>
      <w:r>
        <w:rPr>
          <w:rFonts w:cs="Arial"/>
          <w:color w:val="000000"/>
          <w:szCs w:val="20"/>
        </w:rPr>
        <w:t>a 91,1 %</w:t>
      </w:r>
      <w:r w:rsidRPr="00A11DCB">
        <w:rPr>
          <w:rFonts w:cs="Arial"/>
          <w:color w:val="000000"/>
          <w:szCs w:val="20"/>
        </w:rPr>
        <w:t xml:space="preserve"> všech chovatelů koz; ve stavech mají 84,8</w:t>
      </w:r>
      <w:r w:rsidRPr="00A11DCB">
        <w:rPr>
          <w:rFonts w:cs="Arial"/>
          <w:szCs w:val="20"/>
        </w:rPr>
        <w:t> </w:t>
      </w:r>
      <w:r w:rsidRPr="00A11DCB">
        <w:rPr>
          <w:rFonts w:cs="Arial"/>
          <w:color w:val="000000"/>
          <w:szCs w:val="20"/>
        </w:rPr>
        <w:t>% ovcí a 79,9</w:t>
      </w:r>
      <w:r w:rsidRPr="00A11DCB">
        <w:rPr>
          <w:rFonts w:cs="Arial"/>
          <w:szCs w:val="20"/>
        </w:rPr>
        <w:t> </w:t>
      </w:r>
      <w:r w:rsidRPr="00A11DCB">
        <w:rPr>
          <w:rFonts w:cs="Arial"/>
          <w:color w:val="000000"/>
          <w:szCs w:val="20"/>
        </w:rPr>
        <w:t xml:space="preserve">% koz. V porovnání </w:t>
      </w:r>
      <w:r w:rsidRPr="00A11DCB">
        <w:rPr>
          <w:rFonts w:cs="Arial"/>
          <w:color w:val="000000"/>
          <w:szCs w:val="20"/>
        </w:rPr>
        <w:lastRenderedPageBreak/>
        <w:t>s rokem 2000 však lze zaznamenat vzrůstající zájem o chov těchto druhů zvířat i v podnicích právnických osob, v nichž vzrostly stavy ovcí na více než dvojnásobek (z 15 091 ks na 35 048 ks) a stavy koz na více než pětinásobek (ze 795 ks na 4 414 ks).</w:t>
      </w:r>
    </w:p>
    <w:p w:rsidR="003F081A" w:rsidRDefault="003F081A" w:rsidP="003F081A">
      <w:pPr>
        <w:autoSpaceDE w:val="0"/>
        <w:autoSpaceDN w:val="0"/>
        <w:adjustRightInd w:val="0"/>
        <w:spacing w:after="0"/>
        <w:ind w:firstLine="709"/>
        <w:jc w:val="both"/>
        <w:rPr>
          <w:rFonts w:cs="Arial"/>
          <w:color w:val="000000"/>
          <w:szCs w:val="20"/>
        </w:rPr>
      </w:pPr>
      <w:r w:rsidRPr="00A11DCB">
        <w:rPr>
          <w:rFonts w:cs="Arial"/>
          <w:color w:val="000000"/>
          <w:szCs w:val="20"/>
        </w:rPr>
        <w:t>Nejčastěji jsou ovce chovány ve stádech o velikosti 11–50 kusů; do této velikostní kategorie spadá více než polovina chovatelů (58,3 %) a třetina stavů (34,6 %). Tyto poměry platí především pro fyzické osoby. V subjektech právnických osob sice tvoří subjekty této velikosti největší část (45,1 %), zároveň však bylo 38,8 % ovcí soustředěno ve stádech nad 500 kusů u šestnácti chovatelů (4,0 %).</w:t>
      </w:r>
    </w:p>
    <w:p w:rsidR="003F081A" w:rsidRDefault="003F081A" w:rsidP="003F081A">
      <w:pPr>
        <w:autoSpaceDE w:val="0"/>
        <w:autoSpaceDN w:val="0"/>
        <w:adjustRightInd w:val="0"/>
        <w:spacing w:after="0"/>
        <w:jc w:val="both"/>
        <w:rPr>
          <w:rFonts w:cs="Arial"/>
          <w:b/>
          <w:color w:val="000000"/>
          <w:szCs w:val="20"/>
        </w:rPr>
      </w:pPr>
    </w:p>
    <w:p w:rsidR="003F081A" w:rsidRPr="002E2B66" w:rsidRDefault="003F081A" w:rsidP="003F081A">
      <w:pPr>
        <w:autoSpaceDE w:val="0"/>
        <w:autoSpaceDN w:val="0"/>
        <w:adjustRightInd w:val="0"/>
        <w:spacing w:after="0"/>
        <w:jc w:val="both"/>
        <w:rPr>
          <w:rFonts w:cs="Arial"/>
          <w:b/>
          <w:color w:val="000000"/>
          <w:szCs w:val="20"/>
        </w:rPr>
      </w:pPr>
      <w:r w:rsidRPr="002E2B66">
        <w:rPr>
          <w:rFonts w:cs="Arial"/>
          <w:b/>
          <w:color w:val="000000"/>
          <w:szCs w:val="20"/>
        </w:rPr>
        <w:t>Graf 12: Chov ovcí v subjektech dle právních forem</w:t>
      </w:r>
    </w:p>
    <w:p w:rsidR="003F081A" w:rsidRDefault="00BD1B77" w:rsidP="003F081A">
      <w:pPr>
        <w:autoSpaceDE w:val="0"/>
        <w:autoSpaceDN w:val="0"/>
        <w:adjustRightInd w:val="0"/>
        <w:spacing w:after="0"/>
        <w:jc w:val="both"/>
        <w:rPr>
          <w:rFonts w:cs="Arial"/>
          <w:color w:val="000000"/>
          <w:szCs w:val="20"/>
        </w:rPr>
      </w:pPr>
      <w:r w:rsidRPr="00BD1B77">
        <w:rPr>
          <w:noProof/>
          <w:szCs w:val="20"/>
        </w:rPr>
        <w:drawing>
          <wp:inline distT="0" distB="0" distL="0" distR="0">
            <wp:extent cx="5814000" cy="2448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814000" cy="2448000"/>
                    </a:xfrm>
                    <a:prstGeom prst="rect">
                      <a:avLst/>
                    </a:prstGeom>
                    <a:noFill/>
                    <a:ln w="9525">
                      <a:noFill/>
                      <a:miter lim="800000"/>
                      <a:headEnd/>
                      <a:tailEnd/>
                    </a:ln>
                  </pic:spPr>
                </pic:pic>
              </a:graphicData>
            </a:graphic>
          </wp:inline>
        </w:drawing>
      </w:r>
    </w:p>
    <w:p w:rsidR="003F081A" w:rsidRDefault="003F081A" w:rsidP="003F081A">
      <w:pPr>
        <w:autoSpaceDE w:val="0"/>
        <w:autoSpaceDN w:val="0"/>
        <w:adjustRightInd w:val="0"/>
        <w:spacing w:after="0"/>
        <w:jc w:val="both"/>
        <w:rPr>
          <w:rFonts w:cs="Arial"/>
          <w:color w:val="000000"/>
          <w:szCs w:val="20"/>
        </w:rPr>
      </w:pPr>
    </w:p>
    <w:p w:rsidR="003F081A" w:rsidRDefault="003F081A" w:rsidP="003F081A">
      <w:pPr>
        <w:pStyle w:val="Zkladntext2"/>
        <w:spacing w:line="288" w:lineRule="auto"/>
        <w:ind w:firstLine="709"/>
        <w:rPr>
          <w:szCs w:val="20"/>
        </w:rPr>
      </w:pPr>
      <w:r w:rsidRPr="00A11DCB">
        <w:rPr>
          <w:szCs w:val="20"/>
        </w:rPr>
        <w:t xml:space="preserve">Kozy jsou naopak chovány nejčastěji ve skupinách do 10 ks na subjekt; to se týká 74,9% subjektů fyzických osob a 50,6 % subjektů právnických osob. Stáda nad 50 kusů koz chovalo </w:t>
      </w:r>
      <w:r>
        <w:rPr>
          <w:szCs w:val="20"/>
        </w:rPr>
        <w:t>4</w:t>
      </w:r>
      <w:r w:rsidRPr="00A11DCB">
        <w:rPr>
          <w:szCs w:val="20"/>
        </w:rPr>
        <w:t>9 subjektů fyzických osob (3,</w:t>
      </w:r>
      <w:r>
        <w:rPr>
          <w:szCs w:val="20"/>
        </w:rPr>
        <w:t>0</w:t>
      </w:r>
      <w:r w:rsidRPr="00A11DCB">
        <w:rPr>
          <w:szCs w:val="20"/>
        </w:rPr>
        <w:t xml:space="preserve"> %) a </w:t>
      </w:r>
      <w:r>
        <w:rPr>
          <w:szCs w:val="20"/>
        </w:rPr>
        <w:t>20</w:t>
      </w:r>
      <w:r w:rsidRPr="00A11DCB">
        <w:rPr>
          <w:szCs w:val="20"/>
        </w:rPr>
        <w:t xml:space="preserve"> subjektů právnických osob (12,7 %).</w:t>
      </w:r>
    </w:p>
    <w:p w:rsidR="003F081A" w:rsidRDefault="003F081A" w:rsidP="003F081A">
      <w:pPr>
        <w:autoSpaceDE w:val="0"/>
        <w:autoSpaceDN w:val="0"/>
        <w:adjustRightInd w:val="0"/>
        <w:spacing w:after="0"/>
        <w:jc w:val="both"/>
        <w:rPr>
          <w:rFonts w:cs="Arial"/>
          <w:b/>
          <w:color w:val="000000"/>
          <w:szCs w:val="20"/>
        </w:rPr>
      </w:pPr>
    </w:p>
    <w:p w:rsidR="003F081A" w:rsidRPr="002E2B66" w:rsidRDefault="003F081A" w:rsidP="003F081A">
      <w:pPr>
        <w:autoSpaceDE w:val="0"/>
        <w:autoSpaceDN w:val="0"/>
        <w:adjustRightInd w:val="0"/>
        <w:spacing w:after="0"/>
        <w:jc w:val="both"/>
        <w:rPr>
          <w:rFonts w:cs="Arial"/>
          <w:b/>
          <w:color w:val="000000"/>
          <w:szCs w:val="20"/>
        </w:rPr>
      </w:pPr>
      <w:r w:rsidRPr="002E2B66">
        <w:rPr>
          <w:rFonts w:cs="Arial"/>
          <w:b/>
          <w:color w:val="000000"/>
          <w:szCs w:val="20"/>
        </w:rPr>
        <w:t>Graf 13: Chov koz v subjektech dle právních forem</w:t>
      </w:r>
    </w:p>
    <w:p w:rsidR="003F081A" w:rsidRDefault="003F081A" w:rsidP="003F081A">
      <w:pPr>
        <w:spacing w:after="0"/>
        <w:jc w:val="both"/>
        <w:rPr>
          <w:rFonts w:cs="Arial"/>
          <w:szCs w:val="20"/>
        </w:rPr>
      </w:pPr>
      <w:r w:rsidRPr="00AA6C47">
        <w:rPr>
          <w:noProof/>
          <w:szCs w:val="20"/>
        </w:rPr>
        <w:drawing>
          <wp:inline distT="0" distB="0" distL="0" distR="0">
            <wp:extent cx="5915660" cy="2449195"/>
            <wp:effectExtent l="0" t="0" r="0" b="0"/>
            <wp:docPr id="2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915660" cy="2449195"/>
                    </a:xfrm>
                    <a:prstGeom prst="rect">
                      <a:avLst/>
                    </a:prstGeom>
                    <a:noFill/>
                    <a:ln w="9525">
                      <a:noFill/>
                      <a:miter lim="800000"/>
                      <a:headEnd/>
                      <a:tailEnd/>
                    </a:ln>
                  </pic:spPr>
                </pic:pic>
              </a:graphicData>
            </a:graphic>
          </wp:inline>
        </w:drawing>
      </w:r>
    </w:p>
    <w:p w:rsidR="003F081A" w:rsidRDefault="003F081A" w:rsidP="003F081A">
      <w:pPr>
        <w:autoSpaceDE w:val="0"/>
        <w:autoSpaceDN w:val="0"/>
        <w:adjustRightInd w:val="0"/>
        <w:spacing w:after="0"/>
        <w:jc w:val="both"/>
        <w:rPr>
          <w:rFonts w:cs="Arial"/>
          <w:b/>
          <w:bCs/>
          <w:color w:val="000000"/>
          <w:sz w:val="24"/>
          <w:szCs w:val="20"/>
        </w:rPr>
      </w:pPr>
    </w:p>
    <w:p w:rsidR="003F081A" w:rsidRPr="00F51714" w:rsidRDefault="00F51714" w:rsidP="003F081A">
      <w:pPr>
        <w:autoSpaceDE w:val="0"/>
        <w:autoSpaceDN w:val="0"/>
        <w:adjustRightInd w:val="0"/>
        <w:spacing w:after="120"/>
        <w:jc w:val="both"/>
        <w:rPr>
          <w:rFonts w:cs="Arial"/>
          <w:b/>
          <w:bCs/>
          <w:color w:val="0071BC"/>
          <w:sz w:val="28"/>
          <w:szCs w:val="20"/>
        </w:rPr>
      </w:pPr>
      <w:r w:rsidRPr="00F51714">
        <w:rPr>
          <w:rFonts w:cs="Arial"/>
          <w:b/>
          <w:bCs/>
          <w:color w:val="0071BC"/>
          <w:sz w:val="28"/>
          <w:szCs w:val="20"/>
        </w:rPr>
        <w:t>Pracovní síly v zemědělství</w:t>
      </w:r>
    </w:p>
    <w:p w:rsidR="003F081A" w:rsidRPr="00A11DCB" w:rsidRDefault="003F081A" w:rsidP="003F081A">
      <w:pPr>
        <w:autoSpaceDE w:val="0"/>
        <w:autoSpaceDN w:val="0"/>
        <w:adjustRightInd w:val="0"/>
        <w:spacing w:after="0"/>
        <w:ind w:firstLine="709"/>
        <w:jc w:val="both"/>
        <w:rPr>
          <w:rFonts w:cs="Arial"/>
          <w:szCs w:val="20"/>
        </w:rPr>
      </w:pPr>
      <w:r w:rsidRPr="00A11DCB">
        <w:rPr>
          <w:rFonts w:cs="Arial"/>
          <w:szCs w:val="20"/>
        </w:rPr>
        <w:t xml:space="preserve">V roce 2016 v zemědělství pracovalo celkem 182 294 osob; z toho bylo 130 302 pravidelně zaměstnaných pracujících a 48 714 nepravidelně zaměstnaných (tj. pracujících na dohody o provedení práce nebo o pracovní činnosti). K nim se řadilo dalších 3 278 osob nepřímo zaměstnaných podnikem, tj. osob samostatně výdělečně činných a osob najatých přes agentury práce. Vzhledem k vysoké sezónnosti </w:t>
      </w:r>
      <w:r w:rsidRPr="00A11DCB">
        <w:rPr>
          <w:rFonts w:cs="Arial"/>
          <w:szCs w:val="20"/>
        </w:rPr>
        <w:lastRenderedPageBreak/>
        <w:t>některých zemědělských prací je v exponovaných obdobích v zemědělských subjektech široce využívána práce osob mimo pracovní poměr.</w:t>
      </w:r>
    </w:p>
    <w:p w:rsidR="003F081A" w:rsidRPr="00A11DCB" w:rsidRDefault="003F081A" w:rsidP="003F081A">
      <w:pPr>
        <w:autoSpaceDE w:val="0"/>
        <w:autoSpaceDN w:val="0"/>
        <w:adjustRightInd w:val="0"/>
        <w:spacing w:after="0"/>
        <w:ind w:firstLine="709"/>
        <w:jc w:val="both"/>
        <w:rPr>
          <w:rFonts w:cs="Arial"/>
          <w:szCs w:val="20"/>
        </w:rPr>
      </w:pPr>
      <w:r w:rsidRPr="00A11DCB">
        <w:rPr>
          <w:rFonts w:cs="Arial"/>
          <w:szCs w:val="20"/>
        </w:rPr>
        <w:t>Pravidelně zaměstnanými pracujícími v zemědělství byly především osoby v zaměstnaneckém vztahu (61,9 %). V subjektech fyzických osob představovali hospodáři</w:t>
      </w:r>
      <w:r w:rsidRPr="00A11DCB" w:rsidDel="008049FF">
        <w:rPr>
          <w:rFonts w:cs="Arial"/>
          <w:szCs w:val="20"/>
        </w:rPr>
        <w:t xml:space="preserve"> </w:t>
      </w:r>
      <w:r w:rsidRPr="00A11DCB">
        <w:rPr>
          <w:rFonts w:cs="Arial"/>
          <w:szCs w:val="20"/>
        </w:rPr>
        <w:t xml:space="preserve">42,3% podíl a členové jeho rodiny 45,2% podíl na pravidelně zaměstnaných pracujících, v subjektech právnických osob pak tvořili pracující majitelé 3,6 % pravidelně zaměstnaných. </w:t>
      </w:r>
    </w:p>
    <w:p w:rsidR="003F081A" w:rsidRDefault="003F081A" w:rsidP="003F081A">
      <w:pPr>
        <w:autoSpaceDE w:val="0"/>
        <w:autoSpaceDN w:val="0"/>
        <w:adjustRightInd w:val="0"/>
        <w:spacing w:after="0"/>
        <w:ind w:firstLine="709"/>
        <w:jc w:val="both"/>
        <w:rPr>
          <w:rFonts w:cs="Arial"/>
          <w:szCs w:val="20"/>
        </w:rPr>
      </w:pPr>
      <w:r w:rsidRPr="00A11DCB">
        <w:rPr>
          <w:rFonts w:cs="Arial"/>
          <w:szCs w:val="20"/>
        </w:rPr>
        <w:t xml:space="preserve">Za období 2000–2016 se počet pracujících v zemědělství snížil celkem o 40 399 pracujících, tj. o 18,1 %. K úbytku pracovních míst došlo zejména v živočišné výrobě z důvodu útlumu chovů hlavních druhů hospodářských zvířat. </w:t>
      </w:r>
    </w:p>
    <w:p w:rsidR="003F081A" w:rsidRPr="00A11DCB" w:rsidRDefault="003F081A" w:rsidP="003F081A">
      <w:pPr>
        <w:autoSpaceDE w:val="0"/>
        <w:autoSpaceDN w:val="0"/>
        <w:adjustRightInd w:val="0"/>
        <w:spacing w:after="0"/>
        <w:ind w:firstLine="709"/>
        <w:jc w:val="both"/>
        <w:rPr>
          <w:rFonts w:cs="Arial"/>
          <w:color w:val="000000"/>
          <w:szCs w:val="20"/>
        </w:rPr>
      </w:pPr>
      <w:r w:rsidRPr="00A11DCB">
        <w:rPr>
          <w:rFonts w:cs="Arial"/>
          <w:szCs w:val="20"/>
        </w:rPr>
        <w:t xml:space="preserve">V subjektech fyzických osob v roce 2016 pracovalo 63 683 osob, tj. </w:t>
      </w:r>
      <w:r w:rsidRPr="008706D7">
        <w:rPr>
          <w:rFonts w:cs="Arial"/>
          <w:szCs w:val="20"/>
        </w:rPr>
        <w:t>v porovnání s rokem 2000</w:t>
      </w:r>
      <w:r w:rsidRPr="00A11DCB">
        <w:rPr>
          <w:rFonts w:cs="Arial"/>
          <w:szCs w:val="20"/>
        </w:rPr>
        <w:t xml:space="preserve"> o</w:t>
      </w:r>
      <w:r>
        <w:rPr>
          <w:rFonts w:cs="Arial"/>
          <w:szCs w:val="20"/>
        </w:rPr>
        <w:t> </w:t>
      </w:r>
      <w:r w:rsidRPr="00A11DCB">
        <w:rPr>
          <w:rFonts w:cs="Arial"/>
          <w:szCs w:val="20"/>
        </w:rPr>
        <w:t>1,3 % více</w:t>
      </w:r>
      <w:r w:rsidRPr="00A11DCB">
        <w:rPr>
          <w:rFonts w:cs="Arial"/>
          <w:color w:val="000000"/>
          <w:szCs w:val="20"/>
        </w:rPr>
        <w:t>. Ve srovnání s rokem 2000 dávají subjekty fyzických osob ve větší míře přednost výpomoci ze strany rodinných příslušníků na úkor zaměstnanců a osob pracujících na základě dohod konaných mimo pracovní poměr. Zatímco v roce 2000 zaměstnanci tvořili 16,2 % a členové rodiny hospodáře 32,4</w:t>
      </w:r>
      <w:r w:rsidRPr="00A11DCB">
        <w:rPr>
          <w:rFonts w:cs="Arial"/>
          <w:szCs w:val="20"/>
        </w:rPr>
        <w:t> </w:t>
      </w:r>
      <w:r w:rsidRPr="00A11DCB">
        <w:rPr>
          <w:rFonts w:cs="Arial"/>
          <w:color w:val="000000"/>
          <w:szCs w:val="20"/>
        </w:rPr>
        <w:t>% z</w:t>
      </w:r>
      <w:r>
        <w:rPr>
          <w:rFonts w:cs="Arial"/>
          <w:color w:val="000000"/>
          <w:szCs w:val="20"/>
        </w:rPr>
        <w:t> </w:t>
      </w:r>
      <w:r w:rsidRPr="00A11DCB">
        <w:rPr>
          <w:rFonts w:cs="Arial"/>
          <w:color w:val="000000"/>
          <w:szCs w:val="20"/>
        </w:rPr>
        <w:t>pracujících, v roce 201</w:t>
      </w:r>
      <w:r>
        <w:rPr>
          <w:rFonts w:cs="Arial"/>
          <w:color w:val="000000"/>
          <w:szCs w:val="20"/>
        </w:rPr>
        <w:t>6</w:t>
      </w:r>
      <w:r w:rsidRPr="00A11DCB">
        <w:rPr>
          <w:rFonts w:cs="Arial"/>
          <w:color w:val="000000"/>
          <w:szCs w:val="20"/>
        </w:rPr>
        <w:t xml:space="preserve"> to bylo 1</w:t>
      </w:r>
      <w:r>
        <w:rPr>
          <w:rFonts w:cs="Arial"/>
          <w:color w:val="000000"/>
          <w:szCs w:val="20"/>
        </w:rPr>
        <w:t>0</w:t>
      </w:r>
      <w:r w:rsidRPr="00A11DCB">
        <w:rPr>
          <w:rFonts w:cs="Arial"/>
          <w:color w:val="000000"/>
          <w:szCs w:val="20"/>
        </w:rPr>
        <w:t>,</w:t>
      </w:r>
      <w:r>
        <w:rPr>
          <w:rFonts w:cs="Arial"/>
          <w:color w:val="000000"/>
          <w:szCs w:val="20"/>
        </w:rPr>
        <w:t>9</w:t>
      </w:r>
      <w:r w:rsidRPr="00A11DCB">
        <w:rPr>
          <w:rFonts w:cs="Arial"/>
          <w:color w:val="000000"/>
          <w:szCs w:val="20"/>
        </w:rPr>
        <w:t> % zaměstnanců a 3</w:t>
      </w:r>
      <w:r>
        <w:rPr>
          <w:rFonts w:cs="Arial"/>
          <w:color w:val="000000"/>
          <w:szCs w:val="20"/>
        </w:rPr>
        <w:t>9</w:t>
      </w:r>
      <w:r w:rsidRPr="00A11DCB">
        <w:rPr>
          <w:rFonts w:cs="Arial"/>
          <w:color w:val="000000"/>
          <w:szCs w:val="20"/>
        </w:rPr>
        <w:t>,</w:t>
      </w:r>
      <w:r>
        <w:rPr>
          <w:rFonts w:cs="Arial"/>
          <w:color w:val="000000"/>
          <w:szCs w:val="20"/>
        </w:rPr>
        <w:t>3</w:t>
      </w:r>
      <w:r w:rsidRPr="00A11DCB">
        <w:rPr>
          <w:rFonts w:cs="Arial"/>
          <w:szCs w:val="20"/>
        </w:rPr>
        <w:t> </w:t>
      </w:r>
      <w:r w:rsidRPr="00A11DCB">
        <w:rPr>
          <w:rFonts w:cs="Arial"/>
          <w:color w:val="000000"/>
          <w:szCs w:val="20"/>
        </w:rPr>
        <w:t>% členů rodiny hospodáře. K výraznému odlivu pracujících došlo v subjektech právnických osob. Od roku 2000 do roku 2016 se počet pracujících snížil o čtvrtinu (</w:t>
      </w:r>
      <w:proofErr w:type="gramStart"/>
      <w:r w:rsidRPr="00A11DCB">
        <w:rPr>
          <w:rFonts w:cs="Arial"/>
          <w:color w:val="000000"/>
          <w:sz w:val="18"/>
          <w:szCs w:val="20"/>
        </w:rPr>
        <w:t>−</w:t>
      </w:r>
      <w:r w:rsidRPr="00A11DCB">
        <w:rPr>
          <w:rFonts w:cs="Arial"/>
          <w:color w:val="000000"/>
          <w:szCs w:val="20"/>
        </w:rPr>
        <w:t>25,8 %) na</w:t>
      </w:r>
      <w:proofErr w:type="gramEnd"/>
      <w:r w:rsidRPr="00A11DCB">
        <w:rPr>
          <w:rFonts w:cs="Arial"/>
          <w:color w:val="000000"/>
          <w:szCs w:val="20"/>
        </w:rPr>
        <w:t xml:space="preserve"> 118 611 osob, pravidelně zaměstnaných ubylo dokonce o 42,0</w:t>
      </w:r>
      <w:r w:rsidRPr="00A11DCB">
        <w:rPr>
          <w:rFonts w:cs="Arial"/>
          <w:szCs w:val="20"/>
        </w:rPr>
        <w:t> </w:t>
      </w:r>
      <w:r w:rsidRPr="00A11DCB">
        <w:rPr>
          <w:rFonts w:cs="Arial"/>
          <w:color w:val="000000"/>
          <w:szCs w:val="20"/>
        </w:rPr>
        <w:t>% na 74</w:t>
      </w:r>
      <w:r w:rsidRPr="00A11DCB">
        <w:rPr>
          <w:rFonts w:cs="Arial"/>
          <w:szCs w:val="20"/>
        </w:rPr>
        <w:t> </w:t>
      </w:r>
      <w:r w:rsidRPr="00A11DCB">
        <w:rPr>
          <w:rFonts w:cs="Arial"/>
          <w:color w:val="000000"/>
          <w:szCs w:val="20"/>
        </w:rPr>
        <w:t>913. Subjekty ve zvýšené míře využívají na krátkodobé činnosti s vysokým podílem ruční práce (sklizeň zeleniny, ovoce, brambor) brigádníky na dohody nebo najímají agenturní pracovníky. V roce 2016 subjekty právnických osob zaměstnaly 41 728 pracovníků na dohody o provedení práce nebo o pracovní činnosti, 346 osob samostatně výdělečně činných a dalších 1 624 osob přes agentury práce.</w:t>
      </w:r>
    </w:p>
    <w:p w:rsidR="003F081A" w:rsidRDefault="003F081A" w:rsidP="003F081A">
      <w:pPr>
        <w:keepNext/>
        <w:spacing w:after="0"/>
        <w:jc w:val="both"/>
        <w:rPr>
          <w:rFonts w:cs="Arial"/>
          <w:b/>
          <w:bCs/>
          <w:szCs w:val="20"/>
        </w:rPr>
      </w:pPr>
      <w:bookmarkStart w:id="0" w:name="_Ref315247126"/>
      <w:bookmarkStart w:id="1" w:name="_Ref315247135"/>
    </w:p>
    <w:p w:rsidR="003F081A" w:rsidRPr="002E2B66" w:rsidRDefault="003F081A" w:rsidP="003F081A">
      <w:pPr>
        <w:keepNext/>
        <w:spacing w:after="0"/>
        <w:jc w:val="both"/>
        <w:rPr>
          <w:rFonts w:cs="Arial"/>
          <w:b/>
          <w:bCs/>
          <w:szCs w:val="20"/>
        </w:rPr>
      </w:pPr>
      <w:r w:rsidRPr="002E2B66">
        <w:rPr>
          <w:rFonts w:cs="Arial"/>
          <w:b/>
          <w:bCs/>
          <w:szCs w:val="20"/>
        </w:rPr>
        <w:t xml:space="preserve">Graf </w:t>
      </w:r>
      <w:bookmarkEnd w:id="0"/>
      <w:r w:rsidRPr="002E2B66">
        <w:rPr>
          <w:rFonts w:cs="Arial"/>
          <w:b/>
          <w:bCs/>
          <w:szCs w:val="20"/>
        </w:rPr>
        <w:t>14: Struktura pracujících v subjektech fyzických a právnických osob</w:t>
      </w:r>
      <w:bookmarkEnd w:id="1"/>
      <w:r w:rsidRPr="002E2B66">
        <w:rPr>
          <w:rFonts w:cs="Arial"/>
          <w:b/>
          <w:bCs/>
          <w:szCs w:val="20"/>
        </w:rPr>
        <w:t xml:space="preserve"> </w:t>
      </w:r>
    </w:p>
    <w:p w:rsidR="003F081A" w:rsidRPr="00A11DCB" w:rsidRDefault="003F081A" w:rsidP="003F081A">
      <w:pPr>
        <w:autoSpaceDE w:val="0"/>
        <w:autoSpaceDN w:val="0"/>
        <w:adjustRightInd w:val="0"/>
        <w:spacing w:after="0"/>
        <w:jc w:val="both"/>
        <w:rPr>
          <w:rFonts w:cs="Arial"/>
          <w:color w:val="000000"/>
          <w:szCs w:val="20"/>
        </w:rPr>
      </w:pPr>
      <w:r w:rsidRPr="008D78EA">
        <w:rPr>
          <w:noProof/>
          <w:szCs w:val="20"/>
        </w:rPr>
        <w:drawing>
          <wp:inline distT="0" distB="0" distL="0" distR="0">
            <wp:extent cx="5971540" cy="3402965"/>
            <wp:effectExtent l="0" t="0" r="0" b="0"/>
            <wp:docPr id="2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971540" cy="3402965"/>
                    </a:xfrm>
                    <a:prstGeom prst="rect">
                      <a:avLst/>
                    </a:prstGeom>
                    <a:noFill/>
                    <a:ln w="9525">
                      <a:noFill/>
                      <a:miter lim="800000"/>
                      <a:headEnd/>
                      <a:tailEnd/>
                    </a:ln>
                  </pic:spPr>
                </pic:pic>
              </a:graphicData>
            </a:graphic>
          </wp:inline>
        </w:drawing>
      </w:r>
    </w:p>
    <w:p w:rsidR="003F081A" w:rsidRPr="00A11DCB" w:rsidRDefault="003F081A" w:rsidP="003F081A">
      <w:pPr>
        <w:autoSpaceDE w:val="0"/>
        <w:autoSpaceDN w:val="0"/>
        <w:adjustRightInd w:val="0"/>
        <w:spacing w:after="0"/>
        <w:jc w:val="both"/>
        <w:rPr>
          <w:rFonts w:cs="Arial"/>
          <w:color w:val="000000"/>
          <w:szCs w:val="20"/>
        </w:rPr>
      </w:pPr>
    </w:p>
    <w:p w:rsidR="003F081A" w:rsidRPr="00A11DCB" w:rsidRDefault="003F081A" w:rsidP="003F081A">
      <w:pPr>
        <w:pStyle w:val="Zkladntext2"/>
        <w:spacing w:line="288" w:lineRule="auto"/>
        <w:ind w:firstLine="709"/>
        <w:rPr>
          <w:szCs w:val="20"/>
        </w:rPr>
      </w:pPr>
      <w:r w:rsidRPr="00A11DCB">
        <w:rPr>
          <w:szCs w:val="20"/>
        </w:rPr>
        <w:t>Podle standardizované metodiky Evropské unie se údaje o vstupu pracovní síly do sektoru zemědělství vyjadřují v tzv. ročních pracovních jednotkách (anglicky „</w:t>
      </w:r>
      <w:proofErr w:type="spellStart"/>
      <w:r w:rsidRPr="00A11DCB">
        <w:rPr>
          <w:i/>
          <w:szCs w:val="20"/>
        </w:rPr>
        <w:t>Annual</w:t>
      </w:r>
      <w:proofErr w:type="spellEnd"/>
      <w:r w:rsidRPr="00A11DCB">
        <w:rPr>
          <w:i/>
          <w:szCs w:val="20"/>
        </w:rPr>
        <w:t xml:space="preserve"> </w:t>
      </w:r>
      <w:proofErr w:type="spellStart"/>
      <w:r w:rsidRPr="00A11DCB">
        <w:rPr>
          <w:i/>
          <w:szCs w:val="20"/>
        </w:rPr>
        <w:t>Work</w:t>
      </w:r>
      <w:proofErr w:type="spellEnd"/>
      <w:r w:rsidRPr="00A11DCB">
        <w:rPr>
          <w:i/>
          <w:szCs w:val="20"/>
        </w:rPr>
        <w:t xml:space="preserve"> Unit</w:t>
      </w:r>
      <w:r w:rsidRPr="00A11DCB">
        <w:rPr>
          <w:szCs w:val="20"/>
        </w:rPr>
        <w:t>“, používaná zkratka AWU). Jedna AWU zahrnuje takový počet hodin, který odpovídá počtu skutečně odpracovaných hodin v rámci plného pracovního úvazku v zemědělství (1 800 hodin). Nezahrnuje státní svátky, placenou dovolenou na zotavenou, dny pracovní neschopnosti, přestávky na jídlo, apod.</w:t>
      </w:r>
    </w:p>
    <w:p w:rsidR="003F081A" w:rsidRPr="00A11DCB" w:rsidRDefault="003F081A" w:rsidP="003F081A">
      <w:pPr>
        <w:pStyle w:val="Zkladntext2"/>
        <w:spacing w:line="288" w:lineRule="auto"/>
        <w:ind w:firstLine="709"/>
        <w:rPr>
          <w:szCs w:val="20"/>
        </w:rPr>
      </w:pPr>
      <w:r w:rsidRPr="00A11DCB">
        <w:rPr>
          <w:szCs w:val="20"/>
        </w:rPr>
        <w:t>Pracovní síla v zemědělství přepočtená podle popsané metodiky v roce 2016 činila 104 480 úvazků, tj. 57,3% podíl na celkovém počtu pracujících osob. Pro rok 2000 to bylo 166 365 úvazků (tzn., že do roku 201</w:t>
      </w:r>
      <w:r>
        <w:rPr>
          <w:szCs w:val="20"/>
        </w:rPr>
        <w:t>6</w:t>
      </w:r>
      <w:r w:rsidRPr="00A11DCB">
        <w:rPr>
          <w:szCs w:val="20"/>
        </w:rPr>
        <w:t xml:space="preserve"> došlo k poklesu o 37,2 %) a 74,7% podíl na počtu osob. Snížení poměru mezi počtem osob a počtem plných úvazků poukazuje na vzrůstající zastoupení pracujících využívajících zkrácený pracovní úvazek. </w:t>
      </w:r>
      <w:r w:rsidRPr="00A11DCB">
        <w:rPr>
          <w:szCs w:val="20"/>
        </w:rPr>
        <w:lastRenderedPageBreak/>
        <w:t>Využití krátkých a příležitostných úvazků je častější v subjektech fyzických osob, u kterých došlo přepočtem na plně zaměstnané k poklesu na 54,5 % (34 687 úvazků), zatímco u právnických osob byl tento podíl 58,8 % (69 793 úvazků).</w:t>
      </w:r>
    </w:p>
    <w:p w:rsidR="003F081A" w:rsidRDefault="003F081A" w:rsidP="003F081A">
      <w:pPr>
        <w:autoSpaceDE w:val="0"/>
        <w:autoSpaceDN w:val="0"/>
        <w:adjustRightInd w:val="0"/>
        <w:spacing w:after="0"/>
        <w:jc w:val="both"/>
        <w:rPr>
          <w:rFonts w:cs="Arial"/>
          <w:b/>
          <w:bCs/>
          <w:color w:val="000000"/>
          <w:sz w:val="24"/>
          <w:szCs w:val="20"/>
        </w:rPr>
      </w:pPr>
    </w:p>
    <w:p w:rsidR="003F081A" w:rsidRPr="00F51714" w:rsidRDefault="00F51714" w:rsidP="003F081A">
      <w:pPr>
        <w:autoSpaceDE w:val="0"/>
        <w:autoSpaceDN w:val="0"/>
        <w:adjustRightInd w:val="0"/>
        <w:spacing w:after="120"/>
        <w:jc w:val="both"/>
        <w:rPr>
          <w:rFonts w:cs="Arial"/>
          <w:b/>
          <w:bCs/>
          <w:color w:val="0071BC"/>
          <w:sz w:val="28"/>
          <w:szCs w:val="20"/>
        </w:rPr>
      </w:pPr>
      <w:r w:rsidRPr="00F51714">
        <w:rPr>
          <w:rFonts w:cs="Arial"/>
          <w:b/>
          <w:bCs/>
          <w:color w:val="0071BC"/>
          <w:sz w:val="28"/>
          <w:szCs w:val="20"/>
        </w:rPr>
        <w:t>Věková struktura pracujících</w:t>
      </w:r>
    </w:p>
    <w:p w:rsidR="003F081A" w:rsidRPr="00A11DCB" w:rsidRDefault="003F081A" w:rsidP="003F081A">
      <w:pPr>
        <w:autoSpaceDE w:val="0"/>
        <w:autoSpaceDN w:val="0"/>
        <w:adjustRightInd w:val="0"/>
        <w:spacing w:after="0"/>
        <w:ind w:firstLine="709"/>
        <w:jc w:val="both"/>
        <w:rPr>
          <w:rFonts w:cs="Arial"/>
          <w:szCs w:val="20"/>
        </w:rPr>
      </w:pPr>
      <w:r w:rsidRPr="00A11DCB">
        <w:rPr>
          <w:rFonts w:cs="Arial"/>
          <w:szCs w:val="20"/>
        </w:rPr>
        <w:t xml:space="preserve">Kromě úbytku pracovních </w:t>
      </w:r>
      <w:r>
        <w:rPr>
          <w:rFonts w:cs="Arial"/>
          <w:szCs w:val="20"/>
        </w:rPr>
        <w:t>sil</w:t>
      </w:r>
      <w:r w:rsidRPr="00A11DCB">
        <w:rPr>
          <w:rFonts w:cs="Arial"/>
          <w:szCs w:val="20"/>
        </w:rPr>
        <w:t xml:space="preserve"> je zemědělský sektor nepříznivě ovlivněn i zvyšujícím se věkovým průměrem pracujících. Od roku 2000 se snížil podíl pravidelně zaměstnaných pracovníků ve věku do 34 let z 22,8 % na 18,2 %. K tomuto jevu přispívá jednak nízká atraktivita práce v zemědělství, jednak obecný trend delšího vzdělávání a pozdějšího nástupu do zaměstnání. </w:t>
      </w:r>
      <w:r w:rsidRPr="00A11DCB">
        <w:rPr>
          <w:rFonts w:cs="Arial"/>
          <w:color w:val="000000"/>
          <w:szCs w:val="20"/>
        </w:rPr>
        <w:t>Klesá i podíl střední generace (tj. 35–54 let) ve prospěch věkové skupiny předdůchodového a důchodového věku (55 let a více). Podíl střední generace se snížil z 63,7 % v roce 2000 na 45,7 % v roce 2016, naopak u pracujících předdůchodového a důchodového věku došlo k výraznému nárůstu z 13,5 % na 36,1 %.</w:t>
      </w:r>
    </w:p>
    <w:p w:rsidR="003F081A" w:rsidRDefault="003F081A" w:rsidP="003F081A">
      <w:pPr>
        <w:autoSpaceDE w:val="0"/>
        <w:autoSpaceDN w:val="0"/>
        <w:adjustRightInd w:val="0"/>
        <w:spacing w:after="0"/>
        <w:ind w:firstLine="709"/>
        <w:jc w:val="both"/>
        <w:rPr>
          <w:rFonts w:cs="Arial"/>
          <w:szCs w:val="20"/>
        </w:rPr>
      </w:pPr>
      <w:r w:rsidRPr="00A11DCB">
        <w:rPr>
          <w:rFonts w:cs="Arial"/>
          <w:szCs w:val="20"/>
        </w:rPr>
        <w:t>Srovnáme-li věkovou strukturu v subjektech fyzických a právnických osob, lze mezi nimi nalézt určité odlišnosti. V subjektech fyzických osob (většinou menších rodinných farem) je věkové rozložení rovnoměrnější a generace do 24 let je zastoupena více (6,4 %) než v subjektech právnických osob (5,7 %). Ještě výraznější rozdíl byl zaznamenán ve věkové skupině nad 65 let, která tvořila 19,9 % pracujících v subjektech fyzických osob, ale jen 4,2 % v subjektech právnických osob. I přes dotační tituly ze strukturálních fondů určené k podpoře mladých zemědělců podíl pracujících do 34 let v subjektech fyzických osob od roku 2000 klesl o 9,9 p. </w:t>
      </w:r>
      <w:proofErr w:type="spellStart"/>
      <w:r w:rsidRPr="00A11DCB">
        <w:rPr>
          <w:rFonts w:cs="Arial"/>
          <w:szCs w:val="20"/>
        </w:rPr>
        <w:t>b</w:t>
      </w:r>
      <w:proofErr w:type="spellEnd"/>
      <w:r w:rsidRPr="00A11DCB">
        <w:rPr>
          <w:rFonts w:cs="Arial"/>
          <w:szCs w:val="20"/>
        </w:rPr>
        <w:t>.; naopak podíl pracujících nad 55 let vzrostl o 31,1 p. </w:t>
      </w:r>
      <w:proofErr w:type="spellStart"/>
      <w:r w:rsidRPr="00A11DCB">
        <w:rPr>
          <w:rFonts w:cs="Arial"/>
          <w:szCs w:val="20"/>
        </w:rPr>
        <w:t>b</w:t>
      </w:r>
      <w:proofErr w:type="spellEnd"/>
      <w:r w:rsidRPr="00A11DCB">
        <w:rPr>
          <w:rFonts w:cs="Arial"/>
          <w:szCs w:val="20"/>
        </w:rPr>
        <w:t>. V subjektech právnických osob se tyto podíly změnily méně výrazně, zastoupení skupiny do 34 let kleslo o 2,4 </w:t>
      </w:r>
      <w:proofErr w:type="gramStart"/>
      <w:r w:rsidRPr="00A11DCB">
        <w:rPr>
          <w:rFonts w:cs="Arial"/>
          <w:szCs w:val="20"/>
        </w:rPr>
        <w:t>p. </w:t>
      </w:r>
      <w:proofErr w:type="spellStart"/>
      <w:r w:rsidRPr="00A11DCB">
        <w:rPr>
          <w:rFonts w:cs="Arial"/>
          <w:szCs w:val="20"/>
        </w:rPr>
        <w:t>b</w:t>
      </w:r>
      <w:proofErr w:type="spellEnd"/>
      <w:r w:rsidRPr="00A11DCB">
        <w:rPr>
          <w:rFonts w:cs="Arial"/>
          <w:szCs w:val="20"/>
        </w:rPr>
        <w:t>. a pro</w:t>
      </w:r>
      <w:proofErr w:type="gramEnd"/>
      <w:r w:rsidRPr="00A11DCB">
        <w:rPr>
          <w:rFonts w:cs="Arial"/>
          <w:szCs w:val="20"/>
        </w:rPr>
        <w:t xml:space="preserve"> skupinu nad 55 let vzrostlo o 16,8 p. </w:t>
      </w:r>
      <w:proofErr w:type="spellStart"/>
      <w:r w:rsidRPr="00A11DCB">
        <w:rPr>
          <w:rFonts w:cs="Arial"/>
          <w:szCs w:val="20"/>
        </w:rPr>
        <w:t>b</w:t>
      </w:r>
      <w:proofErr w:type="spellEnd"/>
      <w:r w:rsidRPr="00A11DCB">
        <w:rPr>
          <w:rFonts w:cs="Arial"/>
          <w:szCs w:val="20"/>
        </w:rPr>
        <w:t>.</w:t>
      </w:r>
    </w:p>
    <w:p w:rsidR="003F081A" w:rsidRDefault="003F081A" w:rsidP="003F081A">
      <w:pPr>
        <w:keepNext/>
        <w:spacing w:after="0"/>
        <w:jc w:val="both"/>
        <w:rPr>
          <w:rFonts w:cs="Arial"/>
          <w:b/>
          <w:bCs/>
          <w:szCs w:val="20"/>
        </w:rPr>
      </w:pPr>
    </w:p>
    <w:p w:rsidR="003F081A" w:rsidRPr="002E2B66" w:rsidRDefault="003F081A" w:rsidP="003F081A">
      <w:pPr>
        <w:keepNext/>
        <w:spacing w:after="0"/>
        <w:jc w:val="both"/>
        <w:rPr>
          <w:rFonts w:cs="Arial"/>
          <w:b/>
          <w:bCs/>
          <w:szCs w:val="20"/>
        </w:rPr>
      </w:pPr>
      <w:r w:rsidRPr="002E2B66">
        <w:rPr>
          <w:rFonts w:cs="Arial"/>
          <w:b/>
          <w:bCs/>
          <w:szCs w:val="20"/>
        </w:rPr>
        <w:t>Graf 15: Věková struktura pravidelně zaměstnaných pracujících</w:t>
      </w:r>
    </w:p>
    <w:p w:rsidR="003F081A" w:rsidRPr="005D4A39" w:rsidRDefault="003F081A" w:rsidP="003F081A">
      <w:pPr>
        <w:autoSpaceDE w:val="0"/>
        <w:autoSpaceDN w:val="0"/>
        <w:adjustRightInd w:val="0"/>
        <w:spacing w:after="0"/>
        <w:jc w:val="both"/>
        <w:rPr>
          <w:rFonts w:cs="Arial"/>
          <w:szCs w:val="20"/>
        </w:rPr>
      </w:pPr>
      <w:r w:rsidRPr="00B624D9">
        <w:rPr>
          <w:rFonts w:cs="Arial"/>
          <w:noProof/>
          <w:szCs w:val="20"/>
        </w:rPr>
        <w:drawing>
          <wp:inline distT="0" distB="0" distL="0" distR="0">
            <wp:extent cx="5915025" cy="2628900"/>
            <wp:effectExtent l="19050" t="0" r="0" b="0"/>
            <wp:docPr id="26" name="obrázek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2" cstate="print"/>
                    <a:srcRect/>
                    <a:stretch>
                      <a:fillRect/>
                    </a:stretch>
                  </pic:blipFill>
                  <pic:spPr bwMode="auto">
                    <a:xfrm>
                      <a:off x="0" y="0"/>
                      <a:ext cx="5915025" cy="2628900"/>
                    </a:xfrm>
                    <a:prstGeom prst="rect">
                      <a:avLst/>
                    </a:prstGeom>
                    <a:noFill/>
                  </pic:spPr>
                </pic:pic>
              </a:graphicData>
            </a:graphic>
          </wp:inline>
        </w:drawing>
      </w:r>
    </w:p>
    <w:p w:rsidR="003F081A" w:rsidRPr="002D0AA3" w:rsidRDefault="003F081A" w:rsidP="003F081A">
      <w:pPr>
        <w:autoSpaceDE w:val="0"/>
        <w:autoSpaceDN w:val="0"/>
        <w:adjustRightInd w:val="0"/>
        <w:spacing w:after="0"/>
        <w:jc w:val="both"/>
        <w:rPr>
          <w:rFonts w:cs="Arial"/>
          <w:bCs/>
          <w:color w:val="000000"/>
          <w:szCs w:val="20"/>
        </w:rPr>
      </w:pPr>
    </w:p>
    <w:p w:rsidR="003F081A" w:rsidRPr="00F51714" w:rsidRDefault="00F51714" w:rsidP="003F081A">
      <w:pPr>
        <w:autoSpaceDE w:val="0"/>
        <w:autoSpaceDN w:val="0"/>
        <w:adjustRightInd w:val="0"/>
        <w:spacing w:after="120"/>
        <w:jc w:val="both"/>
        <w:rPr>
          <w:rFonts w:cs="Arial"/>
          <w:b/>
          <w:bCs/>
          <w:color w:val="0071BC"/>
          <w:sz w:val="28"/>
          <w:szCs w:val="20"/>
        </w:rPr>
      </w:pPr>
      <w:r w:rsidRPr="00F51714">
        <w:rPr>
          <w:rFonts w:cs="Arial"/>
          <w:b/>
          <w:bCs/>
          <w:color w:val="0071BC"/>
          <w:sz w:val="28"/>
          <w:szCs w:val="20"/>
        </w:rPr>
        <w:t>Ženy v zemědělství</w:t>
      </w:r>
    </w:p>
    <w:p w:rsidR="003F081A" w:rsidRPr="00A11DCB" w:rsidRDefault="003F081A" w:rsidP="003F081A">
      <w:pPr>
        <w:autoSpaceDE w:val="0"/>
        <w:autoSpaceDN w:val="0"/>
        <w:adjustRightInd w:val="0"/>
        <w:spacing w:after="0"/>
        <w:ind w:firstLine="709"/>
        <w:jc w:val="both"/>
        <w:rPr>
          <w:rFonts w:cs="Arial"/>
          <w:szCs w:val="20"/>
        </w:rPr>
      </w:pPr>
      <w:r w:rsidRPr="00A11DCB">
        <w:rPr>
          <w:rFonts w:cs="Arial"/>
          <w:szCs w:val="20"/>
        </w:rPr>
        <w:t>Podíl žen na celkovém počtu pravidelně zaměstnaných pracujících se od roku 2000 nepatrně snížil z 34,4 % na 32,5 %. Jejich podíl výrazně vzrostl především ve věkové skupině nad 55 let (+22,7 p. </w:t>
      </w:r>
      <w:proofErr w:type="spellStart"/>
      <w:r w:rsidRPr="00A11DCB">
        <w:rPr>
          <w:rFonts w:cs="Arial"/>
          <w:szCs w:val="20"/>
        </w:rPr>
        <w:t>b</w:t>
      </w:r>
      <w:proofErr w:type="spellEnd"/>
      <w:r w:rsidRPr="00A11DCB">
        <w:rPr>
          <w:rFonts w:cs="Arial"/>
          <w:szCs w:val="20"/>
        </w:rPr>
        <w:t>.), zatímco ve věkové skupině do 34 let tento podíl klesl (</w:t>
      </w:r>
      <w:proofErr w:type="gramStart"/>
      <w:r w:rsidRPr="00A11DCB">
        <w:rPr>
          <w:rFonts w:cs="Arial"/>
          <w:sz w:val="18"/>
          <w:szCs w:val="20"/>
        </w:rPr>
        <w:t>−</w:t>
      </w:r>
      <w:r w:rsidRPr="00A11DCB">
        <w:rPr>
          <w:rFonts w:cs="Arial"/>
          <w:szCs w:val="20"/>
        </w:rPr>
        <w:t>2,5 p.</w:t>
      </w:r>
      <w:proofErr w:type="gramEnd"/>
      <w:r w:rsidRPr="00A11DCB">
        <w:rPr>
          <w:rFonts w:cs="Arial"/>
          <w:szCs w:val="20"/>
        </w:rPr>
        <w:t> </w:t>
      </w:r>
      <w:proofErr w:type="spellStart"/>
      <w:r w:rsidRPr="00A11DCB">
        <w:rPr>
          <w:rFonts w:cs="Arial"/>
          <w:szCs w:val="20"/>
        </w:rPr>
        <w:t>b</w:t>
      </w:r>
      <w:proofErr w:type="spellEnd"/>
      <w:r w:rsidRPr="00A11DCB">
        <w:rPr>
          <w:rFonts w:cs="Arial"/>
          <w:szCs w:val="20"/>
        </w:rPr>
        <w:t>.).</w:t>
      </w:r>
    </w:p>
    <w:p w:rsidR="003F081A" w:rsidRDefault="003F081A" w:rsidP="003F081A">
      <w:pPr>
        <w:autoSpaceDE w:val="0"/>
        <w:autoSpaceDN w:val="0"/>
        <w:adjustRightInd w:val="0"/>
        <w:spacing w:after="0"/>
        <w:ind w:firstLine="709"/>
        <w:jc w:val="both"/>
        <w:rPr>
          <w:rFonts w:cs="Arial"/>
          <w:szCs w:val="20"/>
        </w:rPr>
      </w:pPr>
      <w:r w:rsidRPr="00A11DCB">
        <w:rPr>
          <w:rFonts w:cs="Arial"/>
          <w:szCs w:val="20"/>
        </w:rPr>
        <w:t>V subjektech fyzických osob byl podíl žen o málo nižší (31,5 %) než v subjektech právnických osob (33,1 %). Od roku 2000 došlo v obou právních formách k odlišnému vývoji. V subjektech fyzických osob podíl žen vzrostl o 1,2 p. </w:t>
      </w:r>
      <w:proofErr w:type="spellStart"/>
      <w:r w:rsidRPr="00A11DCB">
        <w:rPr>
          <w:rFonts w:cs="Arial"/>
          <w:szCs w:val="20"/>
        </w:rPr>
        <w:t>b</w:t>
      </w:r>
      <w:proofErr w:type="spellEnd"/>
      <w:r w:rsidRPr="00A11DCB">
        <w:rPr>
          <w:rFonts w:cs="Arial"/>
          <w:szCs w:val="20"/>
        </w:rPr>
        <w:t>., zřejmě v souvislosti se zvyšujícím se podílem pracujících rodinných příslušníků; naopak v subjektech právnických osob podíl klesl o 3,0 p. </w:t>
      </w:r>
      <w:proofErr w:type="spellStart"/>
      <w:r w:rsidRPr="00A11DCB">
        <w:rPr>
          <w:rFonts w:cs="Arial"/>
          <w:szCs w:val="20"/>
        </w:rPr>
        <w:t>b</w:t>
      </w:r>
      <w:proofErr w:type="spellEnd"/>
      <w:r w:rsidRPr="00A11DCB">
        <w:rPr>
          <w:rFonts w:cs="Arial"/>
          <w:szCs w:val="20"/>
        </w:rPr>
        <w:t>.</w:t>
      </w:r>
      <w:r>
        <w:rPr>
          <w:rFonts w:cs="Arial"/>
          <w:szCs w:val="20"/>
        </w:rPr>
        <w:t xml:space="preserve"> </w:t>
      </w:r>
    </w:p>
    <w:p w:rsidR="002D21AB" w:rsidRPr="000E4EDA" w:rsidRDefault="002D21AB" w:rsidP="003F081A">
      <w:pPr>
        <w:spacing w:after="0"/>
      </w:pPr>
    </w:p>
    <w:sectPr w:rsidR="002D21AB" w:rsidRPr="000E4EDA" w:rsidSect="003C3CDD">
      <w:headerReference w:type="even" r:id="rId23"/>
      <w:footerReference w:type="even" r:id="rId24"/>
      <w:pgSz w:w="11906" w:h="16838" w:code="9"/>
      <w:pgMar w:top="1134" w:right="1134" w:bottom="1418" w:left="1134" w:header="510" w:footer="680" w:gutter="0"/>
      <w:pgNumType w:start="9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CF4" w:rsidRDefault="002C5CF4" w:rsidP="00E71A58">
      <w:r>
        <w:separator/>
      </w:r>
    </w:p>
  </w:endnote>
  <w:endnote w:type="continuationSeparator" w:id="0">
    <w:p w:rsidR="002C5CF4" w:rsidRDefault="002C5CF4"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E9" w:rsidRPr="00F1639F" w:rsidRDefault="002C1DA1"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8625" cy="201295"/>
                  </a:xfrm>
                  <a:prstGeom prst="rect">
                    <a:avLst/>
                  </a:prstGeom>
                  <a:noFill/>
                  <a:ln>
                    <a:noFill/>
                  </a:ln>
                </pic:spPr>
              </pic:pic>
            </a:graphicData>
          </a:graphic>
        </wp:anchor>
      </w:drawing>
    </w:r>
    <w:r w:rsidR="00B72876" w:rsidRPr="00F1639F">
      <w:rPr>
        <w:szCs w:val="16"/>
      </w:rPr>
      <w:fldChar w:fldCharType="begin"/>
    </w:r>
    <w:r w:rsidR="005647BF" w:rsidRPr="00F1639F">
      <w:rPr>
        <w:szCs w:val="16"/>
      </w:rPr>
      <w:instrText>PAGE   \* MERGEFORMAT</w:instrText>
    </w:r>
    <w:r w:rsidR="00B72876" w:rsidRPr="00F1639F">
      <w:rPr>
        <w:szCs w:val="16"/>
      </w:rPr>
      <w:fldChar w:fldCharType="separate"/>
    </w:r>
    <w:r w:rsidR="003C3CDD">
      <w:rPr>
        <w:szCs w:val="16"/>
      </w:rPr>
      <w:t>92</w:t>
    </w:r>
    <w:r w:rsidR="00B72876" w:rsidRPr="00F1639F">
      <w:rPr>
        <w:szCs w:val="16"/>
      </w:rPr>
      <w:fldChar w:fldCharType="end"/>
    </w:r>
    <w:r w:rsidR="005647BF" w:rsidRPr="00F1639F">
      <w:rPr>
        <w:szCs w:val="16"/>
      </w:rPr>
      <w:tab/>
    </w:r>
    <w:r w:rsidR="000E4EDA">
      <w:rPr>
        <w:szCs w:val="16"/>
      </w:rP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CF4" w:rsidRDefault="002C5CF4" w:rsidP="00E71A58">
      <w:r>
        <w:separator/>
      </w:r>
    </w:p>
  </w:footnote>
  <w:footnote w:type="continuationSeparator" w:id="0">
    <w:p w:rsidR="002C5CF4" w:rsidRDefault="002C5CF4"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DA" w:rsidRPr="00937AE2" w:rsidRDefault="000E4EDA" w:rsidP="000E4EDA">
    <w:pPr>
      <w:pStyle w:val="Zhlav"/>
    </w:pPr>
    <w:r>
      <w:t>Strukturální šetření v zemědělství – analytické vyhodnocení</w:t>
    </w:r>
  </w:p>
  <w:p w:rsidR="000E4EDA" w:rsidRDefault="000E4EDA" w:rsidP="000E4EDA">
    <w:pPr>
      <w:pStyle w:val="Zhlav"/>
      <w:rPr>
        <w:i/>
      </w:rPr>
    </w:pPr>
    <w:proofErr w:type="spellStart"/>
    <w:r>
      <w:rPr>
        <w:i/>
      </w:rPr>
      <w:t>Farm</w:t>
    </w:r>
    <w:proofErr w:type="spellEnd"/>
    <w:r>
      <w:rPr>
        <w:i/>
      </w:rPr>
      <w:t xml:space="preserve"> </w:t>
    </w:r>
    <w:proofErr w:type="spellStart"/>
    <w:r>
      <w:rPr>
        <w:i/>
      </w:rPr>
      <w:t>Structure</w:t>
    </w:r>
    <w:proofErr w:type="spellEnd"/>
    <w:r>
      <w:rPr>
        <w:i/>
      </w:rPr>
      <w:t xml:space="preserve"> </w:t>
    </w:r>
    <w:proofErr w:type="spellStart"/>
    <w:r>
      <w:rPr>
        <w:i/>
      </w:rPr>
      <w:t>Survey</w:t>
    </w:r>
    <w:proofErr w:type="spellEnd"/>
    <w:r>
      <w:rPr>
        <w:i/>
      </w:rPr>
      <w:t xml:space="preserve"> – </w:t>
    </w:r>
    <w:proofErr w:type="spellStart"/>
    <w:r>
      <w:rPr>
        <w:i/>
      </w:rPr>
      <w:t>analytical</w:t>
    </w:r>
    <w:proofErr w:type="spellEnd"/>
    <w:r>
      <w:rPr>
        <w:i/>
      </w:rPr>
      <w:t xml:space="preserve"> </w:t>
    </w:r>
    <w:proofErr w:type="spellStart"/>
    <w:r>
      <w:rPr>
        <w:i/>
      </w:rPr>
      <w:t>evaluation</w:t>
    </w:r>
    <w:proofErr w:type="spellEnd"/>
  </w:p>
  <w:p w:rsidR="00515C74" w:rsidRPr="000E4EDA" w:rsidRDefault="00515C74" w:rsidP="000E4ED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05pt;height:1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C122D89E">
      <w:start w:val="1"/>
      <w:numFmt w:val="decimal"/>
      <w:lvlText w:val="%1."/>
      <w:lvlJc w:val="left"/>
      <w:pPr>
        <w:ind w:left="720" w:hanging="360"/>
      </w:pPr>
    </w:lvl>
    <w:lvl w:ilvl="1" w:tplc="C78E1D0A" w:tentative="1">
      <w:start w:val="1"/>
      <w:numFmt w:val="lowerLetter"/>
      <w:lvlText w:val="%2."/>
      <w:lvlJc w:val="left"/>
      <w:pPr>
        <w:ind w:left="1440" w:hanging="360"/>
      </w:pPr>
    </w:lvl>
    <w:lvl w:ilvl="2" w:tplc="598474BA" w:tentative="1">
      <w:start w:val="1"/>
      <w:numFmt w:val="lowerRoman"/>
      <w:lvlText w:val="%3."/>
      <w:lvlJc w:val="right"/>
      <w:pPr>
        <w:ind w:left="2160" w:hanging="180"/>
      </w:pPr>
    </w:lvl>
    <w:lvl w:ilvl="3" w:tplc="749E53FC" w:tentative="1">
      <w:start w:val="1"/>
      <w:numFmt w:val="decimal"/>
      <w:lvlText w:val="%4."/>
      <w:lvlJc w:val="left"/>
      <w:pPr>
        <w:ind w:left="2880" w:hanging="360"/>
      </w:pPr>
    </w:lvl>
    <w:lvl w:ilvl="4" w:tplc="512EB03C" w:tentative="1">
      <w:start w:val="1"/>
      <w:numFmt w:val="lowerLetter"/>
      <w:lvlText w:val="%5."/>
      <w:lvlJc w:val="left"/>
      <w:pPr>
        <w:ind w:left="3600" w:hanging="360"/>
      </w:pPr>
    </w:lvl>
    <w:lvl w:ilvl="5" w:tplc="6C70823A" w:tentative="1">
      <w:start w:val="1"/>
      <w:numFmt w:val="lowerRoman"/>
      <w:lvlText w:val="%6."/>
      <w:lvlJc w:val="right"/>
      <w:pPr>
        <w:ind w:left="4320" w:hanging="180"/>
      </w:pPr>
    </w:lvl>
    <w:lvl w:ilvl="6" w:tplc="6EFA0B5C" w:tentative="1">
      <w:start w:val="1"/>
      <w:numFmt w:val="decimal"/>
      <w:lvlText w:val="%7."/>
      <w:lvlJc w:val="left"/>
      <w:pPr>
        <w:ind w:left="5040" w:hanging="360"/>
      </w:pPr>
    </w:lvl>
    <w:lvl w:ilvl="7" w:tplc="344E1ACE" w:tentative="1">
      <w:start w:val="1"/>
      <w:numFmt w:val="lowerLetter"/>
      <w:lvlText w:val="%8."/>
      <w:lvlJc w:val="left"/>
      <w:pPr>
        <w:ind w:left="5760" w:hanging="360"/>
      </w:pPr>
    </w:lvl>
    <w:lvl w:ilvl="8" w:tplc="A7C82B16" w:tentative="1">
      <w:start w:val="1"/>
      <w:numFmt w:val="lowerRoman"/>
      <w:lvlText w:val="%9."/>
      <w:lvlJc w:val="right"/>
      <w:pPr>
        <w:ind w:left="6480" w:hanging="180"/>
      </w:pPr>
    </w:lvl>
  </w:abstractNum>
  <w:abstractNum w:abstractNumId="12">
    <w:nsid w:val="4C581760"/>
    <w:multiLevelType w:val="hybridMultilevel"/>
    <w:tmpl w:val="CFEE9722"/>
    <w:lvl w:ilvl="0" w:tplc="B23C2178">
      <w:start w:val="1"/>
      <w:numFmt w:val="bullet"/>
      <w:lvlText w:val=""/>
      <w:lvlJc w:val="left"/>
      <w:pPr>
        <w:ind w:left="720" w:hanging="360"/>
      </w:pPr>
      <w:rPr>
        <w:rFonts w:ascii="Symbol" w:hAnsi="Symbol" w:hint="default"/>
      </w:rPr>
    </w:lvl>
    <w:lvl w:ilvl="1" w:tplc="6BB0BDB2" w:tentative="1">
      <w:start w:val="1"/>
      <w:numFmt w:val="bullet"/>
      <w:lvlText w:val="o"/>
      <w:lvlJc w:val="left"/>
      <w:pPr>
        <w:ind w:left="1440" w:hanging="360"/>
      </w:pPr>
      <w:rPr>
        <w:rFonts w:ascii="Courier New" w:hAnsi="Courier New" w:cs="Courier New" w:hint="default"/>
      </w:rPr>
    </w:lvl>
    <w:lvl w:ilvl="2" w:tplc="E2AC8BAE" w:tentative="1">
      <w:start w:val="1"/>
      <w:numFmt w:val="bullet"/>
      <w:lvlText w:val=""/>
      <w:lvlJc w:val="left"/>
      <w:pPr>
        <w:ind w:left="2160" w:hanging="360"/>
      </w:pPr>
      <w:rPr>
        <w:rFonts w:ascii="Wingdings" w:hAnsi="Wingdings" w:hint="default"/>
      </w:rPr>
    </w:lvl>
    <w:lvl w:ilvl="3" w:tplc="02607690" w:tentative="1">
      <w:start w:val="1"/>
      <w:numFmt w:val="bullet"/>
      <w:lvlText w:val=""/>
      <w:lvlJc w:val="left"/>
      <w:pPr>
        <w:ind w:left="2880" w:hanging="360"/>
      </w:pPr>
      <w:rPr>
        <w:rFonts w:ascii="Symbol" w:hAnsi="Symbol" w:hint="default"/>
      </w:rPr>
    </w:lvl>
    <w:lvl w:ilvl="4" w:tplc="DF44E42E" w:tentative="1">
      <w:start w:val="1"/>
      <w:numFmt w:val="bullet"/>
      <w:lvlText w:val="o"/>
      <w:lvlJc w:val="left"/>
      <w:pPr>
        <w:ind w:left="3600" w:hanging="360"/>
      </w:pPr>
      <w:rPr>
        <w:rFonts w:ascii="Courier New" w:hAnsi="Courier New" w:cs="Courier New" w:hint="default"/>
      </w:rPr>
    </w:lvl>
    <w:lvl w:ilvl="5" w:tplc="370C36CE" w:tentative="1">
      <w:start w:val="1"/>
      <w:numFmt w:val="bullet"/>
      <w:lvlText w:val=""/>
      <w:lvlJc w:val="left"/>
      <w:pPr>
        <w:ind w:left="4320" w:hanging="360"/>
      </w:pPr>
      <w:rPr>
        <w:rFonts w:ascii="Wingdings" w:hAnsi="Wingdings" w:hint="default"/>
      </w:rPr>
    </w:lvl>
    <w:lvl w:ilvl="6" w:tplc="01383486" w:tentative="1">
      <w:start w:val="1"/>
      <w:numFmt w:val="bullet"/>
      <w:lvlText w:val=""/>
      <w:lvlJc w:val="left"/>
      <w:pPr>
        <w:ind w:left="5040" w:hanging="360"/>
      </w:pPr>
      <w:rPr>
        <w:rFonts w:ascii="Symbol" w:hAnsi="Symbol" w:hint="default"/>
      </w:rPr>
    </w:lvl>
    <w:lvl w:ilvl="7" w:tplc="864A5FB4" w:tentative="1">
      <w:start w:val="1"/>
      <w:numFmt w:val="bullet"/>
      <w:lvlText w:val="o"/>
      <w:lvlJc w:val="left"/>
      <w:pPr>
        <w:ind w:left="5760" w:hanging="360"/>
      </w:pPr>
      <w:rPr>
        <w:rFonts w:ascii="Courier New" w:hAnsi="Courier New" w:cs="Courier New" w:hint="default"/>
      </w:rPr>
    </w:lvl>
    <w:lvl w:ilvl="8" w:tplc="E3DACDEE" w:tentative="1">
      <w:start w:val="1"/>
      <w:numFmt w:val="bullet"/>
      <w:lvlText w:val=""/>
      <w:lvlJc w:val="left"/>
      <w:pPr>
        <w:ind w:left="6480" w:hanging="360"/>
      </w:pPr>
      <w:rPr>
        <w:rFonts w:ascii="Wingdings" w:hAnsi="Wingdings" w:hint="default"/>
      </w:rPr>
    </w:lvl>
  </w:abstractNum>
  <w:abstractNum w:abstractNumId="13">
    <w:nsid w:val="5FCC6FE2"/>
    <w:multiLevelType w:val="hybridMultilevel"/>
    <w:tmpl w:val="05A03090"/>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4">
    <w:nsid w:val="71DC430A"/>
    <w:multiLevelType w:val="multilevel"/>
    <w:tmpl w:val="2F96E3F4"/>
    <w:lvl w:ilvl="0">
      <w:start w:val="6"/>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15362">
      <o:colormru v:ext="edit" colors="#ecf4dd,#eaecee,#fcec0a,#fcecdb,#f1daf5"/>
    </o:shapedefaults>
  </w:hdrShapeDefaults>
  <w:footnotePr>
    <w:footnote w:id="-1"/>
    <w:footnote w:id="0"/>
  </w:footnotePr>
  <w:endnotePr>
    <w:endnote w:id="-1"/>
    <w:endnote w:id="0"/>
  </w:endnotePr>
  <w:compat/>
  <w:rsids>
    <w:rsidRoot w:val="00967591"/>
    <w:rsid w:val="0000209D"/>
    <w:rsid w:val="00003B14"/>
    <w:rsid w:val="00004D5A"/>
    <w:rsid w:val="000056D5"/>
    <w:rsid w:val="0000767A"/>
    <w:rsid w:val="00010702"/>
    <w:rsid w:val="000234D6"/>
    <w:rsid w:val="00023D29"/>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74D1"/>
    <w:rsid w:val="0009799E"/>
    <w:rsid w:val="000A1183"/>
    <w:rsid w:val="000A256D"/>
    <w:rsid w:val="000A3A2C"/>
    <w:rsid w:val="000B1F43"/>
    <w:rsid w:val="000C3156"/>
    <w:rsid w:val="000C3408"/>
    <w:rsid w:val="000C6AFD"/>
    <w:rsid w:val="000D5637"/>
    <w:rsid w:val="000E08E4"/>
    <w:rsid w:val="000E4EDA"/>
    <w:rsid w:val="000E6FBD"/>
    <w:rsid w:val="00100F5C"/>
    <w:rsid w:val="00101A30"/>
    <w:rsid w:val="00104C4C"/>
    <w:rsid w:val="0012192F"/>
    <w:rsid w:val="00125D69"/>
    <w:rsid w:val="001405FA"/>
    <w:rsid w:val="001425C3"/>
    <w:rsid w:val="0016256B"/>
    <w:rsid w:val="00163793"/>
    <w:rsid w:val="001706D6"/>
    <w:rsid w:val="001714F2"/>
    <w:rsid w:val="00184B08"/>
    <w:rsid w:val="00185010"/>
    <w:rsid w:val="001A552F"/>
    <w:rsid w:val="001B129C"/>
    <w:rsid w:val="001B2CA9"/>
    <w:rsid w:val="001B3110"/>
    <w:rsid w:val="001B4729"/>
    <w:rsid w:val="001B6C09"/>
    <w:rsid w:val="001C05CD"/>
    <w:rsid w:val="001D4026"/>
    <w:rsid w:val="001D68B2"/>
    <w:rsid w:val="001F4597"/>
    <w:rsid w:val="002118B9"/>
    <w:rsid w:val="00217C5B"/>
    <w:rsid w:val="0022139E"/>
    <w:rsid w:val="002252E0"/>
    <w:rsid w:val="002255F6"/>
    <w:rsid w:val="00227850"/>
    <w:rsid w:val="00230C6E"/>
    <w:rsid w:val="00236443"/>
    <w:rsid w:val="002436BA"/>
    <w:rsid w:val="00244A15"/>
    <w:rsid w:val="00247319"/>
    <w:rsid w:val="0024799E"/>
    <w:rsid w:val="00253C0F"/>
    <w:rsid w:val="00271465"/>
    <w:rsid w:val="00285412"/>
    <w:rsid w:val="002A16D4"/>
    <w:rsid w:val="002A230C"/>
    <w:rsid w:val="002C1DA1"/>
    <w:rsid w:val="002C43BD"/>
    <w:rsid w:val="002C5CF4"/>
    <w:rsid w:val="002D0E59"/>
    <w:rsid w:val="002D21AB"/>
    <w:rsid w:val="002E02A1"/>
    <w:rsid w:val="002E4E4C"/>
    <w:rsid w:val="00304771"/>
    <w:rsid w:val="003052D4"/>
    <w:rsid w:val="00306C5B"/>
    <w:rsid w:val="003209D6"/>
    <w:rsid w:val="003223A0"/>
    <w:rsid w:val="0032656E"/>
    <w:rsid w:val="00332190"/>
    <w:rsid w:val="00344668"/>
    <w:rsid w:val="003462D9"/>
    <w:rsid w:val="003657F3"/>
    <w:rsid w:val="003818DC"/>
    <w:rsid w:val="00385D98"/>
    <w:rsid w:val="003A2B4D"/>
    <w:rsid w:val="003A478C"/>
    <w:rsid w:val="003A5525"/>
    <w:rsid w:val="003A6B38"/>
    <w:rsid w:val="003B5A32"/>
    <w:rsid w:val="003C3490"/>
    <w:rsid w:val="003C3CDD"/>
    <w:rsid w:val="003D6920"/>
    <w:rsid w:val="003E4C91"/>
    <w:rsid w:val="003F081A"/>
    <w:rsid w:val="003F313C"/>
    <w:rsid w:val="003F551C"/>
    <w:rsid w:val="00407C13"/>
    <w:rsid w:val="00410638"/>
    <w:rsid w:val="00432A58"/>
    <w:rsid w:val="00434617"/>
    <w:rsid w:val="00436177"/>
    <w:rsid w:val="00440900"/>
    <w:rsid w:val="004441A0"/>
    <w:rsid w:val="00476240"/>
    <w:rsid w:val="00476439"/>
    <w:rsid w:val="0047735C"/>
    <w:rsid w:val="004776BC"/>
    <w:rsid w:val="0048139F"/>
    <w:rsid w:val="00481E40"/>
    <w:rsid w:val="00484ECE"/>
    <w:rsid w:val="004915CB"/>
    <w:rsid w:val="00492436"/>
    <w:rsid w:val="004A1719"/>
    <w:rsid w:val="004A3212"/>
    <w:rsid w:val="004A61C5"/>
    <w:rsid w:val="004A77DF"/>
    <w:rsid w:val="004B1417"/>
    <w:rsid w:val="004B55B7"/>
    <w:rsid w:val="004B6468"/>
    <w:rsid w:val="004C384C"/>
    <w:rsid w:val="004C3867"/>
    <w:rsid w:val="004C4CD0"/>
    <w:rsid w:val="004C70DC"/>
    <w:rsid w:val="004D0211"/>
    <w:rsid w:val="004D0794"/>
    <w:rsid w:val="004D6B1B"/>
    <w:rsid w:val="004F06F5"/>
    <w:rsid w:val="004F2B9C"/>
    <w:rsid w:val="004F33A0"/>
    <w:rsid w:val="005108C0"/>
    <w:rsid w:val="00511873"/>
    <w:rsid w:val="00512A2F"/>
    <w:rsid w:val="00513B7E"/>
    <w:rsid w:val="00515C74"/>
    <w:rsid w:val="0052007E"/>
    <w:rsid w:val="0052337A"/>
    <w:rsid w:val="00525137"/>
    <w:rsid w:val="005251DD"/>
    <w:rsid w:val="00532CE7"/>
    <w:rsid w:val="0053324C"/>
    <w:rsid w:val="00534715"/>
    <w:rsid w:val="00534A28"/>
    <w:rsid w:val="00537EDF"/>
    <w:rsid w:val="00541508"/>
    <w:rsid w:val="0055599F"/>
    <w:rsid w:val="00556D68"/>
    <w:rsid w:val="005647BF"/>
    <w:rsid w:val="0057364B"/>
    <w:rsid w:val="00574773"/>
    <w:rsid w:val="00583FFD"/>
    <w:rsid w:val="0058471B"/>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24D3D"/>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B344A"/>
    <w:rsid w:val="006B78D8"/>
    <w:rsid w:val="006C113F"/>
    <w:rsid w:val="006C56D4"/>
    <w:rsid w:val="006C6924"/>
    <w:rsid w:val="006C7CA6"/>
    <w:rsid w:val="006D3E8A"/>
    <w:rsid w:val="006D61F6"/>
    <w:rsid w:val="006E279A"/>
    <w:rsid w:val="006E313B"/>
    <w:rsid w:val="006E3C94"/>
    <w:rsid w:val="00706AD4"/>
    <w:rsid w:val="007140BE"/>
    <w:rsid w:val="007211F5"/>
    <w:rsid w:val="00725BB5"/>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A1817"/>
    <w:rsid w:val="007B6689"/>
    <w:rsid w:val="007D40DF"/>
    <w:rsid w:val="007E49E9"/>
    <w:rsid w:val="007E6EC0"/>
    <w:rsid w:val="007E7E61"/>
    <w:rsid w:val="007F0845"/>
    <w:rsid w:val="007F2599"/>
    <w:rsid w:val="00801EC2"/>
    <w:rsid w:val="00807C82"/>
    <w:rsid w:val="00816905"/>
    <w:rsid w:val="00821FF6"/>
    <w:rsid w:val="00827A34"/>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65EDC"/>
    <w:rsid w:val="008701E4"/>
    <w:rsid w:val="00875A32"/>
    <w:rsid w:val="00876086"/>
    <w:rsid w:val="008873D4"/>
    <w:rsid w:val="00893E85"/>
    <w:rsid w:val="00894031"/>
    <w:rsid w:val="008B7C02"/>
    <w:rsid w:val="008B7D2B"/>
    <w:rsid w:val="008C0049"/>
    <w:rsid w:val="008C0E88"/>
    <w:rsid w:val="008D1E6A"/>
    <w:rsid w:val="008D2A16"/>
    <w:rsid w:val="008E2C57"/>
    <w:rsid w:val="008E31FF"/>
    <w:rsid w:val="008E6F06"/>
    <w:rsid w:val="008F029B"/>
    <w:rsid w:val="008F3FC9"/>
    <w:rsid w:val="008F585B"/>
    <w:rsid w:val="009003A8"/>
    <w:rsid w:val="00902500"/>
    <w:rsid w:val="00902EFF"/>
    <w:rsid w:val="0091155E"/>
    <w:rsid w:val="00912A92"/>
    <w:rsid w:val="0091728D"/>
    <w:rsid w:val="0092180B"/>
    <w:rsid w:val="00921F14"/>
    <w:rsid w:val="00924AC8"/>
    <w:rsid w:val="0092597A"/>
    <w:rsid w:val="00930CFE"/>
    <w:rsid w:val="00937AE2"/>
    <w:rsid w:val="0094427A"/>
    <w:rsid w:val="00956240"/>
    <w:rsid w:val="00967591"/>
    <w:rsid w:val="00973DFD"/>
    <w:rsid w:val="00974923"/>
    <w:rsid w:val="00980D3D"/>
    <w:rsid w:val="00992CF3"/>
    <w:rsid w:val="009968D6"/>
    <w:rsid w:val="009A1CAB"/>
    <w:rsid w:val="009A60D1"/>
    <w:rsid w:val="009B6FD3"/>
    <w:rsid w:val="009C1750"/>
    <w:rsid w:val="009C2E29"/>
    <w:rsid w:val="009C554B"/>
    <w:rsid w:val="009C719E"/>
    <w:rsid w:val="009D3ACD"/>
    <w:rsid w:val="009E5DDB"/>
    <w:rsid w:val="009F4CA7"/>
    <w:rsid w:val="00A10D66"/>
    <w:rsid w:val="00A14114"/>
    <w:rsid w:val="00A23E43"/>
    <w:rsid w:val="00A30F65"/>
    <w:rsid w:val="00A316E6"/>
    <w:rsid w:val="00A418BC"/>
    <w:rsid w:val="00A46DE0"/>
    <w:rsid w:val="00A50D73"/>
    <w:rsid w:val="00A52CAD"/>
    <w:rsid w:val="00A53FC7"/>
    <w:rsid w:val="00A62CE1"/>
    <w:rsid w:val="00A63E1D"/>
    <w:rsid w:val="00A6741E"/>
    <w:rsid w:val="00A75E40"/>
    <w:rsid w:val="00A77D1D"/>
    <w:rsid w:val="00A857C0"/>
    <w:rsid w:val="00AA2996"/>
    <w:rsid w:val="00AA52BF"/>
    <w:rsid w:val="00AA559A"/>
    <w:rsid w:val="00AB2AF1"/>
    <w:rsid w:val="00AD306C"/>
    <w:rsid w:val="00AE09B3"/>
    <w:rsid w:val="00AE1A83"/>
    <w:rsid w:val="00AE68B3"/>
    <w:rsid w:val="00B00913"/>
    <w:rsid w:val="00B01593"/>
    <w:rsid w:val="00B10A4D"/>
    <w:rsid w:val="00B17E71"/>
    <w:rsid w:val="00B17FDE"/>
    <w:rsid w:val="00B2379C"/>
    <w:rsid w:val="00B2687D"/>
    <w:rsid w:val="00B32DDB"/>
    <w:rsid w:val="00B34528"/>
    <w:rsid w:val="00B402FC"/>
    <w:rsid w:val="00B46604"/>
    <w:rsid w:val="00B5407E"/>
    <w:rsid w:val="00B55F5E"/>
    <w:rsid w:val="00B5752E"/>
    <w:rsid w:val="00B63A11"/>
    <w:rsid w:val="00B64C24"/>
    <w:rsid w:val="00B6608F"/>
    <w:rsid w:val="00B679FB"/>
    <w:rsid w:val="00B72876"/>
    <w:rsid w:val="00B76D1E"/>
    <w:rsid w:val="00B80EC6"/>
    <w:rsid w:val="00B846A0"/>
    <w:rsid w:val="00B92D1D"/>
    <w:rsid w:val="00B938C5"/>
    <w:rsid w:val="00B95940"/>
    <w:rsid w:val="00B95EC0"/>
    <w:rsid w:val="00BB46F3"/>
    <w:rsid w:val="00BB4CB1"/>
    <w:rsid w:val="00BB4F98"/>
    <w:rsid w:val="00BC45C0"/>
    <w:rsid w:val="00BC7154"/>
    <w:rsid w:val="00BD1B77"/>
    <w:rsid w:val="00BD366B"/>
    <w:rsid w:val="00BD6D50"/>
    <w:rsid w:val="00BE18B9"/>
    <w:rsid w:val="00BE2495"/>
    <w:rsid w:val="00BF1578"/>
    <w:rsid w:val="00BF2DCC"/>
    <w:rsid w:val="00C21F94"/>
    <w:rsid w:val="00C2419C"/>
    <w:rsid w:val="00C27913"/>
    <w:rsid w:val="00C33B68"/>
    <w:rsid w:val="00C36A79"/>
    <w:rsid w:val="00C405D4"/>
    <w:rsid w:val="00C4513B"/>
    <w:rsid w:val="00C54697"/>
    <w:rsid w:val="00C73885"/>
    <w:rsid w:val="00C747B1"/>
    <w:rsid w:val="00C82191"/>
    <w:rsid w:val="00C90CF4"/>
    <w:rsid w:val="00C92EB6"/>
    <w:rsid w:val="00C93389"/>
    <w:rsid w:val="00C97864"/>
    <w:rsid w:val="00CA1402"/>
    <w:rsid w:val="00CA1E0A"/>
    <w:rsid w:val="00CB2F47"/>
    <w:rsid w:val="00CB4930"/>
    <w:rsid w:val="00CC2E7D"/>
    <w:rsid w:val="00CD10A5"/>
    <w:rsid w:val="00CD2076"/>
    <w:rsid w:val="00CE670B"/>
    <w:rsid w:val="00CF51EC"/>
    <w:rsid w:val="00CF73AE"/>
    <w:rsid w:val="00D040DD"/>
    <w:rsid w:val="00D13986"/>
    <w:rsid w:val="00D25F28"/>
    <w:rsid w:val="00D27973"/>
    <w:rsid w:val="00D501F5"/>
    <w:rsid w:val="00D50F46"/>
    <w:rsid w:val="00D66223"/>
    <w:rsid w:val="00D8084C"/>
    <w:rsid w:val="00DA04CA"/>
    <w:rsid w:val="00DA7C0C"/>
    <w:rsid w:val="00DB2EC8"/>
    <w:rsid w:val="00DC5B3B"/>
    <w:rsid w:val="00DD129F"/>
    <w:rsid w:val="00DD685B"/>
    <w:rsid w:val="00DF42FF"/>
    <w:rsid w:val="00DF5A39"/>
    <w:rsid w:val="00E01C0E"/>
    <w:rsid w:val="00E03F9A"/>
    <w:rsid w:val="00E04694"/>
    <w:rsid w:val="00E11B4B"/>
    <w:rsid w:val="00E12B1E"/>
    <w:rsid w:val="00E17262"/>
    <w:rsid w:val="00E253A2"/>
    <w:rsid w:val="00E3156F"/>
    <w:rsid w:val="00E3309D"/>
    <w:rsid w:val="00E50156"/>
    <w:rsid w:val="00E53470"/>
    <w:rsid w:val="00E539F6"/>
    <w:rsid w:val="00E6072C"/>
    <w:rsid w:val="00E6519D"/>
    <w:rsid w:val="00E67696"/>
    <w:rsid w:val="00E71A58"/>
    <w:rsid w:val="00E72A7A"/>
    <w:rsid w:val="00E75C94"/>
    <w:rsid w:val="00E93820"/>
    <w:rsid w:val="00E946B4"/>
    <w:rsid w:val="00EA0C68"/>
    <w:rsid w:val="00EB1AB6"/>
    <w:rsid w:val="00EC03D7"/>
    <w:rsid w:val="00ED62C6"/>
    <w:rsid w:val="00ED64C1"/>
    <w:rsid w:val="00EE3446"/>
    <w:rsid w:val="00EE3E78"/>
    <w:rsid w:val="00EE4B1B"/>
    <w:rsid w:val="00EF150D"/>
    <w:rsid w:val="00EF1F5A"/>
    <w:rsid w:val="00F04811"/>
    <w:rsid w:val="00F0488C"/>
    <w:rsid w:val="00F15AAA"/>
    <w:rsid w:val="00F15BEF"/>
    <w:rsid w:val="00F1639F"/>
    <w:rsid w:val="00F24407"/>
    <w:rsid w:val="00F24FAA"/>
    <w:rsid w:val="00F3364D"/>
    <w:rsid w:val="00F437CC"/>
    <w:rsid w:val="00F46FCF"/>
    <w:rsid w:val="00F47067"/>
    <w:rsid w:val="00F51714"/>
    <w:rsid w:val="00F525EB"/>
    <w:rsid w:val="00F63DDE"/>
    <w:rsid w:val="00F63FB7"/>
    <w:rsid w:val="00F649D2"/>
    <w:rsid w:val="00F6602B"/>
    <w:rsid w:val="00F73A0C"/>
    <w:rsid w:val="00F756DB"/>
    <w:rsid w:val="00F85066"/>
    <w:rsid w:val="00FA27F8"/>
    <w:rsid w:val="00FA5D4D"/>
    <w:rsid w:val="00FA7A9B"/>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qFormat/>
    <w:rsid w:val="00100F5C"/>
    <w:pPr>
      <w:keepNext/>
      <w:keepLines/>
      <w:spacing w:after="100" w:line="288" w:lineRule="auto"/>
      <w:contextualSpacing/>
      <w:outlineLvl w:val="0"/>
    </w:pPr>
    <w:rPr>
      <w:rFonts w:ascii="Arial" w:eastAsia="MS Gothic" w:hAnsi="Arial"/>
      <w:b/>
      <w:bCs/>
      <w:color w:val="0071BC"/>
      <w:sz w:val="32"/>
      <w:szCs w:val="28"/>
      <w:lang w:eastAsia="cs-CZ"/>
    </w:rPr>
  </w:style>
  <w:style w:type="paragraph" w:styleId="Nadpis2">
    <w:name w:val="heading 2"/>
    <w:next w:val="Normln"/>
    <w:link w:val="Nadpis2Char"/>
    <w:qFormat/>
    <w:rsid w:val="00A14114"/>
    <w:pPr>
      <w:keepNext/>
      <w:keepLines/>
      <w:spacing w:line="288" w:lineRule="auto"/>
      <w:outlineLvl w:val="1"/>
    </w:pPr>
    <w:rPr>
      <w:rFonts w:ascii="Arial" w:eastAsia="MS Gothic" w:hAnsi="Arial"/>
      <w:b/>
      <w:bCs/>
      <w:color w:val="0071BC"/>
      <w:sz w:val="28"/>
      <w:szCs w:val="26"/>
      <w:lang w:eastAsia="cs-CZ"/>
    </w:rPr>
  </w:style>
  <w:style w:type="paragraph" w:styleId="Nadpis3">
    <w:name w:val="heading 3"/>
    <w:next w:val="Normln"/>
    <w:link w:val="Nadpis3Char"/>
    <w:uiPriority w:val="9"/>
    <w:qFormat/>
    <w:rsid w:val="00A77D1D"/>
    <w:pPr>
      <w:keepNext/>
      <w:keepLines/>
      <w:spacing w:line="288" w:lineRule="auto"/>
      <w:outlineLvl w:val="2"/>
    </w:pPr>
    <w:rPr>
      <w:rFonts w:ascii="Arial" w:eastAsia="MS Gothic" w:hAnsi="Arial"/>
      <w:b/>
      <w:bCs/>
      <w:color w:val="0071BC"/>
      <w:sz w:val="24"/>
      <w:szCs w:val="24"/>
      <w:lang w:eastAsia="cs-CZ"/>
    </w:rPr>
  </w:style>
  <w:style w:type="paragraph" w:styleId="Nadpis4">
    <w:name w:val="heading 4"/>
    <w:next w:val="Normln"/>
    <w:link w:val="Nadpis4Char"/>
    <w:uiPriority w:val="9"/>
    <w:qFormat/>
    <w:rsid w:val="00A77D1D"/>
    <w:pPr>
      <w:keepNext/>
      <w:keepLines/>
      <w:spacing w:line="288" w:lineRule="auto"/>
      <w:outlineLvl w:val="3"/>
    </w:pPr>
    <w:rPr>
      <w:rFonts w:ascii="Arial" w:eastAsia="MS Gothic" w:hAnsi="Arial"/>
      <w:b/>
      <w:bCs/>
      <w:iCs/>
      <w:color w:val="BD1B21"/>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00F5C"/>
    <w:rPr>
      <w:rFonts w:ascii="Arial" w:eastAsia="MS Gothic" w:hAnsi="Arial"/>
      <w:b/>
      <w:bCs/>
      <w:color w:val="0071BC"/>
      <w:sz w:val="32"/>
      <w:szCs w:val="28"/>
    </w:rPr>
  </w:style>
  <w:style w:type="character" w:customStyle="1" w:styleId="Nadpis2Char">
    <w:name w:val="Nadpis 2 Char"/>
    <w:link w:val="Nadpis2"/>
    <w:rsid w:val="00A14114"/>
    <w:rPr>
      <w:rFonts w:ascii="Arial" w:eastAsia="MS Gothic" w:hAnsi="Arial"/>
      <w:b/>
      <w:bCs/>
      <w:color w:val="0071BC"/>
      <w:sz w:val="28"/>
      <w:szCs w:val="26"/>
    </w:rPr>
  </w:style>
  <w:style w:type="character" w:customStyle="1" w:styleId="Nadpis3Char">
    <w:name w:val="Nadpis 3 Char"/>
    <w:link w:val="Nadpis3"/>
    <w:uiPriority w:val="9"/>
    <w:rsid w:val="00A77D1D"/>
    <w:rPr>
      <w:rFonts w:ascii="Arial" w:eastAsia="MS Gothic" w:hAnsi="Arial" w:cs="Times New Roman"/>
      <w:b/>
      <w:bCs/>
      <w:color w:val="0071BC"/>
      <w:sz w:val="24"/>
      <w:szCs w:val="24"/>
    </w:rPr>
  </w:style>
  <w:style w:type="character" w:customStyle="1" w:styleId="Nadpis4Char">
    <w:name w:val="Nadpis 4 Char"/>
    <w:link w:val="Nadpis4"/>
    <w:uiPriority w:val="9"/>
    <w:rsid w:val="00A77D1D"/>
    <w:rPr>
      <w:rFonts w:ascii="Arial" w:eastAsia="MS Gothic" w:hAnsi="Arial" w:cs="Times New Roman"/>
      <w:b/>
      <w:bCs/>
      <w:iCs/>
      <w:color w:val="BD1B21"/>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55202"/>
    <w:pPr>
      <w:spacing w:after="80" w:line="288" w:lineRule="auto"/>
    </w:pPr>
    <w:rPr>
      <w:rFonts w:ascii="Arial" w:eastAsia="Times New Roman" w:hAnsi="Arial"/>
      <w:b/>
      <w:color w:val="0071B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A14114"/>
    <w:pPr>
      <w:shd w:val="clear" w:color="auto" w:fill="D9EAF5"/>
      <w:spacing w:before="240" w:after="240" w:line="288" w:lineRule="auto"/>
      <w:ind w:left="709"/>
      <w:contextualSpacing/>
    </w:pPr>
    <w:rPr>
      <w:rFonts w:ascii="Arial" w:hAnsi="Arial" w:cs="Arial"/>
      <w:lang w:eastAsia="cs-CZ"/>
    </w:rPr>
  </w:style>
  <w:style w:type="paragraph" w:customStyle="1" w:styleId="Box2">
    <w:name w:val="Box 2"/>
    <w:qFormat/>
    <w:rsid w:val="00A14114"/>
    <w:pPr>
      <w:spacing w:before="240" w:after="240" w:line="288" w:lineRule="auto"/>
      <w:ind w:left="709"/>
      <w:contextualSpacing/>
    </w:pPr>
    <w:rPr>
      <w:rFonts w:ascii="Arial" w:hAnsi="Arial" w:cs="Arial"/>
      <w:color w:val="0071B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uiPriority w:val="11"/>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uiPriority w:val="11"/>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Normlnweb">
    <w:name w:val="Normal (Web)"/>
    <w:basedOn w:val="Normln"/>
    <w:uiPriority w:val="99"/>
    <w:unhideWhenUsed/>
    <w:rsid w:val="003F081A"/>
    <w:pPr>
      <w:spacing w:before="100" w:beforeAutospacing="1" w:after="100" w:afterAutospacing="1" w:line="240" w:lineRule="auto"/>
      <w:jc w:val="both"/>
    </w:pPr>
    <w:rPr>
      <w:rFonts w:ascii="Times New Roman" w:hAnsi="Times New Roman"/>
      <w:sz w:val="24"/>
    </w:rPr>
  </w:style>
  <w:style w:type="paragraph" w:styleId="Odstavecseseznamem">
    <w:name w:val="List Paragraph"/>
    <w:basedOn w:val="Normln"/>
    <w:uiPriority w:val="34"/>
    <w:qFormat/>
    <w:rsid w:val="003F081A"/>
    <w:pPr>
      <w:spacing w:after="0" w:line="20" w:lineRule="atLeast"/>
      <w:ind w:left="720"/>
      <w:contextualSpacing/>
      <w:jc w:val="both"/>
    </w:pPr>
    <w:rPr>
      <w:rFonts w:asciiTheme="minorHAnsi" w:eastAsiaTheme="minorHAnsi" w:hAnsiTheme="minorHAnsi" w:cstheme="minorBidi"/>
      <w:sz w:val="22"/>
      <w:szCs w:val="22"/>
      <w:lang w:eastAsia="en-US"/>
    </w:rPr>
  </w:style>
  <w:style w:type="paragraph" w:styleId="Zkladntext2">
    <w:name w:val="Body Text 2"/>
    <w:basedOn w:val="Normln"/>
    <w:link w:val="Zkladntext2Char"/>
    <w:semiHidden/>
    <w:rsid w:val="003F081A"/>
    <w:pPr>
      <w:autoSpaceDE w:val="0"/>
      <w:autoSpaceDN w:val="0"/>
      <w:adjustRightInd w:val="0"/>
      <w:spacing w:after="0" w:line="240" w:lineRule="auto"/>
      <w:jc w:val="both"/>
    </w:pPr>
    <w:rPr>
      <w:rFonts w:cs="Arial"/>
      <w:color w:val="000000"/>
      <w:szCs w:val="16"/>
    </w:rPr>
  </w:style>
  <w:style w:type="character" w:customStyle="1" w:styleId="Zkladntext2Char">
    <w:name w:val="Základní text 2 Char"/>
    <w:basedOn w:val="Standardnpsmoodstavce"/>
    <w:link w:val="Zkladntext2"/>
    <w:semiHidden/>
    <w:rsid w:val="003F081A"/>
    <w:rPr>
      <w:rFonts w:ascii="Arial" w:eastAsia="Times New Roman" w:hAnsi="Arial" w:cs="Arial"/>
      <w:color w:val="000000"/>
      <w:szCs w:val="16"/>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image" Target="media/image15.emf"/></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OVA~1\AppData\Local\Temp\Publikace%20bar%20CZ-EN_2017-08-14-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225;ca\FSS%202016\anal&#253;za\tabulky_grafy%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4"/>
  <c:chart>
    <c:autoTitleDeleted val="1"/>
    <c:plotArea>
      <c:layout>
        <c:manualLayout>
          <c:layoutTarget val="inner"/>
          <c:xMode val="edge"/>
          <c:yMode val="edge"/>
          <c:x val="4.4893434343435137E-2"/>
          <c:y val="9.3238541666667243E-2"/>
          <c:w val="0.84583114478114452"/>
          <c:h val="0.80787326388889313"/>
        </c:manualLayout>
      </c:layout>
      <c:ofPieChart>
        <c:ofPieType val="bar"/>
        <c:varyColors val="1"/>
        <c:ser>
          <c:idx val="0"/>
          <c:order val="0"/>
          <c:spPr>
            <a:ln w="3175">
              <a:solidFill>
                <a:sysClr val="windowText" lastClr="000000"/>
              </a:solidFill>
            </a:ln>
          </c:spPr>
          <c:dPt>
            <c:idx val="0"/>
            <c:spPr>
              <a:solidFill>
                <a:srgbClr val="C7DAC8"/>
              </a:solidFill>
              <a:ln w="3175">
                <a:solidFill>
                  <a:sysClr val="windowText" lastClr="000000"/>
                </a:solidFill>
              </a:ln>
            </c:spPr>
          </c:dPt>
          <c:dPt>
            <c:idx val="1"/>
            <c:spPr>
              <a:solidFill>
                <a:srgbClr val="3D5D40"/>
              </a:solidFill>
              <a:ln w="3175">
                <a:solidFill>
                  <a:sysClr val="windowText" lastClr="000000"/>
                </a:solidFill>
              </a:ln>
            </c:spPr>
          </c:dPt>
          <c:dPt>
            <c:idx val="2"/>
            <c:spPr>
              <a:solidFill>
                <a:srgbClr val="B1A35A"/>
              </a:solidFill>
              <a:ln w="3175">
                <a:solidFill>
                  <a:sysClr val="windowText" lastClr="000000"/>
                </a:solidFill>
              </a:ln>
            </c:spPr>
          </c:dPt>
          <c:dPt>
            <c:idx val="3"/>
            <c:spPr>
              <a:solidFill>
                <a:srgbClr val="76A776"/>
              </a:solidFill>
              <a:ln w="3175">
                <a:solidFill>
                  <a:sysClr val="windowText" lastClr="000000"/>
                </a:solidFill>
              </a:ln>
            </c:spPr>
          </c:dPt>
          <c:dPt>
            <c:idx val="4"/>
            <c:spPr>
              <a:solidFill>
                <a:srgbClr val="293F2B"/>
              </a:solidFill>
              <a:ln w="3175">
                <a:solidFill>
                  <a:sysClr val="windowText" lastClr="000000"/>
                </a:solidFill>
              </a:ln>
            </c:spPr>
          </c:dPt>
          <c:dPt>
            <c:idx val="5"/>
            <c:spPr>
              <a:solidFill>
                <a:srgbClr val="D8D0AC"/>
              </a:solidFill>
              <a:ln w="3175">
                <a:solidFill>
                  <a:sysClr val="windowText" lastClr="000000"/>
                </a:solidFill>
              </a:ln>
            </c:spPr>
          </c:dPt>
          <c:dLbls>
            <c:dLbl>
              <c:idx val="0"/>
              <c:tx>
                <c:rich>
                  <a:bodyPr/>
                  <a:lstStyle/>
                  <a:p>
                    <a:r>
                      <a:rPr lang="en-US"/>
                      <a:t>trvalé travní porosty
86,1</a:t>
                    </a:r>
                    <a:r>
                      <a:rPr lang="cs-CZ"/>
                      <a:t> </a:t>
                    </a:r>
                    <a:r>
                      <a:rPr lang="en-US"/>
                      <a:t>%</a:t>
                    </a:r>
                  </a:p>
                </c:rich>
              </c:tx>
              <c:showCatName val="1"/>
              <c:showPercent val="1"/>
            </c:dLbl>
            <c:dLbl>
              <c:idx val="1"/>
              <c:tx>
                <c:rich>
                  <a:bodyPr/>
                  <a:lstStyle/>
                  <a:p>
                    <a:r>
                      <a:rPr lang="en-US">
                        <a:solidFill>
                          <a:schemeClr val="bg1"/>
                        </a:solidFill>
                      </a:rPr>
                      <a:t>orná půda
12,8</a:t>
                    </a:r>
                    <a:r>
                      <a:rPr lang="cs-CZ">
                        <a:solidFill>
                          <a:schemeClr val="bg1"/>
                        </a:solidFill>
                      </a:rPr>
                      <a:t> </a:t>
                    </a:r>
                    <a:r>
                      <a:rPr lang="en-US">
                        <a:solidFill>
                          <a:schemeClr val="bg1"/>
                        </a:solidFill>
                      </a:rPr>
                      <a:t>%</a:t>
                    </a:r>
                  </a:p>
                </c:rich>
              </c:tx>
              <c:showCatName val="1"/>
              <c:showPercent val="1"/>
            </c:dLbl>
            <c:dLbl>
              <c:idx val="2"/>
              <c:tx>
                <c:rich>
                  <a:bodyPr/>
                  <a:lstStyle/>
                  <a:p>
                    <a:r>
                      <a:rPr lang="en-US"/>
                      <a:t>vinice
0,18</a:t>
                    </a:r>
                    <a:r>
                      <a:rPr lang="cs-CZ"/>
                      <a:t> </a:t>
                    </a:r>
                    <a:r>
                      <a:rPr lang="en-US"/>
                      <a:t>%</a:t>
                    </a:r>
                  </a:p>
                </c:rich>
              </c:tx>
              <c:showCatName val="1"/>
              <c:showPercent val="1"/>
            </c:dLbl>
            <c:dLbl>
              <c:idx val="3"/>
              <c:tx>
                <c:rich>
                  <a:bodyPr/>
                  <a:lstStyle/>
                  <a:p>
                    <a:r>
                      <a:rPr lang="en-US"/>
                      <a:t>ovocné sady
0,89</a:t>
                    </a:r>
                    <a:r>
                      <a:rPr lang="cs-CZ"/>
                      <a:t> </a:t>
                    </a:r>
                    <a:r>
                      <a:rPr lang="en-US"/>
                      <a:t>%</a:t>
                    </a:r>
                  </a:p>
                </c:rich>
              </c:tx>
              <c:showCatName val="1"/>
              <c:showPercent val="1"/>
            </c:dLbl>
            <c:dLbl>
              <c:idx val="4"/>
              <c:tx>
                <c:rich>
                  <a:bodyPr/>
                  <a:lstStyle/>
                  <a:p>
                    <a:r>
                      <a:rPr lang="cs-CZ"/>
                      <a:t>ostatní kultury</a:t>
                    </a:r>
                    <a:r>
                      <a:rPr lang="en-US"/>
                      <a:t>
0,03</a:t>
                    </a:r>
                    <a:r>
                      <a:rPr lang="cs-CZ"/>
                      <a:t> </a:t>
                    </a:r>
                    <a:r>
                      <a:rPr lang="en-US"/>
                      <a:t>%</a:t>
                    </a:r>
                  </a:p>
                </c:rich>
              </c:tx>
              <c:showCatName val="1"/>
              <c:showPercent val="1"/>
            </c:dLbl>
            <c:dLbl>
              <c:idx val="5"/>
              <c:layout>
                <c:manualLayout>
                  <c:x val="-4.7422650611424009E-3"/>
                  <c:y val="3.8349602654837049E-2"/>
                </c:manualLayout>
              </c:layout>
              <c:tx>
                <c:rich>
                  <a:bodyPr/>
                  <a:lstStyle/>
                  <a:p>
                    <a:r>
                      <a:rPr lang="cs-CZ"/>
                      <a:t>ostatní zemědělská</a:t>
                    </a:r>
                    <a:r>
                      <a:rPr lang="cs-CZ" baseline="0"/>
                      <a:t> půda</a:t>
                    </a:r>
                    <a:r>
                      <a:rPr lang="cs-CZ"/>
                      <a:t> </a:t>
                    </a:r>
                    <a:r>
                      <a:rPr lang="en-US"/>
                      <a:t>
1,1</a:t>
                    </a:r>
                    <a:r>
                      <a:rPr lang="cs-CZ"/>
                      <a:t> </a:t>
                    </a:r>
                    <a:r>
                      <a:rPr lang="en-US"/>
                      <a:t>%</a:t>
                    </a:r>
                  </a:p>
                </c:rich>
              </c:tx>
              <c:showCatName val="1"/>
              <c:showPercent val="1"/>
            </c:dLbl>
            <c:numFmt formatCode="0.00%" sourceLinked="0"/>
            <c:showCatName val="1"/>
            <c:showPercent val="1"/>
          </c:dLbls>
          <c:cat>
            <c:strRef>
              <c:f>'Gr5'!$A$42:$A$46</c:f>
              <c:strCache>
                <c:ptCount val="5"/>
                <c:pt idx="0">
                  <c:v>trvalé travní porosty</c:v>
                </c:pt>
                <c:pt idx="1">
                  <c:v>orná půda</c:v>
                </c:pt>
                <c:pt idx="2">
                  <c:v>vinice</c:v>
                </c:pt>
                <c:pt idx="3">
                  <c:v>ovocné sady</c:v>
                </c:pt>
                <c:pt idx="4">
                  <c:v>ostatní kultury</c:v>
                </c:pt>
              </c:strCache>
            </c:strRef>
          </c:cat>
          <c:val>
            <c:numRef>
              <c:f>'Gr5'!$B$42:$B$46</c:f>
              <c:numCache>
                <c:formatCode>#,##0_ ;\-#,##0\ </c:formatCode>
                <c:ptCount val="5"/>
                <c:pt idx="0">
                  <c:v>385948.47388000018</c:v>
                </c:pt>
                <c:pt idx="1">
                  <c:v>57349.776808000002</c:v>
                </c:pt>
                <c:pt idx="2">
                  <c:v>811.3900000000001</c:v>
                </c:pt>
                <c:pt idx="3">
                  <c:v>3995.1966969999999</c:v>
                </c:pt>
                <c:pt idx="4">
                  <c:v>112.24956100000006</c:v>
                </c:pt>
              </c:numCache>
            </c:numRef>
          </c:val>
        </c:ser>
        <c:gapWidth val="202"/>
        <c:splitType val="cust"/>
        <c:custSplit>
          <c:secondPiePt val="2"/>
          <c:secondPiePt val="3"/>
          <c:secondPiePt val="4"/>
        </c:custSplit>
        <c:secondPieSize val="99"/>
        <c:serLines>
          <c:spPr>
            <a:ln w="3175">
              <a:solidFill>
                <a:sysClr val="windowText" lastClr="000000"/>
              </a:solidFill>
            </a:ln>
          </c:spPr>
        </c:serLines>
      </c:ofPieChart>
      <c:spPr>
        <a:noFill/>
        <a:ln>
          <a:noFill/>
        </a:ln>
      </c:spPr>
    </c:plotArea>
    <c:plotVisOnly val="1"/>
  </c:chart>
  <c:spPr>
    <a:noFill/>
    <a:ln>
      <a:noFill/>
    </a:ln>
  </c:spPr>
  <c:txPr>
    <a:bodyPr/>
    <a:lstStyle/>
    <a:p>
      <a:pPr>
        <a:defRPr sz="900">
          <a:latin typeface="Arial" pitchFamily="34" charset="0"/>
          <a:cs typeface="Arial" pitchFamily="34" charset="0"/>
        </a:defRPr>
      </a:pPr>
      <a:endParaRPr lang="cs-CZ"/>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5E82-711B-4B4F-B58C-7B2FB38E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CZ-EN_2017-08-14-1.dotx</Template>
  <TotalTime>42</TotalTime>
  <Pages>14</Pages>
  <Words>4646</Words>
  <Characters>27415</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31998</CharactersWithSpaces>
  <SharedDoc>false</SharedDoc>
  <HyperlinkBase/>
  <HLinks>
    <vt:vector size="18" baseType="variant">
      <vt:variant>
        <vt:i4>7602181</vt:i4>
      </vt:variant>
      <vt:variant>
        <vt:i4>20832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macova4870</dc:creator>
  <cp:lastModifiedBy>macova4870</cp:lastModifiedBy>
  <cp:revision>12</cp:revision>
  <cp:lastPrinted>2014-07-17T14:07:00Z</cp:lastPrinted>
  <dcterms:created xsi:type="dcterms:W3CDTF">2018-02-28T12:02:00Z</dcterms:created>
  <dcterms:modified xsi:type="dcterms:W3CDTF">2018-04-25T07:01:00Z</dcterms:modified>
</cp:coreProperties>
</file>