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DA1DF" w14:textId="3950D56B" w:rsidR="007C3842" w:rsidRDefault="007C3842" w:rsidP="007C3842">
      <w:pPr>
        <w:pStyle w:val="Nadpis11"/>
      </w:pPr>
      <w:bookmarkStart w:id="0" w:name="_Toc121993822"/>
      <w:bookmarkStart w:id="1" w:name="_Toc153531177"/>
      <w:bookmarkStart w:id="2" w:name="_Toc169258117"/>
      <w:r>
        <w:t>5. Ceny</w:t>
      </w:r>
      <w:bookmarkEnd w:id="1"/>
      <w:bookmarkEnd w:id="2"/>
    </w:p>
    <w:tbl>
      <w:tblPr>
        <w:tblW w:w="9639" w:type="dxa"/>
        <w:tblInd w:w="-15" w:type="dxa"/>
        <w:tblCellMar>
          <w:left w:w="0" w:type="dxa"/>
          <w:right w:w="0" w:type="dxa"/>
        </w:tblCellMar>
        <w:tblLook w:val="00A0" w:firstRow="1" w:lastRow="0" w:firstColumn="1" w:lastColumn="0" w:noHBand="0" w:noVBand="0"/>
      </w:tblPr>
      <w:tblGrid>
        <w:gridCol w:w="1804"/>
        <w:gridCol w:w="224"/>
        <w:gridCol w:w="7611"/>
      </w:tblGrid>
      <w:tr w:rsidR="007C3842" w14:paraId="0098134C" w14:textId="77777777" w:rsidTr="00FA1CA9">
        <w:trPr>
          <w:trHeight w:val="145"/>
        </w:trPr>
        <w:tc>
          <w:tcPr>
            <w:tcW w:w="1804" w:type="dxa"/>
            <w:hideMark/>
          </w:tcPr>
          <w:p w14:paraId="3B67D303" w14:textId="77777777" w:rsidR="007C3842" w:rsidRDefault="007C3842" w:rsidP="00FA1CA9">
            <w:pPr>
              <w:pStyle w:val="Marginlie"/>
              <w:rPr>
                <w:spacing w:val="0"/>
                <w:lang w:eastAsia="en-US"/>
              </w:rPr>
            </w:pPr>
            <w:r>
              <w:rPr>
                <w:spacing w:val="0"/>
                <w:lang w:eastAsia="en-US"/>
              </w:rPr>
              <w:t xml:space="preserve">Celková cenová hladina v 1. čtvrtletí meziročně </w:t>
            </w:r>
            <w:r>
              <w:rPr>
                <w:spacing w:val="0"/>
                <w:lang w:eastAsia="en-US"/>
              </w:rPr>
              <w:br/>
              <w:t>i mezičtvrtletně rostla.</w:t>
            </w:r>
          </w:p>
        </w:tc>
        <w:tc>
          <w:tcPr>
            <w:tcW w:w="224" w:type="dxa"/>
          </w:tcPr>
          <w:p w14:paraId="1916DC41" w14:textId="77777777" w:rsidR="007C3842" w:rsidRDefault="007C3842" w:rsidP="00FA1CA9">
            <w:pPr>
              <w:pStyle w:val="Textpoznpodarou1"/>
              <w:jc w:val="both"/>
              <w:rPr>
                <w:lang w:eastAsia="en-US"/>
              </w:rPr>
            </w:pPr>
          </w:p>
        </w:tc>
        <w:tc>
          <w:tcPr>
            <w:tcW w:w="7611" w:type="dxa"/>
            <w:hideMark/>
          </w:tcPr>
          <w:p w14:paraId="1D0C6C01" w14:textId="77777777" w:rsidR="007C3842" w:rsidRDefault="007C3842" w:rsidP="00FA1CA9">
            <w:pPr>
              <w:rPr>
                <w:szCs w:val="20"/>
                <w:lang w:eastAsia="en-US"/>
              </w:rPr>
            </w:pPr>
            <w:r>
              <w:rPr>
                <w:szCs w:val="20"/>
                <w:lang w:eastAsia="en-US"/>
              </w:rPr>
              <w:t>Celková cenová hladina měřená deflátorem HDP se v 1. čtvrtletí 2024 meziročně zvýšila o 3,7 %. Dynamika tak výrazně zpomalila ve srovnání s rokem 2023. Ceny spotřeby byly meziročně vyšší o 2,8 %, z toho u domácností růst zpomalil na 2,4 % a vládní spotřeba byla dražší o 3,4 %. Ceny kapitálových statků meziročně vzrostly o 2,4 %. Stále kladné zůstávaly meziroční směnné relace, které v 1. čtvrtletí dosáhly 101,6 %. Mezičtvrtletně se celková cenová hladina zvýšila o 1,6 %. Z toho ceny spotřeby vzrostly o 2,1 %, cenová hladina tvorby hrubého kapitálu klesla o 1,1 % (z toho ale ceny investičních statků vzrostly o 1,4 %) a mezičtvrtletní směnné relace dosáhly v 1. kvartálu 100,4 %.</w:t>
            </w:r>
          </w:p>
        </w:tc>
      </w:tr>
      <w:tr w:rsidR="007C3842" w14:paraId="3C02D5F8" w14:textId="77777777" w:rsidTr="00FA1CA9">
        <w:trPr>
          <w:trHeight w:val="145"/>
        </w:trPr>
        <w:tc>
          <w:tcPr>
            <w:tcW w:w="1804" w:type="dxa"/>
            <w:hideMark/>
          </w:tcPr>
          <w:p w14:paraId="6528EF2C" w14:textId="77777777" w:rsidR="007C3842" w:rsidRDefault="007C3842" w:rsidP="00FA1CA9">
            <w:pPr>
              <w:pStyle w:val="Marginlie"/>
              <w:rPr>
                <w:spacing w:val="0"/>
                <w:lang w:eastAsia="en-US"/>
              </w:rPr>
            </w:pPr>
            <w:r>
              <w:rPr>
                <w:spacing w:val="0"/>
                <w:lang w:eastAsia="en-US"/>
              </w:rPr>
              <w:t>Meziroční růst spotřebitelských cen výrazně zpomalil.</w:t>
            </w:r>
          </w:p>
        </w:tc>
        <w:tc>
          <w:tcPr>
            <w:tcW w:w="224" w:type="dxa"/>
          </w:tcPr>
          <w:p w14:paraId="6E6C5D66" w14:textId="77777777" w:rsidR="007C3842" w:rsidRDefault="007C3842" w:rsidP="00FA1CA9">
            <w:pPr>
              <w:pStyle w:val="Textpoznpodarou1"/>
              <w:jc w:val="both"/>
              <w:rPr>
                <w:lang w:eastAsia="en-US"/>
              </w:rPr>
            </w:pPr>
          </w:p>
        </w:tc>
        <w:tc>
          <w:tcPr>
            <w:tcW w:w="7611" w:type="dxa"/>
            <w:hideMark/>
          </w:tcPr>
          <w:p w14:paraId="4E48055E" w14:textId="77777777" w:rsidR="007C3842" w:rsidRDefault="007C3842" w:rsidP="00FA1CA9">
            <w:pPr>
              <w:rPr>
                <w:lang w:eastAsia="en-US"/>
              </w:rPr>
            </w:pPr>
            <w:r>
              <w:rPr>
                <w:lang w:eastAsia="en-US"/>
              </w:rPr>
              <w:t>Meziroční růst indexu spotřebitelských cen se v 1. čtvrtletí roku 2024 vrátil blízko inflačnímu cíli a dosáhl 2,1 %. Oproti předchozímu půlroku tak výrazně zpomalil (ve 3. a 4. čtvrtletí 2023 meziroční přírůstek dosáhl 8,0 % a 7,6 %). Ve všech oddílech spotřebitelského koše s výjimkou potravin a nealkoholických nápojů se meziroční přírůstek udržel. Za zpomalením stojí zejména vývoj cen bydlení a energií a potravin. Zmírnění meziroční dynamiky ve zbytku spotřebního koše nebylo tak výrazné. V případě dopravy se ceny dostaly z poklesu ve 4. čtvrtletí 2023 do mírného meziročního růstu v 1. kvartálu 2024. Mezičtvrtletně spotřebitelské ceny v 1. čtvrtletí 2024 vzrostly o 1,4 %. Přírůstek se tak vrátil do mezí, které jsou poměrně typické pro první čtvrtletí roku</w:t>
            </w:r>
            <w:r>
              <w:rPr>
                <w:rStyle w:val="Znakapoznpodarou"/>
                <w:lang w:eastAsia="en-US"/>
              </w:rPr>
              <w:footnoteReference w:id="1"/>
            </w:r>
            <w:r>
              <w:rPr>
                <w:lang w:eastAsia="en-US"/>
              </w:rPr>
              <w:t>. Naprostá většina z mezičtvrtletního navýšení byla soustředěna do ledna, kdy tradičně dochází k aktualizaci ceníků i administrativně stanovených cen. Mezičtvrtletně klesly jen ceny potravin a nealkoholických nápojů a odívání a obuvi. Výrazně naopak na začátku roku mezičtvrtletně rostly ceny rekreací a kultury, bydlení a energií, stravování a ubytování nebo alkoholických nápojů a tabáku.</w:t>
            </w:r>
          </w:p>
        </w:tc>
      </w:tr>
      <w:tr w:rsidR="007C3842" w14:paraId="50453791" w14:textId="77777777" w:rsidTr="00FA1CA9">
        <w:trPr>
          <w:trHeight w:val="145"/>
        </w:trPr>
        <w:tc>
          <w:tcPr>
            <w:tcW w:w="1804" w:type="dxa"/>
          </w:tcPr>
          <w:p w14:paraId="53D7575F" w14:textId="77777777" w:rsidR="007C3842" w:rsidRDefault="007C3842" w:rsidP="00FA1CA9">
            <w:pPr>
              <w:pStyle w:val="Marginlie"/>
              <w:rPr>
                <w:spacing w:val="0"/>
                <w:lang w:eastAsia="en-US"/>
              </w:rPr>
            </w:pPr>
          </w:p>
        </w:tc>
        <w:tc>
          <w:tcPr>
            <w:tcW w:w="224" w:type="dxa"/>
          </w:tcPr>
          <w:p w14:paraId="073FADE8" w14:textId="77777777" w:rsidR="007C3842" w:rsidRDefault="007C3842" w:rsidP="00FA1CA9">
            <w:pPr>
              <w:pStyle w:val="Textpoznpodarou1"/>
              <w:jc w:val="both"/>
              <w:rPr>
                <w:lang w:eastAsia="en-US"/>
              </w:rPr>
            </w:pPr>
          </w:p>
        </w:tc>
        <w:tc>
          <w:tcPr>
            <w:tcW w:w="7611" w:type="dxa"/>
          </w:tcPr>
          <w:p w14:paraId="30FF6151" w14:textId="40252BB4" w:rsidR="007C3842" w:rsidRDefault="007C3842" w:rsidP="00EC6B23">
            <w:pPr>
              <w:spacing w:after="0"/>
              <w:rPr>
                <w:lang w:eastAsia="en-US"/>
              </w:rPr>
            </w:pPr>
            <w:r>
              <w:rPr>
                <w:rFonts w:cs="Arial"/>
                <w:b/>
                <w:bCs/>
                <w:color w:val="000000"/>
                <w:sz w:val="18"/>
                <w:szCs w:val="18"/>
                <w:lang w:eastAsia="en-US"/>
              </w:rPr>
              <w:t>Graf č. 1</w:t>
            </w:r>
            <w:r w:rsidR="00EC6B23">
              <w:rPr>
                <w:rFonts w:cs="Arial"/>
                <w:b/>
                <w:bCs/>
                <w:color w:val="000000"/>
                <w:sz w:val="18"/>
                <w:szCs w:val="18"/>
                <w:lang w:eastAsia="en-US"/>
              </w:rPr>
              <w:t>0</w:t>
            </w:r>
            <w:r>
              <w:rPr>
                <w:rFonts w:cs="Arial"/>
                <w:b/>
                <w:bCs/>
                <w:color w:val="000000"/>
                <w:sz w:val="18"/>
                <w:szCs w:val="18"/>
                <w:lang w:eastAsia="en-US"/>
              </w:rPr>
              <w:t xml:space="preserve"> Ceny ve vybraných oddílech indexu spotřebitelských cen</w:t>
            </w:r>
            <w:r>
              <w:rPr>
                <w:rFonts w:cs="Arial"/>
                <w:b/>
                <w:color w:val="000000"/>
                <w:sz w:val="18"/>
                <w:szCs w:val="18"/>
                <w:lang w:eastAsia="en-US"/>
              </w:rPr>
              <w:t xml:space="preserve"> </w:t>
            </w:r>
            <w:r>
              <w:rPr>
                <w:rFonts w:cs="Arial"/>
                <w:color w:val="000000"/>
                <w:sz w:val="18"/>
                <w:szCs w:val="18"/>
                <w:lang w:eastAsia="en-US"/>
              </w:rPr>
              <w:t>(meziročně v %)</w:t>
            </w:r>
          </w:p>
        </w:tc>
      </w:tr>
      <w:tr w:rsidR="007C3842" w14:paraId="5F2BF2EE" w14:textId="77777777" w:rsidTr="00FA1CA9">
        <w:trPr>
          <w:trHeight w:val="145"/>
        </w:trPr>
        <w:tc>
          <w:tcPr>
            <w:tcW w:w="1804" w:type="dxa"/>
          </w:tcPr>
          <w:p w14:paraId="0A719909" w14:textId="77777777" w:rsidR="007C3842" w:rsidRDefault="007C3842" w:rsidP="00FA1CA9">
            <w:pPr>
              <w:pStyle w:val="Marginlie"/>
              <w:rPr>
                <w:spacing w:val="0"/>
                <w:lang w:eastAsia="en-US"/>
              </w:rPr>
            </w:pPr>
          </w:p>
        </w:tc>
        <w:tc>
          <w:tcPr>
            <w:tcW w:w="224" w:type="dxa"/>
          </w:tcPr>
          <w:p w14:paraId="43089C33" w14:textId="77777777" w:rsidR="007C3842" w:rsidRDefault="007C3842" w:rsidP="00FA1CA9">
            <w:pPr>
              <w:pStyle w:val="Textpoznpodarou1"/>
              <w:jc w:val="both"/>
              <w:rPr>
                <w:lang w:eastAsia="en-US"/>
              </w:rPr>
            </w:pPr>
          </w:p>
        </w:tc>
        <w:tc>
          <w:tcPr>
            <w:tcW w:w="7611" w:type="dxa"/>
          </w:tcPr>
          <w:p w14:paraId="3C5D37A1" w14:textId="77777777" w:rsidR="007C3842" w:rsidRDefault="007C3842" w:rsidP="00FA1CA9">
            <w:pPr>
              <w:spacing w:after="0"/>
              <w:jc w:val="center"/>
              <w:rPr>
                <w:lang w:eastAsia="en-US"/>
              </w:rPr>
            </w:pPr>
            <w:r>
              <w:rPr>
                <w:noProof/>
              </w:rPr>
              <w:drawing>
                <wp:inline distT="0" distB="0" distL="0" distR="0" wp14:anchorId="16723108" wp14:editId="35CFCE22">
                  <wp:extent cx="4752000" cy="3553200"/>
                  <wp:effectExtent l="0" t="0" r="0" b="0"/>
                  <wp:docPr id="6" name="Graf 6">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7C3842" w14:paraId="63517877" w14:textId="77777777" w:rsidTr="00FA1CA9">
        <w:trPr>
          <w:trHeight w:val="145"/>
        </w:trPr>
        <w:tc>
          <w:tcPr>
            <w:tcW w:w="1804" w:type="dxa"/>
          </w:tcPr>
          <w:p w14:paraId="34136D54" w14:textId="77777777" w:rsidR="007C3842" w:rsidRDefault="007C3842" w:rsidP="00FA1CA9">
            <w:pPr>
              <w:pStyle w:val="Marginlie"/>
              <w:rPr>
                <w:spacing w:val="0"/>
                <w:lang w:eastAsia="en-US"/>
              </w:rPr>
            </w:pPr>
          </w:p>
        </w:tc>
        <w:tc>
          <w:tcPr>
            <w:tcW w:w="224" w:type="dxa"/>
          </w:tcPr>
          <w:p w14:paraId="6855F353" w14:textId="77777777" w:rsidR="007C3842" w:rsidRDefault="007C3842" w:rsidP="00FA1CA9">
            <w:pPr>
              <w:pStyle w:val="Textpoznpodarou1"/>
              <w:jc w:val="both"/>
              <w:rPr>
                <w:lang w:eastAsia="en-US"/>
              </w:rPr>
            </w:pPr>
          </w:p>
        </w:tc>
        <w:tc>
          <w:tcPr>
            <w:tcW w:w="7611" w:type="dxa"/>
          </w:tcPr>
          <w:p w14:paraId="44649FC1" w14:textId="77777777" w:rsidR="007C3842" w:rsidRPr="002E0000" w:rsidRDefault="007C3842" w:rsidP="00FA1CA9">
            <w:pPr>
              <w:jc w:val="right"/>
              <w:rPr>
                <w:sz w:val="16"/>
                <w:szCs w:val="16"/>
                <w:lang w:eastAsia="en-US"/>
              </w:rPr>
            </w:pPr>
            <w:r w:rsidRPr="002E0000">
              <w:rPr>
                <w:sz w:val="16"/>
                <w:szCs w:val="16"/>
                <w:lang w:eastAsia="en-US"/>
              </w:rPr>
              <w:t>Zdroj:ČSÚ</w:t>
            </w:r>
          </w:p>
        </w:tc>
      </w:tr>
      <w:tr w:rsidR="007C3842" w14:paraId="4A4634B9" w14:textId="77777777" w:rsidTr="00FA1CA9">
        <w:trPr>
          <w:trHeight w:val="145"/>
        </w:trPr>
        <w:tc>
          <w:tcPr>
            <w:tcW w:w="1804" w:type="dxa"/>
            <w:hideMark/>
          </w:tcPr>
          <w:p w14:paraId="478766C4" w14:textId="77777777" w:rsidR="007C3842" w:rsidRDefault="007C3842" w:rsidP="00FA1CA9">
            <w:pPr>
              <w:pStyle w:val="Marginlie"/>
              <w:rPr>
                <w:spacing w:val="0"/>
                <w:lang w:eastAsia="en-US"/>
              </w:rPr>
            </w:pPr>
            <w:r>
              <w:rPr>
                <w:spacing w:val="0"/>
                <w:lang w:eastAsia="en-US"/>
              </w:rPr>
              <w:lastRenderedPageBreak/>
              <w:t>Ceny bydlení a energií nadále nejvíce přispívaly k růstu spotřebitelských cen. Jejich růst ale zpomalil.</w:t>
            </w:r>
          </w:p>
        </w:tc>
        <w:tc>
          <w:tcPr>
            <w:tcW w:w="224" w:type="dxa"/>
          </w:tcPr>
          <w:p w14:paraId="307E3882" w14:textId="77777777" w:rsidR="007C3842" w:rsidRDefault="007C3842" w:rsidP="00FA1CA9">
            <w:pPr>
              <w:pStyle w:val="Textpoznpodarou1"/>
              <w:jc w:val="both"/>
              <w:rPr>
                <w:lang w:eastAsia="en-US"/>
              </w:rPr>
            </w:pPr>
          </w:p>
        </w:tc>
        <w:tc>
          <w:tcPr>
            <w:tcW w:w="7611" w:type="dxa"/>
            <w:hideMark/>
          </w:tcPr>
          <w:p w14:paraId="754A9BC1" w14:textId="77777777" w:rsidR="007C3842" w:rsidRDefault="007C3842" w:rsidP="00FA1CA9">
            <w:pPr>
              <w:rPr>
                <w:lang w:eastAsia="en-US"/>
              </w:rPr>
            </w:pPr>
            <w:r>
              <w:rPr>
                <w:lang w:eastAsia="en-US"/>
              </w:rPr>
              <w:t>Bydlení, voda, energie a paliva zůstaly oddílem spotřebního koše, který nejvíce přispíval k celkovému meziročnímu růstu spotřebitelských cen. V 1. čtvrtletí se zde ceny meziročně zvýšily o 3,4 %. Poměrně silně stále meziročně rostlo nájemné z bytu (7,0 %) i ostatní služby související s bydlením. Ceny elektrické a tepelné energie, plynu a ostatních paliv stouply o 4,8 % a běžné údržby a opravy bytu o 4,9 %. Jen mírný meziroční přírůstek mělo imputované nájemné</w:t>
            </w:r>
            <w:r>
              <w:rPr>
                <w:rStyle w:val="Znakapoznpodarou"/>
                <w:lang w:eastAsia="en-US"/>
              </w:rPr>
              <w:footnoteReference w:id="2"/>
            </w:r>
            <w:r>
              <w:rPr>
                <w:lang w:eastAsia="en-US"/>
              </w:rPr>
              <w:t xml:space="preserve"> (0,8 %). Mezičtvrtletní přírůstek cen bydlení a energií v 1. čtvrtletí zrychlil na 3,2 %, především pod vlivem vyšších cen elektřiny, plynu, vodného, stočného, tepla a teplé vody a nájemného.  </w:t>
            </w:r>
          </w:p>
        </w:tc>
      </w:tr>
      <w:tr w:rsidR="007C3842" w14:paraId="6C2AB18F" w14:textId="77777777" w:rsidTr="00FA1CA9">
        <w:trPr>
          <w:trHeight w:val="145"/>
        </w:trPr>
        <w:tc>
          <w:tcPr>
            <w:tcW w:w="1804" w:type="dxa"/>
            <w:hideMark/>
          </w:tcPr>
          <w:p w14:paraId="02616F8F" w14:textId="77777777" w:rsidR="007C3842" w:rsidRDefault="007C3842" w:rsidP="00FA1CA9">
            <w:pPr>
              <w:pStyle w:val="Marginlie"/>
              <w:rPr>
                <w:spacing w:val="0"/>
                <w:lang w:eastAsia="en-US"/>
              </w:rPr>
            </w:pPr>
            <w:r>
              <w:rPr>
                <w:spacing w:val="0"/>
                <w:lang w:eastAsia="en-US"/>
              </w:rPr>
              <w:t xml:space="preserve">Ceny stravování </w:t>
            </w:r>
            <w:r>
              <w:rPr>
                <w:spacing w:val="0"/>
                <w:lang w:eastAsia="en-US"/>
              </w:rPr>
              <w:br/>
              <w:t>a ubytování rostly téměř nezměněným tempem.</w:t>
            </w:r>
          </w:p>
        </w:tc>
        <w:tc>
          <w:tcPr>
            <w:tcW w:w="224" w:type="dxa"/>
          </w:tcPr>
          <w:p w14:paraId="6F0165F6" w14:textId="77777777" w:rsidR="007C3842" w:rsidRDefault="007C3842" w:rsidP="00FA1CA9">
            <w:pPr>
              <w:pStyle w:val="Textpoznpodarou1"/>
              <w:jc w:val="both"/>
              <w:rPr>
                <w:lang w:eastAsia="en-US"/>
              </w:rPr>
            </w:pPr>
          </w:p>
        </w:tc>
        <w:tc>
          <w:tcPr>
            <w:tcW w:w="7611" w:type="dxa"/>
            <w:hideMark/>
          </w:tcPr>
          <w:p w14:paraId="23B1843C" w14:textId="77777777" w:rsidR="007C3842" w:rsidRDefault="007C3842" w:rsidP="00FA1CA9">
            <w:pPr>
              <w:rPr>
                <w:lang w:eastAsia="en-US"/>
              </w:rPr>
            </w:pPr>
            <w:r>
              <w:rPr>
                <w:lang w:eastAsia="en-US"/>
              </w:rPr>
              <w:t xml:space="preserve">K celkovému meziročnímu růstu spotřebitelských cen výrazně nadále přispíval oddíl stravování a ubytování. Navzdory velmi vysoké srovnávací základně zde meziroční růst výrazněji nezpomalil oproti konci roku 2023 a v 1. čtvrtletí dosáhl 8,6 %. Mezičtvrtletně se zde ceny zvýšily o 2,8 %. Oproti jiným oblastem spotřeby zde inflační tlaky zatím zřejmě nenarazily na limity poptávky domácností. Na meziroční růst spotřebitelských cen měly dále vliv alkoholické nápoje a tabák, u kterých ceny meziročně vzrostly o 4,7 % a mezičtvrtletně o 2,6 %. Ceny rekreací a kultury v 1. čtvrtletí meziročně vzrostly o 4,4 %. Nejvíce rostly ceny rekreačních a kulturních služeb a dovolených s komplexními službami. Ceny rekreací a kultury se mezičtvrtletně zvýšily o 3,3 %, což byl nejvyšší mezičtvrtletní přírůstek ze všech oddílů spotřebního koše. </w:t>
            </w:r>
          </w:p>
        </w:tc>
      </w:tr>
      <w:tr w:rsidR="007C3842" w14:paraId="0EFB3325" w14:textId="77777777" w:rsidTr="00FA1CA9">
        <w:trPr>
          <w:trHeight w:val="145"/>
        </w:trPr>
        <w:tc>
          <w:tcPr>
            <w:tcW w:w="1804" w:type="dxa"/>
            <w:hideMark/>
          </w:tcPr>
          <w:p w14:paraId="3CEAAAE5" w14:textId="77777777" w:rsidR="007C3842" w:rsidRDefault="007C3842" w:rsidP="00FA1CA9">
            <w:pPr>
              <w:pStyle w:val="Marginlie"/>
              <w:rPr>
                <w:spacing w:val="0"/>
                <w:lang w:eastAsia="en-US"/>
              </w:rPr>
            </w:pPr>
            <w:r>
              <w:rPr>
                <w:spacing w:val="0"/>
                <w:lang w:eastAsia="en-US"/>
              </w:rPr>
              <w:t>Nadprůměrně rostly ceny v řadě oddílů spotřebního koše.</w:t>
            </w:r>
          </w:p>
        </w:tc>
        <w:tc>
          <w:tcPr>
            <w:tcW w:w="224" w:type="dxa"/>
          </w:tcPr>
          <w:p w14:paraId="11AAD50E" w14:textId="77777777" w:rsidR="007C3842" w:rsidRDefault="007C3842" w:rsidP="00FA1CA9">
            <w:pPr>
              <w:pStyle w:val="Textpoznpodarou1"/>
              <w:jc w:val="both"/>
              <w:rPr>
                <w:lang w:eastAsia="en-US"/>
              </w:rPr>
            </w:pPr>
          </w:p>
        </w:tc>
        <w:tc>
          <w:tcPr>
            <w:tcW w:w="7611" w:type="dxa"/>
            <w:hideMark/>
          </w:tcPr>
          <w:p w14:paraId="61BC46F6" w14:textId="77777777" w:rsidR="007C3842" w:rsidRDefault="007C3842" w:rsidP="00FA1CA9">
            <w:pPr>
              <w:rPr>
                <w:lang w:eastAsia="en-US"/>
              </w:rPr>
            </w:pPr>
            <w:r>
              <w:rPr>
                <w:lang w:eastAsia="en-US"/>
              </w:rPr>
              <w:t>Výrazně nadprůměrně se v 1. čtvrtletí meziročně zvyšovaly ceny odívání a obuvi (5,6 %), u kterých ale na začátku roku 2024 došlo k mezičtvrtletnímu poklesu cen (−0,9 %). Ceny v oddíle ostatní zboží a služby</w:t>
            </w:r>
            <w:r>
              <w:rPr>
                <w:rStyle w:val="Znakapoznpodarou"/>
                <w:lang w:eastAsia="en-US"/>
              </w:rPr>
              <w:footnoteReference w:id="3"/>
            </w:r>
            <w:r>
              <w:rPr>
                <w:lang w:eastAsia="en-US"/>
              </w:rPr>
              <w:t xml:space="preserve"> byly meziročně vyšší o 3,3 % a mezičtvrtletně stouply o 1,8 %. Poměrně silně meziročně rostly ceny ve dvou oddílech s nižší váhou ve spotřebním koši – vzdělávání (6,6 %) a zdraví (4,9 %). Nadprůměrně stále meziročně rostly ceny pošt a telekomunikací (3,1 %) – přetrvávala zde loni nastavená meziroční dynamika cen poštovních i telefonních služeb i telefonních zařízení. Jejich mezičtvrtletní přírůstek ale patřil k mírnějším (0,3 %). Výrazně zpomalil meziroční růst cen bytového vybavení a zařízení domácnosti (0,6 %), jejichž ceny také mezičtvrtletně stagnovaly.   </w:t>
            </w:r>
          </w:p>
        </w:tc>
      </w:tr>
      <w:tr w:rsidR="007C3842" w14:paraId="71527CBF" w14:textId="77777777" w:rsidTr="00FA1CA9">
        <w:trPr>
          <w:trHeight w:val="145"/>
        </w:trPr>
        <w:tc>
          <w:tcPr>
            <w:tcW w:w="1804" w:type="dxa"/>
            <w:hideMark/>
          </w:tcPr>
          <w:p w14:paraId="55E5DBDF" w14:textId="77777777" w:rsidR="007C3842" w:rsidRDefault="007C3842" w:rsidP="00FA1CA9">
            <w:pPr>
              <w:pStyle w:val="Marginlie"/>
              <w:rPr>
                <w:spacing w:val="0"/>
                <w:lang w:eastAsia="en-US"/>
              </w:rPr>
            </w:pPr>
            <w:r>
              <w:rPr>
                <w:spacing w:val="0"/>
                <w:lang w:eastAsia="en-US"/>
              </w:rPr>
              <w:t>Ceny dopravy opět meziročně vzrostly.</w:t>
            </w:r>
          </w:p>
        </w:tc>
        <w:tc>
          <w:tcPr>
            <w:tcW w:w="224" w:type="dxa"/>
          </w:tcPr>
          <w:p w14:paraId="6E30D426" w14:textId="77777777" w:rsidR="007C3842" w:rsidRDefault="007C3842" w:rsidP="00FA1CA9">
            <w:pPr>
              <w:pStyle w:val="Textpoznpodarou1"/>
              <w:jc w:val="both"/>
              <w:rPr>
                <w:lang w:eastAsia="en-US"/>
              </w:rPr>
            </w:pPr>
          </w:p>
        </w:tc>
        <w:tc>
          <w:tcPr>
            <w:tcW w:w="7611" w:type="dxa"/>
            <w:hideMark/>
          </w:tcPr>
          <w:p w14:paraId="6247A359" w14:textId="77777777" w:rsidR="007C3842" w:rsidRDefault="007C3842" w:rsidP="00FA1CA9">
            <w:pPr>
              <w:rPr>
                <w:lang w:eastAsia="en-US"/>
              </w:rPr>
            </w:pPr>
            <w:r>
              <w:rPr>
                <w:lang w:eastAsia="en-US"/>
              </w:rPr>
              <w:t>Ceny dopravy v 1. čtvrtletí roku 2024 meziročně vzrostly o 1,7 % a po třech meziročních poklesech tak opět překonaly úroveň předchozího roku. Hlavní podíl na tom měly ceny provozu osobních dopravních prostředků, především zvýšení cen dálničních známek. Meziročně vyšší ale byly také ceny pohonných hmot (1,4 %). Silně meziročně rostly ceny dopravních služeb (7,0 %). Nákupy automobilů, motocyklů a jízdních kol jako jediné meziročně zlevňovaly (−2,6 %). Ceny dopravy se v 1. čtvrtletí 2024 mezičtvrtletně zvýšily o 0,8 %.</w:t>
            </w:r>
          </w:p>
        </w:tc>
      </w:tr>
      <w:tr w:rsidR="007C3842" w14:paraId="391C5BAC" w14:textId="77777777" w:rsidTr="00FA1CA9">
        <w:trPr>
          <w:trHeight w:val="145"/>
        </w:trPr>
        <w:tc>
          <w:tcPr>
            <w:tcW w:w="1804" w:type="dxa"/>
            <w:hideMark/>
          </w:tcPr>
          <w:p w14:paraId="0488AF6A" w14:textId="77777777" w:rsidR="007C3842" w:rsidRDefault="007C3842" w:rsidP="00FA1CA9">
            <w:pPr>
              <w:pStyle w:val="Marginlie"/>
              <w:rPr>
                <w:spacing w:val="0"/>
                <w:lang w:eastAsia="en-US"/>
              </w:rPr>
            </w:pPr>
            <w:r>
              <w:rPr>
                <w:spacing w:val="0"/>
                <w:lang w:eastAsia="en-US"/>
              </w:rPr>
              <w:t xml:space="preserve">Meziročně klesaly jen ceny potravin </w:t>
            </w:r>
            <w:r>
              <w:rPr>
                <w:spacing w:val="0"/>
                <w:lang w:eastAsia="en-US"/>
              </w:rPr>
              <w:br/>
              <w:t>a nealkoholických nápojů.</w:t>
            </w:r>
          </w:p>
        </w:tc>
        <w:tc>
          <w:tcPr>
            <w:tcW w:w="224" w:type="dxa"/>
          </w:tcPr>
          <w:p w14:paraId="0ABE2B16" w14:textId="77777777" w:rsidR="007C3842" w:rsidRDefault="007C3842" w:rsidP="00FA1CA9">
            <w:pPr>
              <w:pStyle w:val="Textpoznpodarou1"/>
              <w:jc w:val="both"/>
              <w:rPr>
                <w:lang w:eastAsia="en-US"/>
              </w:rPr>
            </w:pPr>
          </w:p>
        </w:tc>
        <w:tc>
          <w:tcPr>
            <w:tcW w:w="7611" w:type="dxa"/>
            <w:hideMark/>
          </w:tcPr>
          <w:p w14:paraId="3C879999" w14:textId="77777777" w:rsidR="007C3842" w:rsidRDefault="007C3842" w:rsidP="00FA1CA9">
            <w:pPr>
              <w:rPr>
                <w:lang w:eastAsia="en-US"/>
              </w:rPr>
            </w:pPr>
            <w:r>
              <w:rPr>
                <w:lang w:eastAsia="en-US"/>
              </w:rPr>
              <w:t xml:space="preserve">Jediný oddíl spotřebního koše, kde ceny v 1. čtvrtletí meziročně klesly, byly potraviny a nealkoholické nápoje. Nejvíce k tomu přispěl propad cen mléka, sýrů a vajec (−13,8 %) a masa (−5,9 %). Nižší byly také ceny pekárenských výrobků a obilovin (−4,5 %) nebo olejů a tuků (−6,8 %). Meziročně rostly jen ceny zeleniny (2,2 %). Ceny potravin a nealkoholických nápojů klesly i mezičtvrtletně, a to o 1,4 %. </w:t>
            </w:r>
          </w:p>
        </w:tc>
      </w:tr>
      <w:tr w:rsidR="007C3842" w14:paraId="4AE2CD2E" w14:textId="77777777" w:rsidTr="00FA1CA9">
        <w:trPr>
          <w:trHeight w:val="145"/>
        </w:trPr>
        <w:tc>
          <w:tcPr>
            <w:tcW w:w="1804" w:type="dxa"/>
            <w:hideMark/>
          </w:tcPr>
          <w:p w14:paraId="0FF5AE34" w14:textId="77777777" w:rsidR="007C3842" w:rsidRDefault="007C3842" w:rsidP="00FA1CA9">
            <w:pPr>
              <w:pStyle w:val="Marginlie"/>
              <w:rPr>
                <w:spacing w:val="0"/>
                <w:lang w:eastAsia="en-US"/>
              </w:rPr>
            </w:pPr>
            <w:r>
              <w:rPr>
                <w:spacing w:val="0"/>
                <w:lang w:eastAsia="en-US"/>
              </w:rPr>
              <w:t>Meziroční růst spotřebitelských cen v EU v 1. čtvrtletí výrazně zpomalil.</w:t>
            </w:r>
          </w:p>
        </w:tc>
        <w:tc>
          <w:tcPr>
            <w:tcW w:w="224" w:type="dxa"/>
          </w:tcPr>
          <w:p w14:paraId="5F28B6C3" w14:textId="77777777" w:rsidR="007C3842" w:rsidRDefault="007C3842" w:rsidP="00FA1CA9">
            <w:pPr>
              <w:pStyle w:val="Textpoznpodarou1"/>
              <w:jc w:val="both"/>
              <w:rPr>
                <w:lang w:eastAsia="en-US"/>
              </w:rPr>
            </w:pPr>
          </w:p>
        </w:tc>
        <w:tc>
          <w:tcPr>
            <w:tcW w:w="7611" w:type="dxa"/>
            <w:hideMark/>
          </w:tcPr>
          <w:p w14:paraId="37F847AF" w14:textId="77777777" w:rsidR="007C3842" w:rsidRDefault="007C3842" w:rsidP="00FA1CA9">
            <w:pPr>
              <w:rPr>
                <w:lang w:eastAsia="en-US"/>
              </w:rPr>
            </w:pPr>
            <w:r>
              <w:rPr>
                <w:lang w:eastAsia="en-US"/>
              </w:rPr>
              <w:t>Harmonizovaný index spotřebitelských cen (HICP) v EU</w:t>
            </w:r>
            <w:r>
              <w:rPr>
                <w:rStyle w:val="Znakapoznpodarou"/>
                <w:lang w:eastAsia="en-US"/>
              </w:rPr>
              <w:footnoteReference w:id="4"/>
            </w:r>
            <w:r>
              <w:rPr>
                <w:lang w:eastAsia="en-US"/>
              </w:rPr>
              <w:t xml:space="preserve"> v 1. čtvrtletí 2024 meziročně vzrostl o 2,8 %. Meziroční dynamika cen tak dál zpomalovala, především pod vlivem zmírnění růstu cen potravin a nealkoholických nápojů. Zvolnění bylo ale patrné napříč spotřebním košem. Výjimkou byly ceny bydlení a energií, které se z poklesu ve </w:t>
            </w:r>
            <w:r>
              <w:rPr>
                <w:lang w:eastAsia="en-US"/>
              </w:rPr>
              <w:lastRenderedPageBreak/>
              <w:t xml:space="preserve">4. čtvrtletí dostaly do mírného růstu. Nejvíce se v 1. čtvrtletí zvyšoval HICP v Rumunsku (7,1 %), Chorvatsku (4,8 %) a Estonsku (4,5 %). O méně než 1 % meziročně rostly ceny v Dánsku (0,8 %), Litvě, Lotyšsku a Finsku (všechny tři shodně o 0,9 %). V rámci středoevropského prostoru meziročně nejvíce rostly spotřebitelské ceny v Rakousku (4,1 %), v Polsku, na Slovensku a v Maďarsku (shodně o 3,6 %), v Německu (2,7 %) a nejmírněji v Česku (2,4 %). Mezičtvrtletně se spotřebitelské ceny v EU zvýšily o 0,4 %. Rostly nejvíce ceny alkoholických nápojů a tabáku, ostatního zboží a služeb, bydlení a energií a zdraví. Výrazně se mezičtvrtletně propadaly ceny oděvů a obuvi. Mezičtvrtletní vývoj cen v jednotlivých zemích EU byl různorodý, protože začátek roku obvykle ovlivňují administrativní změny cen nebo aktualizace ceníků a další faktory, které se mohou v rámci unie lišit. Nejvíce se mezičtvrtletně zvýšil HICP v Rumunsku (1,9 %) a následovalo Česko (1,8 %) a Belgie (1,7 %). V osmi zemích EU došlo k mezičtvrtletnímu poklesu spotřebitelských cen, nejvíce na Kypru (−1,8 %), Maltě (−1,0 %) a v Itálii (−0,8 %). </w:t>
            </w:r>
          </w:p>
        </w:tc>
      </w:tr>
      <w:tr w:rsidR="007C3842" w14:paraId="08C9EA3E" w14:textId="77777777" w:rsidTr="00FA1CA9">
        <w:trPr>
          <w:trHeight w:val="145"/>
        </w:trPr>
        <w:tc>
          <w:tcPr>
            <w:tcW w:w="1804" w:type="dxa"/>
          </w:tcPr>
          <w:p w14:paraId="79E637EC" w14:textId="77777777" w:rsidR="007C3842" w:rsidRDefault="007C3842" w:rsidP="00FA1CA9">
            <w:pPr>
              <w:pStyle w:val="Marginlie"/>
              <w:rPr>
                <w:spacing w:val="0"/>
                <w:lang w:eastAsia="en-US"/>
              </w:rPr>
            </w:pPr>
          </w:p>
        </w:tc>
        <w:tc>
          <w:tcPr>
            <w:tcW w:w="224" w:type="dxa"/>
          </w:tcPr>
          <w:p w14:paraId="0FFC4D40" w14:textId="77777777" w:rsidR="007C3842" w:rsidRDefault="007C3842" w:rsidP="00FA1CA9">
            <w:pPr>
              <w:pStyle w:val="Textpoznpodarou1"/>
              <w:jc w:val="both"/>
              <w:rPr>
                <w:lang w:eastAsia="en-US"/>
              </w:rPr>
            </w:pPr>
          </w:p>
        </w:tc>
        <w:tc>
          <w:tcPr>
            <w:tcW w:w="7611" w:type="dxa"/>
          </w:tcPr>
          <w:p w14:paraId="5D2C551C" w14:textId="26A20275" w:rsidR="007C3842" w:rsidRDefault="00EC6B23" w:rsidP="00FA1CA9">
            <w:pPr>
              <w:spacing w:after="0"/>
              <w:rPr>
                <w:rStyle w:val="Znakapoznpodarou"/>
                <w:lang w:eastAsia="en-US"/>
              </w:rPr>
            </w:pPr>
            <w:r>
              <w:rPr>
                <w:b/>
                <w:sz w:val="18"/>
                <w:szCs w:val="18"/>
                <w:lang w:eastAsia="en-US"/>
              </w:rPr>
              <w:t>Graf č. 11</w:t>
            </w:r>
            <w:r w:rsidR="007C3842">
              <w:rPr>
                <w:b/>
                <w:sz w:val="18"/>
                <w:szCs w:val="18"/>
                <w:lang w:eastAsia="en-US"/>
              </w:rPr>
              <w:t xml:space="preserve"> Ceny nemovitostí </w:t>
            </w:r>
            <w:r w:rsidR="007C3842">
              <w:rPr>
                <w:sz w:val="18"/>
                <w:szCs w:val="18"/>
                <w:lang w:eastAsia="en-US"/>
              </w:rPr>
              <w:t>(meziroční změna, v %)</w:t>
            </w:r>
          </w:p>
        </w:tc>
      </w:tr>
      <w:tr w:rsidR="007C3842" w14:paraId="002BE280" w14:textId="77777777" w:rsidTr="00FA1CA9">
        <w:tblPrEx>
          <w:tblCellMar>
            <w:left w:w="70" w:type="dxa"/>
            <w:right w:w="70" w:type="dxa"/>
          </w:tblCellMar>
        </w:tblPrEx>
        <w:trPr>
          <w:trHeight w:val="145"/>
        </w:trPr>
        <w:tc>
          <w:tcPr>
            <w:tcW w:w="1804" w:type="dxa"/>
          </w:tcPr>
          <w:p w14:paraId="452C028C" w14:textId="77777777" w:rsidR="007C3842" w:rsidRDefault="007C3842" w:rsidP="00FA1CA9">
            <w:pPr>
              <w:pStyle w:val="Marginlie"/>
              <w:rPr>
                <w:spacing w:val="0"/>
                <w:lang w:eastAsia="en-US"/>
              </w:rPr>
            </w:pPr>
          </w:p>
        </w:tc>
        <w:tc>
          <w:tcPr>
            <w:tcW w:w="224" w:type="dxa"/>
          </w:tcPr>
          <w:p w14:paraId="446A8D46" w14:textId="77777777" w:rsidR="007C3842" w:rsidRDefault="007C3842" w:rsidP="00FA1CA9">
            <w:pPr>
              <w:pStyle w:val="Textpoznpodarou1"/>
              <w:jc w:val="both"/>
              <w:rPr>
                <w:lang w:eastAsia="en-US"/>
              </w:rPr>
            </w:pPr>
          </w:p>
        </w:tc>
        <w:tc>
          <w:tcPr>
            <w:tcW w:w="7611" w:type="dxa"/>
          </w:tcPr>
          <w:p w14:paraId="46BA9D28" w14:textId="77777777" w:rsidR="007C3842" w:rsidRDefault="007C3842" w:rsidP="00FA1CA9">
            <w:pPr>
              <w:spacing w:after="0"/>
              <w:rPr>
                <w:rStyle w:val="Znakapoznpodarou"/>
                <w:lang w:eastAsia="en-US"/>
              </w:rPr>
            </w:pPr>
            <w:r>
              <w:rPr>
                <w:noProof/>
              </w:rPr>
              <w:drawing>
                <wp:inline distT="0" distB="0" distL="0" distR="0" wp14:anchorId="0023BA1C" wp14:editId="75A769C8">
                  <wp:extent cx="4737600" cy="3553200"/>
                  <wp:effectExtent l="0" t="0" r="6350" b="0"/>
                  <wp:docPr id="7" name="Graf 7">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7C3842" w14:paraId="14C90BF7" w14:textId="77777777" w:rsidTr="00FA1CA9">
        <w:trPr>
          <w:trHeight w:val="145"/>
        </w:trPr>
        <w:tc>
          <w:tcPr>
            <w:tcW w:w="1804" w:type="dxa"/>
          </w:tcPr>
          <w:p w14:paraId="2E9CE93F" w14:textId="77777777" w:rsidR="007C3842" w:rsidRDefault="007C3842" w:rsidP="00FA1CA9">
            <w:pPr>
              <w:pStyle w:val="Marginlie"/>
              <w:rPr>
                <w:spacing w:val="0"/>
                <w:lang w:eastAsia="en-US"/>
              </w:rPr>
            </w:pPr>
          </w:p>
        </w:tc>
        <w:tc>
          <w:tcPr>
            <w:tcW w:w="224" w:type="dxa"/>
          </w:tcPr>
          <w:p w14:paraId="54ACD7D3" w14:textId="77777777" w:rsidR="007C3842" w:rsidRDefault="007C3842" w:rsidP="00FA1CA9">
            <w:pPr>
              <w:pStyle w:val="Textpoznpodarou1"/>
              <w:jc w:val="both"/>
              <w:rPr>
                <w:lang w:eastAsia="en-US"/>
              </w:rPr>
            </w:pPr>
          </w:p>
        </w:tc>
        <w:tc>
          <w:tcPr>
            <w:tcW w:w="7611" w:type="dxa"/>
          </w:tcPr>
          <w:p w14:paraId="05E09BE3" w14:textId="77777777" w:rsidR="007C3842" w:rsidRPr="002E0000" w:rsidRDefault="007C3842" w:rsidP="00FA1CA9">
            <w:pPr>
              <w:jc w:val="right"/>
              <w:rPr>
                <w:rStyle w:val="Znakapoznpodarou"/>
                <w:sz w:val="16"/>
                <w:szCs w:val="16"/>
                <w:lang w:eastAsia="en-US"/>
              </w:rPr>
            </w:pPr>
            <w:r w:rsidRPr="002E0000">
              <w:rPr>
                <w:sz w:val="16"/>
                <w:szCs w:val="16"/>
                <w:lang w:eastAsia="en-US"/>
              </w:rPr>
              <w:t>Zdroj:ČSÚ</w:t>
            </w:r>
          </w:p>
        </w:tc>
      </w:tr>
      <w:tr w:rsidR="007C3842" w14:paraId="24F64E2D" w14:textId="77777777" w:rsidTr="00FA1CA9">
        <w:trPr>
          <w:trHeight w:val="145"/>
        </w:trPr>
        <w:tc>
          <w:tcPr>
            <w:tcW w:w="1804" w:type="dxa"/>
            <w:hideMark/>
          </w:tcPr>
          <w:p w14:paraId="7FDCB48E" w14:textId="77777777" w:rsidR="007C3842" w:rsidRDefault="007C3842" w:rsidP="00FA1CA9">
            <w:pPr>
              <w:pStyle w:val="Marginlie"/>
              <w:rPr>
                <w:spacing w:val="0"/>
                <w:lang w:eastAsia="en-US"/>
              </w:rPr>
            </w:pPr>
            <w:r>
              <w:rPr>
                <w:spacing w:val="0"/>
                <w:lang w:eastAsia="en-US"/>
              </w:rPr>
              <w:t>Vývoj cen bytů reflektoval oživení na trhu nemovitostí.</w:t>
            </w:r>
          </w:p>
        </w:tc>
        <w:tc>
          <w:tcPr>
            <w:tcW w:w="224" w:type="dxa"/>
          </w:tcPr>
          <w:p w14:paraId="5107A3C5" w14:textId="77777777" w:rsidR="007C3842" w:rsidRDefault="007C3842" w:rsidP="00FA1CA9">
            <w:pPr>
              <w:pStyle w:val="Textpoznpodarou1"/>
              <w:jc w:val="both"/>
              <w:rPr>
                <w:lang w:eastAsia="en-US"/>
              </w:rPr>
            </w:pPr>
          </w:p>
        </w:tc>
        <w:tc>
          <w:tcPr>
            <w:tcW w:w="7611" w:type="dxa"/>
            <w:hideMark/>
          </w:tcPr>
          <w:p w14:paraId="2D22A3E5" w14:textId="6A59A776" w:rsidR="007C3842" w:rsidRDefault="007C3842" w:rsidP="00FA1CA9">
            <w:pPr>
              <w:rPr>
                <w:lang w:eastAsia="en-US"/>
              </w:rPr>
            </w:pPr>
            <w:r>
              <w:rPr>
                <w:lang w:eastAsia="en-US"/>
              </w:rPr>
              <w:t>Nabídkové ceny bytů v Česku v 1. čtvrtletí počtvrté v řadě meziročně klesly, a to o 0,7 %. Na propadu se podílely ceny bytů mimo Prahu, které byly meziročně nižší o 1,8 %. V samotné Praze vydržel meziroční pokles jen dva kvartály a v 1. čtvrtletí nabídkové ceny bytů opět vzrostly o 0,3 %. Po předchozím roce poklesů v 1. čtvrtletí 2024 nabídkové ceny bytů v Česku mezičtvrtletně vzrostly o 1,7 %. Mimo Prahu přírůstek dosáhl 1,2 % a v Praze to bylo 2,2 %. To odpovídá oživení trhu s nemovitostmi v souvislosti se snížením úrokových sazeb. Realizované ceny starších bytů v Česku v 1. čtvrtletí na předchozí tři meziroční propady navázaly v podstatě stagnací (0,1 %). Ceny bytů mimo Prahu mírně klesly (−0,2 %), ale v Praze už realizované ceny starších bytů meziročně vzrostly o 1,0 %. U realizovaných cen starších bytů v Česku došlo mezičtvrtletně k výraznému oživení o 2,6 %, mimo Prahu to bylo dokonce 3,2 %, v Praze byl mezičtvrtletní přírůstek mírnější (0,2 %).</w:t>
            </w:r>
            <w:r w:rsidR="006A2153">
              <w:rPr>
                <w:lang w:eastAsia="en-US"/>
              </w:rPr>
              <w:t xml:space="preserve"> Realizované ceny starších bytu, které jsou zjišťovány pouze za Prahu, se v 1. čtvrtletí meziročně snížily o 3,0 % a klesly tak popáté v řadě. Snižovaly se i mezičtvrtletně (−1,0 %)</w:t>
            </w:r>
          </w:p>
        </w:tc>
      </w:tr>
      <w:tr w:rsidR="007C3842" w14:paraId="176C9E73" w14:textId="77777777" w:rsidTr="00FA1CA9">
        <w:trPr>
          <w:trHeight w:val="145"/>
        </w:trPr>
        <w:tc>
          <w:tcPr>
            <w:tcW w:w="1804" w:type="dxa"/>
          </w:tcPr>
          <w:p w14:paraId="1821E0DA" w14:textId="77777777" w:rsidR="007C3842" w:rsidRDefault="007C3842" w:rsidP="00FA1CA9">
            <w:pPr>
              <w:pStyle w:val="Marginlie"/>
              <w:rPr>
                <w:spacing w:val="0"/>
                <w:lang w:eastAsia="en-US"/>
              </w:rPr>
            </w:pPr>
            <w:r>
              <w:rPr>
                <w:spacing w:val="0"/>
                <w:lang w:eastAsia="en-US"/>
              </w:rPr>
              <w:lastRenderedPageBreak/>
              <w:t>Ceny průmyslových výrobců v 1. čtvrtletí začaly opět mezičtvrtletně růst.</w:t>
            </w:r>
          </w:p>
        </w:tc>
        <w:tc>
          <w:tcPr>
            <w:tcW w:w="224" w:type="dxa"/>
          </w:tcPr>
          <w:p w14:paraId="66BBD021" w14:textId="77777777" w:rsidR="007C3842" w:rsidRDefault="007C3842" w:rsidP="00FA1CA9">
            <w:pPr>
              <w:pStyle w:val="Textpoznpodarou1"/>
              <w:jc w:val="both"/>
              <w:rPr>
                <w:lang w:eastAsia="en-US"/>
              </w:rPr>
            </w:pPr>
          </w:p>
        </w:tc>
        <w:tc>
          <w:tcPr>
            <w:tcW w:w="7611" w:type="dxa"/>
          </w:tcPr>
          <w:p w14:paraId="4E2C6006" w14:textId="77777777" w:rsidR="007C3842" w:rsidRDefault="007C3842" w:rsidP="00FA1CA9">
            <w:pPr>
              <w:rPr>
                <w:lang w:eastAsia="en-US"/>
              </w:rPr>
            </w:pPr>
            <w:r>
              <w:rPr>
                <w:lang w:eastAsia="en-US"/>
              </w:rPr>
              <w:t>Po třech předchozích mezičtvrtletních poklesech se ceny průmyslových výrobců oproti 4. kvartálu 2023 zvýšily o 2,3 %. Jedinou klesající sekcí byly ceny těžby a dobývání (−2,1 %). Po pěti sníženích opět mírně mezičtvrtletně vzrostly ceny ve zpracovatelském průmyslu (0,5 %). Ceny elektřiny, plynu, páry a klimatizovaného vzduchu byly v 1. čtvrtletí vyšší o 8,8 % a zásobování vodou a služeb souvisejících s odpadními vodami o 9,2 %.</w:t>
            </w:r>
          </w:p>
        </w:tc>
      </w:tr>
      <w:tr w:rsidR="007C3842" w14:paraId="64534B07" w14:textId="77777777" w:rsidTr="00FA1CA9">
        <w:trPr>
          <w:trHeight w:val="145"/>
        </w:trPr>
        <w:tc>
          <w:tcPr>
            <w:tcW w:w="1804" w:type="dxa"/>
            <w:hideMark/>
          </w:tcPr>
          <w:p w14:paraId="3D075434" w14:textId="77777777" w:rsidR="007C3842" w:rsidRDefault="007C3842" w:rsidP="00FA1CA9">
            <w:pPr>
              <w:pStyle w:val="Marginlie"/>
              <w:rPr>
                <w:spacing w:val="0"/>
                <w:lang w:eastAsia="en-US"/>
              </w:rPr>
            </w:pPr>
            <w:r>
              <w:rPr>
                <w:spacing w:val="0"/>
                <w:lang w:eastAsia="en-US"/>
              </w:rPr>
              <w:t>Ceny průmyslových výrobců poprvé po více než třech letech meziročně klesly.</w:t>
            </w:r>
          </w:p>
        </w:tc>
        <w:tc>
          <w:tcPr>
            <w:tcW w:w="224" w:type="dxa"/>
          </w:tcPr>
          <w:p w14:paraId="5D363218" w14:textId="77777777" w:rsidR="007C3842" w:rsidRDefault="007C3842" w:rsidP="00FA1CA9">
            <w:pPr>
              <w:pStyle w:val="Textpoznpodarou1"/>
              <w:jc w:val="both"/>
              <w:rPr>
                <w:lang w:eastAsia="en-US"/>
              </w:rPr>
            </w:pPr>
          </w:p>
        </w:tc>
        <w:tc>
          <w:tcPr>
            <w:tcW w:w="7611" w:type="dxa"/>
            <w:hideMark/>
          </w:tcPr>
          <w:p w14:paraId="032CAF72" w14:textId="77777777" w:rsidR="007C3842" w:rsidRDefault="007C3842" w:rsidP="00FA1CA9">
            <w:pPr>
              <w:rPr>
                <w:lang w:eastAsia="en-US"/>
              </w:rPr>
            </w:pPr>
            <w:r>
              <w:rPr>
                <w:lang w:eastAsia="en-US"/>
              </w:rPr>
              <w:t>Ceny průmyslových výrobců v 1. čtvrtletí 2024 meziročně klesly o 0,9 %. Šlo o první meziroční pokles od 3. čtvrtletí 2020. Až na 0,8 % zpomalil meziroční přírůstek cen elektřiny, plynu, páry a klimatizovaného vzduchu a o 9,2 % vyšší byly ceny zásobování vodou a služeb souvisejících s odpadními vodami. Ceny těžby a dobývání byly v 1. čtvrtletí meziročně nižší o 1,2 %. Vyprchal totiž vliv skokového navýšení z 1. kvartálu 2023, který loni ovlivňoval meziroční dynamiku cen v této sekci. Meziročně nižší tak byly ceny černého a hnědého uhlí a lignitu (−6,8 %) i ropy a zemního plynu (−20,0 %, především kvůli cenám plynu). Nadále ale rostly ceny ostatní těžby a dobývání nerostných surovin (11,9 %).</w:t>
            </w:r>
          </w:p>
        </w:tc>
      </w:tr>
      <w:tr w:rsidR="007C3842" w14:paraId="4BEEC23F" w14:textId="77777777" w:rsidTr="00FA1CA9">
        <w:trPr>
          <w:trHeight w:val="145"/>
        </w:trPr>
        <w:tc>
          <w:tcPr>
            <w:tcW w:w="1804" w:type="dxa"/>
          </w:tcPr>
          <w:p w14:paraId="6A724899" w14:textId="77777777" w:rsidR="007C3842" w:rsidRDefault="007C3842" w:rsidP="00FA1CA9">
            <w:pPr>
              <w:pStyle w:val="Marginlie"/>
              <w:rPr>
                <w:spacing w:val="0"/>
                <w:lang w:eastAsia="en-US"/>
              </w:rPr>
            </w:pPr>
          </w:p>
        </w:tc>
        <w:tc>
          <w:tcPr>
            <w:tcW w:w="224" w:type="dxa"/>
          </w:tcPr>
          <w:p w14:paraId="3D580C7E" w14:textId="77777777" w:rsidR="007C3842" w:rsidRDefault="007C3842" w:rsidP="00FA1CA9">
            <w:pPr>
              <w:pStyle w:val="Textpoznpodarou1"/>
              <w:jc w:val="both"/>
              <w:rPr>
                <w:lang w:eastAsia="en-US"/>
              </w:rPr>
            </w:pPr>
          </w:p>
        </w:tc>
        <w:tc>
          <w:tcPr>
            <w:tcW w:w="7611" w:type="dxa"/>
          </w:tcPr>
          <w:p w14:paraId="75E421BA" w14:textId="625519CD" w:rsidR="007C3842" w:rsidRDefault="00EC6B23" w:rsidP="00FA1CA9">
            <w:pPr>
              <w:spacing w:after="0"/>
              <w:rPr>
                <w:lang w:eastAsia="en-US"/>
              </w:rPr>
            </w:pPr>
            <w:r>
              <w:rPr>
                <w:b/>
                <w:sz w:val="18"/>
                <w:szCs w:val="18"/>
                <w:lang w:eastAsia="en-US"/>
              </w:rPr>
              <w:t>Graf č. 12</w:t>
            </w:r>
            <w:r w:rsidR="007C3842">
              <w:rPr>
                <w:b/>
                <w:sz w:val="18"/>
                <w:szCs w:val="18"/>
                <w:lang w:eastAsia="en-US"/>
              </w:rPr>
              <w:t xml:space="preserve"> Ceny hlavních skupin průmyslových výrobců </w:t>
            </w:r>
            <w:r w:rsidR="007C3842">
              <w:rPr>
                <w:sz w:val="18"/>
                <w:szCs w:val="18"/>
                <w:lang w:eastAsia="en-US"/>
              </w:rPr>
              <w:t>(meziroční změna, v %, podle klasifikace CPA)</w:t>
            </w:r>
          </w:p>
        </w:tc>
      </w:tr>
      <w:tr w:rsidR="007C3842" w14:paraId="1DCCB5ED" w14:textId="77777777" w:rsidTr="00FA1CA9">
        <w:trPr>
          <w:trHeight w:val="145"/>
        </w:trPr>
        <w:tc>
          <w:tcPr>
            <w:tcW w:w="1804" w:type="dxa"/>
          </w:tcPr>
          <w:p w14:paraId="219ED776" w14:textId="77777777" w:rsidR="007C3842" w:rsidRDefault="007C3842" w:rsidP="00FA1CA9">
            <w:pPr>
              <w:pStyle w:val="Marginlie"/>
              <w:rPr>
                <w:spacing w:val="0"/>
                <w:lang w:eastAsia="en-US"/>
              </w:rPr>
            </w:pPr>
          </w:p>
        </w:tc>
        <w:tc>
          <w:tcPr>
            <w:tcW w:w="224" w:type="dxa"/>
          </w:tcPr>
          <w:p w14:paraId="65BC84E9" w14:textId="77777777" w:rsidR="007C3842" w:rsidRDefault="007C3842" w:rsidP="00FA1CA9">
            <w:pPr>
              <w:pStyle w:val="Textpoznpodarou1"/>
              <w:jc w:val="both"/>
              <w:rPr>
                <w:lang w:eastAsia="en-US"/>
              </w:rPr>
            </w:pPr>
          </w:p>
        </w:tc>
        <w:tc>
          <w:tcPr>
            <w:tcW w:w="7611" w:type="dxa"/>
          </w:tcPr>
          <w:p w14:paraId="0C43BD95" w14:textId="77777777" w:rsidR="007C3842" w:rsidRDefault="007C3842" w:rsidP="00FA1CA9">
            <w:pPr>
              <w:spacing w:after="0"/>
              <w:jc w:val="center"/>
              <w:rPr>
                <w:lang w:eastAsia="en-US"/>
              </w:rPr>
            </w:pPr>
            <w:r>
              <w:rPr>
                <w:noProof/>
              </w:rPr>
              <w:drawing>
                <wp:inline distT="0" distB="0" distL="0" distR="0" wp14:anchorId="329224E8" wp14:editId="2B9E94E6">
                  <wp:extent cx="4752000" cy="3553200"/>
                  <wp:effectExtent l="0" t="0" r="0" b="0"/>
                  <wp:docPr id="9" name="Graf 9">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7C3842" w14:paraId="0EFA9571" w14:textId="77777777" w:rsidTr="00FA1CA9">
        <w:trPr>
          <w:trHeight w:val="145"/>
        </w:trPr>
        <w:tc>
          <w:tcPr>
            <w:tcW w:w="1804" w:type="dxa"/>
          </w:tcPr>
          <w:p w14:paraId="516C12CC" w14:textId="77777777" w:rsidR="007C3842" w:rsidRDefault="007C3842" w:rsidP="00FA1CA9">
            <w:pPr>
              <w:pStyle w:val="Marginlie"/>
              <w:rPr>
                <w:spacing w:val="0"/>
                <w:lang w:eastAsia="en-US"/>
              </w:rPr>
            </w:pPr>
          </w:p>
        </w:tc>
        <w:tc>
          <w:tcPr>
            <w:tcW w:w="224" w:type="dxa"/>
          </w:tcPr>
          <w:p w14:paraId="3A1A03D0" w14:textId="77777777" w:rsidR="007C3842" w:rsidRDefault="007C3842" w:rsidP="00FA1CA9">
            <w:pPr>
              <w:pStyle w:val="Textpoznpodarou1"/>
              <w:jc w:val="both"/>
              <w:rPr>
                <w:lang w:eastAsia="en-US"/>
              </w:rPr>
            </w:pPr>
          </w:p>
        </w:tc>
        <w:tc>
          <w:tcPr>
            <w:tcW w:w="7611" w:type="dxa"/>
          </w:tcPr>
          <w:p w14:paraId="13110507" w14:textId="77777777" w:rsidR="007C3842" w:rsidRPr="002E0000" w:rsidRDefault="007C3842" w:rsidP="00FA1CA9">
            <w:pPr>
              <w:jc w:val="right"/>
              <w:rPr>
                <w:sz w:val="16"/>
                <w:szCs w:val="16"/>
                <w:lang w:eastAsia="en-US"/>
              </w:rPr>
            </w:pPr>
            <w:r w:rsidRPr="002E0000">
              <w:rPr>
                <w:sz w:val="16"/>
                <w:szCs w:val="16"/>
                <w:lang w:eastAsia="en-US"/>
              </w:rPr>
              <w:t>Zdroj:ČSÚ</w:t>
            </w:r>
          </w:p>
        </w:tc>
      </w:tr>
      <w:tr w:rsidR="007C3842" w14:paraId="4D6F598D" w14:textId="77777777" w:rsidTr="00FA1CA9">
        <w:trPr>
          <w:trHeight w:val="145"/>
        </w:trPr>
        <w:tc>
          <w:tcPr>
            <w:tcW w:w="1804" w:type="dxa"/>
            <w:hideMark/>
          </w:tcPr>
          <w:p w14:paraId="3E43D6DC" w14:textId="77777777" w:rsidR="007C3842" w:rsidRDefault="007C3842" w:rsidP="00FA1CA9">
            <w:pPr>
              <w:pStyle w:val="Marginlie"/>
              <w:rPr>
                <w:spacing w:val="0"/>
                <w:lang w:eastAsia="en-US"/>
              </w:rPr>
            </w:pPr>
            <w:r>
              <w:rPr>
                <w:spacing w:val="0"/>
                <w:lang w:eastAsia="en-US"/>
              </w:rPr>
              <w:t xml:space="preserve">Meziroční pokles cen </w:t>
            </w:r>
            <w:r>
              <w:rPr>
                <w:spacing w:val="0"/>
                <w:lang w:eastAsia="en-US"/>
              </w:rPr>
              <w:br/>
              <w:t>u řady druhů zboží ovlivnila vysoká srovnávací základna.</w:t>
            </w:r>
          </w:p>
        </w:tc>
        <w:tc>
          <w:tcPr>
            <w:tcW w:w="224" w:type="dxa"/>
          </w:tcPr>
          <w:p w14:paraId="4B968259" w14:textId="77777777" w:rsidR="007C3842" w:rsidRDefault="007C3842" w:rsidP="00FA1CA9">
            <w:pPr>
              <w:pStyle w:val="Textpoznpodarou1"/>
              <w:jc w:val="both"/>
              <w:rPr>
                <w:lang w:eastAsia="en-US"/>
              </w:rPr>
            </w:pPr>
          </w:p>
        </w:tc>
        <w:tc>
          <w:tcPr>
            <w:tcW w:w="7611" w:type="dxa"/>
            <w:hideMark/>
          </w:tcPr>
          <w:p w14:paraId="681374A9" w14:textId="3C41DDAA" w:rsidR="007C3842" w:rsidRDefault="007C3842" w:rsidP="00FA1CA9">
            <w:pPr>
              <w:rPr>
                <w:lang w:eastAsia="en-US"/>
              </w:rPr>
            </w:pPr>
            <w:r>
              <w:rPr>
                <w:lang w:eastAsia="en-US"/>
              </w:rPr>
              <w:t>Ceny výrobků a služeb ve zpracovatelském průmyslu v 1. čtvrtletí meziročně klesly o 1,7 %. Pokles se oproti předchozímu čtvrtletí zmírnil. U řady výrobků se na meziroční dynamice cen projevila srovnávací základna 1. čtvrtletí loňského roku. Výrazně tak meziročně zaostávaly ceny dřeva a výrobků z něj (−16,8 %), papíru a výrobků z něj (−12,3 %), základních kovů (−10,4 %), chemických látek a přípravků (−9,4 %) nebo potravinářských výrobků (−5,4 %), kde přitom ceny v 1. kvartálu mezičtvrtletně klesaly jen mírně, nebo dokonce rostly. Mírný pokles byl zaznamenán rovněž u cen ostatních nekovových minerálních výrobků (−1,1 %), kovodělných výrobků (</w:t>
            </w:r>
            <w:r w:rsidR="00711A82">
              <w:rPr>
                <w:lang w:eastAsia="en-US"/>
              </w:rPr>
              <w:t>−</w:t>
            </w:r>
            <w:r>
              <w:rPr>
                <w:lang w:eastAsia="en-US"/>
              </w:rPr>
              <w:t>1,0 %) a pryžových a plastových výrobků (</w:t>
            </w:r>
            <w:r w:rsidR="00711A82">
              <w:rPr>
                <w:lang w:eastAsia="en-US"/>
              </w:rPr>
              <w:t>−</w:t>
            </w:r>
            <w:r>
              <w:rPr>
                <w:lang w:eastAsia="en-US"/>
              </w:rPr>
              <w:t xml:space="preserve">1,0 %). V kontrastu s klesajícími cenami potravinářských výrobků dál silně meziročně rostly ceny nápojů (6,2 %) a výrazný byl přírůstek cen oprav, údržby a instalace strojů a zařízení (5,3 %) i ostatních výrobků zpracovatelského průmyslu (3,1 %). Meziročně vyšší byly také ceny výrobků ve významných oblastech </w:t>
            </w:r>
            <w:r>
              <w:rPr>
                <w:lang w:eastAsia="en-US"/>
              </w:rPr>
              <w:lastRenderedPageBreak/>
              <w:t xml:space="preserve">napojených na zahraniční obchod – počítačů, elektronických a optických přístrojů (4,9 %), strojů a zařízení (3,4 %) a motorových vozidel (3,4 %). V zásadě meziročně stagnovaly ceny elektrických zařízení (0,1 %). </w:t>
            </w:r>
          </w:p>
        </w:tc>
      </w:tr>
      <w:tr w:rsidR="007C3842" w14:paraId="672226A3" w14:textId="77777777" w:rsidTr="00FA1CA9">
        <w:trPr>
          <w:trHeight w:val="145"/>
        </w:trPr>
        <w:tc>
          <w:tcPr>
            <w:tcW w:w="1804" w:type="dxa"/>
            <w:hideMark/>
          </w:tcPr>
          <w:p w14:paraId="43CB4E1D" w14:textId="77777777" w:rsidR="007C3842" w:rsidRDefault="007C3842" w:rsidP="00FA1CA9">
            <w:pPr>
              <w:pStyle w:val="Marginlie"/>
              <w:rPr>
                <w:spacing w:val="0"/>
                <w:lang w:eastAsia="en-US"/>
              </w:rPr>
            </w:pPr>
            <w:r>
              <w:rPr>
                <w:spacing w:val="0"/>
                <w:lang w:eastAsia="en-US"/>
              </w:rPr>
              <w:lastRenderedPageBreak/>
              <w:t>Ceny průmyslových výrobců v EU meziročně klesly.</w:t>
            </w:r>
          </w:p>
        </w:tc>
        <w:tc>
          <w:tcPr>
            <w:tcW w:w="224" w:type="dxa"/>
          </w:tcPr>
          <w:p w14:paraId="69808AD8" w14:textId="77777777" w:rsidR="007C3842" w:rsidRDefault="007C3842" w:rsidP="00FA1CA9">
            <w:pPr>
              <w:pStyle w:val="Textpoznpodarou1"/>
              <w:jc w:val="both"/>
              <w:rPr>
                <w:lang w:eastAsia="en-US"/>
              </w:rPr>
            </w:pPr>
          </w:p>
        </w:tc>
        <w:tc>
          <w:tcPr>
            <w:tcW w:w="7611" w:type="dxa"/>
            <w:hideMark/>
          </w:tcPr>
          <w:p w14:paraId="035B7848" w14:textId="5754E081" w:rsidR="007C3842" w:rsidRDefault="007C3842" w:rsidP="00711A82">
            <w:pPr>
              <w:rPr>
                <w:lang w:eastAsia="en-US"/>
              </w:rPr>
            </w:pPr>
            <w:r>
              <w:rPr>
                <w:lang w:eastAsia="en-US"/>
              </w:rPr>
              <w:t>Ceny průmyslových výrobců v EU</w:t>
            </w:r>
            <w:r>
              <w:rPr>
                <w:rStyle w:val="Znakapoznpodarou"/>
                <w:lang w:eastAsia="en-US"/>
              </w:rPr>
              <w:footnoteReference w:id="5"/>
            </w:r>
            <w:r>
              <w:rPr>
                <w:lang w:eastAsia="en-US"/>
              </w:rPr>
              <w:t xml:space="preserve"> v 1. čtvrtletí meziročně klesly o 7,9 % a propad tak zůstal téměř stejný jako v předchozích dvou čtvrtletích. Výrazně meziročně nižší byly ceny elektřiny, plynu, páry a klimatizovaného vzduchu (−23,4 %) a těžby a dobývání (−9,5 %). Mírný pokles si udržely také ceny výrobků a služeb zpracovatelského průmyslu (−1,8 %). Ceny průmyslových výrobců v 1. čtvrtletí klesly v drtivé většině zemí s výjimkou Lucemburska (přírůstek 16,7 %) a Malty (0,7 %). Nejhlubší propad byl zaznamenán v Irsku (−21,8 %) a na Slovensku (−21,0 %) a s odstupem se </w:t>
            </w:r>
            <w:r w:rsidR="00711A82" w:rsidRPr="00711A82">
              <w:rPr>
                <w:lang w:eastAsia="en-US"/>
              </w:rPr>
              <w:t>umístil</w:t>
            </w:r>
            <w:r w:rsidR="00711A82">
              <w:rPr>
                <w:lang w:eastAsia="en-US"/>
              </w:rPr>
              <w:t xml:space="preserve">o </w:t>
            </w:r>
            <w:r w:rsidR="00711A82" w:rsidRPr="00711A82">
              <w:rPr>
                <w:lang w:eastAsia="en-US"/>
              </w:rPr>
              <w:t>Bulharsko (</w:t>
            </w:r>
            <w:r w:rsidR="00711A82">
              <w:rPr>
                <w:lang w:eastAsia="en-US"/>
              </w:rPr>
              <w:t>−</w:t>
            </w:r>
            <w:r w:rsidR="00711A82" w:rsidRPr="00711A82">
              <w:rPr>
                <w:lang w:eastAsia="en-US"/>
              </w:rPr>
              <w:t>14,3 %)</w:t>
            </w:r>
            <w:r w:rsidR="00711A82">
              <w:rPr>
                <w:lang w:eastAsia="en-US"/>
              </w:rPr>
              <w:t>.</w:t>
            </w:r>
            <w:r>
              <w:rPr>
                <w:lang w:eastAsia="en-US"/>
              </w:rPr>
              <w:t xml:space="preserve"> Mezičtvrtletně se ceny pr</w:t>
            </w:r>
            <w:r w:rsidR="00711A82">
              <w:rPr>
                <w:lang w:eastAsia="en-US"/>
              </w:rPr>
              <w:t xml:space="preserve">ůmyslových výrobců v EU snížily </w:t>
            </w:r>
            <w:r>
              <w:rPr>
                <w:lang w:eastAsia="en-US"/>
              </w:rPr>
              <w:t>o</w:t>
            </w:r>
            <w:r w:rsidR="00711A82">
              <w:rPr>
                <w:lang w:eastAsia="en-US"/>
              </w:rPr>
              <w:t> </w:t>
            </w:r>
            <w:r>
              <w:rPr>
                <w:lang w:eastAsia="en-US"/>
              </w:rPr>
              <w:t>2,3</w:t>
            </w:r>
            <w:r w:rsidR="00711A82">
              <w:rPr>
                <w:lang w:eastAsia="en-US"/>
              </w:rPr>
              <w:t> </w:t>
            </w:r>
            <w:r>
              <w:rPr>
                <w:lang w:eastAsia="en-US"/>
              </w:rPr>
              <w:t>%. Na obnoveném poklesu se projevil vývoj cen elektřiny, plynu, páry a</w:t>
            </w:r>
            <w:r w:rsidR="00711A82">
              <w:rPr>
                <w:lang w:eastAsia="en-US"/>
              </w:rPr>
              <w:t> </w:t>
            </w:r>
            <w:r>
              <w:rPr>
                <w:lang w:eastAsia="en-US"/>
              </w:rPr>
              <w:t>klimatizovaného vzduchu (−8,2 %) i těžby a dobývání (−3,5 %). Ceny ve zpracovatelském průmyslu stagnovaly. Mezičtvrtletní pokles cen průmyslových výrobců byl zaznamenán ve většině zemí EU. Česko bylo nejvýraznější výjimkou (růst o 2,3 %) spolu s Litvou (2,0 %), Švédskem (1,5 %), Maltou (0,3 %) a Portugalskem (0,3</w:t>
            </w:r>
            <w:r w:rsidR="00711A82">
              <w:rPr>
                <w:lang w:eastAsia="en-US"/>
              </w:rPr>
              <w:t> </w:t>
            </w:r>
            <w:r>
              <w:rPr>
                <w:lang w:eastAsia="en-US"/>
              </w:rPr>
              <w:t xml:space="preserve">%). Nejhlubší mezičtvrtletní propad byl zaznamenán na Slovensku (−18,6 %), v Irsku (−7,4 %) a v Itálii (−4,8 %).     </w:t>
            </w:r>
          </w:p>
        </w:tc>
      </w:tr>
      <w:tr w:rsidR="007C3842" w14:paraId="1FBB1EB8" w14:textId="77777777" w:rsidTr="00FA1CA9">
        <w:trPr>
          <w:trHeight w:val="145"/>
        </w:trPr>
        <w:tc>
          <w:tcPr>
            <w:tcW w:w="1804" w:type="dxa"/>
            <w:hideMark/>
          </w:tcPr>
          <w:p w14:paraId="24313C2B" w14:textId="77777777" w:rsidR="007C3842" w:rsidRDefault="007C3842" w:rsidP="00FA1CA9">
            <w:pPr>
              <w:pStyle w:val="Marginlie"/>
              <w:rPr>
                <w:spacing w:val="0"/>
                <w:lang w:eastAsia="en-US"/>
              </w:rPr>
            </w:pPr>
            <w:r>
              <w:rPr>
                <w:spacing w:val="0"/>
                <w:lang w:eastAsia="en-US"/>
              </w:rPr>
              <w:t>Ceny stavebních prací rostly.</w:t>
            </w:r>
          </w:p>
        </w:tc>
        <w:tc>
          <w:tcPr>
            <w:tcW w:w="224" w:type="dxa"/>
          </w:tcPr>
          <w:p w14:paraId="0FDE0841" w14:textId="77777777" w:rsidR="007C3842" w:rsidRDefault="007C3842" w:rsidP="00FA1CA9">
            <w:pPr>
              <w:pStyle w:val="Textpoznpodarou1"/>
              <w:jc w:val="both"/>
              <w:rPr>
                <w:lang w:eastAsia="en-US"/>
              </w:rPr>
            </w:pPr>
          </w:p>
        </w:tc>
        <w:tc>
          <w:tcPr>
            <w:tcW w:w="7611" w:type="dxa"/>
            <w:hideMark/>
          </w:tcPr>
          <w:p w14:paraId="53EF55CB" w14:textId="77777777" w:rsidR="007C3842" w:rsidRDefault="007C3842" w:rsidP="00FA1CA9">
            <w:pPr>
              <w:rPr>
                <w:lang w:eastAsia="en-US"/>
              </w:rPr>
            </w:pPr>
            <w:r>
              <w:rPr>
                <w:lang w:eastAsia="en-US"/>
              </w:rPr>
              <w:t>V 1. čtvrtletí 2024 c</w:t>
            </w:r>
            <w:r w:rsidRPr="003C687E">
              <w:rPr>
                <w:lang w:eastAsia="en-US"/>
              </w:rPr>
              <w:t>eny stavebních prací dle odhadů</w:t>
            </w:r>
            <w:r>
              <w:rPr>
                <w:lang w:eastAsia="en-US"/>
              </w:rPr>
              <w:t xml:space="preserve"> mezičtvrtletně vzrostly o 0,2 %.  Stejné období loňského roku překonaly o 1,7 %. Mezičtvrtletní přírůstek c</w:t>
            </w:r>
            <w:r w:rsidRPr="003C687E">
              <w:rPr>
                <w:lang w:eastAsia="en-US"/>
              </w:rPr>
              <w:t xml:space="preserve">en materiálů a výrobků spotřebovávaných ve stavebnictví </w:t>
            </w:r>
            <w:r>
              <w:rPr>
                <w:lang w:eastAsia="en-US"/>
              </w:rPr>
              <w:t xml:space="preserve">dosáhl </w:t>
            </w:r>
            <w:r w:rsidRPr="003C687E">
              <w:rPr>
                <w:lang w:eastAsia="en-US"/>
              </w:rPr>
              <w:t>0,6 %.</w:t>
            </w:r>
            <w:r>
              <w:rPr>
                <w:lang w:eastAsia="en-US"/>
              </w:rPr>
              <w:t xml:space="preserve"> Ceny</w:t>
            </w:r>
            <w:r w:rsidRPr="003C687E">
              <w:rPr>
                <w:lang w:eastAsia="en-US"/>
              </w:rPr>
              <w:t xml:space="preserve"> materiálů a výrobků spotřebovávaných ve stavebnictví </w:t>
            </w:r>
            <w:r>
              <w:rPr>
                <w:lang w:eastAsia="en-US"/>
              </w:rPr>
              <w:t xml:space="preserve">meziročně </w:t>
            </w:r>
            <w:r w:rsidRPr="003C687E">
              <w:rPr>
                <w:lang w:eastAsia="en-US"/>
              </w:rPr>
              <w:t>klesly o 1,6 %.</w:t>
            </w:r>
          </w:p>
        </w:tc>
      </w:tr>
      <w:tr w:rsidR="007C3842" w14:paraId="4A6CD36A" w14:textId="77777777" w:rsidTr="00FA1CA9">
        <w:trPr>
          <w:trHeight w:val="145"/>
        </w:trPr>
        <w:tc>
          <w:tcPr>
            <w:tcW w:w="1804" w:type="dxa"/>
            <w:hideMark/>
          </w:tcPr>
          <w:p w14:paraId="689647BE" w14:textId="77777777" w:rsidR="007C3842" w:rsidRDefault="007C3842" w:rsidP="00FA1CA9">
            <w:pPr>
              <w:pStyle w:val="Marginlie"/>
              <w:rPr>
                <w:spacing w:val="0"/>
                <w:lang w:eastAsia="en-US"/>
              </w:rPr>
            </w:pPr>
            <w:r>
              <w:rPr>
                <w:spacing w:val="0"/>
                <w:lang w:eastAsia="en-US"/>
              </w:rPr>
              <w:t>Ceny tržních služeb meziročně vzrostly.</w:t>
            </w:r>
          </w:p>
        </w:tc>
        <w:tc>
          <w:tcPr>
            <w:tcW w:w="224" w:type="dxa"/>
          </w:tcPr>
          <w:p w14:paraId="684B2820" w14:textId="77777777" w:rsidR="007C3842" w:rsidRDefault="007C3842" w:rsidP="00FA1CA9">
            <w:pPr>
              <w:pStyle w:val="Textpoznpodarou1"/>
              <w:jc w:val="both"/>
              <w:rPr>
                <w:lang w:eastAsia="en-US"/>
              </w:rPr>
            </w:pPr>
          </w:p>
        </w:tc>
        <w:tc>
          <w:tcPr>
            <w:tcW w:w="7611" w:type="dxa"/>
            <w:hideMark/>
          </w:tcPr>
          <w:p w14:paraId="264F473E" w14:textId="77777777" w:rsidR="007C3842" w:rsidRDefault="007C3842" w:rsidP="00FA1CA9">
            <w:pPr>
              <w:rPr>
                <w:lang w:eastAsia="en-US"/>
              </w:rPr>
            </w:pPr>
            <w:r>
              <w:rPr>
                <w:lang w:eastAsia="en-US"/>
              </w:rPr>
              <w:t xml:space="preserve">Ceny tržních služeb v 1. čtvrtletí meziročně vzrostly o 4,5 %. Nárůst tak mírně zpomalil oproti předchozímu kvartálu. Mezičtvrtletně se ceny tržních služeb zvýšily </w:t>
            </w:r>
            <w:r>
              <w:rPr>
                <w:lang w:eastAsia="en-US"/>
              </w:rPr>
              <w:br/>
              <w:t xml:space="preserve">o 1,1 %. K celkovému meziročnímu nárůstu nejvíc přispěl vývoj cen služeb v oblasti nemovitostí, u kterých meziroční přírůstek zrychlil na 7,8 %, zejména pod vlivem cen pronájmu a správy nemovitostí. Výrazný vliv na celkový růst cen tržních služeb měly také služby v oblasti programování a souvisejícího poradenství (navýšení o 5,8 %) a ceny reklamních služeb a průzkumu trhu, jejichž meziroční růst zrychlil na 12,4 %. Ve směru růstu cen tržních služeb významně působily také služby v oblasti zaměstnání (11,6 %), právní a účetnické služby (6,2 %), pozemní a potrubní doprava (2,5 %), poštovní a kurýrní služby (8,4 %) nebo architektonické a inženýrské služby (2,7 %).    </w:t>
            </w:r>
          </w:p>
        </w:tc>
      </w:tr>
      <w:tr w:rsidR="007C3842" w14:paraId="61585810" w14:textId="77777777" w:rsidTr="00FA1CA9">
        <w:trPr>
          <w:trHeight w:val="145"/>
        </w:trPr>
        <w:tc>
          <w:tcPr>
            <w:tcW w:w="1804" w:type="dxa"/>
            <w:hideMark/>
          </w:tcPr>
          <w:p w14:paraId="4BF764B2" w14:textId="77777777" w:rsidR="007C3842" w:rsidRDefault="007C3842" w:rsidP="00FA1CA9">
            <w:pPr>
              <w:pStyle w:val="Marginlie"/>
              <w:rPr>
                <w:spacing w:val="0"/>
                <w:lang w:eastAsia="en-US"/>
              </w:rPr>
            </w:pPr>
            <w:r>
              <w:rPr>
                <w:spacing w:val="0"/>
                <w:lang w:eastAsia="en-US"/>
              </w:rPr>
              <w:t>Ceny zemědělské výroby setrvaly v hlubokém meziročním propadu.</w:t>
            </w:r>
          </w:p>
        </w:tc>
        <w:tc>
          <w:tcPr>
            <w:tcW w:w="224" w:type="dxa"/>
          </w:tcPr>
          <w:p w14:paraId="6CDEDCAC" w14:textId="77777777" w:rsidR="007C3842" w:rsidRDefault="007C3842" w:rsidP="00FA1CA9">
            <w:pPr>
              <w:pStyle w:val="Textpoznpodarou1"/>
              <w:jc w:val="both"/>
              <w:rPr>
                <w:lang w:eastAsia="en-US"/>
              </w:rPr>
            </w:pPr>
          </w:p>
        </w:tc>
        <w:tc>
          <w:tcPr>
            <w:tcW w:w="7611" w:type="dxa"/>
            <w:hideMark/>
          </w:tcPr>
          <w:p w14:paraId="3CC4B4C9" w14:textId="237D2717" w:rsidR="007C3842" w:rsidRDefault="007C3842" w:rsidP="00711A82">
            <w:pPr>
              <w:rPr>
                <w:lang w:eastAsia="en-US"/>
              </w:rPr>
            </w:pPr>
            <w:r>
              <w:rPr>
                <w:lang w:eastAsia="en-US"/>
              </w:rPr>
              <w:t>Ceny zemědělské výroby (včetně ryb) v 1. čtvrtletí 2024 pokračovaly v meziročním poklesu a byly nižší o 17,2 %. Mezičtvrtletně se ceny zemědělských výrobců snížily o 0,7 %. Ceny rostlinné výroby byly meziročně nižší o 21,4 %. Hluboce klesly ceny obilovin (−34,1 %), z toho pšenice o 3</w:t>
            </w:r>
            <w:r w:rsidR="00711A82">
              <w:rPr>
                <w:lang w:eastAsia="en-US"/>
              </w:rPr>
              <w:t>5</w:t>
            </w:r>
            <w:r>
              <w:rPr>
                <w:lang w:eastAsia="en-US"/>
              </w:rPr>
              <w:t xml:space="preserve">,7 %, žita o 35,0 %, ječmene o 26,7 %, ovsa o 16,5 % a kukuřice o 40,0 %. Ceny průmyslových plodin se meziročně propadly o 20,8 %, z toho olejnin o 24,0 %, zatímco ceny cukrové řepy byly meziročně vyšší o 14,3 %. Krmné plodiny meziročně zdražily o 24,9 %, zelenina a zahradnické produkty o 14,1 %, brambory o 26,2 % a ovoce o 50,7 %. Ceny živočišné výroby </w:t>
            </w:r>
            <w:r>
              <w:rPr>
                <w:lang w:eastAsia="en-US"/>
              </w:rPr>
              <w:br/>
              <w:t xml:space="preserve">v 1. čtvrtletí meziročně klesly o 12,1 %. Pod vlivem cen drůbeže (−8,7 %) a skotu (−0,7 %) klesaly ceny hospodářských zvířat (−1,9 %). Ceny prasat naopak rostly </w:t>
            </w:r>
            <w:r>
              <w:rPr>
                <w:lang w:eastAsia="en-US"/>
              </w:rPr>
              <w:br/>
              <w:t xml:space="preserve">o 2,9 %. Ceny mléka se meziročně propadly o 17,2 % a vajec o 25,1 %.     </w:t>
            </w:r>
          </w:p>
        </w:tc>
      </w:tr>
      <w:tr w:rsidR="007C3842" w14:paraId="281ECAB2" w14:textId="77777777" w:rsidTr="00FA1CA9">
        <w:trPr>
          <w:trHeight w:val="145"/>
        </w:trPr>
        <w:tc>
          <w:tcPr>
            <w:tcW w:w="1804" w:type="dxa"/>
            <w:hideMark/>
          </w:tcPr>
          <w:p w14:paraId="15373DE0" w14:textId="77777777" w:rsidR="007C3842" w:rsidRDefault="007C3842" w:rsidP="00FA1CA9">
            <w:pPr>
              <w:pStyle w:val="Marginlie"/>
              <w:rPr>
                <w:spacing w:val="0"/>
                <w:lang w:eastAsia="en-US"/>
              </w:rPr>
            </w:pPr>
            <w:r>
              <w:rPr>
                <w:spacing w:val="0"/>
                <w:lang w:eastAsia="en-US"/>
              </w:rPr>
              <w:t xml:space="preserve">Vývoj cen zahraničního obchodu byl ovlivněn posílením kurzu koruny. </w:t>
            </w:r>
          </w:p>
        </w:tc>
        <w:tc>
          <w:tcPr>
            <w:tcW w:w="224" w:type="dxa"/>
          </w:tcPr>
          <w:p w14:paraId="034D689C" w14:textId="77777777" w:rsidR="007C3842" w:rsidRDefault="007C3842" w:rsidP="00FA1CA9">
            <w:pPr>
              <w:pStyle w:val="Textpoznpodarou1"/>
              <w:jc w:val="both"/>
              <w:rPr>
                <w:lang w:eastAsia="en-US"/>
              </w:rPr>
            </w:pPr>
          </w:p>
        </w:tc>
        <w:tc>
          <w:tcPr>
            <w:tcW w:w="7611" w:type="dxa"/>
            <w:hideMark/>
          </w:tcPr>
          <w:p w14:paraId="4BB2DEEB" w14:textId="77777777" w:rsidR="007C3842" w:rsidRDefault="007C3842" w:rsidP="00FA1CA9">
            <w:pPr>
              <w:rPr>
                <w:lang w:eastAsia="en-US"/>
              </w:rPr>
            </w:pPr>
            <w:r>
              <w:rPr>
                <w:lang w:eastAsia="en-US"/>
              </w:rPr>
              <w:t xml:space="preserve">Ceny vývozu se v 1. čtvrtletí 2024 meziročně zvýšily o 0,7 %. Po třech předchozích poklesech tak ceny opět vzrostly navzdory relativně silné srovnávací základně loňského 1. kvartálu. Mezičtvrtletně se ceny exportu v 1. kvartálu zvýšily o 1,7 %. Posílení kurzu koruny se především na meziročním vývoji cen zahraničního obchodu </w:t>
            </w:r>
            <w:r>
              <w:rPr>
                <w:lang w:eastAsia="en-US"/>
              </w:rPr>
              <w:lastRenderedPageBreak/>
              <w:t>v 1. čtvrtletí projevovalo výrazně proinflačně.</w:t>
            </w:r>
            <w:r>
              <w:rPr>
                <w:rStyle w:val="Znakapoznpodarou"/>
                <w:lang w:eastAsia="en-US"/>
              </w:rPr>
              <w:footnoteReference w:id="6"/>
            </w:r>
            <w:r>
              <w:rPr>
                <w:lang w:eastAsia="en-US"/>
              </w:rPr>
              <w:t xml:space="preserve"> V 1. čtvrtletí 2024 se meziročně výrazně propadaly ceny exportu elektřiny, plynu, páry a klimatizovaného vzduchu (−29,1 %), produktů zemědělství, lesnictví a rybářství (−14,3 %) a těžby a dobývání (−10,4 %). Naopak se obnovil meziroční růst exportu výrobků zpracovatelského průmyslu (2,8 %). Z toho nejvíce meziročně rostly ceny ostatních dopravních prostředků a zařízení (17,1 %), nábytku (14,1 %) a motorových vozidel, přívěsů a návěsů (8,3 %). Vyšší byly i ceny vývozu strojů a zařízení (5,2 %), pryžových a plastových výrobků (4,1 %) nebo elektrických zařízení (3,1 %). V hlubokém meziročním propadu naopak setrvávaly ceny vývozu dřeva a výrobků z něj (−8,3 %), základních kovů (−7,6 %) a papíru a výrobků z něj (−6,2 %).</w:t>
            </w:r>
          </w:p>
        </w:tc>
      </w:tr>
      <w:tr w:rsidR="007C3842" w14:paraId="7EBD85F8" w14:textId="77777777" w:rsidTr="00FA1CA9">
        <w:trPr>
          <w:trHeight w:val="145"/>
        </w:trPr>
        <w:tc>
          <w:tcPr>
            <w:tcW w:w="1804" w:type="dxa"/>
            <w:hideMark/>
          </w:tcPr>
          <w:p w14:paraId="4052D9AB" w14:textId="77777777" w:rsidR="007C3842" w:rsidRDefault="007C3842" w:rsidP="00FA1CA9">
            <w:pPr>
              <w:pStyle w:val="Marginlie"/>
              <w:rPr>
                <w:spacing w:val="0"/>
                <w:lang w:eastAsia="en-US"/>
              </w:rPr>
            </w:pPr>
            <w:r>
              <w:rPr>
                <w:spacing w:val="0"/>
                <w:lang w:eastAsia="en-US"/>
              </w:rPr>
              <w:lastRenderedPageBreak/>
              <w:t>Směnné relace zůstaly kladné.</w:t>
            </w:r>
          </w:p>
        </w:tc>
        <w:tc>
          <w:tcPr>
            <w:tcW w:w="224" w:type="dxa"/>
          </w:tcPr>
          <w:p w14:paraId="45754824" w14:textId="77777777" w:rsidR="007C3842" w:rsidRDefault="007C3842" w:rsidP="00FA1CA9">
            <w:pPr>
              <w:pStyle w:val="Textpoznpodarou1"/>
              <w:jc w:val="both"/>
              <w:rPr>
                <w:lang w:eastAsia="en-US"/>
              </w:rPr>
            </w:pPr>
          </w:p>
        </w:tc>
        <w:tc>
          <w:tcPr>
            <w:tcW w:w="7611" w:type="dxa"/>
            <w:hideMark/>
          </w:tcPr>
          <w:p w14:paraId="3F5D70CF" w14:textId="77777777" w:rsidR="007C3842" w:rsidRDefault="007C3842" w:rsidP="00FA1CA9">
            <w:pPr>
              <w:rPr>
                <w:lang w:eastAsia="en-US"/>
              </w:rPr>
            </w:pPr>
            <w:r>
              <w:rPr>
                <w:lang w:eastAsia="en-US"/>
              </w:rPr>
              <w:t xml:space="preserve">Ceny dovozu v 1. čtvrtletí meziročně klesly o 1,7 %. Šlo o čtvrtý pokles v řadě, propad se ale zmírnil. Mezičtvrtletně ceny importu v zásadě stagnovaly (růst o 0,1 %). Meziročně nižší byly ceny importu elektřiny, plynu, páry a klimatizovaného vzduchu (−38,4 %), těžby a dobývání (−19,0 %) a produktů zemědělství, lesnictví a rybářství (−8,0 %). Ceny dovozu výrobků zpracovatelského průmyslu mírně meziročně rostly (1,0 %), nejvíce ceny ostatních dopravních prostředků (12,1 %) a motorových vozidel, přívěsů a návěsů (6,5 %), nápojů (5,7 %) a ostatních výrobků zpracovatelského průmyslu (5,5 %). Propadaly se ceny dovozu papíru (−8,6 %), chemických látek a přípravků (−7,6 %) nebo základních kovů (−5,2 %). Meziroční směnné relace v 1. čtvrtletí 2024 zůstaly kladné, ale zmírnily se na 102,5 %. Kladné byly směnné relace u obchodu s elektřinou, plynem, párou a klimatizovaným vzduchem (115,1 %), u těžby a dobývání (110,5 %) i výrobků zpracovatelského průmyslu (101,8 %). Naopak hluboce záporné byly směnné relace obchodu s produkty zemědělství, lesnictví a rybářství (93,2 %). Mezičtvrtletní směnné relace dosáhly 101,6 %. </w:t>
            </w:r>
          </w:p>
        </w:tc>
      </w:tr>
    </w:tbl>
    <w:p w14:paraId="47C973F4" w14:textId="77777777" w:rsidR="007C3842" w:rsidRDefault="007C3842" w:rsidP="007C3842">
      <w:pPr>
        <w:pStyle w:val="Nadpis11"/>
        <w:spacing w:after="120"/>
      </w:pPr>
      <w:bookmarkStart w:id="3" w:name="_GoBack"/>
      <w:bookmarkEnd w:id="3"/>
    </w:p>
    <w:bookmarkEnd w:id="0"/>
    <w:sectPr w:rsidR="007C3842" w:rsidSect="00064C5C">
      <w:headerReference w:type="even" r:id="rId15"/>
      <w:headerReference w:type="default" r:id="rId16"/>
      <w:footerReference w:type="even" r:id="rId17"/>
      <w:footerReference w:type="default" r:id="rId18"/>
      <w:pgSz w:w="11906" w:h="16838" w:code="9"/>
      <w:pgMar w:top="1134" w:right="1134" w:bottom="1418" w:left="1134" w:header="680" w:footer="737"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B34EC" w14:textId="77777777" w:rsidR="005C1345" w:rsidRDefault="005C1345" w:rsidP="00E71A58">
      <w:r>
        <w:separator/>
      </w:r>
    </w:p>
  </w:endnote>
  <w:endnote w:type="continuationSeparator" w:id="0">
    <w:p w14:paraId="37EAFF0A" w14:textId="77777777" w:rsidR="005C1345" w:rsidRDefault="005C134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6B979B86" w:rsidR="00FA1CA9" w:rsidRPr="00932443" w:rsidRDefault="00FA1CA9"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064C5C">
      <w:rPr>
        <w:szCs w:val="16"/>
      </w:rPr>
      <w:t>28</w:t>
    </w:r>
    <w:r w:rsidRPr="00932443">
      <w:rPr>
        <w:szCs w:val="16"/>
      </w:rPr>
      <w:fldChar w:fldCharType="end"/>
    </w:r>
    <w:r w:rsidRPr="00932443">
      <w:rPr>
        <w:szCs w:val="16"/>
      </w:rPr>
      <w:tab/>
    </w:r>
    <w:r>
      <w:rPr>
        <w:szCs w:val="16"/>
      </w:rPr>
      <w:t>rok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68B188BB" w:rsidR="00FA1CA9" w:rsidRPr="00932443" w:rsidRDefault="00FA1CA9" w:rsidP="00FA6CB6">
    <w:pPr>
      <w:pStyle w:val="Zpat"/>
      <w:rPr>
        <w:szCs w:val="16"/>
      </w:rPr>
    </w:pPr>
    <w:r w:rsidRPr="00FA6CB6">
      <w:rPr>
        <w:szCs w:val="16"/>
      </w:rPr>
      <w:tab/>
    </w:r>
    <w:r>
      <w:rPr>
        <w:szCs w:val="16"/>
      </w:rPr>
      <w:t>rok 202</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3</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064C5C">
      <w:rPr>
        <w:rStyle w:val="ZpatChar"/>
        <w:szCs w:val="16"/>
      </w:rPr>
      <w:t>29</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4C316" w14:textId="77777777" w:rsidR="005C1345" w:rsidRDefault="005C1345" w:rsidP="00A21B4D">
      <w:pPr>
        <w:spacing w:after="0"/>
      </w:pPr>
      <w:r>
        <w:separator/>
      </w:r>
    </w:p>
  </w:footnote>
  <w:footnote w:type="continuationSeparator" w:id="0">
    <w:p w14:paraId="10266835" w14:textId="77777777" w:rsidR="005C1345" w:rsidRDefault="005C1345" w:rsidP="00E71A58">
      <w:r>
        <w:continuationSeparator/>
      </w:r>
    </w:p>
  </w:footnote>
  <w:footnote w:id="1">
    <w:p w14:paraId="7DC3135E" w14:textId="77777777" w:rsidR="00FA1CA9" w:rsidRPr="007414CF" w:rsidRDefault="00FA1CA9" w:rsidP="007C3842">
      <w:pPr>
        <w:pStyle w:val="Textpoznpodarou"/>
        <w:rPr>
          <w:sz w:val="16"/>
          <w:szCs w:val="16"/>
        </w:rPr>
      </w:pPr>
      <w:r w:rsidRPr="007414CF">
        <w:rPr>
          <w:rStyle w:val="Znakapoznpodarou"/>
          <w:sz w:val="16"/>
          <w:szCs w:val="16"/>
        </w:rPr>
        <w:footnoteRef/>
      </w:r>
      <w:r w:rsidRPr="007414CF">
        <w:rPr>
          <w:sz w:val="16"/>
          <w:szCs w:val="16"/>
        </w:rPr>
        <w:t xml:space="preserve"> V letech 2022 a 2023 byly přírůstky cen v 1. kvartálu roku mimořádně vysoké</w:t>
      </w:r>
      <w:r>
        <w:rPr>
          <w:sz w:val="16"/>
          <w:szCs w:val="16"/>
        </w:rPr>
        <w:t xml:space="preserve"> (6,3 % a 6,9 %)</w:t>
      </w:r>
      <w:r w:rsidRPr="007414CF">
        <w:rPr>
          <w:sz w:val="16"/>
          <w:szCs w:val="16"/>
        </w:rPr>
        <w:t>. V 1. čtvrtletí roku 2021 spotřebitelské ceny mezičtvrtletně vzrostly o 1,4 %, v roce 2020 o 1,8 %, v roce 2019 o 1,2 %.</w:t>
      </w:r>
    </w:p>
  </w:footnote>
  <w:footnote w:id="2">
    <w:p w14:paraId="3FCAF8DB" w14:textId="77777777" w:rsidR="00FA1CA9" w:rsidRDefault="00FA1CA9" w:rsidP="007C3842">
      <w:pPr>
        <w:pStyle w:val="Textpoznpodarou"/>
        <w:rPr>
          <w:sz w:val="16"/>
          <w:szCs w:val="16"/>
        </w:rPr>
      </w:pPr>
      <w:r>
        <w:rPr>
          <w:rStyle w:val="Znakapoznpodarou"/>
          <w:sz w:val="16"/>
          <w:szCs w:val="16"/>
        </w:rPr>
        <w:footnoteRef/>
      </w:r>
      <w:r>
        <w:rPr>
          <w:sz w:val="16"/>
          <w:szCs w:val="16"/>
        </w:rPr>
        <w:t xml:space="preserve"> Imputované nájemné vyjadřuje náklady vlastnického bydlení. Kromě samotných cen bydlení zahrnuje i náklady na výstavbu a renovace a další poplatky. Více na: </w:t>
      </w:r>
      <w:hyperlink r:id="rId1" w:history="1">
        <w:r>
          <w:rPr>
            <w:rStyle w:val="Hypertextovodkaz"/>
            <w:sz w:val="16"/>
            <w:szCs w:val="16"/>
          </w:rPr>
          <w:t>https://www.czso.cz/csu/czso/metodicka-poznamka-k-indexu-spotrebitelskych-cen-imputovane-najemne</w:t>
        </w:r>
      </w:hyperlink>
      <w:r>
        <w:rPr>
          <w:rStyle w:val="Hypertextovodkaz"/>
          <w:sz w:val="16"/>
          <w:szCs w:val="16"/>
        </w:rPr>
        <w:t>.</w:t>
      </w:r>
    </w:p>
  </w:footnote>
  <w:footnote w:id="3">
    <w:p w14:paraId="68B9BF33" w14:textId="77777777" w:rsidR="00FA1CA9" w:rsidRDefault="00FA1CA9" w:rsidP="007C3842">
      <w:pPr>
        <w:pStyle w:val="Textpoznpodarou"/>
        <w:rPr>
          <w:sz w:val="16"/>
          <w:szCs w:val="16"/>
        </w:rPr>
      </w:pPr>
      <w:r>
        <w:rPr>
          <w:rStyle w:val="Znakapoznpodarou"/>
          <w:sz w:val="16"/>
          <w:szCs w:val="16"/>
        </w:rPr>
        <w:footnoteRef/>
      </w:r>
      <w:r>
        <w:rPr>
          <w:sz w:val="16"/>
          <w:szCs w:val="16"/>
        </w:rPr>
        <w:t xml:space="preserve"> Zahrnuje služby osobní péče a osobní potřeby a doplňky, sociální péči, pojištění a další finanční služby apod.</w:t>
      </w:r>
    </w:p>
  </w:footnote>
  <w:footnote w:id="4">
    <w:p w14:paraId="38E8F8F8" w14:textId="77777777" w:rsidR="00FA1CA9" w:rsidRDefault="00FA1CA9" w:rsidP="007C3842">
      <w:pPr>
        <w:pStyle w:val="Textpoznpodarou"/>
        <w:rPr>
          <w:sz w:val="16"/>
          <w:szCs w:val="16"/>
        </w:rPr>
      </w:pPr>
      <w:r>
        <w:rPr>
          <w:rStyle w:val="Znakapoznpodarou"/>
          <w:sz w:val="16"/>
          <w:szCs w:val="16"/>
        </w:rPr>
        <w:footnoteRef/>
      </w:r>
      <w:r>
        <w:rPr>
          <w:sz w:val="16"/>
          <w:szCs w:val="16"/>
        </w:rPr>
        <w:t xml:space="preserve"> Oproti indexu spotřebitelských cen, který ČSÚ pro českou ekonomiku sestavuje, HICP neobsahuje imputované nájemné, což bývá zdrojem rozdílů mezi HICP a Indexem spotřebitelských cen.</w:t>
      </w:r>
    </w:p>
  </w:footnote>
  <w:footnote w:id="5">
    <w:p w14:paraId="5CA41C15" w14:textId="77777777" w:rsidR="00FA1CA9" w:rsidRDefault="00FA1CA9" w:rsidP="007C3842">
      <w:pPr>
        <w:pStyle w:val="Textpoznpodarou"/>
        <w:rPr>
          <w:sz w:val="16"/>
          <w:szCs w:val="16"/>
        </w:rPr>
      </w:pPr>
      <w:r>
        <w:rPr>
          <w:rStyle w:val="Znakapoznpodarou"/>
          <w:sz w:val="16"/>
          <w:szCs w:val="16"/>
        </w:rPr>
        <w:footnoteRef/>
      </w:r>
      <w:r>
        <w:rPr>
          <w:sz w:val="16"/>
          <w:szCs w:val="16"/>
        </w:rPr>
        <w:t xml:space="preserve"> Bez cen zásobování vodou a služeb souvisejících s odpadními vodami.</w:t>
      </w:r>
    </w:p>
  </w:footnote>
  <w:footnote w:id="6">
    <w:p w14:paraId="1ED6313D" w14:textId="77777777" w:rsidR="00FA1CA9" w:rsidRDefault="00FA1CA9" w:rsidP="007C3842">
      <w:pPr>
        <w:pStyle w:val="Textpoznpodarou"/>
        <w:rPr>
          <w:sz w:val="16"/>
          <w:szCs w:val="16"/>
        </w:rPr>
      </w:pPr>
      <w:r>
        <w:rPr>
          <w:rStyle w:val="Znakapoznpodarou"/>
          <w:sz w:val="16"/>
          <w:szCs w:val="16"/>
        </w:rPr>
        <w:footnoteRef/>
      </w:r>
      <w:r>
        <w:rPr>
          <w:sz w:val="16"/>
          <w:szCs w:val="16"/>
        </w:rPr>
        <w:t xml:space="preserve"> Podle údajů ČNB byl v 1. čtvrtletí 2024 průměrný kurz koruny vůči euru 25,070 CZK/EUR. V 1. čtvrtletí 2023 to bylo 23,785 CZK/EUR a ve 4. čtvrtletí 24,521 CZK/EUR. Kurz vůči dolaru též oslaboval. V 1. čtvrtletí 2024 činil průměr 23,090 CZK/USD. Ve stejném období roku 2023 to bylo 22,169 CZK/USD a ve 4. čtvrtletí 2023 22,820 CZK/EUR.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77777777" w:rsidR="00FA1CA9" w:rsidRDefault="00FA1CA9" w:rsidP="00937AE2">
    <w:pPr>
      <w:pStyle w:val="Zhlav"/>
    </w:pPr>
    <w:r>
      <w:t>Vývoj ekonomiky České republiky</w:t>
    </w:r>
  </w:p>
  <w:p w14:paraId="3E881AB3" w14:textId="77777777" w:rsidR="00FA1CA9" w:rsidRPr="006F5416" w:rsidRDefault="00FA1CA9"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7777777" w:rsidR="00FA1CA9" w:rsidRDefault="00FA1CA9" w:rsidP="00937AE2">
    <w:pPr>
      <w:pStyle w:val="Zhlav"/>
    </w:pPr>
    <w:r>
      <w:t>Vývoj ekonomiky České republiky</w:t>
    </w:r>
  </w:p>
  <w:p w14:paraId="57266714" w14:textId="77777777" w:rsidR="00FA1CA9" w:rsidRPr="006F5416" w:rsidRDefault="00FA1CA9"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8193">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994"/>
    <w:rsid w:val="00000B55"/>
    <w:rsid w:val="0000209D"/>
    <w:rsid w:val="00002566"/>
    <w:rsid w:val="0000370A"/>
    <w:rsid w:val="00003849"/>
    <w:rsid w:val="00003F5C"/>
    <w:rsid w:val="00004D5A"/>
    <w:rsid w:val="00005219"/>
    <w:rsid w:val="000056D5"/>
    <w:rsid w:val="00005D9E"/>
    <w:rsid w:val="000063D5"/>
    <w:rsid w:val="00006625"/>
    <w:rsid w:val="00006ABD"/>
    <w:rsid w:val="00006B67"/>
    <w:rsid w:val="00006C0B"/>
    <w:rsid w:val="000073A0"/>
    <w:rsid w:val="0000767A"/>
    <w:rsid w:val="00007ABE"/>
    <w:rsid w:val="00010107"/>
    <w:rsid w:val="00010256"/>
    <w:rsid w:val="00010702"/>
    <w:rsid w:val="00010A2C"/>
    <w:rsid w:val="0001128E"/>
    <w:rsid w:val="00011912"/>
    <w:rsid w:val="000129B7"/>
    <w:rsid w:val="0001387D"/>
    <w:rsid w:val="00014ED0"/>
    <w:rsid w:val="00016420"/>
    <w:rsid w:val="00016BDB"/>
    <w:rsid w:val="00017B01"/>
    <w:rsid w:val="000200BE"/>
    <w:rsid w:val="000205D1"/>
    <w:rsid w:val="00020F22"/>
    <w:rsid w:val="0002195D"/>
    <w:rsid w:val="00021F9B"/>
    <w:rsid w:val="000228AE"/>
    <w:rsid w:val="000233D1"/>
    <w:rsid w:val="000234D6"/>
    <w:rsid w:val="00023D29"/>
    <w:rsid w:val="00024348"/>
    <w:rsid w:val="00026109"/>
    <w:rsid w:val="0002622B"/>
    <w:rsid w:val="000262B5"/>
    <w:rsid w:val="00026389"/>
    <w:rsid w:val="0002669F"/>
    <w:rsid w:val="000279E5"/>
    <w:rsid w:val="000305E0"/>
    <w:rsid w:val="00031AE0"/>
    <w:rsid w:val="00031BB2"/>
    <w:rsid w:val="000322EF"/>
    <w:rsid w:val="00032C3C"/>
    <w:rsid w:val="00033FCD"/>
    <w:rsid w:val="000348AF"/>
    <w:rsid w:val="00034B70"/>
    <w:rsid w:val="00034DF7"/>
    <w:rsid w:val="00034E68"/>
    <w:rsid w:val="000350C8"/>
    <w:rsid w:val="00036195"/>
    <w:rsid w:val="000374B2"/>
    <w:rsid w:val="000376C0"/>
    <w:rsid w:val="000403A7"/>
    <w:rsid w:val="00040632"/>
    <w:rsid w:val="00041AFC"/>
    <w:rsid w:val="00041CEC"/>
    <w:rsid w:val="00041D02"/>
    <w:rsid w:val="00042596"/>
    <w:rsid w:val="00042A4A"/>
    <w:rsid w:val="00044183"/>
    <w:rsid w:val="0004431D"/>
    <w:rsid w:val="00044AAC"/>
    <w:rsid w:val="0004694F"/>
    <w:rsid w:val="00046F2F"/>
    <w:rsid w:val="000472CA"/>
    <w:rsid w:val="00047AD4"/>
    <w:rsid w:val="00047D54"/>
    <w:rsid w:val="00050541"/>
    <w:rsid w:val="0005054A"/>
    <w:rsid w:val="00050A87"/>
    <w:rsid w:val="00051506"/>
    <w:rsid w:val="000522E4"/>
    <w:rsid w:val="00053713"/>
    <w:rsid w:val="0005434E"/>
    <w:rsid w:val="00055CB6"/>
    <w:rsid w:val="000572DD"/>
    <w:rsid w:val="00057B1E"/>
    <w:rsid w:val="0006033F"/>
    <w:rsid w:val="000610E1"/>
    <w:rsid w:val="000616AD"/>
    <w:rsid w:val="000622A6"/>
    <w:rsid w:val="00062D70"/>
    <w:rsid w:val="00062EC5"/>
    <w:rsid w:val="00062F22"/>
    <w:rsid w:val="00063975"/>
    <w:rsid w:val="00063CEA"/>
    <w:rsid w:val="0006444D"/>
    <w:rsid w:val="000645FC"/>
    <w:rsid w:val="00064C5C"/>
    <w:rsid w:val="00065296"/>
    <w:rsid w:val="0006533F"/>
    <w:rsid w:val="00065348"/>
    <w:rsid w:val="0006551C"/>
    <w:rsid w:val="0006558D"/>
    <w:rsid w:val="00065A75"/>
    <w:rsid w:val="000663F0"/>
    <w:rsid w:val="00066558"/>
    <w:rsid w:val="000671DB"/>
    <w:rsid w:val="00067363"/>
    <w:rsid w:val="00067982"/>
    <w:rsid w:val="00070A87"/>
    <w:rsid w:val="000712B3"/>
    <w:rsid w:val="00071A7C"/>
    <w:rsid w:val="00071E38"/>
    <w:rsid w:val="00072FF5"/>
    <w:rsid w:val="00073A5A"/>
    <w:rsid w:val="0007474E"/>
    <w:rsid w:val="00074988"/>
    <w:rsid w:val="0007512B"/>
    <w:rsid w:val="00075551"/>
    <w:rsid w:val="000767F5"/>
    <w:rsid w:val="00076D90"/>
    <w:rsid w:val="00077FF0"/>
    <w:rsid w:val="00081A55"/>
    <w:rsid w:val="0008263E"/>
    <w:rsid w:val="00082C19"/>
    <w:rsid w:val="00082F89"/>
    <w:rsid w:val="00083457"/>
    <w:rsid w:val="000834ED"/>
    <w:rsid w:val="000837CD"/>
    <w:rsid w:val="00083B7F"/>
    <w:rsid w:val="00084BFF"/>
    <w:rsid w:val="00085395"/>
    <w:rsid w:val="00086896"/>
    <w:rsid w:val="00086AC1"/>
    <w:rsid w:val="00086D19"/>
    <w:rsid w:val="00087634"/>
    <w:rsid w:val="00087F2B"/>
    <w:rsid w:val="00090694"/>
    <w:rsid w:val="00090EE2"/>
    <w:rsid w:val="00090FC6"/>
    <w:rsid w:val="0009122C"/>
    <w:rsid w:val="000913B1"/>
    <w:rsid w:val="0009290F"/>
    <w:rsid w:val="00093241"/>
    <w:rsid w:val="00093868"/>
    <w:rsid w:val="00094A84"/>
    <w:rsid w:val="00095025"/>
    <w:rsid w:val="00095135"/>
    <w:rsid w:val="00095152"/>
    <w:rsid w:val="0009626E"/>
    <w:rsid w:val="0009644D"/>
    <w:rsid w:val="00097191"/>
    <w:rsid w:val="000974D1"/>
    <w:rsid w:val="00097784"/>
    <w:rsid w:val="0009799E"/>
    <w:rsid w:val="000A07CB"/>
    <w:rsid w:val="000A0BC0"/>
    <w:rsid w:val="000A1183"/>
    <w:rsid w:val="000A12ED"/>
    <w:rsid w:val="000A1D49"/>
    <w:rsid w:val="000A212B"/>
    <w:rsid w:val="000A242D"/>
    <w:rsid w:val="000A256D"/>
    <w:rsid w:val="000A2643"/>
    <w:rsid w:val="000A2E5F"/>
    <w:rsid w:val="000A385C"/>
    <w:rsid w:val="000A3A2C"/>
    <w:rsid w:val="000A3D9E"/>
    <w:rsid w:val="000A4A54"/>
    <w:rsid w:val="000A4ED9"/>
    <w:rsid w:val="000A5DB7"/>
    <w:rsid w:val="000A6753"/>
    <w:rsid w:val="000A6D94"/>
    <w:rsid w:val="000A72BC"/>
    <w:rsid w:val="000A7377"/>
    <w:rsid w:val="000A74A4"/>
    <w:rsid w:val="000A775A"/>
    <w:rsid w:val="000A7D63"/>
    <w:rsid w:val="000A7FF4"/>
    <w:rsid w:val="000B03CC"/>
    <w:rsid w:val="000B4212"/>
    <w:rsid w:val="000B67B7"/>
    <w:rsid w:val="000B6A0A"/>
    <w:rsid w:val="000C0127"/>
    <w:rsid w:val="000C0CA6"/>
    <w:rsid w:val="000C0EA8"/>
    <w:rsid w:val="000C13A2"/>
    <w:rsid w:val="000C21E7"/>
    <w:rsid w:val="000C23EC"/>
    <w:rsid w:val="000C26A2"/>
    <w:rsid w:val="000C290E"/>
    <w:rsid w:val="000C30C3"/>
    <w:rsid w:val="000C3408"/>
    <w:rsid w:val="000C35AB"/>
    <w:rsid w:val="000C3F7B"/>
    <w:rsid w:val="000C4769"/>
    <w:rsid w:val="000C4D56"/>
    <w:rsid w:val="000C52FC"/>
    <w:rsid w:val="000C5DFA"/>
    <w:rsid w:val="000C6AFD"/>
    <w:rsid w:val="000C6C90"/>
    <w:rsid w:val="000C72B7"/>
    <w:rsid w:val="000C7A79"/>
    <w:rsid w:val="000D0A26"/>
    <w:rsid w:val="000D13CB"/>
    <w:rsid w:val="000D2196"/>
    <w:rsid w:val="000D2C2E"/>
    <w:rsid w:val="000D3058"/>
    <w:rsid w:val="000D310A"/>
    <w:rsid w:val="000D3EF4"/>
    <w:rsid w:val="000D4761"/>
    <w:rsid w:val="000D4DC0"/>
    <w:rsid w:val="000D55BA"/>
    <w:rsid w:val="000D5637"/>
    <w:rsid w:val="000D5A03"/>
    <w:rsid w:val="000D5ED3"/>
    <w:rsid w:val="000D6F4E"/>
    <w:rsid w:val="000D6FDA"/>
    <w:rsid w:val="000D73BB"/>
    <w:rsid w:val="000D7AC7"/>
    <w:rsid w:val="000D7C6F"/>
    <w:rsid w:val="000E04FD"/>
    <w:rsid w:val="000E0E96"/>
    <w:rsid w:val="000E298B"/>
    <w:rsid w:val="000E2C7D"/>
    <w:rsid w:val="000E3E56"/>
    <w:rsid w:val="000E440D"/>
    <w:rsid w:val="000E4AC5"/>
    <w:rsid w:val="000E6253"/>
    <w:rsid w:val="000E6AC4"/>
    <w:rsid w:val="000E6E4D"/>
    <w:rsid w:val="000E6FBD"/>
    <w:rsid w:val="000E6FCB"/>
    <w:rsid w:val="000F0848"/>
    <w:rsid w:val="000F090B"/>
    <w:rsid w:val="000F0E42"/>
    <w:rsid w:val="000F15F7"/>
    <w:rsid w:val="000F1AA2"/>
    <w:rsid w:val="000F378E"/>
    <w:rsid w:val="000F3F3B"/>
    <w:rsid w:val="000F4721"/>
    <w:rsid w:val="000F47E8"/>
    <w:rsid w:val="000F70E4"/>
    <w:rsid w:val="000F76EA"/>
    <w:rsid w:val="00100A8B"/>
    <w:rsid w:val="00100F5C"/>
    <w:rsid w:val="00101B15"/>
    <w:rsid w:val="00101CDA"/>
    <w:rsid w:val="00102037"/>
    <w:rsid w:val="001021B1"/>
    <w:rsid w:val="00103DCB"/>
    <w:rsid w:val="00104C4C"/>
    <w:rsid w:val="00105015"/>
    <w:rsid w:val="001055D2"/>
    <w:rsid w:val="001057C2"/>
    <w:rsid w:val="00106BCC"/>
    <w:rsid w:val="00107124"/>
    <w:rsid w:val="0011038E"/>
    <w:rsid w:val="0011055D"/>
    <w:rsid w:val="00111573"/>
    <w:rsid w:val="00112370"/>
    <w:rsid w:val="0011239B"/>
    <w:rsid w:val="001125EF"/>
    <w:rsid w:val="00112CAB"/>
    <w:rsid w:val="0011440C"/>
    <w:rsid w:val="00114C33"/>
    <w:rsid w:val="00114D5B"/>
    <w:rsid w:val="00116D3F"/>
    <w:rsid w:val="00117474"/>
    <w:rsid w:val="00117623"/>
    <w:rsid w:val="00117FEA"/>
    <w:rsid w:val="001200CF"/>
    <w:rsid w:val="001208E3"/>
    <w:rsid w:val="001211F9"/>
    <w:rsid w:val="00121609"/>
    <w:rsid w:val="0012192F"/>
    <w:rsid w:val="00122994"/>
    <w:rsid w:val="00123204"/>
    <w:rsid w:val="00124B46"/>
    <w:rsid w:val="001257BE"/>
    <w:rsid w:val="001257E0"/>
    <w:rsid w:val="00125D69"/>
    <w:rsid w:val="0012799C"/>
    <w:rsid w:val="00127BC2"/>
    <w:rsid w:val="00127E15"/>
    <w:rsid w:val="001308F1"/>
    <w:rsid w:val="00130ADC"/>
    <w:rsid w:val="00130D9F"/>
    <w:rsid w:val="00132C4D"/>
    <w:rsid w:val="00133FC1"/>
    <w:rsid w:val="00134659"/>
    <w:rsid w:val="00135111"/>
    <w:rsid w:val="00135376"/>
    <w:rsid w:val="00136A6F"/>
    <w:rsid w:val="00136C1A"/>
    <w:rsid w:val="00137812"/>
    <w:rsid w:val="00137F06"/>
    <w:rsid w:val="001405FA"/>
    <w:rsid w:val="00140D1A"/>
    <w:rsid w:val="00141184"/>
    <w:rsid w:val="00141315"/>
    <w:rsid w:val="0014152B"/>
    <w:rsid w:val="00141AA0"/>
    <w:rsid w:val="001425C3"/>
    <w:rsid w:val="0014262D"/>
    <w:rsid w:val="00142B29"/>
    <w:rsid w:val="00143EED"/>
    <w:rsid w:val="00144108"/>
    <w:rsid w:val="00144588"/>
    <w:rsid w:val="001447DD"/>
    <w:rsid w:val="00145358"/>
    <w:rsid w:val="001459BC"/>
    <w:rsid w:val="0014779E"/>
    <w:rsid w:val="00147B13"/>
    <w:rsid w:val="00150ECA"/>
    <w:rsid w:val="0015108F"/>
    <w:rsid w:val="00151707"/>
    <w:rsid w:val="00152C86"/>
    <w:rsid w:val="00152EBC"/>
    <w:rsid w:val="00152F4F"/>
    <w:rsid w:val="00153264"/>
    <w:rsid w:val="0015329F"/>
    <w:rsid w:val="001544A1"/>
    <w:rsid w:val="001553B8"/>
    <w:rsid w:val="001554C2"/>
    <w:rsid w:val="00156D04"/>
    <w:rsid w:val="001571C0"/>
    <w:rsid w:val="001574FE"/>
    <w:rsid w:val="0015753D"/>
    <w:rsid w:val="00157984"/>
    <w:rsid w:val="00157CC9"/>
    <w:rsid w:val="00160C21"/>
    <w:rsid w:val="001612F4"/>
    <w:rsid w:val="00161553"/>
    <w:rsid w:val="0016216F"/>
    <w:rsid w:val="0016256B"/>
    <w:rsid w:val="00162F81"/>
    <w:rsid w:val="00163793"/>
    <w:rsid w:val="00163868"/>
    <w:rsid w:val="00164CA1"/>
    <w:rsid w:val="00165313"/>
    <w:rsid w:val="001659C3"/>
    <w:rsid w:val="001665AB"/>
    <w:rsid w:val="00167485"/>
    <w:rsid w:val="001679F5"/>
    <w:rsid w:val="00167B92"/>
    <w:rsid w:val="00167CB9"/>
    <w:rsid w:val="00167DD8"/>
    <w:rsid w:val="001705AD"/>
    <w:rsid w:val="001706D6"/>
    <w:rsid w:val="001714F2"/>
    <w:rsid w:val="00171FEA"/>
    <w:rsid w:val="00173622"/>
    <w:rsid w:val="00174ED1"/>
    <w:rsid w:val="00175B9F"/>
    <w:rsid w:val="001762F4"/>
    <w:rsid w:val="001777BA"/>
    <w:rsid w:val="00181029"/>
    <w:rsid w:val="00181BBC"/>
    <w:rsid w:val="0018385F"/>
    <w:rsid w:val="00183BCF"/>
    <w:rsid w:val="00184017"/>
    <w:rsid w:val="001847BB"/>
    <w:rsid w:val="00184B08"/>
    <w:rsid w:val="00185010"/>
    <w:rsid w:val="001854F2"/>
    <w:rsid w:val="00185C22"/>
    <w:rsid w:val="00186BA9"/>
    <w:rsid w:val="00187D50"/>
    <w:rsid w:val="00190B4D"/>
    <w:rsid w:val="0019123D"/>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64B"/>
    <w:rsid w:val="001A1F68"/>
    <w:rsid w:val="001A21FA"/>
    <w:rsid w:val="001A4D7C"/>
    <w:rsid w:val="001A4EF0"/>
    <w:rsid w:val="001A552F"/>
    <w:rsid w:val="001A70B1"/>
    <w:rsid w:val="001A7672"/>
    <w:rsid w:val="001B0738"/>
    <w:rsid w:val="001B1235"/>
    <w:rsid w:val="001B158D"/>
    <w:rsid w:val="001B1BBB"/>
    <w:rsid w:val="001B2CA9"/>
    <w:rsid w:val="001B3110"/>
    <w:rsid w:val="001B3E38"/>
    <w:rsid w:val="001B40F5"/>
    <w:rsid w:val="001B43CD"/>
    <w:rsid w:val="001B4729"/>
    <w:rsid w:val="001B4F0E"/>
    <w:rsid w:val="001B5F40"/>
    <w:rsid w:val="001B6310"/>
    <w:rsid w:val="001B6C09"/>
    <w:rsid w:val="001B6E12"/>
    <w:rsid w:val="001C05CD"/>
    <w:rsid w:val="001C082B"/>
    <w:rsid w:val="001C0F17"/>
    <w:rsid w:val="001C11A6"/>
    <w:rsid w:val="001C1B24"/>
    <w:rsid w:val="001C1B66"/>
    <w:rsid w:val="001C1BB5"/>
    <w:rsid w:val="001C2732"/>
    <w:rsid w:val="001C31A2"/>
    <w:rsid w:val="001C351D"/>
    <w:rsid w:val="001C3794"/>
    <w:rsid w:val="001C3855"/>
    <w:rsid w:val="001C4B8F"/>
    <w:rsid w:val="001C4BB8"/>
    <w:rsid w:val="001C4D8C"/>
    <w:rsid w:val="001C4FD0"/>
    <w:rsid w:val="001C544D"/>
    <w:rsid w:val="001C5E46"/>
    <w:rsid w:val="001C6B3B"/>
    <w:rsid w:val="001C7A26"/>
    <w:rsid w:val="001C7E3F"/>
    <w:rsid w:val="001D0EF1"/>
    <w:rsid w:val="001D1A44"/>
    <w:rsid w:val="001D22C2"/>
    <w:rsid w:val="001D2C99"/>
    <w:rsid w:val="001D3B75"/>
    <w:rsid w:val="001D452E"/>
    <w:rsid w:val="001D54C1"/>
    <w:rsid w:val="001D556E"/>
    <w:rsid w:val="001D5DF2"/>
    <w:rsid w:val="001D6175"/>
    <w:rsid w:val="001D68B2"/>
    <w:rsid w:val="001D6B3F"/>
    <w:rsid w:val="001D7EFD"/>
    <w:rsid w:val="001D7F60"/>
    <w:rsid w:val="001E085B"/>
    <w:rsid w:val="001E149B"/>
    <w:rsid w:val="001E15CB"/>
    <w:rsid w:val="001E1AF1"/>
    <w:rsid w:val="001E3306"/>
    <w:rsid w:val="001E504C"/>
    <w:rsid w:val="001E56AC"/>
    <w:rsid w:val="001E5A17"/>
    <w:rsid w:val="001E6441"/>
    <w:rsid w:val="001E74C5"/>
    <w:rsid w:val="001F1236"/>
    <w:rsid w:val="001F2F90"/>
    <w:rsid w:val="001F4597"/>
    <w:rsid w:val="001F4826"/>
    <w:rsid w:val="001F4933"/>
    <w:rsid w:val="001F59C8"/>
    <w:rsid w:val="001F6483"/>
    <w:rsid w:val="001F6CD3"/>
    <w:rsid w:val="001F75DA"/>
    <w:rsid w:val="001F7931"/>
    <w:rsid w:val="001F7CE0"/>
    <w:rsid w:val="00200085"/>
    <w:rsid w:val="00201633"/>
    <w:rsid w:val="00203332"/>
    <w:rsid w:val="002036E6"/>
    <w:rsid w:val="00203CD5"/>
    <w:rsid w:val="00203D8F"/>
    <w:rsid w:val="00203DA4"/>
    <w:rsid w:val="00204EA6"/>
    <w:rsid w:val="00205186"/>
    <w:rsid w:val="00206516"/>
    <w:rsid w:val="002070CF"/>
    <w:rsid w:val="002071D5"/>
    <w:rsid w:val="002073FD"/>
    <w:rsid w:val="002111E5"/>
    <w:rsid w:val="0021149E"/>
    <w:rsid w:val="002118B9"/>
    <w:rsid w:val="00213691"/>
    <w:rsid w:val="002142C0"/>
    <w:rsid w:val="00217BED"/>
    <w:rsid w:val="00217C5B"/>
    <w:rsid w:val="00220A43"/>
    <w:rsid w:val="0022139E"/>
    <w:rsid w:val="00222729"/>
    <w:rsid w:val="0022287B"/>
    <w:rsid w:val="002228DB"/>
    <w:rsid w:val="00223185"/>
    <w:rsid w:val="00223264"/>
    <w:rsid w:val="002233D6"/>
    <w:rsid w:val="0022441D"/>
    <w:rsid w:val="00224574"/>
    <w:rsid w:val="00224E3F"/>
    <w:rsid w:val="00225000"/>
    <w:rsid w:val="0022521D"/>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A15"/>
    <w:rsid w:val="002452D9"/>
    <w:rsid w:val="00247319"/>
    <w:rsid w:val="0024799E"/>
    <w:rsid w:val="00247E60"/>
    <w:rsid w:val="002512B7"/>
    <w:rsid w:val="00251496"/>
    <w:rsid w:val="00251B08"/>
    <w:rsid w:val="00251C53"/>
    <w:rsid w:val="00252AB9"/>
    <w:rsid w:val="002532B1"/>
    <w:rsid w:val="00253C0F"/>
    <w:rsid w:val="00253F48"/>
    <w:rsid w:val="00254FC3"/>
    <w:rsid w:val="002558C1"/>
    <w:rsid w:val="00256207"/>
    <w:rsid w:val="002575F3"/>
    <w:rsid w:val="002601B4"/>
    <w:rsid w:val="002603E1"/>
    <w:rsid w:val="002605FE"/>
    <w:rsid w:val="0026120E"/>
    <w:rsid w:val="002617EE"/>
    <w:rsid w:val="00262582"/>
    <w:rsid w:val="0026291D"/>
    <w:rsid w:val="00262CF3"/>
    <w:rsid w:val="00264309"/>
    <w:rsid w:val="00264992"/>
    <w:rsid w:val="00264B4F"/>
    <w:rsid w:val="00264B85"/>
    <w:rsid w:val="0026564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5E43"/>
    <w:rsid w:val="002763A2"/>
    <w:rsid w:val="00276B33"/>
    <w:rsid w:val="0027720A"/>
    <w:rsid w:val="00277669"/>
    <w:rsid w:val="002803A5"/>
    <w:rsid w:val="00280ACB"/>
    <w:rsid w:val="002812E3"/>
    <w:rsid w:val="00281576"/>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461A"/>
    <w:rsid w:val="0029509B"/>
    <w:rsid w:val="0029588F"/>
    <w:rsid w:val="00295E96"/>
    <w:rsid w:val="00297256"/>
    <w:rsid w:val="00297A5C"/>
    <w:rsid w:val="00297D51"/>
    <w:rsid w:val="002A0122"/>
    <w:rsid w:val="002A016B"/>
    <w:rsid w:val="002A103E"/>
    <w:rsid w:val="002A16D4"/>
    <w:rsid w:val="002A1E4F"/>
    <w:rsid w:val="002A230C"/>
    <w:rsid w:val="002A2AF7"/>
    <w:rsid w:val="002A30ED"/>
    <w:rsid w:val="002A3209"/>
    <w:rsid w:val="002A34B5"/>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B75C0"/>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D6A4C"/>
    <w:rsid w:val="002E02A1"/>
    <w:rsid w:val="002E196A"/>
    <w:rsid w:val="002E1F8A"/>
    <w:rsid w:val="002E20C7"/>
    <w:rsid w:val="002E20CD"/>
    <w:rsid w:val="002E222E"/>
    <w:rsid w:val="002E28D8"/>
    <w:rsid w:val="002E30B6"/>
    <w:rsid w:val="002E3638"/>
    <w:rsid w:val="002E37D1"/>
    <w:rsid w:val="002E3BEE"/>
    <w:rsid w:val="002E4DCE"/>
    <w:rsid w:val="002E4E4C"/>
    <w:rsid w:val="002E4EA7"/>
    <w:rsid w:val="002E5846"/>
    <w:rsid w:val="002E631B"/>
    <w:rsid w:val="002E792B"/>
    <w:rsid w:val="002E7AEB"/>
    <w:rsid w:val="002E7B79"/>
    <w:rsid w:val="002F1B09"/>
    <w:rsid w:val="002F1D56"/>
    <w:rsid w:val="002F1DCB"/>
    <w:rsid w:val="002F1DE4"/>
    <w:rsid w:val="002F333D"/>
    <w:rsid w:val="002F351A"/>
    <w:rsid w:val="002F357F"/>
    <w:rsid w:val="002F46D6"/>
    <w:rsid w:val="002F498A"/>
    <w:rsid w:val="002F4AD8"/>
    <w:rsid w:val="002F5285"/>
    <w:rsid w:val="002F5820"/>
    <w:rsid w:val="002F64BB"/>
    <w:rsid w:val="002F7D9B"/>
    <w:rsid w:val="00300C31"/>
    <w:rsid w:val="00300D42"/>
    <w:rsid w:val="00301294"/>
    <w:rsid w:val="003017EC"/>
    <w:rsid w:val="00302165"/>
    <w:rsid w:val="00303BB4"/>
    <w:rsid w:val="00304771"/>
    <w:rsid w:val="00304F9C"/>
    <w:rsid w:val="003052D4"/>
    <w:rsid w:val="00305863"/>
    <w:rsid w:val="003060D6"/>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A8B"/>
    <w:rsid w:val="00316B3D"/>
    <w:rsid w:val="0032058C"/>
    <w:rsid w:val="003208D0"/>
    <w:rsid w:val="003209D6"/>
    <w:rsid w:val="003217B9"/>
    <w:rsid w:val="00321924"/>
    <w:rsid w:val="00321AF1"/>
    <w:rsid w:val="00321EB6"/>
    <w:rsid w:val="003220A5"/>
    <w:rsid w:val="003238E0"/>
    <w:rsid w:val="00323A1C"/>
    <w:rsid w:val="00323A2F"/>
    <w:rsid w:val="00323A8E"/>
    <w:rsid w:val="003247E1"/>
    <w:rsid w:val="00324B59"/>
    <w:rsid w:val="00325BCB"/>
    <w:rsid w:val="00325E46"/>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375E0"/>
    <w:rsid w:val="00340BE6"/>
    <w:rsid w:val="00340BF3"/>
    <w:rsid w:val="00341C6C"/>
    <w:rsid w:val="00341D26"/>
    <w:rsid w:val="00341F05"/>
    <w:rsid w:val="0034335E"/>
    <w:rsid w:val="00344668"/>
    <w:rsid w:val="00344940"/>
    <w:rsid w:val="0034506D"/>
    <w:rsid w:val="00346234"/>
    <w:rsid w:val="003462D9"/>
    <w:rsid w:val="0034723F"/>
    <w:rsid w:val="00347247"/>
    <w:rsid w:val="003474B6"/>
    <w:rsid w:val="00347DD4"/>
    <w:rsid w:val="00352B43"/>
    <w:rsid w:val="00352C28"/>
    <w:rsid w:val="003541BB"/>
    <w:rsid w:val="00354502"/>
    <w:rsid w:val="00354F89"/>
    <w:rsid w:val="0035506D"/>
    <w:rsid w:val="003579A1"/>
    <w:rsid w:val="0036077F"/>
    <w:rsid w:val="00360A35"/>
    <w:rsid w:val="00360C86"/>
    <w:rsid w:val="00360F7A"/>
    <w:rsid w:val="00360FBC"/>
    <w:rsid w:val="00361537"/>
    <w:rsid w:val="00361B2D"/>
    <w:rsid w:val="00361FB7"/>
    <w:rsid w:val="0036242A"/>
    <w:rsid w:val="00362C23"/>
    <w:rsid w:val="00362DCA"/>
    <w:rsid w:val="00362E90"/>
    <w:rsid w:val="00364FA0"/>
    <w:rsid w:val="003657F3"/>
    <w:rsid w:val="00365844"/>
    <w:rsid w:val="00365F61"/>
    <w:rsid w:val="0036624C"/>
    <w:rsid w:val="00367F84"/>
    <w:rsid w:val="003712BC"/>
    <w:rsid w:val="00372164"/>
    <w:rsid w:val="003738BD"/>
    <w:rsid w:val="00374263"/>
    <w:rsid w:val="003746F0"/>
    <w:rsid w:val="00374A20"/>
    <w:rsid w:val="00374B96"/>
    <w:rsid w:val="00374E21"/>
    <w:rsid w:val="0037537A"/>
    <w:rsid w:val="00377B2E"/>
    <w:rsid w:val="00380C9B"/>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398D"/>
    <w:rsid w:val="00393B3F"/>
    <w:rsid w:val="0039402D"/>
    <w:rsid w:val="00396739"/>
    <w:rsid w:val="003978B1"/>
    <w:rsid w:val="003A04F6"/>
    <w:rsid w:val="003A0837"/>
    <w:rsid w:val="003A2B4D"/>
    <w:rsid w:val="003A2D12"/>
    <w:rsid w:val="003A2EBA"/>
    <w:rsid w:val="003A32DB"/>
    <w:rsid w:val="003A45E3"/>
    <w:rsid w:val="003A46B8"/>
    <w:rsid w:val="003A478C"/>
    <w:rsid w:val="003A4A38"/>
    <w:rsid w:val="003A5295"/>
    <w:rsid w:val="003A5525"/>
    <w:rsid w:val="003A5889"/>
    <w:rsid w:val="003A5C8C"/>
    <w:rsid w:val="003A6B38"/>
    <w:rsid w:val="003A6B83"/>
    <w:rsid w:val="003A6C97"/>
    <w:rsid w:val="003A722F"/>
    <w:rsid w:val="003A7373"/>
    <w:rsid w:val="003A7D09"/>
    <w:rsid w:val="003B039F"/>
    <w:rsid w:val="003B0DF4"/>
    <w:rsid w:val="003B1F9D"/>
    <w:rsid w:val="003B2A8D"/>
    <w:rsid w:val="003B2AD1"/>
    <w:rsid w:val="003B2D2E"/>
    <w:rsid w:val="003B376A"/>
    <w:rsid w:val="003B461F"/>
    <w:rsid w:val="003B483F"/>
    <w:rsid w:val="003B4998"/>
    <w:rsid w:val="003B5A32"/>
    <w:rsid w:val="003B5B59"/>
    <w:rsid w:val="003B709D"/>
    <w:rsid w:val="003B7B50"/>
    <w:rsid w:val="003C0B07"/>
    <w:rsid w:val="003C2CE7"/>
    <w:rsid w:val="003C2DB8"/>
    <w:rsid w:val="003C3490"/>
    <w:rsid w:val="003C3608"/>
    <w:rsid w:val="003C3A87"/>
    <w:rsid w:val="003C3AE8"/>
    <w:rsid w:val="003C3D2C"/>
    <w:rsid w:val="003C4058"/>
    <w:rsid w:val="003C4E13"/>
    <w:rsid w:val="003C58A5"/>
    <w:rsid w:val="003C6221"/>
    <w:rsid w:val="003C63D7"/>
    <w:rsid w:val="003C68CC"/>
    <w:rsid w:val="003C7E62"/>
    <w:rsid w:val="003D12B9"/>
    <w:rsid w:val="003D1E7A"/>
    <w:rsid w:val="003D242B"/>
    <w:rsid w:val="003D2492"/>
    <w:rsid w:val="003D29AA"/>
    <w:rsid w:val="003D2A99"/>
    <w:rsid w:val="003D5EBF"/>
    <w:rsid w:val="003D6920"/>
    <w:rsid w:val="003D6982"/>
    <w:rsid w:val="003E0249"/>
    <w:rsid w:val="003E08A4"/>
    <w:rsid w:val="003E105C"/>
    <w:rsid w:val="003E1EF8"/>
    <w:rsid w:val="003E2DFB"/>
    <w:rsid w:val="003E4466"/>
    <w:rsid w:val="003E4C91"/>
    <w:rsid w:val="003E52D8"/>
    <w:rsid w:val="003E62F1"/>
    <w:rsid w:val="003E6ED5"/>
    <w:rsid w:val="003E6F84"/>
    <w:rsid w:val="003F0148"/>
    <w:rsid w:val="003F313C"/>
    <w:rsid w:val="003F33B1"/>
    <w:rsid w:val="003F33B9"/>
    <w:rsid w:val="003F37FC"/>
    <w:rsid w:val="003F3E76"/>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17106"/>
    <w:rsid w:val="00420880"/>
    <w:rsid w:val="00420F40"/>
    <w:rsid w:val="00421179"/>
    <w:rsid w:val="004225D7"/>
    <w:rsid w:val="00422EE6"/>
    <w:rsid w:val="00423623"/>
    <w:rsid w:val="0042470E"/>
    <w:rsid w:val="0042507B"/>
    <w:rsid w:val="00425352"/>
    <w:rsid w:val="00426C99"/>
    <w:rsid w:val="004272BE"/>
    <w:rsid w:val="00430C96"/>
    <w:rsid w:val="0043174F"/>
    <w:rsid w:val="00431BFF"/>
    <w:rsid w:val="00432199"/>
    <w:rsid w:val="00432A58"/>
    <w:rsid w:val="00432FC7"/>
    <w:rsid w:val="004331C3"/>
    <w:rsid w:val="00433C17"/>
    <w:rsid w:val="00434617"/>
    <w:rsid w:val="00434DE9"/>
    <w:rsid w:val="00435051"/>
    <w:rsid w:val="00435C69"/>
    <w:rsid w:val="004360FB"/>
    <w:rsid w:val="00437CED"/>
    <w:rsid w:val="004407BF"/>
    <w:rsid w:val="00440900"/>
    <w:rsid w:val="00440D2A"/>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25"/>
    <w:rsid w:val="00451EF1"/>
    <w:rsid w:val="00452E60"/>
    <w:rsid w:val="0045321B"/>
    <w:rsid w:val="00455833"/>
    <w:rsid w:val="00456FB5"/>
    <w:rsid w:val="00456FE5"/>
    <w:rsid w:val="00457490"/>
    <w:rsid w:val="0045778B"/>
    <w:rsid w:val="0045786C"/>
    <w:rsid w:val="00457953"/>
    <w:rsid w:val="004604D8"/>
    <w:rsid w:val="00460656"/>
    <w:rsid w:val="00460FB3"/>
    <w:rsid w:val="00463D3C"/>
    <w:rsid w:val="00464851"/>
    <w:rsid w:val="00464BF5"/>
    <w:rsid w:val="00466595"/>
    <w:rsid w:val="00466B3E"/>
    <w:rsid w:val="0046746A"/>
    <w:rsid w:val="00467B14"/>
    <w:rsid w:val="004707FE"/>
    <w:rsid w:val="00470EDC"/>
    <w:rsid w:val="00472418"/>
    <w:rsid w:val="0047276D"/>
    <w:rsid w:val="00472AF6"/>
    <w:rsid w:val="00473482"/>
    <w:rsid w:val="00474646"/>
    <w:rsid w:val="00474A04"/>
    <w:rsid w:val="00476240"/>
    <w:rsid w:val="00476439"/>
    <w:rsid w:val="00476450"/>
    <w:rsid w:val="004769BF"/>
    <w:rsid w:val="004769E1"/>
    <w:rsid w:val="00476AEE"/>
    <w:rsid w:val="0047735C"/>
    <w:rsid w:val="004776BC"/>
    <w:rsid w:val="00477820"/>
    <w:rsid w:val="00477B96"/>
    <w:rsid w:val="00480802"/>
    <w:rsid w:val="00480BAE"/>
    <w:rsid w:val="00480D7F"/>
    <w:rsid w:val="0048139F"/>
    <w:rsid w:val="00481E40"/>
    <w:rsid w:val="00482405"/>
    <w:rsid w:val="004826A7"/>
    <w:rsid w:val="004828DA"/>
    <w:rsid w:val="0048368C"/>
    <w:rsid w:val="0048372F"/>
    <w:rsid w:val="0048399F"/>
    <w:rsid w:val="00483A0C"/>
    <w:rsid w:val="004841CC"/>
    <w:rsid w:val="00484ECE"/>
    <w:rsid w:val="00485E82"/>
    <w:rsid w:val="00486132"/>
    <w:rsid w:val="0048686D"/>
    <w:rsid w:val="00486A4D"/>
    <w:rsid w:val="004915CB"/>
    <w:rsid w:val="00491A2B"/>
    <w:rsid w:val="004924DC"/>
    <w:rsid w:val="00492879"/>
    <w:rsid w:val="00493E85"/>
    <w:rsid w:val="00495145"/>
    <w:rsid w:val="0049531F"/>
    <w:rsid w:val="004979A5"/>
    <w:rsid w:val="004A0144"/>
    <w:rsid w:val="004A036E"/>
    <w:rsid w:val="004A0389"/>
    <w:rsid w:val="004A0498"/>
    <w:rsid w:val="004A06B0"/>
    <w:rsid w:val="004A0D0E"/>
    <w:rsid w:val="004A14E4"/>
    <w:rsid w:val="004A204E"/>
    <w:rsid w:val="004A26A5"/>
    <w:rsid w:val="004A27F0"/>
    <w:rsid w:val="004A3212"/>
    <w:rsid w:val="004A37CD"/>
    <w:rsid w:val="004A3BE4"/>
    <w:rsid w:val="004A40D9"/>
    <w:rsid w:val="004A49A5"/>
    <w:rsid w:val="004A4F8A"/>
    <w:rsid w:val="004A52AB"/>
    <w:rsid w:val="004A5494"/>
    <w:rsid w:val="004A5D4E"/>
    <w:rsid w:val="004A61C5"/>
    <w:rsid w:val="004A62A0"/>
    <w:rsid w:val="004A77DF"/>
    <w:rsid w:val="004A7DC0"/>
    <w:rsid w:val="004B1417"/>
    <w:rsid w:val="004B1627"/>
    <w:rsid w:val="004B305C"/>
    <w:rsid w:val="004B31B8"/>
    <w:rsid w:val="004B339A"/>
    <w:rsid w:val="004B4C83"/>
    <w:rsid w:val="004B55B7"/>
    <w:rsid w:val="004B591D"/>
    <w:rsid w:val="004B5BFA"/>
    <w:rsid w:val="004B619E"/>
    <w:rsid w:val="004B6468"/>
    <w:rsid w:val="004B6EF8"/>
    <w:rsid w:val="004B7125"/>
    <w:rsid w:val="004B756A"/>
    <w:rsid w:val="004B7FB1"/>
    <w:rsid w:val="004C0970"/>
    <w:rsid w:val="004C0B3F"/>
    <w:rsid w:val="004C0F87"/>
    <w:rsid w:val="004C25F9"/>
    <w:rsid w:val="004C2794"/>
    <w:rsid w:val="004C2BB6"/>
    <w:rsid w:val="004C2C2D"/>
    <w:rsid w:val="004C3027"/>
    <w:rsid w:val="004C384C"/>
    <w:rsid w:val="004C3867"/>
    <w:rsid w:val="004C3CE4"/>
    <w:rsid w:val="004C3DB0"/>
    <w:rsid w:val="004C439A"/>
    <w:rsid w:val="004C4720"/>
    <w:rsid w:val="004C4CD0"/>
    <w:rsid w:val="004C5060"/>
    <w:rsid w:val="004C5165"/>
    <w:rsid w:val="004C589C"/>
    <w:rsid w:val="004C5AE8"/>
    <w:rsid w:val="004C6E0E"/>
    <w:rsid w:val="004C70DC"/>
    <w:rsid w:val="004D0211"/>
    <w:rsid w:val="004D0794"/>
    <w:rsid w:val="004D17A6"/>
    <w:rsid w:val="004D2D31"/>
    <w:rsid w:val="004D2E03"/>
    <w:rsid w:val="004D3296"/>
    <w:rsid w:val="004D4056"/>
    <w:rsid w:val="004D4CB0"/>
    <w:rsid w:val="004D5B0F"/>
    <w:rsid w:val="004D7626"/>
    <w:rsid w:val="004E085C"/>
    <w:rsid w:val="004E12DF"/>
    <w:rsid w:val="004E186A"/>
    <w:rsid w:val="004E1A40"/>
    <w:rsid w:val="004E1DB2"/>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01B"/>
    <w:rsid w:val="004F6484"/>
    <w:rsid w:val="004F6539"/>
    <w:rsid w:val="004F6E12"/>
    <w:rsid w:val="00503D54"/>
    <w:rsid w:val="005048E2"/>
    <w:rsid w:val="00505FC8"/>
    <w:rsid w:val="00506603"/>
    <w:rsid w:val="0050689D"/>
    <w:rsid w:val="005077F5"/>
    <w:rsid w:val="005108C0"/>
    <w:rsid w:val="0051094F"/>
    <w:rsid w:val="00511217"/>
    <w:rsid w:val="00511873"/>
    <w:rsid w:val="00511BAF"/>
    <w:rsid w:val="00512461"/>
    <w:rsid w:val="00512585"/>
    <w:rsid w:val="00512A2F"/>
    <w:rsid w:val="00513B7E"/>
    <w:rsid w:val="00513E9D"/>
    <w:rsid w:val="0051475D"/>
    <w:rsid w:val="00514B11"/>
    <w:rsid w:val="00514DED"/>
    <w:rsid w:val="00515485"/>
    <w:rsid w:val="00515BE9"/>
    <w:rsid w:val="00515C74"/>
    <w:rsid w:val="00515CEB"/>
    <w:rsid w:val="0051630F"/>
    <w:rsid w:val="00517113"/>
    <w:rsid w:val="0052007E"/>
    <w:rsid w:val="0052032E"/>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A68"/>
    <w:rsid w:val="00530AD4"/>
    <w:rsid w:val="0053129F"/>
    <w:rsid w:val="00531C5A"/>
    <w:rsid w:val="00532CE7"/>
    <w:rsid w:val="00532D8B"/>
    <w:rsid w:val="0053324C"/>
    <w:rsid w:val="00533A8D"/>
    <w:rsid w:val="00534A28"/>
    <w:rsid w:val="00535018"/>
    <w:rsid w:val="00535782"/>
    <w:rsid w:val="0053595E"/>
    <w:rsid w:val="00537571"/>
    <w:rsid w:val="00540056"/>
    <w:rsid w:val="005410E2"/>
    <w:rsid w:val="00541508"/>
    <w:rsid w:val="00541AE3"/>
    <w:rsid w:val="00543498"/>
    <w:rsid w:val="00544011"/>
    <w:rsid w:val="00544BE5"/>
    <w:rsid w:val="005453A3"/>
    <w:rsid w:val="005455F6"/>
    <w:rsid w:val="0054582F"/>
    <w:rsid w:val="0054632B"/>
    <w:rsid w:val="00546FC7"/>
    <w:rsid w:val="005500F9"/>
    <w:rsid w:val="00550160"/>
    <w:rsid w:val="00550249"/>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605F3"/>
    <w:rsid w:val="00560C41"/>
    <w:rsid w:val="00560C68"/>
    <w:rsid w:val="00560CAC"/>
    <w:rsid w:val="00561F44"/>
    <w:rsid w:val="00562B4D"/>
    <w:rsid w:val="00562DB1"/>
    <w:rsid w:val="00563EB8"/>
    <w:rsid w:val="005647BF"/>
    <w:rsid w:val="00564AF1"/>
    <w:rsid w:val="005655DB"/>
    <w:rsid w:val="00565E88"/>
    <w:rsid w:val="00567339"/>
    <w:rsid w:val="005678EE"/>
    <w:rsid w:val="00567910"/>
    <w:rsid w:val="00570270"/>
    <w:rsid w:val="00570464"/>
    <w:rsid w:val="00570601"/>
    <w:rsid w:val="00570BC3"/>
    <w:rsid w:val="00571766"/>
    <w:rsid w:val="0057182A"/>
    <w:rsid w:val="00571E59"/>
    <w:rsid w:val="00572079"/>
    <w:rsid w:val="00572900"/>
    <w:rsid w:val="00573602"/>
    <w:rsid w:val="0057364B"/>
    <w:rsid w:val="00574773"/>
    <w:rsid w:val="005761EC"/>
    <w:rsid w:val="00576E34"/>
    <w:rsid w:val="00577C07"/>
    <w:rsid w:val="00577DB1"/>
    <w:rsid w:val="00580AD3"/>
    <w:rsid w:val="00580DE7"/>
    <w:rsid w:val="005810E1"/>
    <w:rsid w:val="005820CD"/>
    <w:rsid w:val="00582A12"/>
    <w:rsid w:val="00583BDD"/>
    <w:rsid w:val="00583E52"/>
    <w:rsid w:val="00583FFD"/>
    <w:rsid w:val="00584252"/>
    <w:rsid w:val="005848DD"/>
    <w:rsid w:val="0058519A"/>
    <w:rsid w:val="005856BD"/>
    <w:rsid w:val="00585983"/>
    <w:rsid w:val="00586BCA"/>
    <w:rsid w:val="00587038"/>
    <w:rsid w:val="00587319"/>
    <w:rsid w:val="00590608"/>
    <w:rsid w:val="00590B28"/>
    <w:rsid w:val="005911BE"/>
    <w:rsid w:val="00591273"/>
    <w:rsid w:val="00591E9E"/>
    <w:rsid w:val="005927A4"/>
    <w:rsid w:val="00593152"/>
    <w:rsid w:val="00593389"/>
    <w:rsid w:val="00593FE6"/>
    <w:rsid w:val="005956A3"/>
    <w:rsid w:val="00595958"/>
    <w:rsid w:val="00595CAB"/>
    <w:rsid w:val="0059622E"/>
    <w:rsid w:val="0059684D"/>
    <w:rsid w:val="00597671"/>
    <w:rsid w:val="00597BBF"/>
    <w:rsid w:val="005A040C"/>
    <w:rsid w:val="005A0463"/>
    <w:rsid w:val="005A05DF"/>
    <w:rsid w:val="005A0948"/>
    <w:rsid w:val="005A0A03"/>
    <w:rsid w:val="005A10F2"/>
    <w:rsid w:val="005A16C0"/>
    <w:rsid w:val="005A2156"/>
    <w:rsid w:val="005A21E0"/>
    <w:rsid w:val="005A2401"/>
    <w:rsid w:val="005A28FF"/>
    <w:rsid w:val="005A2C09"/>
    <w:rsid w:val="005A3778"/>
    <w:rsid w:val="005A37B0"/>
    <w:rsid w:val="005A3DF8"/>
    <w:rsid w:val="005A5549"/>
    <w:rsid w:val="005A566A"/>
    <w:rsid w:val="005A56E0"/>
    <w:rsid w:val="005A70CA"/>
    <w:rsid w:val="005A7ABD"/>
    <w:rsid w:val="005A7CF8"/>
    <w:rsid w:val="005B0EDA"/>
    <w:rsid w:val="005B121D"/>
    <w:rsid w:val="005B1705"/>
    <w:rsid w:val="005B26B0"/>
    <w:rsid w:val="005B41C9"/>
    <w:rsid w:val="005B44E6"/>
    <w:rsid w:val="005B4853"/>
    <w:rsid w:val="005B591B"/>
    <w:rsid w:val="005B6CA1"/>
    <w:rsid w:val="005B770C"/>
    <w:rsid w:val="005C06ED"/>
    <w:rsid w:val="005C0CE1"/>
    <w:rsid w:val="005C11B8"/>
    <w:rsid w:val="005C1345"/>
    <w:rsid w:val="005C1B24"/>
    <w:rsid w:val="005C216C"/>
    <w:rsid w:val="005C2609"/>
    <w:rsid w:val="005C2B30"/>
    <w:rsid w:val="005C412B"/>
    <w:rsid w:val="005C43EC"/>
    <w:rsid w:val="005C45DD"/>
    <w:rsid w:val="005C4704"/>
    <w:rsid w:val="005C4CB1"/>
    <w:rsid w:val="005C70AB"/>
    <w:rsid w:val="005D015C"/>
    <w:rsid w:val="005D3F06"/>
    <w:rsid w:val="005D4608"/>
    <w:rsid w:val="005D4B73"/>
    <w:rsid w:val="005D533D"/>
    <w:rsid w:val="005D5645"/>
    <w:rsid w:val="005D5802"/>
    <w:rsid w:val="005D5AA9"/>
    <w:rsid w:val="005D5B60"/>
    <w:rsid w:val="005D66E6"/>
    <w:rsid w:val="005D7119"/>
    <w:rsid w:val="005D76C8"/>
    <w:rsid w:val="005D7890"/>
    <w:rsid w:val="005D7AAF"/>
    <w:rsid w:val="005E19C1"/>
    <w:rsid w:val="005E2194"/>
    <w:rsid w:val="005E24F0"/>
    <w:rsid w:val="005E3113"/>
    <w:rsid w:val="005E36FE"/>
    <w:rsid w:val="005E3F66"/>
    <w:rsid w:val="005E490F"/>
    <w:rsid w:val="005E4BC9"/>
    <w:rsid w:val="005E5314"/>
    <w:rsid w:val="005E53DC"/>
    <w:rsid w:val="005E764D"/>
    <w:rsid w:val="005E772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D7F"/>
    <w:rsid w:val="005F6DFE"/>
    <w:rsid w:val="005F7174"/>
    <w:rsid w:val="005F7B79"/>
    <w:rsid w:val="0060120D"/>
    <w:rsid w:val="006017C1"/>
    <w:rsid w:val="00601ADE"/>
    <w:rsid w:val="00601EEF"/>
    <w:rsid w:val="0060255A"/>
    <w:rsid w:val="00602998"/>
    <w:rsid w:val="00602EB3"/>
    <w:rsid w:val="00604307"/>
    <w:rsid w:val="0060487F"/>
    <w:rsid w:val="00604EAD"/>
    <w:rsid w:val="0060513F"/>
    <w:rsid w:val="006065E2"/>
    <w:rsid w:val="0060694B"/>
    <w:rsid w:val="00607E1D"/>
    <w:rsid w:val="006104FB"/>
    <w:rsid w:val="006116FF"/>
    <w:rsid w:val="0061176D"/>
    <w:rsid w:val="0061200F"/>
    <w:rsid w:val="00612756"/>
    <w:rsid w:val="00612A2F"/>
    <w:rsid w:val="00612AAE"/>
    <w:rsid w:val="00612B07"/>
    <w:rsid w:val="00612FD9"/>
    <w:rsid w:val="006139E0"/>
    <w:rsid w:val="00614D35"/>
    <w:rsid w:val="006156B4"/>
    <w:rsid w:val="00615DAF"/>
    <w:rsid w:val="00616254"/>
    <w:rsid w:val="0061672A"/>
    <w:rsid w:val="00616E05"/>
    <w:rsid w:val="00617985"/>
    <w:rsid w:val="00620641"/>
    <w:rsid w:val="00620B77"/>
    <w:rsid w:val="00621190"/>
    <w:rsid w:val="0062131B"/>
    <w:rsid w:val="00621E26"/>
    <w:rsid w:val="006224EA"/>
    <w:rsid w:val="0062263A"/>
    <w:rsid w:val="006227DF"/>
    <w:rsid w:val="006234A0"/>
    <w:rsid w:val="006236C8"/>
    <w:rsid w:val="00624093"/>
    <w:rsid w:val="0062415E"/>
    <w:rsid w:val="00625A84"/>
    <w:rsid w:val="00626079"/>
    <w:rsid w:val="00626B8F"/>
    <w:rsid w:val="006275B5"/>
    <w:rsid w:val="00631698"/>
    <w:rsid w:val="00631E44"/>
    <w:rsid w:val="00634C57"/>
    <w:rsid w:val="00634CE7"/>
    <w:rsid w:val="006350D5"/>
    <w:rsid w:val="00635EBE"/>
    <w:rsid w:val="0063642C"/>
    <w:rsid w:val="006376B3"/>
    <w:rsid w:val="00637858"/>
    <w:rsid w:val="006404A7"/>
    <w:rsid w:val="00640A38"/>
    <w:rsid w:val="00640E6B"/>
    <w:rsid w:val="00641787"/>
    <w:rsid w:val="0064179B"/>
    <w:rsid w:val="00642338"/>
    <w:rsid w:val="00642489"/>
    <w:rsid w:val="00644055"/>
    <w:rsid w:val="00644137"/>
    <w:rsid w:val="0064478C"/>
    <w:rsid w:val="00644938"/>
    <w:rsid w:val="00645160"/>
    <w:rsid w:val="006451E4"/>
    <w:rsid w:val="0064574B"/>
    <w:rsid w:val="00645B33"/>
    <w:rsid w:val="00650FFC"/>
    <w:rsid w:val="0065153D"/>
    <w:rsid w:val="006516CB"/>
    <w:rsid w:val="00652444"/>
    <w:rsid w:val="00652E30"/>
    <w:rsid w:val="00653BD0"/>
    <w:rsid w:val="00654110"/>
    <w:rsid w:val="00656C5D"/>
    <w:rsid w:val="00656CFB"/>
    <w:rsid w:val="00656D25"/>
    <w:rsid w:val="00657E87"/>
    <w:rsid w:val="00660D2D"/>
    <w:rsid w:val="0066110B"/>
    <w:rsid w:val="00661C41"/>
    <w:rsid w:val="00661EC9"/>
    <w:rsid w:val="00662469"/>
    <w:rsid w:val="0066411C"/>
    <w:rsid w:val="00664205"/>
    <w:rsid w:val="00664647"/>
    <w:rsid w:val="00664803"/>
    <w:rsid w:val="0066502F"/>
    <w:rsid w:val="006653CC"/>
    <w:rsid w:val="00665501"/>
    <w:rsid w:val="00665982"/>
    <w:rsid w:val="00665BA4"/>
    <w:rsid w:val="00666BF3"/>
    <w:rsid w:val="00667748"/>
    <w:rsid w:val="00667856"/>
    <w:rsid w:val="00667AF2"/>
    <w:rsid w:val="00670489"/>
    <w:rsid w:val="006710C9"/>
    <w:rsid w:val="00671D85"/>
    <w:rsid w:val="00672586"/>
    <w:rsid w:val="006727BC"/>
    <w:rsid w:val="006741CD"/>
    <w:rsid w:val="006745DF"/>
    <w:rsid w:val="00674BAC"/>
    <w:rsid w:val="00674D89"/>
    <w:rsid w:val="0067514E"/>
    <w:rsid w:val="00675E37"/>
    <w:rsid w:val="0067635D"/>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9F8"/>
    <w:rsid w:val="00684B9B"/>
    <w:rsid w:val="00684D59"/>
    <w:rsid w:val="00684E25"/>
    <w:rsid w:val="006858A4"/>
    <w:rsid w:val="00685C08"/>
    <w:rsid w:val="00685C8C"/>
    <w:rsid w:val="00686718"/>
    <w:rsid w:val="00686BFA"/>
    <w:rsid w:val="00686DED"/>
    <w:rsid w:val="006875A0"/>
    <w:rsid w:val="006878C6"/>
    <w:rsid w:val="00687D27"/>
    <w:rsid w:val="00691943"/>
    <w:rsid w:val="00693550"/>
    <w:rsid w:val="00694622"/>
    <w:rsid w:val="00695065"/>
    <w:rsid w:val="00695BEF"/>
    <w:rsid w:val="00696251"/>
    <w:rsid w:val="006966C7"/>
    <w:rsid w:val="006968C1"/>
    <w:rsid w:val="006977F6"/>
    <w:rsid w:val="00697A13"/>
    <w:rsid w:val="006A0DD4"/>
    <w:rsid w:val="006A109C"/>
    <w:rsid w:val="006A2153"/>
    <w:rsid w:val="006A3CAF"/>
    <w:rsid w:val="006A4E91"/>
    <w:rsid w:val="006A5F4B"/>
    <w:rsid w:val="006A6114"/>
    <w:rsid w:val="006A6565"/>
    <w:rsid w:val="006A76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981"/>
    <w:rsid w:val="006C7AEC"/>
    <w:rsid w:val="006C7CA6"/>
    <w:rsid w:val="006D15D3"/>
    <w:rsid w:val="006D18B3"/>
    <w:rsid w:val="006D1E89"/>
    <w:rsid w:val="006D26CE"/>
    <w:rsid w:val="006D317E"/>
    <w:rsid w:val="006D3E8A"/>
    <w:rsid w:val="006D47D9"/>
    <w:rsid w:val="006D61F6"/>
    <w:rsid w:val="006E1081"/>
    <w:rsid w:val="006E1332"/>
    <w:rsid w:val="006E19CB"/>
    <w:rsid w:val="006E279A"/>
    <w:rsid w:val="006E313B"/>
    <w:rsid w:val="006E32A5"/>
    <w:rsid w:val="006E34B2"/>
    <w:rsid w:val="006E3A45"/>
    <w:rsid w:val="006E4078"/>
    <w:rsid w:val="006E51C4"/>
    <w:rsid w:val="006E53AD"/>
    <w:rsid w:val="006E58CB"/>
    <w:rsid w:val="006E6A93"/>
    <w:rsid w:val="006E7227"/>
    <w:rsid w:val="006E761A"/>
    <w:rsid w:val="006F0646"/>
    <w:rsid w:val="006F0741"/>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18A4"/>
    <w:rsid w:val="0070398A"/>
    <w:rsid w:val="00705242"/>
    <w:rsid w:val="007055E0"/>
    <w:rsid w:val="007056ED"/>
    <w:rsid w:val="00705F4E"/>
    <w:rsid w:val="0070658E"/>
    <w:rsid w:val="007065C5"/>
    <w:rsid w:val="007068E1"/>
    <w:rsid w:val="00706AA0"/>
    <w:rsid w:val="00706AD4"/>
    <w:rsid w:val="00707150"/>
    <w:rsid w:val="00711A82"/>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1A6"/>
    <w:rsid w:val="00720310"/>
    <w:rsid w:val="00720D7A"/>
    <w:rsid w:val="007211F5"/>
    <w:rsid w:val="007213C3"/>
    <w:rsid w:val="00721601"/>
    <w:rsid w:val="00722777"/>
    <w:rsid w:val="0072294F"/>
    <w:rsid w:val="00723435"/>
    <w:rsid w:val="00723436"/>
    <w:rsid w:val="007240E2"/>
    <w:rsid w:val="0072454C"/>
    <w:rsid w:val="0072583E"/>
    <w:rsid w:val="00725BB5"/>
    <w:rsid w:val="00727C02"/>
    <w:rsid w:val="0073008E"/>
    <w:rsid w:val="00730A8B"/>
    <w:rsid w:val="00730AE8"/>
    <w:rsid w:val="00730F1B"/>
    <w:rsid w:val="0073186D"/>
    <w:rsid w:val="007324A6"/>
    <w:rsid w:val="0073261D"/>
    <w:rsid w:val="0073333D"/>
    <w:rsid w:val="007343D9"/>
    <w:rsid w:val="00734F71"/>
    <w:rsid w:val="00735448"/>
    <w:rsid w:val="00736F07"/>
    <w:rsid w:val="007377BD"/>
    <w:rsid w:val="00737DEC"/>
    <w:rsid w:val="0074004D"/>
    <w:rsid w:val="00741493"/>
    <w:rsid w:val="00741F2A"/>
    <w:rsid w:val="007434E5"/>
    <w:rsid w:val="00743884"/>
    <w:rsid w:val="0074499B"/>
    <w:rsid w:val="007449D6"/>
    <w:rsid w:val="0074501E"/>
    <w:rsid w:val="007450BF"/>
    <w:rsid w:val="0074599A"/>
    <w:rsid w:val="00746EE5"/>
    <w:rsid w:val="00746F45"/>
    <w:rsid w:val="007471A1"/>
    <w:rsid w:val="007477BD"/>
    <w:rsid w:val="007477DA"/>
    <w:rsid w:val="00747EE9"/>
    <w:rsid w:val="007520B6"/>
    <w:rsid w:val="00752180"/>
    <w:rsid w:val="00752323"/>
    <w:rsid w:val="007532B7"/>
    <w:rsid w:val="00753CAB"/>
    <w:rsid w:val="00754A70"/>
    <w:rsid w:val="00754BC9"/>
    <w:rsid w:val="00754FB0"/>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A88"/>
    <w:rsid w:val="00763B23"/>
    <w:rsid w:val="00763B85"/>
    <w:rsid w:val="007644A2"/>
    <w:rsid w:val="00764974"/>
    <w:rsid w:val="00764D18"/>
    <w:rsid w:val="0076521E"/>
    <w:rsid w:val="0076579C"/>
    <w:rsid w:val="00765928"/>
    <w:rsid w:val="00765BCC"/>
    <w:rsid w:val="0076600D"/>
    <w:rsid w:val="007661E9"/>
    <w:rsid w:val="00766460"/>
    <w:rsid w:val="00767062"/>
    <w:rsid w:val="00767601"/>
    <w:rsid w:val="00767777"/>
    <w:rsid w:val="00767933"/>
    <w:rsid w:val="00770AB9"/>
    <w:rsid w:val="00770CFC"/>
    <w:rsid w:val="0077130E"/>
    <w:rsid w:val="007715EE"/>
    <w:rsid w:val="00771972"/>
    <w:rsid w:val="00772279"/>
    <w:rsid w:val="00772DAB"/>
    <w:rsid w:val="00772FF9"/>
    <w:rsid w:val="0077348B"/>
    <w:rsid w:val="007743DB"/>
    <w:rsid w:val="00774D2C"/>
    <w:rsid w:val="00775E00"/>
    <w:rsid w:val="0077605B"/>
    <w:rsid w:val="00776169"/>
    <w:rsid w:val="00776527"/>
    <w:rsid w:val="00777040"/>
    <w:rsid w:val="00777CE6"/>
    <w:rsid w:val="00777D57"/>
    <w:rsid w:val="00780BF0"/>
    <w:rsid w:val="00780EF1"/>
    <w:rsid w:val="00781A91"/>
    <w:rsid w:val="00781AD3"/>
    <w:rsid w:val="00781F36"/>
    <w:rsid w:val="00783576"/>
    <w:rsid w:val="00783810"/>
    <w:rsid w:val="00784980"/>
    <w:rsid w:val="007853FD"/>
    <w:rsid w:val="00785778"/>
    <w:rsid w:val="00786C87"/>
    <w:rsid w:val="0078755E"/>
    <w:rsid w:val="007877C9"/>
    <w:rsid w:val="00790764"/>
    <w:rsid w:val="0079085F"/>
    <w:rsid w:val="00790E96"/>
    <w:rsid w:val="00791005"/>
    <w:rsid w:val="00793D78"/>
    <w:rsid w:val="0079420B"/>
    <w:rsid w:val="0079453C"/>
    <w:rsid w:val="00794677"/>
    <w:rsid w:val="00795759"/>
    <w:rsid w:val="007A0B5E"/>
    <w:rsid w:val="007A170B"/>
    <w:rsid w:val="007A20EB"/>
    <w:rsid w:val="007A282C"/>
    <w:rsid w:val="007A293C"/>
    <w:rsid w:val="007A2A3A"/>
    <w:rsid w:val="007A33E2"/>
    <w:rsid w:val="007A3CAF"/>
    <w:rsid w:val="007A4551"/>
    <w:rsid w:val="007A4664"/>
    <w:rsid w:val="007A4782"/>
    <w:rsid w:val="007A516D"/>
    <w:rsid w:val="007A5E65"/>
    <w:rsid w:val="007A65E1"/>
    <w:rsid w:val="007A6A6E"/>
    <w:rsid w:val="007A6AAA"/>
    <w:rsid w:val="007A7033"/>
    <w:rsid w:val="007A775D"/>
    <w:rsid w:val="007B04B0"/>
    <w:rsid w:val="007B0834"/>
    <w:rsid w:val="007B0E83"/>
    <w:rsid w:val="007B11FA"/>
    <w:rsid w:val="007B1396"/>
    <w:rsid w:val="007B16D6"/>
    <w:rsid w:val="007B1D1B"/>
    <w:rsid w:val="007B1E3F"/>
    <w:rsid w:val="007B2011"/>
    <w:rsid w:val="007B2CFE"/>
    <w:rsid w:val="007B309B"/>
    <w:rsid w:val="007B3457"/>
    <w:rsid w:val="007B37AB"/>
    <w:rsid w:val="007B3D5E"/>
    <w:rsid w:val="007B3DCB"/>
    <w:rsid w:val="007B54AE"/>
    <w:rsid w:val="007B5725"/>
    <w:rsid w:val="007B5C1F"/>
    <w:rsid w:val="007B6689"/>
    <w:rsid w:val="007B6747"/>
    <w:rsid w:val="007B6F72"/>
    <w:rsid w:val="007B74AA"/>
    <w:rsid w:val="007C10BD"/>
    <w:rsid w:val="007C162D"/>
    <w:rsid w:val="007C1A03"/>
    <w:rsid w:val="007C1F0C"/>
    <w:rsid w:val="007C1FFB"/>
    <w:rsid w:val="007C2D94"/>
    <w:rsid w:val="007C3842"/>
    <w:rsid w:val="007C4A6B"/>
    <w:rsid w:val="007C5F92"/>
    <w:rsid w:val="007C6227"/>
    <w:rsid w:val="007C64F7"/>
    <w:rsid w:val="007C6BBD"/>
    <w:rsid w:val="007C6D89"/>
    <w:rsid w:val="007C6F5E"/>
    <w:rsid w:val="007D0382"/>
    <w:rsid w:val="007D0F6B"/>
    <w:rsid w:val="007D14FE"/>
    <w:rsid w:val="007D1A1F"/>
    <w:rsid w:val="007D213B"/>
    <w:rsid w:val="007D2783"/>
    <w:rsid w:val="007D2E18"/>
    <w:rsid w:val="007D3EF3"/>
    <w:rsid w:val="007D40DF"/>
    <w:rsid w:val="007D42E5"/>
    <w:rsid w:val="007D4458"/>
    <w:rsid w:val="007D6AF9"/>
    <w:rsid w:val="007D7763"/>
    <w:rsid w:val="007D7F4F"/>
    <w:rsid w:val="007E0535"/>
    <w:rsid w:val="007E07F2"/>
    <w:rsid w:val="007E0D4A"/>
    <w:rsid w:val="007E1788"/>
    <w:rsid w:val="007E1EE3"/>
    <w:rsid w:val="007E29B4"/>
    <w:rsid w:val="007E2F12"/>
    <w:rsid w:val="007E3627"/>
    <w:rsid w:val="007E435A"/>
    <w:rsid w:val="007E445C"/>
    <w:rsid w:val="007E49F7"/>
    <w:rsid w:val="007E4C70"/>
    <w:rsid w:val="007E5149"/>
    <w:rsid w:val="007E5B5F"/>
    <w:rsid w:val="007E69C6"/>
    <w:rsid w:val="007E78B6"/>
    <w:rsid w:val="007E7E61"/>
    <w:rsid w:val="007F0845"/>
    <w:rsid w:val="007F0873"/>
    <w:rsid w:val="007F20F3"/>
    <w:rsid w:val="007F2353"/>
    <w:rsid w:val="007F2390"/>
    <w:rsid w:val="007F2CAC"/>
    <w:rsid w:val="007F3CB6"/>
    <w:rsid w:val="007F4740"/>
    <w:rsid w:val="007F595A"/>
    <w:rsid w:val="007F5C38"/>
    <w:rsid w:val="007F708D"/>
    <w:rsid w:val="007F7E3F"/>
    <w:rsid w:val="008006B3"/>
    <w:rsid w:val="00800B63"/>
    <w:rsid w:val="0080158A"/>
    <w:rsid w:val="00801E13"/>
    <w:rsid w:val="00803008"/>
    <w:rsid w:val="00803069"/>
    <w:rsid w:val="0080346B"/>
    <w:rsid w:val="00803E08"/>
    <w:rsid w:val="00804155"/>
    <w:rsid w:val="00804C9F"/>
    <w:rsid w:val="0080559E"/>
    <w:rsid w:val="00805AF3"/>
    <w:rsid w:val="00806C9C"/>
    <w:rsid w:val="008071B1"/>
    <w:rsid w:val="0080734C"/>
    <w:rsid w:val="00807C82"/>
    <w:rsid w:val="008107EE"/>
    <w:rsid w:val="008117CC"/>
    <w:rsid w:val="00811FF8"/>
    <w:rsid w:val="0081249F"/>
    <w:rsid w:val="00813D58"/>
    <w:rsid w:val="00813DCA"/>
    <w:rsid w:val="008161A6"/>
    <w:rsid w:val="008165B8"/>
    <w:rsid w:val="00816905"/>
    <w:rsid w:val="00816D98"/>
    <w:rsid w:val="00816E42"/>
    <w:rsid w:val="00817040"/>
    <w:rsid w:val="00817A17"/>
    <w:rsid w:val="00817EC1"/>
    <w:rsid w:val="0082112D"/>
    <w:rsid w:val="00821624"/>
    <w:rsid w:val="00821FF6"/>
    <w:rsid w:val="00822574"/>
    <w:rsid w:val="00822980"/>
    <w:rsid w:val="00822F08"/>
    <w:rsid w:val="00824BA6"/>
    <w:rsid w:val="00825007"/>
    <w:rsid w:val="00825120"/>
    <w:rsid w:val="00825C4D"/>
    <w:rsid w:val="00826A08"/>
    <w:rsid w:val="00826AC0"/>
    <w:rsid w:val="00826D45"/>
    <w:rsid w:val="00827186"/>
    <w:rsid w:val="00827C8E"/>
    <w:rsid w:val="00830569"/>
    <w:rsid w:val="00830AEA"/>
    <w:rsid w:val="00830E86"/>
    <w:rsid w:val="0083143E"/>
    <w:rsid w:val="008315B8"/>
    <w:rsid w:val="008315D5"/>
    <w:rsid w:val="00831CDE"/>
    <w:rsid w:val="00831F2B"/>
    <w:rsid w:val="008320CF"/>
    <w:rsid w:val="008324A3"/>
    <w:rsid w:val="00832F77"/>
    <w:rsid w:val="00834304"/>
    <w:rsid w:val="008343CE"/>
    <w:rsid w:val="0083471A"/>
    <w:rsid w:val="00834FAA"/>
    <w:rsid w:val="00835495"/>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E83"/>
    <w:rsid w:val="0085114D"/>
    <w:rsid w:val="00851163"/>
    <w:rsid w:val="008520A8"/>
    <w:rsid w:val="00852217"/>
    <w:rsid w:val="00853282"/>
    <w:rsid w:val="0085334C"/>
    <w:rsid w:val="00854291"/>
    <w:rsid w:val="00855408"/>
    <w:rsid w:val="00855D03"/>
    <w:rsid w:val="00856AA1"/>
    <w:rsid w:val="00856D65"/>
    <w:rsid w:val="00856FA4"/>
    <w:rsid w:val="00860D79"/>
    <w:rsid w:val="0086150F"/>
    <w:rsid w:val="00861B41"/>
    <w:rsid w:val="00861B9F"/>
    <w:rsid w:val="00861BE3"/>
    <w:rsid w:val="00861EB6"/>
    <w:rsid w:val="008625D3"/>
    <w:rsid w:val="00862C0A"/>
    <w:rsid w:val="00863434"/>
    <w:rsid w:val="0086344F"/>
    <w:rsid w:val="008641AC"/>
    <w:rsid w:val="00865E4C"/>
    <w:rsid w:val="00866074"/>
    <w:rsid w:val="00867546"/>
    <w:rsid w:val="0086796D"/>
    <w:rsid w:val="00867DAB"/>
    <w:rsid w:val="0087000B"/>
    <w:rsid w:val="008701E4"/>
    <w:rsid w:val="008704E9"/>
    <w:rsid w:val="008705FB"/>
    <w:rsid w:val="00870ECD"/>
    <w:rsid w:val="0087347C"/>
    <w:rsid w:val="008734E7"/>
    <w:rsid w:val="0087368D"/>
    <w:rsid w:val="008740CC"/>
    <w:rsid w:val="0087442A"/>
    <w:rsid w:val="00874578"/>
    <w:rsid w:val="00874FE8"/>
    <w:rsid w:val="00875A32"/>
    <w:rsid w:val="00875CC1"/>
    <w:rsid w:val="00876086"/>
    <w:rsid w:val="00876651"/>
    <w:rsid w:val="00876E83"/>
    <w:rsid w:val="0087722C"/>
    <w:rsid w:val="008772BC"/>
    <w:rsid w:val="00880A0E"/>
    <w:rsid w:val="008817FE"/>
    <w:rsid w:val="00881CD7"/>
    <w:rsid w:val="00882911"/>
    <w:rsid w:val="00882F6E"/>
    <w:rsid w:val="00883202"/>
    <w:rsid w:val="00884E02"/>
    <w:rsid w:val="0088502B"/>
    <w:rsid w:val="00885D40"/>
    <w:rsid w:val="008873D4"/>
    <w:rsid w:val="008902A5"/>
    <w:rsid w:val="00890CB1"/>
    <w:rsid w:val="00891EDF"/>
    <w:rsid w:val="00892872"/>
    <w:rsid w:val="0089296D"/>
    <w:rsid w:val="00893E85"/>
    <w:rsid w:val="00893EBE"/>
    <w:rsid w:val="00894031"/>
    <w:rsid w:val="00894C5D"/>
    <w:rsid w:val="00895508"/>
    <w:rsid w:val="00895797"/>
    <w:rsid w:val="008967E9"/>
    <w:rsid w:val="00896A5C"/>
    <w:rsid w:val="00897155"/>
    <w:rsid w:val="008972D2"/>
    <w:rsid w:val="0089754C"/>
    <w:rsid w:val="00897CFA"/>
    <w:rsid w:val="008A0659"/>
    <w:rsid w:val="008A0ADD"/>
    <w:rsid w:val="008A0D27"/>
    <w:rsid w:val="008A1C59"/>
    <w:rsid w:val="008A2254"/>
    <w:rsid w:val="008A37E2"/>
    <w:rsid w:val="008A388E"/>
    <w:rsid w:val="008A394E"/>
    <w:rsid w:val="008A3CBA"/>
    <w:rsid w:val="008A4B59"/>
    <w:rsid w:val="008A63E1"/>
    <w:rsid w:val="008A66B7"/>
    <w:rsid w:val="008A68BB"/>
    <w:rsid w:val="008A6AA5"/>
    <w:rsid w:val="008A7127"/>
    <w:rsid w:val="008A7E04"/>
    <w:rsid w:val="008B02E7"/>
    <w:rsid w:val="008B0CBA"/>
    <w:rsid w:val="008B1850"/>
    <w:rsid w:val="008B2639"/>
    <w:rsid w:val="008B3537"/>
    <w:rsid w:val="008B35C1"/>
    <w:rsid w:val="008B3690"/>
    <w:rsid w:val="008B3A80"/>
    <w:rsid w:val="008B3AEC"/>
    <w:rsid w:val="008B3C07"/>
    <w:rsid w:val="008B3C6E"/>
    <w:rsid w:val="008B3F7B"/>
    <w:rsid w:val="008B43CA"/>
    <w:rsid w:val="008B5324"/>
    <w:rsid w:val="008B5C99"/>
    <w:rsid w:val="008B6106"/>
    <w:rsid w:val="008B7C02"/>
    <w:rsid w:val="008B7D2B"/>
    <w:rsid w:val="008B7EF9"/>
    <w:rsid w:val="008C0049"/>
    <w:rsid w:val="008C025A"/>
    <w:rsid w:val="008C0314"/>
    <w:rsid w:val="008C0E88"/>
    <w:rsid w:val="008C0EBE"/>
    <w:rsid w:val="008C1717"/>
    <w:rsid w:val="008C17F0"/>
    <w:rsid w:val="008C3A32"/>
    <w:rsid w:val="008C3B05"/>
    <w:rsid w:val="008C4B50"/>
    <w:rsid w:val="008C5A37"/>
    <w:rsid w:val="008C7569"/>
    <w:rsid w:val="008C79C3"/>
    <w:rsid w:val="008D006F"/>
    <w:rsid w:val="008D033D"/>
    <w:rsid w:val="008D06A2"/>
    <w:rsid w:val="008D0DBD"/>
    <w:rsid w:val="008D117E"/>
    <w:rsid w:val="008D127E"/>
    <w:rsid w:val="008D1CA8"/>
    <w:rsid w:val="008D1E0A"/>
    <w:rsid w:val="008D1E6A"/>
    <w:rsid w:val="008D2407"/>
    <w:rsid w:val="008D2A16"/>
    <w:rsid w:val="008D2AEC"/>
    <w:rsid w:val="008D3295"/>
    <w:rsid w:val="008D33F5"/>
    <w:rsid w:val="008D35E4"/>
    <w:rsid w:val="008D3ACD"/>
    <w:rsid w:val="008D3D21"/>
    <w:rsid w:val="008D6C3A"/>
    <w:rsid w:val="008D70E2"/>
    <w:rsid w:val="008D7F47"/>
    <w:rsid w:val="008E0001"/>
    <w:rsid w:val="008E039E"/>
    <w:rsid w:val="008E292B"/>
    <w:rsid w:val="008E2C57"/>
    <w:rsid w:val="008E31FF"/>
    <w:rsid w:val="008E3287"/>
    <w:rsid w:val="008E38E4"/>
    <w:rsid w:val="008E3DFA"/>
    <w:rsid w:val="008E419B"/>
    <w:rsid w:val="008E51EB"/>
    <w:rsid w:val="008E5746"/>
    <w:rsid w:val="008E64D7"/>
    <w:rsid w:val="008E6DCB"/>
    <w:rsid w:val="008E6E5D"/>
    <w:rsid w:val="008E6F06"/>
    <w:rsid w:val="008E7000"/>
    <w:rsid w:val="008E723E"/>
    <w:rsid w:val="008E7B8E"/>
    <w:rsid w:val="008E7FC9"/>
    <w:rsid w:val="008F0107"/>
    <w:rsid w:val="008F029B"/>
    <w:rsid w:val="008F0589"/>
    <w:rsid w:val="008F130B"/>
    <w:rsid w:val="008F2A5D"/>
    <w:rsid w:val="008F2BC7"/>
    <w:rsid w:val="008F2E83"/>
    <w:rsid w:val="008F3636"/>
    <w:rsid w:val="008F3FC9"/>
    <w:rsid w:val="008F418F"/>
    <w:rsid w:val="008F509F"/>
    <w:rsid w:val="008F525A"/>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B2B"/>
    <w:rsid w:val="00926CF0"/>
    <w:rsid w:val="009273A9"/>
    <w:rsid w:val="00930251"/>
    <w:rsid w:val="0093033E"/>
    <w:rsid w:val="009305FC"/>
    <w:rsid w:val="00930FB1"/>
    <w:rsid w:val="0093139F"/>
    <w:rsid w:val="00932239"/>
    <w:rsid w:val="00932443"/>
    <w:rsid w:val="00932B32"/>
    <w:rsid w:val="0093305E"/>
    <w:rsid w:val="00933F4A"/>
    <w:rsid w:val="009341F1"/>
    <w:rsid w:val="00934FF2"/>
    <w:rsid w:val="009358D7"/>
    <w:rsid w:val="00935BD4"/>
    <w:rsid w:val="00935DFE"/>
    <w:rsid w:val="00935F70"/>
    <w:rsid w:val="009360FA"/>
    <w:rsid w:val="0093648B"/>
    <w:rsid w:val="00937017"/>
    <w:rsid w:val="009373B2"/>
    <w:rsid w:val="00937AE2"/>
    <w:rsid w:val="0094061F"/>
    <w:rsid w:val="00940F0F"/>
    <w:rsid w:val="00941912"/>
    <w:rsid w:val="0094416B"/>
    <w:rsid w:val="0094427A"/>
    <w:rsid w:val="009449C6"/>
    <w:rsid w:val="00944C7C"/>
    <w:rsid w:val="00945245"/>
    <w:rsid w:val="00945523"/>
    <w:rsid w:val="00945636"/>
    <w:rsid w:val="00946C43"/>
    <w:rsid w:val="00946FE0"/>
    <w:rsid w:val="00950921"/>
    <w:rsid w:val="00951D68"/>
    <w:rsid w:val="00951E5B"/>
    <w:rsid w:val="00952050"/>
    <w:rsid w:val="00952315"/>
    <w:rsid w:val="009523D9"/>
    <w:rsid w:val="00952B7B"/>
    <w:rsid w:val="0095357B"/>
    <w:rsid w:val="009538B3"/>
    <w:rsid w:val="00954F39"/>
    <w:rsid w:val="009555FD"/>
    <w:rsid w:val="00955BAD"/>
    <w:rsid w:val="0095664B"/>
    <w:rsid w:val="009568DC"/>
    <w:rsid w:val="00956B8B"/>
    <w:rsid w:val="00957140"/>
    <w:rsid w:val="00957445"/>
    <w:rsid w:val="0095759C"/>
    <w:rsid w:val="009617EB"/>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3"/>
    <w:rsid w:val="00977C3D"/>
    <w:rsid w:val="00980D3D"/>
    <w:rsid w:val="0098103E"/>
    <w:rsid w:val="0098157D"/>
    <w:rsid w:val="00983101"/>
    <w:rsid w:val="00983E41"/>
    <w:rsid w:val="009845E1"/>
    <w:rsid w:val="00984CE5"/>
    <w:rsid w:val="00984D1B"/>
    <w:rsid w:val="00986246"/>
    <w:rsid w:val="00987A30"/>
    <w:rsid w:val="00990312"/>
    <w:rsid w:val="009908AF"/>
    <w:rsid w:val="0099182E"/>
    <w:rsid w:val="00991D45"/>
    <w:rsid w:val="00992B49"/>
    <w:rsid w:val="00992BB3"/>
    <w:rsid w:val="00992CF3"/>
    <w:rsid w:val="00993194"/>
    <w:rsid w:val="0099321E"/>
    <w:rsid w:val="00993ECA"/>
    <w:rsid w:val="00994171"/>
    <w:rsid w:val="00994868"/>
    <w:rsid w:val="00994976"/>
    <w:rsid w:val="00994D28"/>
    <w:rsid w:val="00994F2C"/>
    <w:rsid w:val="00995720"/>
    <w:rsid w:val="009957CC"/>
    <w:rsid w:val="009968D6"/>
    <w:rsid w:val="00997953"/>
    <w:rsid w:val="00997D55"/>
    <w:rsid w:val="009A0BFF"/>
    <w:rsid w:val="009A10A0"/>
    <w:rsid w:val="009A12B7"/>
    <w:rsid w:val="009A1CAB"/>
    <w:rsid w:val="009A2359"/>
    <w:rsid w:val="009A24F1"/>
    <w:rsid w:val="009A27E0"/>
    <w:rsid w:val="009A4D57"/>
    <w:rsid w:val="009A51A5"/>
    <w:rsid w:val="009A5309"/>
    <w:rsid w:val="009A5759"/>
    <w:rsid w:val="009A60D1"/>
    <w:rsid w:val="009A6225"/>
    <w:rsid w:val="009A64F5"/>
    <w:rsid w:val="009B00D2"/>
    <w:rsid w:val="009B05B3"/>
    <w:rsid w:val="009B07C8"/>
    <w:rsid w:val="009B0CAF"/>
    <w:rsid w:val="009B1324"/>
    <w:rsid w:val="009B2558"/>
    <w:rsid w:val="009B284F"/>
    <w:rsid w:val="009B3742"/>
    <w:rsid w:val="009B3764"/>
    <w:rsid w:val="009B3840"/>
    <w:rsid w:val="009B52AC"/>
    <w:rsid w:val="009B553D"/>
    <w:rsid w:val="009B59EA"/>
    <w:rsid w:val="009B5B6E"/>
    <w:rsid w:val="009B66CE"/>
    <w:rsid w:val="009B6FD3"/>
    <w:rsid w:val="009B72BE"/>
    <w:rsid w:val="009B78A4"/>
    <w:rsid w:val="009B7DB2"/>
    <w:rsid w:val="009C03DB"/>
    <w:rsid w:val="009C15AF"/>
    <w:rsid w:val="009C1750"/>
    <w:rsid w:val="009C2E29"/>
    <w:rsid w:val="009C3E8F"/>
    <w:rsid w:val="009C554B"/>
    <w:rsid w:val="009C5E83"/>
    <w:rsid w:val="009C66F8"/>
    <w:rsid w:val="009C7126"/>
    <w:rsid w:val="009C719E"/>
    <w:rsid w:val="009C7799"/>
    <w:rsid w:val="009D07A9"/>
    <w:rsid w:val="009D0AE2"/>
    <w:rsid w:val="009D0D9F"/>
    <w:rsid w:val="009D0EBB"/>
    <w:rsid w:val="009D2C46"/>
    <w:rsid w:val="009D3ACD"/>
    <w:rsid w:val="009D4254"/>
    <w:rsid w:val="009D4F21"/>
    <w:rsid w:val="009D587D"/>
    <w:rsid w:val="009D6EA6"/>
    <w:rsid w:val="009D7731"/>
    <w:rsid w:val="009D78C3"/>
    <w:rsid w:val="009E1120"/>
    <w:rsid w:val="009E1393"/>
    <w:rsid w:val="009E1922"/>
    <w:rsid w:val="009E1A3D"/>
    <w:rsid w:val="009E4715"/>
    <w:rsid w:val="009E4A58"/>
    <w:rsid w:val="009E5273"/>
    <w:rsid w:val="009E57A8"/>
    <w:rsid w:val="009E5B85"/>
    <w:rsid w:val="009E5BF4"/>
    <w:rsid w:val="009E5DDB"/>
    <w:rsid w:val="009F032E"/>
    <w:rsid w:val="009F1CA6"/>
    <w:rsid w:val="009F2921"/>
    <w:rsid w:val="009F2D61"/>
    <w:rsid w:val="009F3063"/>
    <w:rsid w:val="009F42CF"/>
    <w:rsid w:val="009F4982"/>
    <w:rsid w:val="009F4CA7"/>
    <w:rsid w:val="009F4F6A"/>
    <w:rsid w:val="009F55BA"/>
    <w:rsid w:val="009F7D36"/>
    <w:rsid w:val="009F7D61"/>
    <w:rsid w:val="00A00470"/>
    <w:rsid w:val="00A00E71"/>
    <w:rsid w:val="00A016B3"/>
    <w:rsid w:val="00A0187B"/>
    <w:rsid w:val="00A02E8B"/>
    <w:rsid w:val="00A0306F"/>
    <w:rsid w:val="00A03511"/>
    <w:rsid w:val="00A03B10"/>
    <w:rsid w:val="00A03E2E"/>
    <w:rsid w:val="00A04616"/>
    <w:rsid w:val="00A04717"/>
    <w:rsid w:val="00A05D8F"/>
    <w:rsid w:val="00A05EB1"/>
    <w:rsid w:val="00A05EE4"/>
    <w:rsid w:val="00A06F99"/>
    <w:rsid w:val="00A1053B"/>
    <w:rsid w:val="00A10D66"/>
    <w:rsid w:val="00A113A4"/>
    <w:rsid w:val="00A12A8E"/>
    <w:rsid w:val="00A133F9"/>
    <w:rsid w:val="00A1411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28B"/>
    <w:rsid w:val="00A20FE1"/>
    <w:rsid w:val="00A2102F"/>
    <w:rsid w:val="00A21B4D"/>
    <w:rsid w:val="00A22073"/>
    <w:rsid w:val="00A223E0"/>
    <w:rsid w:val="00A22959"/>
    <w:rsid w:val="00A23158"/>
    <w:rsid w:val="00A232D7"/>
    <w:rsid w:val="00A23847"/>
    <w:rsid w:val="00A23E43"/>
    <w:rsid w:val="00A24726"/>
    <w:rsid w:val="00A24DEB"/>
    <w:rsid w:val="00A24ED9"/>
    <w:rsid w:val="00A251DB"/>
    <w:rsid w:val="00A25216"/>
    <w:rsid w:val="00A2597D"/>
    <w:rsid w:val="00A25FC3"/>
    <w:rsid w:val="00A2628E"/>
    <w:rsid w:val="00A266BF"/>
    <w:rsid w:val="00A26777"/>
    <w:rsid w:val="00A269AB"/>
    <w:rsid w:val="00A2731E"/>
    <w:rsid w:val="00A309AC"/>
    <w:rsid w:val="00A30EA4"/>
    <w:rsid w:val="00A30F65"/>
    <w:rsid w:val="00A315D0"/>
    <w:rsid w:val="00A3279E"/>
    <w:rsid w:val="00A32A91"/>
    <w:rsid w:val="00A33DB1"/>
    <w:rsid w:val="00A33EEB"/>
    <w:rsid w:val="00A351C8"/>
    <w:rsid w:val="00A35900"/>
    <w:rsid w:val="00A35F33"/>
    <w:rsid w:val="00A401A3"/>
    <w:rsid w:val="00A40EAC"/>
    <w:rsid w:val="00A418BC"/>
    <w:rsid w:val="00A419FF"/>
    <w:rsid w:val="00A41FCF"/>
    <w:rsid w:val="00A42936"/>
    <w:rsid w:val="00A43CF8"/>
    <w:rsid w:val="00A43DF2"/>
    <w:rsid w:val="00A445A8"/>
    <w:rsid w:val="00A44B0D"/>
    <w:rsid w:val="00A44D21"/>
    <w:rsid w:val="00A45087"/>
    <w:rsid w:val="00A45489"/>
    <w:rsid w:val="00A45858"/>
    <w:rsid w:val="00A45CED"/>
    <w:rsid w:val="00A465E9"/>
    <w:rsid w:val="00A468E7"/>
    <w:rsid w:val="00A46DE0"/>
    <w:rsid w:val="00A47240"/>
    <w:rsid w:val="00A478BA"/>
    <w:rsid w:val="00A50D73"/>
    <w:rsid w:val="00A518BB"/>
    <w:rsid w:val="00A51A9B"/>
    <w:rsid w:val="00A52A88"/>
    <w:rsid w:val="00A52CAD"/>
    <w:rsid w:val="00A53340"/>
    <w:rsid w:val="00A53FC7"/>
    <w:rsid w:val="00A55569"/>
    <w:rsid w:val="00A55C36"/>
    <w:rsid w:val="00A5661B"/>
    <w:rsid w:val="00A566A0"/>
    <w:rsid w:val="00A601E7"/>
    <w:rsid w:val="00A60AC1"/>
    <w:rsid w:val="00A62162"/>
    <w:rsid w:val="00A626FF"/>
    <w:rsid w:val="00A62CE1"/>
    <w:rsid w:val="00A65469"/>
    <w:rsid w:val="00A65528"/>
    <w:rsid w:val="00A655D3"/>
    <w:rsid w:val="00A662D9"/>
    <w:rsid w:val="00A6630C"/>
    <w:rsid w:val="00A6741E"/>
    <w:rsid w:val="00A67E29"/>
    <w:rsid w:val="00A7016A"/>
    <w:rsid w:val="00A7018D"/>
    <w:rsid w:val="00A7191D"/>
    <w:rsid w:val="00A722F9"/>
    <w:rsid w:val="00A72D42"/>
    <w:rsid w:val="00A746C9"/>
    <w:rsid w:val="00A74C2A"/>
    <w:rsid w:val="00A75E40"/>
    <w:rsid w:val="00A76818"/>
    <w:rsid w:val="00A77D1D"/>
    <w:rsid w:val="00A77E6B"/>
    <w:rsid w:val="00A809AD"/>
    <w:rsid w:val="00A81652"/>
    <w:rsid w:val="00A82BF0"/>
    <w:rsid w:val="00A82C91"/>
    <w:rsid w:val="00A83150"/>
    <w:rsid w:val="00A83398"/>
    <w:rsid w:val="00A83D6E"/>
    <w:rsid w:val="00A83FD5"/>
    <w:rsid w:val="00A8521A"/>
    <w:rsid w:val="00A857C0"/>
    <w:rsid w:val="00A85ACB"/>
    <w:rsid w:val="00A9036F"/>
    <w:rsid w:val="00A9092B"/>
    <w:rsid w:val="00A90F2C"/>
    <w:rsid w:val="00A90FED"/>
    <w:rsid w:val="00A91482"/>
    <w:rsid w:val="00A9189D"/>
    <w:rsid w:val="00A91E71"/>
    <w:rsid w:val="00A91EAD"/>
    <w:rsid w:val="00A925B1"/>
    <w:rsid w:val="00A92A3E"/>
    <w:rsid w:val="00A934F9"/>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4282"/>
    <w:rsid w:val="00AA43F2"/>
    <w:rsid w:val="00AA4790"/>
    <w:rsid w:val="00AA49E1"/>
    <w:rsid w:val="00AA52BF"/>
    <w:rsid w:val="00AA559A"/>
    <w:rsid w:val="00AA6C31"/>
    <w:rsid w:val="00AA7752"/>
    <w:rsid w:val="00AA7CE8"/>
    <w:rsid w:val="00AB1457"/>
    <w:rsid w:val="00AB2AF1"/>
    <w:rsid w:val="00AB32CB"/>
    <w:rsid w:val="00AB3AD7"/>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C5256"/>
    <w:rsid w:val="00AC78F1"/>
    <w:rsid w:val="00AC7B96"/>
    <w:rsid w:val="00AD0B22"/>
    <w:rsid w:val="00AD0EE7"/>
    <w:rsid w:val="00AD168E"/>
    <w:rsid w:val="00AD306C"/>
    <w:rsid w:val="00AD44CD"/>
    <w:rsid w:val="00AD47A7"/>
    <w:rsid w:val="00AD5AD2"/>
    <w:rsid w:val="00AD6462"/>
    <w:rsid w:val="00AD66C5"/>
    <w:rsid w:val="00AD68C4"/>
    <w:rsid w:val="00AD71F9"/>
    <w:rsid w:val="00AE09B3"/>
    <w:rsid w:val="00AE1A83"/>
    <w:rsid w:val="00AE2A78"/>
    <w:rsid w:val="00AE30BE"/>
    <w:rsid w:val="00AE3E6A"/>
    <w:rsid w:val="00AE417E"/>
    <w:rsid w:val="00AE56EE"/>
    <w:rsid w:val="00AE6414"/>
    <w:rsid w:val="00AE7269"/>
    <w:rsid w:val="00AE797C"/>
    <w:rsid w:val="00AE7CE7"/>
    <w:rsid w:val="00AE7FAB"/>
    <w:rsid w:val="00AF0DE4"/>
    <w:rsid w:val="00AF12A0"/>
    <w:rsid w:val="00AF1E87"/>
    <w:rsid w:val="00AF422A"/>
    <w:rsid w:val="00AF436B"/>
    <w:rsid w:val="00AF5179"/>
    <w:rsid w:val="00AF5CC2"/>
    <w:rsid w:val="00AF660D"/>
    <w:rsid w:val="00AF6776"/>
    <w:rsid w:val="00AF6F98"/>
    <w:rsid w:val="00AF7277"/>
    <w:rsid w:val="00B00550"/>
    <w:rsid w:val="00B00913"/>
    <w:rsid w:val="00B00D4D"/>
    <w:rsid w:val="00B01593"/>
    <w:rsid w:val="00B01D0F"/>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1B2"/>
    <w:rsid w:val="00B131B1"/>
    <w:rsid w:val="00B141B6"/>
    <w:rsid w:val="00B14BC1"/>
    <w:rsid w:val="00B154DE"/>
    <w:rsid w:val="00B162C3"/>
    <w:rsid w:val="00B16DD1"/>
    <w:rsid w:val="00B16EB8"/>
    <w:rsid w:val="00B1700A"/>
    <w:rsid w:val="00B17E71"/>
    <w:rsid w:val="00B17FDE"/>
    <w:rsid w:val="00B20632"/>
    <w:rsid w:val="00B2379C"/>
    <w:rsid w:val="00B23D5D"/>
    <w:rsid w:val="00B23E6E"/>
    <w:rsid w:val="00B2450C"/>
    <w:rsid w:val="00B2687D"/>
    <w:rsid w:val="00B27EC6"/>
    <w:rsid w:val="00B3108D"/>
    <w:rsid w:val="00B32DDB"/>
    <w:rsid w:val="00B32F57"/>
    <w:rsid w:val="00B3345C"/>
    <w:rsid w:val="00B343C4"/>
    <w:rsid w:val="00B34528"/>
    <w:rsid w:val="00B34750"/>
    <w:rsid w:val="00B34CC9"/>
    <w:rsid w:val="00B34CDA"/>
    <w:rsid w:val="00B35160"/>
    <w:rsid w:val="00B3563B"/>
    <w:rsid w:val="00B36BDC"/>
    <w:rsid w:val="00B37D3A"/>
    <w:rsid w:val="00B37D96"/>
    <w:rsid w:val="00B402FC"/>
    <w:rsid w:val="00B422E2"/>
    <w:rsid w:val="00B42517"/>
    <w:rsid w:val="00B42902"/>
    <w:rsid w:val="00B42D5F"/>
    <w:rsid w:val="00B43216"/>
    <w:rsid w:val="00B439DA"/>
    <w:rsid w:val="00B4411A"/>
    <w:rsid w:val="00B45FE8"/>
    <w:rsid w:val="00B46604"/>
    <w:rsid w:val="00B47089"/>
    <w:rsid w:val="00B47587"/>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60AC1"/>
    <w:rsid w:val="00B61FF6"/>
    <w:rsid w:val="00B62316"/>
    <w:rsid w:val="00B6274C"/>
    <w:rsid w:val="00B63A11"/>
    <w:rsid w:val="00B64425"/>
    <w:rsid w:val="00B6445A"/>
    <w:rsid w:val="00B64C24"/>
    <w:rsid w:val="00B64E72"/>
    <w:rsid w:val="00B65CEF"/>
    <w:rsid w:val="00B6608F"/>
    <w:rsid w:val="00B674C7"/>
    <w:rsid w:val="00B67749"/>
    <w:rsid w:val="00B679FB"/>
    <w:rsid w:val="00B71FBF"/>
    <w:rsid w:val="00B734A0"/>
    <w:rsid w:val="00B73A14"/>
    <w:rsid w:val="00B73FE8"/>
    <w:rsid w:val="00B748BD"/>
    <w:rsid w:val="00B74964"/>
    <w:rsid w:val="00B76100"/>
    <w:rsid w:val="00B7680F"/>
    <w:rsid w:val="00B76B48"/>
    <w:rsid w:val="00B76D1E"/>
    <w:rsid w:val="00B77543"/>
    <w:rsid w:val="00B77584"/>
    <w:rsid w:val="00B77E34"/>
    <w:rsid w:val="00B80D44"/>
    <w:rsid w:val="00B80D89"/>
    <w:rsid w:val="00B80EC6"/>
    <w:rsid w:val="00B81288"/>
    <w:rsid w:val="00B81D70"/>
    <w:rsid w:val="00B833B9"/>
    <w:rsid w:val="00B83AAF"/>
    <w:rsid w:val="00B83E07"/>
    <w:rsid w:val="00B84CF6"/>
    <w:rsid w:val="00B85016"/>
    <w:rsid w:val="00B8507A"/>
    <w:rsid w:val="00B8561A"/>
    <w:rsid w:val="00B86628"/>
    <w:rsid w:val="00B86643"/>
    <w:rsid w:val="00B868F7"/>
    <w:rsid w:val="00B86EB1"/>
    <w:rsid w:val="00B871A7"/>
    <w:rsid w:val="00B90131"/>
    <w:rsid w:val="00B92951"/>
    <w:rsid w:val="00B92D1D"/>
    <w:rsid w:val="00B92D7E"/>
    <w:rsid w:val="00B930CE"/>
    <w:rsid w:val="00B938C5"/>
    <w:rsid w:val="00B940A8"/>
    <w:rsid w:val="00B9554A"/>
    <w:rsid w:val="00B95940"/>
    <w:rsid w:val="00B95ACA"/>
    <w:rsid w:val="00B95C12"/>
    <w:rsid w:val="00B96D74"/>
    <w:rsid w:val="00B9720E"/>
    <w:rsid w:val="00B97ACC"/>
    <w:rsid w:val="00B97F3A"/>
    <w:rsid w:val="00B97FE2"/>
    <w:rsid w:val="00BA0E0B"/>
    <w:rsid w:val="00BA201A"/>
    <w:rsid w:val="00BA21DF"/>
    <w:rsid w:val="00BA361D"/>
    <w:rsid w:val="00BA3787"/>
    <w:rsid w:val="00BA403A"/>
    <w:rsid w:val="00BA46E8"/>
    <w:rsid w:val="00BA49DB"/>
    <w:rsid w:val="00BA4AE9"/>
    <w:rsid w:val="00BA4E19"/>
    <w:rsid w:val="00BA5125"/>
    <w:rsid w:val="00BA6436"/>
    <w:rsid w:val="00BA64F2"/>
    <w:rsid w:val="00BA684E"/>
    <w:rsid w:val="00BA6C2B"/>
    <w:rsid w:val="00BA7B64"/>
    <w:rsid w:val="00BB02A3"/>
    <w:rsid w:val="00BB0351"/>
    <w:rsid w:val="00BB15C3"/>
    <w:rsid w:val="00BB1AF4"/>
    <w:rsid w:val="00BB2202"/>
    <w:rsid w:val="00BB286B"/>
    <w:rsid w:val="00BB3C6B"/>
    <w:rsid w:val="00BB3FD6"/>
    <w:rsid w:val="00BB453F"/>
    <w:rsid w:val="00BB46F3"/>
    <w:rsid w:val="00BB4A71"/>
    <w:rsid w:val="00BB4CB1"/>
    <w:rsid w:val="00BB4E47"/>
    <w:rsid w:val="00BB4F98"/>
    <w:rsid w:val="00BB50C0"/>
    <w:rsid w:val="00BB5AB2"/>
    <w:rsid w:val="00BB5ABF"/>
    <w:rsid w:val="00BB5F94"/>
    <w:rsid w:val="00BB6EA2"/>
    <w:rsid w:val="00BB7142"/>
    <w:rsid w:val="00BB76F3"/>
    <w:rsid w:val="00BB7B5B"/>
    <w:rsid w:val="00BB7EB1"/>
    <w:rsid w:val="00BC003F"/>
    <w:rsid w:val="00BC06AA"/>
    <w:rsid w:val="00BC0930"/>
    <w:rsid w:val="00BC223A"/>
    <w:rsid w:val="00BC327F"/>
    <w:rsid w:val="00BC3512"/>
    <w:rsid w:val="00BC4B35"/>
    <w:rsid w:val="00BC50BE"/>
    <w:rsid w:val="00BC5332"/>
    <w:rsid w:val="00BC5715"/>
    <w:rsid w:val="00BC5C12"/>
    <w:rsid w:val="00BC641B"/>
    <w:rsid w:val="00BC7154"/>
    <w:rsid w:val="00BC731E"/>
    <w:rsid w:val="00BC7614"/>
    <w:rsid w:val="00BC7EFA"/>
    <w:rsid w:val="00BD041B"/>
    <w:rsid w:val="00BD25BB"/>
    <w:rsid w:val="00BD2AF8"/>
    <w:rsid w:val="00BD366B"/>
    <w:rsid w:val="00BD3C09"/>
    <w:rsid w:val="00BD410B"/>
    <w:rsid w:val="00BD4A73"/>
    <w:rsid w:val="00BD4EDD"/>
    <w:rsid w:val="00BD4EF4"/>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55EF"/>
    <w:rsid w:val="00BE652B"/>
    <w:rsid w:val="00BE7F5F"/>
    <w:rsid w:val="00BF02C8"/>
    <w:rsid w:val="00BF1578"/>
    <w:rsid w:val="00BF15CA"/>
    <w:rsid w:val="00BF1D12"/>
    <w:rsid w:val="00BF1D3A"/>
    <w:rsid w:val="00BF2B5B"/>
    <w:rsid w:val="00BF2D41"/>
    <w:rsid w:val="00BF3274"/>
    <w:rsid w:val="00BF32DC"/>
    <w:rsid w:val="00BF35C9"/>
    <w:rsid w:val="00BF40A9"/>
    <w:rsid w:val="00BF4329"/>
    <w:rsid w:val="00BF4E43"/>
    <w:rsid w:val="00BF5C4C"/>
    <w:rsid w:val="00BF765C"/>
    <w:rsid w:val="00BF77FC"/>
    <w:rsid w:val="00C006D6"/>
    <w:rsid w:val="00C00BD7"/>
    <w:rsid w:val="00C01410"/>
    <w:rsid w:val="00C024BB"/>
    <w:rsid w:val="00C02D23"/>
    <w:rsid w:val="00C03D4D"/>
    <w:rsid w:val="00C044F4"/>
    <w:rsid w:val="00C04B78"/>
    <w:rsid w:val="00C052AA"/>
    <w:rsid w:val="00C06EE3"/>
    <w:rsid w:val="00C07279"/>
    <w:rsid w:val="00C07749"/>
    <w:rsid w:val="00C07C2F"/>
    <w:rsid w:val="00C07C67"/>
    <w:rsid w:val="00C10805"/>
    <w:rsid w:val="00C11244"/>
    <w:rsid w:val="00C118A9"/>
    <w:rsid w:val="00C11D48"/>
    <w:rsid w:val="00C12304"/>
    <w:rsid w:val="00C12316"/>
    <w:rsid w:val="00C1246C"/>
    <w:rsid w:val="00C1493E"/>
    <w:rsid w:val="00C15537"/>
    <w:rsid w:val="00C15DBD"/>
    <w:rsid w:val="00C161C5"/>
    <w:rsid w:val="00C172F7"/>
    <w:rsid w:val="00C2010D"/>
    <w:rsid w:val="00C20CB5"/>
    <w:rsid w:val="00C21430"/>
    <w:rsid w:val="00C216DF"/>
    <w:rsid w:val="00C21E61"/>
    <w:rsid w:val="00C21F94"/>
    <w:rsid w:val="00C223E8"/>
    <w:rsid w:val="00C224BD"/>
    <w:rsid w:val="00C2272B"/>
    <w:rsid w:val="00C234DB"/>
    <w:rsid w:val="00C23C5C"/>
    <w:rsid w:val="00C2479A"/>
    <w:rsid w:val="00C24903"/>
    <w:rsid w:val="00C2590D"/>
    <w:rsid w:val="00C25D9C"/>
    <w:rsid w:val="00C26086"/>
    <w:rsid w:val="00C27913"/>
    <w:rsid w:val="00C27FA7"/>
    <w:rsid w:val="00C300E2"/>
    <w:rsid w:val="00C31F21"/>
    <w:rsid w:val="00C32631"/>
    <w:rsid w:val="00C33301"/>
    <w:rsid w:val="00C33311"/>
    <w:rsid w:val="00C33B68"/>
    <w:rsid w:val="00C34AD4"/>
    <w:rsid w:val="00C35570"/>
    <w:rsid w:val="00C3579B"/>
    <w:rsid w:val="00C35A2A"/>
    <w:rsid w:val="00C36A79"/>
    <w:rsid w:val="00C401A9"/>
    <w:rsid w:val="00C401D2"/>
    <w:rsid w:val="00C4031A"/>
    <w:rsid w:val="00C405D4"/>
    <w:rsid w:val="00C419D5"/>
    <w:rsid w:val="00C41D54"/>
    <w:rsid w:val="00C42EBB"/>
    <w:rsid w:val="00C435E8"/>
    <w:rsid w:val="00C4513B"/>
    <w:rsid w:val="00C475E8"/>
    <w:rsid w:val="00C50E79"/>
    <w:rsid w:val="00C5197D"/>
    <w:rsid w:val="00C525FB"/>
    <w:rsid w:val="00C527AD"/>
    <w:rsid w:val="00C5390B"/>
    <w:rsid w:val="00C540D3"/>
    <w:rsid w:val="00C54257"/>
    <w:rsid w:val="00C54697"/>
    <w:rsid w:val="00C550CE"/>
    <w:rsid w:val="00C553A5"/>
    <w:rsid w:val="00C55402"/>
    <w:rsid w:val="00C5603B"/>
    <w:rsid w:val="00C6020C"/>
    <w:rsid w:val="00C60AE3"/>
    <w:rsid w:val="00C61F47"/>
    <w:rsid w:val="00C62828"/>
    <w:rsid w:val="00C63132"/>
    <w:rsid w:val="00C655DA"/>
    <w:rsid w:val="00C672C1"/>
    <w:rsid w:val="00C706D2"/>
    <w:rsid w:val="00C715CC"/>
    <w:rsid w:val="00C719A3"/>
    <w:rsid w:val="00C71D2F"/>
    <w:rsid w:val="00C72984"/>
    <w:rsid w:val="00C72BC7"/>
    <w:rsid w:val="00C73885"/>
    <w:rsid w:val="00C73C93"/>
    <w:rsid w:val="00C7435A"/>
    <w:rsid w:val="00C747B1"/>
    <w:rsid w:val="00C75510"/>
    <w:rsid w:val="00C755F9"/>
    <w:rsid w:val="00C75752"/>
    <w:rsid w:val="00C75B60"/>
    <w:rsid w:val="00C761EC"/>
    <w:rsid w:val="00C770C9"/>
    <w:rsid w:val="00C773D8"/>
    <w:rsid w:val="00C8019E"/>
    <w:rsid w:val="00C81070"/>
    <w:rsid w:val="00C8174E"/>
    <w:rsid w:val="00C82191"/>
    <w:rsid w:val="00C83134"/>
    <w:rsid w:val="00C831E7"/>
    <w:rsid w:val="00C832F3"/>
    <w:rsid w:val="00C84307"/>
    <w:rsid w:val="00C845A4"/>
    <w:rsid w:val="00C8504C"/>
    <w:rsid w:val="00C85545"/>
    <w:rsid w:val="00C855B5"/>
    <w:rsid w:val="00C85F0E"/>
    <w:rsid w:val="00C867F9"/>
    <w:rsid w:val="00C872AA"/>
    <w:rsid w:val="00C87C6B"/>
    <w:rsid w:val="00C90357"/>
    <w:rsid w:val="00C90CF4"/>
    <w:rsid w:val="00C91C20"/>
    <w:rsid w:val="00C922DE"/>
    <w:rsid w:val="00C92843"/>
    <w:rsid w:val="00C929FE"/>
    <w:rsid w:val="00C92EB6"/>
    <w:rsid w:val="00C93389"/>
    <w:rsid w:val="00C948E6"/>
    <w:rsid w:val="00C94CDD"/>
    <w:rsid w:val="00C95123"/>
    <w:rsid w:val="00C97588"/>
    <w:rsid w:val="00CA0346"/>
    <w:rsid w:val="00CA0649"/>
    <w:rsid w:val="00CA0BD5"/>
    <w:rsid w:val="00CA0DA1"/>
    <w:rsid w:val="00CA1BD6"/>
    <w:rsid w:val="00CA2D95"/>
    <w:rsid w:val="00CA37FF"/>
    <w:rsid w:val="00CA423A"/>
    <w:rsid w:val="00CA47BC"/>
    <w:rsid w:val="00CA5EAD"/>
    <w:rsid w:val="00CA6AB4"/>
    <w:rsid w:val="00CA7255"/>
    <w:rsid w:val="00CA79E2"/>
    <w:rsid w:val="00CA7E12"/>
    <w:rsid w:val="00CB111E"/>
    <w:rsid w:val="00CB18B2"/>
    <w:rsid w:val="00CB1BEE"/>
    <w:rsid w:val="00CB2351"/>
    <w:rsid w:val="00CB2BF7"/>
    <w:rsid w:val="00CB3605"/>
    <w:rsid w:val="00CB3ECE"/>
    <w:rsid w:val="00CB4022"/>
    <w:rsid w:val="00CB4257"/>
    <w:rsid w:val="00CB4930"/>
    <w:rsid w:val="00CB4BA9"/>
    <w:rsid w:val="00CB4C48"/>
    <w:rsid w:val="00CB4C63"/>
    <w:rsid w:val="00CB5A48"/>
    <w:rsid w:val="00CB5E10"/>
    <w:rsid w:val="00CB613B"/>
    <w:rsid w:val="00CB6152"/>
    <w:rsid w:val="00CB64E1"/>
    <w:rsid w:val="00CB6C6F"/>
    <w:rsid w:val="00CB6E4D"/>
    <w:rsid w:val="00CC009B"/>
    <w:rsid w:val="00CC0834"/>
    <w:rsid w:val="00CC0AEA"/>
    <w:rsid w:val="00CC20FE"/>
    <w:rsid w:val="00CC225C"/>
    <w:rsid w:val="00CC2E7D"/>
    <w:rsid w:val="00CC469E"/>
    <w:rsid w:val="00CC5BE8"/>
    <w:rsid w:val="00CC612B"/>
    <w:rsid w:val="00CC655F"/>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5EE0"/>
    <w:rsid w:val="00CD6331"/>
    <w:rsid w:val="00CD7E9E"/>
    <w:rsid w:val="00CE12FB"/>
    <w:rsid w:val="00CE14BE"/>
    <w:rsid w:val="00CE17A4"/>
    <w:rsid w:val="00CE1BA9"/>
    <w:rsid w:val="00CE2D8F"/>
    <w:rsid w:val="00CE3532"/>
    <w:rsid w:val="00CE3E48"/>
    <w:rsid w:val="00CE46C0"/>
    <w:rsid w:val="00CE47B8"/>
    <w:rsid w:val="00CE54FD"/>
    <w:rsid w:val="00CE5C92"/>
    <w:rsid w:val="00CE5E12"/>
    <w:rsid w:val="00CE62FA"/>
    <w:rsid w:val="00CE670B"/>
    <w:rsid w:val="00CE6833"/>
    <w:rsid w:val="00CE7562"/>
    <w:rsid w:val="00CF020B"/>
    <w:rsid w:val="00CF0E03"/>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842"/>
    <w:rsid w:val="00D03A72"/>
    <w:rsid w:val="00D040DD"/>
    <w:rsid w:val="00D04134"/>
    <w:rsid w:val="00D05C65"/>
    <w:rsid w:val="00D06B56"/>
    <w:rsid w:val="00D06D68"/>
    <w:rsid w:val="00D075BE"/>
    <w:rsid w:val="00D07AFF"/>
    <w:rsid w:val="00D07CC2"/>
    <w:rsid w:val="00D10C15"/>
    <w:rsid w:val="00D11011"/>
    <w:rsid w:val="00D11476"/>
    <w:rsid w:val="00D12C25"/>
    <w:rsid w:val="00D133B4"/>
    <w:rsid w:val="00D13986"/>
    <w:rsid w:val="00D13F3E"/>
    <w:rsid w:val="00D14C5B"/>
    <w:rsid w:val="00D15D3A"/>
    <w:rsid w:val="00D15FED"/>
    <w:rsid w:val="00D16712"/>
    <w:rsid w:val="00D174E0"/>
    <w:rsid w:val="00D214EF"/>
    <w:rsid w:val="00D215B0"/>
    <w:rsid w:val="00D21B36"/>
    <w:rsid w:val="00D21D6D"/>
    <w:rsid w:val="00D21D83"/>
    <w:rsid w:val="00D22A47"/>
    <w:rsid w:val="00D235B7"/>
    <w:rsid w:val="00D23A99"/>
    <w:rsid w:val="00D23FAE"/>
    <w:rsid w:val="00D25F28"/>
    <w:rsid w:val="00D26071"/>
    <w:rsid w:val="00D260C7"/>
    <w:rsid w:val="00D26133"/>
    <w:rsid w:val="00D269B9"/>
    <w:rsid w:val="00D26E6B"/>
    <w:rsid w:val="00D27973"/>
    <w:rsid w:val="00D27F07"/>
    <w:rsid w:val="00D27F3A"/>
    <w:rsid w:val="00D31537"/>
    <w:rsid w:val="00D31E1E"/>
    <w:rsid w:val="00D322A0"/>
    <w:rsid w:val="00D32824"/>
    <w:rsid w:val="00D33297"/>
    <w:rsid w:val="00D334E2"/>
    <w:rsid w:val="00D335E5"/>
    <w:rsid w:val="00D350B1"/>
    <w:rsid w:val="00D35AD6"/>
    <w:rsid w:val="00D35BBB"/>
    <w:rsid w:val="00D35E1A"/>
    <w:rsid w:val="00D36B0A"/>
    <w:rsid w:val="00D36DFB"/>
    <w:rsid w:val="00D36E1C"/>
    <w:rsid w:val="00D373AF"/>
    <w:rsid w:val="00D40556"/>
    <w:rsid w:val="00D418E9"/>
    <w:rsid w:val="00D41F74"/>
    <w:rsid w:val="00D428C8"/>
    <w:rsid w:val="00D43034"/>
    <w:rsid w:val="00D43ED2"/>
    <w:rsid w:val="00D50F46"/>
    <w:rsid w:val="00D5302A"/>
    <w:rsid w:val="00D533C4"/>
    <w:rsid w:val="00D5384E"/>
    <w:rsid w:val="00D544E7"/>
    <w:rsid w:val="00D5499F"/>
    <w:rsid w:val="00D5560A"/>
    <w:rsid w:val="00D56FBF"/>
    <w:rsid w:val="00D57677"/>
    <w:rsid w:val="00D5781F"/>
    <w:rsid w:val="00D60415"/>
    <w:rsid w:val="00D60DAE"/>
    <w:rsid w:val="00D60E3C"/>
    <w:rsid w:val="00D60FA7"/>
    <w:rsid w:val="00D61FAB"/>
    <w:rsid w:val="00D62C4E"/>
    <w:rsid w:val="00D63BE5"/>
    <w:rsid w:val="00D6475F"/>
    <w:rsid w:val="00D652EB"/>
    <w:rsid w:val="00D655D4"/>
    <w:rsid w:val="00D66223"/>
    <w:rsid w:val="00D667B8"/>
    <w:rsid w:val="00D67D55"/>
    <w:rsid w:val="00D70289"/>
    <w:rsid w:val="00D7041F"/>
    <w:rsid w:val="00D70822"/>
    <w:rsid w:val="00D72076"/>
    <w:rsid w:val="00D721B4"/>
    <w:rsid w:val="00D726A9"/>
    <w:rsid w:val="00D72DBA"/>
    <w:rsid w:val="00D743E0"/>
    <w:rsid w:val="00D7469D"/>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2CD7"/>
    <w:rsid w:val="00D932B8"/>
    <w:rsid w:val="00D932F0"/>
    <w:rsid w:val="00D95302"/>
    <w:rsid w:val="00D95889"/>
    <w:rsid w:val="00D95C5D"/>
    <w:rsid w:val="00D95CBE"/>
    <w:rsid w:val="00D95E7F"/>
    <w:rsid w:val="00D96B03"/>
    <w:rsid w:val="00D97D00"/>
    <w:rsid w:val="00DA0121"/>
    <w:rsid w:val="00DA096C"/>
    <w:rsid w:val="00DA1AB6"/>
    <w:rsid w:val="00DA2E65"/>
    <w:rsid w:val="00DA37DE"/>
    <w:rsid w:val="00DA3ADF"/>
    <w:rsid w:val="00DA4174"/>
    <w:rsid w:val="00DA544C"/>
    <w:rsid w:val="00DA5F8E"/>
    <w:rsid w:val="00DA6364"/>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613B"/>
    <w:rsid w:val="00DB657E"/>
    <w:rsid w:val="00DB7342"/>
    <w:rsid w:val="00DB7489"/>
    <w:rsid w:val="00DC0B4D"/>
    <w:rsid w:val="00DC0CBB"/>
    <w:rsid w:val="00DC17D0"/>
    <w:rsid w:val="00DC1E5D"/>
    <w:rsid w:val="00DC2B41"/>
    <w:rsid w:val="00DC2EA7"/>
    <w:rsid w:val="00DC3128"/>
    <w:rsid w:val="00DC435B"/>
    <w:rsid w:val="00DC4AC4"/>
    <w:rsid w:val="00DC53D8"/>
    <w:rsid w:val="00DC56FE"/>
    <w:rsid w:val="00DC5B3B"/>
    <w:rsid w:val="00DC5F11"/>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273F"/>
    <w:rsid w:val="00DE27CD"/>
    <w:rsid w:val="00DE2B97"/>
    <w:rsid w:val="00DE3231"/>
    <w:rsid w:val="00DE3E22"/>
    <w:rsid w:val="00DE3E5D"/>
    <w:rsid w:val="00DE450F"/>
    <w:rsid w:val="00DE4865"/>
    <w:rsid w:val="00DE5CA6"/>
    <w:rsid w:val="00DE5E55"/>
    <w:rsid w:val="00DE6209"/>
    <w:rsid w:val="00DE63AE"/>
    <w:rsid w:val="00DE7156"/>
    <w:rsid w:val="00DE7AC8"/>
    <w:rsid w:val="00DF0830"/>
    <w:rsid w:val="00DF1D57"/>
    <w:rsid w:val="00DF2C5D"/>
    <w:rsid w:val="00DF2CD3"/>
    <w:rsid w:val="00DF3643"/>
    <w:rsid w:val="00DF42FF"/>
    <w:rsid w:val="00DF4369"/>
    <w:rsid w:val="00DF4423"/>
    <w:rsid w:val="00DF4ADF"/>
    <w:rsid w:val="00DF57D6"/>
    <w:rsid w:val="00DF5D1E"/>
    <w:rsid w:val="00DF7489"/>
    <w:rsid w:val="00DF77E4"/>
    <w:rsid w:val="00DF7F88"/>
    <w:rsid w:val="00E00B88"/>
    <w:rsid w:val="00E01C0E"/>
    <w:rsid w:val="00E0368F"/>
    <w:rsid w:val="00E03D73"/>
    <w:rsid w:val="00E03F9A"/>
    <w:rsid w:val="00E040DA"/>
    <w:rsid w:val="00E04694"/>
    <w:rsid w:val="00E05333"/>
    <w:rsid w:val="00E1168B"/>
    <w:rsid w:val="00E12191"/>
    <w:rsid w:val="00E129E7"/>
    <w:rsid w:val="00E12ABE"/>
    <w:rsid w:val="00E12B1E"/>
    <w:rsid w:val="00E135EB"/>
    <w:rsid w:val="00E13995"/>
    <w:rsid w:val="00E1444C"/>
    <w:rsid w:val="00E159C6"/>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274BB"/>
    <w:rsid w:val="00E30F15"/>
    <w:rsid w:val="00E31771"/>
    <w:rsid w:val="00E3186D"/>
    <w:rsid w:val="00E31A3E"/>
    <w:rsid w:val="00E32080"/>
    <w:rsid w:val="00E32778"/>
    <w:rsid w:val="00E3309D"/>
    <w:rsid w:val="00E34E3F"/>
    <w:rsid w:val="00E350B1"/>
    <w:rsid w:val="00E35A53"/>
    <w:rsid w:val="00E3634A"/>
    <w:rsid w:val="00E3656B"/>
    <w:rsid w:val="00E3712B"/>
    <w:rsid w:val="00E3724A"/>
    <w:rsid w:val="00E378B1"/>
    <w:rsid w:val="00E41131"/>
    <w:rsid w:val="00E41179"/>
    <w:rsid w:val="00E417BE"/>
    <w:rsid w:val="00E41CD5"/>
    <w:rsid w:val="00E42054"/>
    <w:rsid w:val="00E4372D"/>
    <w:rsid w:val="00E43A9E"/>
    <w:rsid w:val="00E44243"/>
    <w:rsid w:val="00E453F9"/>
    <w:rsid w:val="00E45D7D"/>
    <w:rsid w:val="00E4623F"/>
    <w:rsid w:val="00E4665D"/>
    <w:rsid w:val="00E47854"/>
    <w:rsid w:val="00E478E2"/>
    <w:rsid w:val="00E47C5D"/>
    <w:rsid w:val="00E47EBA"/>
    <w:rsid w:val="00E50156"/>
    <w:rsid w:val="00E504EB"/>
    <w:rsid w:val="00E5076C"/>
    <w:rsid w:val="00E50D2E"/>
    <w:rsid w:val="00E50D7D"/>
    <w:rsid w:val="00E51EF0"/>
    <w:rsid w:val="00E53470"/>
    <w:rsid w:val="00E5368D"/>
    <w:rsid w:val="00E539F6"/>
    <w:rsid w:val="00E54698"/>
    <w:rsid w:val="00E54BE9"/>
    <w:rsid w:val="00E54D22"/>
    <w:rsid w:val="00E54FB4"/>
    <w:rsid w:val="00E5539A"/>
    <w:rsid w:val="00E55791"/>
    <w:rsid w:val="00E55E1A"/>
    <w:rsid w:val="00E578A2"/>
    <w:rsid w:val="00E579ED"/>
    <w:rsid w:val="00E60043"/>
    <w:rsid w:val="00E61740"/>
    <w:rsid w:val="00E61EB5"/>
    <w:rsid w:val="00E6324D"/>
    <w:rsid w:val="00E647C1"/>
    <w:rsid w:val="00E65084"/>
    <w:rsid w:val="00E6519D"/>
    <w:rsid w:val="00E66062"/>
    <w:rsid w:val="00E6660E"/>
    <w:rsid w:val="00E66768"/>
    <w:rsid w:val="00E67305"/>
    <w:rsid w:val="00E67696"/>
    <w:rsid w:val="00E709AF"/>
    <w:rsid w:val="00E70C5F"/>
    <w:rsid w:val="00E71A58"/>
    <w:rsid w:val="00E728D7"/>
    <w:rsid w:val="00E72A26"/>
    <w:rsid w:val="00E72A7A"/>
    <w:rsid w:val="00E7335A"/>
    <w:rsid w:val="00E73986"/>
    <w:rsid w:val="00E7467D"/>
    <w:rsid w:val="00E747DC"/>
    <w:rsid w:val="00E74A2D"/>
    <w:rsid w:val="00E7566E"/>
    <w:rsid w:val="00E75C94"/>
    <w:rsid w:val="00E76A08"/>
    <w:rsid w:val="00E76B9B"/>
    <w:rsid w:val="00E76E61"/>
    <w:rsid w:val="00E76EE4"/>
    <w:rsid w:val="00E77CC0"/>
    <w:rsid w:val="00E80B3D"/>
    <w:rsid w:val="00E80CA3"/>
    <w:rsid w:val="00E81AAA"/>
    <w:rsid w:val="00E82618"/>
    <w:rsid w:val="00E82A42"/>
    <w:rsid w:val="00E82AB6"/>
    <w:rsid w:val="00E84E09"/>
    <w:rsid w:val="00E87CE2"/>
    <w:rsid w:val="00E87D5B"/>
    <w:rsid w:val="00E90CA8"/>
    <w:rsid w:val="00E911C6"/>
    <w:rsid w:val="00E920DE"/>
    <w:rsid w:val="00E930A1"/>
    <w:rsid w:val="00E93820"/>
    <w:rsid w:val="00E93FD5"/>
    <w:rsid w:val="00E94A86"/>
    <w:rsid w:val="00E951AB"/>
    <w:rsid w:val="00E953F6"/>
    <w:rsid w:val="00E96143"/>
    <w:rsid w:val="00E96833"/>
    <w:rsid w:val="00E97506"/>
    <w:rsid w:val="00E97BB5"/>
    <w:rsid w:val="00E97D5B"/>
    <w:rsid w:val="00E97F14"/>
    <w:rsid w:val="00EA0B1A"/>
    <w:rsid w:val="00EA0C68"/>
    <w:rsid w:val="00EA0E39"/>
    <w:rsid w:val="00EA1D0E"/>
    <w:rsid w:val="00EA1EBB"/>
    <w:rsid w:val="00EA2072"/>
    <w:rsid w:val="00EA2841"/>
    <w:rsid w:val="00EA32BC"/>
    <w:rsid w:val="00EA35A7"/>
    <w:rsid w:val="00EA3B32"/>
    <w:rsid w:val="00EA3CEB"/>
    <w:rsid w:val="00EA3D05"/>
    <w:rsid w:val="00EA4222"/>
    <w:rsid w:val="00EA4402"/>
    <w:rsid w:val="00EA4B8D"/>
    <w:rsid w:val="00EA513E"/>
    <w:rsid w:val="00EA7419"/>
    <w:rsid w:val="00EB0E32"/>
    <w:rsid w:val="00EB1CDC"/>
    <w:rsid w:val="00EB1D89"/>
    <w:rsid w:val="00EB3E60"/>
    <w:rsid w:val="00EB4511"/>
    <w:rsid w:val="00EB48D7"/>
    <w:rsid w:val="00EB49F1"/>
    <w:rsid w:val="00EB4A8E"/>
    <w:rsid w:val="00EB4BC5"/>
    <w:rsid w:val="00EB5BF7"/>
    <w:rsid w:val="00EB5E79"/>
    <w:rsid w:val="00EB6473"/>
    <w:rsid w:val="00EB6DA6"/>
    <w:rsid w:val="00EB6FAC"/>
    <w:rsid w:val="00EB7BAC"/>
    <w:rsid w:val="00EB7CC9"/>
    <w:rsid w:val="00EC03D7"/>
    <w:rsid w:val="00EC13A7"/>
    <w:rsid w:val="00EC189D"/>
    <w:rsid w:val="00EC2EB6"/>
    <w:rsid w:val="00EC434A"/>
    <w:rsid w:val="00EC4FFF"/>
    <w:rsid w:val="00EC5517"/>
    <w:rsid w:val="00EC6B23"/>
    <w:rsid w:val="00EC6E8C"/>
    <w:rsid w:val="00ED0962"/>
    <w:rsid w:val="00ED0EF0"/>
    <w:rsid w:val="00ED0F73"/>
    <w:rsid w:val="00ED12B9"/>
    <w:rsid w:val="00ED16B8"/>
    <w:rsid w:val="00ED1959"/>
    <w:rsid w:val="00ED1A00"/>
    <w:rsid w:val="00ED1DF0"/>
    <w:rsid w:val="00ED2386"/>
    <w:rsid w:val="00ED2525"/>
    <w:rsid w:val="00ED2EA1"/>
    <w:rsid w:val="00ED3851"/>
    <w:rsid w:val="00ED3E51"/>
    <w:rsid w:val="00ED3F10"/>
    <w:rsid w:val="00ED3F9B"/>
    <w:rsid w:val="00ED3FB3"/>
    <w:rsid w:val="00ED4D04"/>
    <w:rsid w:val="00ED566D"/>
    <w:rsid w:val="00ED5907"/>
    <w:rsid w:val="00ED5F5B"/>
    <w:rsid w:val="00ED62C6"/>
    <w:rsid w:val="00ED64C1"/>
    <w:rsid w:val="00ED781F"/>
    <w:rsid w:val="00EE0E7E"/>
    <w:rsid w:val="00EE249F"/>
    <w:rsid w:val="00EE2EB4"/>
    <w:rsid w:val="00EE3446"/>
    <w:rsid w:val="00EE3E78"/>
    <w:rsid w:val="00EE41FD"/>
    <w:rsid w:val="00EE460E"/>
    <w:rsid w:val="00EE4B1B"/>
    <w:rsid w:val="00EE5FBA"/>
    <w:rsid w:val="00EE601C"/>
    <w:rsid w:val="00EE6A09"/>
    <w:rsid w:val="00EE6E06"/>
    <w:rsid w:val="00EE7179"/>
    <w:rsid w:val="00EF0D90"/>
    <w:rsid w:val="00EF150D"/>
    <w:rsid w:val="00EF1967"/>
    <w:rsid w:val="00EF1F5A"/>
    <w:rsid w:val="00EF23B5"/>
    <w:rsid w:val="00EF326A"/>
    <w:rsid w:val="00EF3898"/>
    <w:rsid w:val="00EF47BF"/>
    <w:rsid w:val="00EF52F7"/>
    <w:rsid w:val="00EF54CF"/>
    <w:rsid w:val="00EF59B1"/>
    <w:rsid w:val="00EF5A13"/>
    <w:rsid w:val="00EF5FF9"/>
    <w:rsid w:val="00EF77D4"/>
    <w:rsid w:val="00EF7CC7"/>
    <w:rsid w:val="00F00535"/>
    <w:rsid w:val="00F00853"/>
    <w:rsid w:val="00F00866"/>
    <w:rsid w:val="00F00EC8"/>
    <w:rsid w:val="00F0160B"/>
    <w:rsid w:val="00F0193E"/>
    <w:rsid w:val="00F03E2F"/>
    <w:rsid w:val="00F03F8D"/>
    <w:rsid w:val="00F04811"/>
    <w:rsid w:val="00F0488C"/>
    <w:rsid w:val="00F04955"/>
    <w:rsid w:val="00F052D2"/>
    <w:rsid w:val="00F06002"/>
    <w:rsid w:val="00F067B8"/>
    <w:rsid w:val="00F0730A"/>
    <w:rsid w:val="00F073ED"/>
    <w:rsid w:val="00F07C4C"/>
    <w:rsid w:val="00F07E45"/>
    <w:rsid w:val="00F10F11"/>
    <w:rsid w:val="00F11159"/>
    <w:rsid w:val="00F1152E"/>
    <w:rsid w:val="00F115E4"/>
    <w:rsid w:val="00F11AC4"/>
    <w:rsid w:val="00F11FDC"/>
    <w:rsid w:val="00F120A5"/>
    <w:rsid w:val="00F12CFB"/>
    <w:rsid w:val="00F13E60"/>
    <w:rsid w:val="00F13FDB"/>
    <w:rsid w:val="00F15AAA"/>
    <w:rsid w:val="00F15BEF"/>
    <w:rsid w:val="00F1770C"/>
    <w:rsid w:val="00F17898"/>
    <w:rsid w:val="00F204BF"/>
    <w:rsid w:val="00F204DA"/>
    <w:rsid w:val="00F207C2"/>
    <w:rsid w:val="00F21337"/>
    <w:rsid w:val="00F219A1"/>
    <w:rsid w:val="00F23927"/>
    <w:rsid w:val="00F23E20"/>
    <w:rsid w:val="00F24407"/>
    <w:rsid w:val="00F249CE"/>
    <w:rsid w:val="00F24FAA"/>
    <w:rsid w:val="00F25040"/>
    <w:rsid w:val="00F269D7"/>
    <w:rsid w:val="00F26FB5"/>
    <w:rsid w:val="00F27071"/>
    <w:rsid w:val="00F27331"/>
    <w:rsid w:val="00F276D3"/>
    <w:rsid w:val="00F27EE5"/>
    <w:rsid w:val="00F27FB1"/>
    <w:rsid w:val="00F27FD6"/>
    <w:rsid w:val="00F307CB"/>
    <w:rsid w:val="00F30C0C"/>
    <w:rsid w:val="00F30C65"/>
    <w:rsid w:val="00F321D2"/>
    <w:rsid w:val="00F32649"/>
    <w:rsid w:val="00F33523"/>
    <w:rsid w:val="00F3364D"/>
    <w:rsid w:val="00F33914"/>
    <w:rsid w:val="00F349BF"/>
    <w:rsid w:val="00F34DDC"/>
    <w:rsid w:val="00F36191"/>
    <w:rsid w:val="00F3629F"/>
    <w:rsid w:val="00F36DF3"/>
    <w:rsid w:val="00F37362"/>
    <w:rsid w:val="00F37EDC"/>
    <w:rsid w:val="00F437CC"/>
    <w:rsid w:val="00F442E7"/>
    <w:rsid w:val="00F44537"/>
    <w:rsid w:val="00F46185"/>
    <w:rsid w:val="00F46423"/>
    <w:rsid w:val="00F4696A"/>
    <w:rsid w:val="00F47067"/>
    <w:rsid w:val="00F47234"/>
    <w:rsid w:val="00F51ADD"/>
    <w:rsid w:val="00F525AB"/>
    <w:rsid w:val="00F525EB"/>
    <w:rsid w:val="00F52CB5"/>
    <w:rsid w:val="00F53378"/>
    <w:rsid w:val="00F53917"/>
    <w:rsid w:val="00F53A68"/>
    <w:rsid w:val="00F54934"/>
    <w:rsid w:val="00F55A92"/>
    <w:rsid w:val="00F5615B"/>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50B"/>
    <w:rsid w:val="00F717E4"/>
    <w:rsid w:val="00F71DE6"/>
    <w:rsid w:val="00F72D71"/>
    <w:rsid w:val="00F7381C"/>
    <w:rsid w:val="00F73A0C"/>
    <w:rsid w:val="00F752DC"/>
    <w:rsid w:val="00F7549F"/>
    <w:rsid w:val="00F756DB"/>
    <w:rsid w:val="00F766BE"/>
    <w:rsid w:val="00F767A8"/>
    <w:rsid w:val="00F77590"/>
    <w:rsid w:val="00F77A50"/>
    <w:rsid w:val="00F82D14"/>
    <w:rsid w:val="00F84E7D"/>
    <w:rsid w:val="00F85066"/>
    <w:rsid w:val="00F874F8"/>
    <w:rsid w:val="00F87A4D"/>
    <w:rsid w:val="00F90EEB"/>
    <w:rsid w:val="00F9135C"/>
    <w:rsid w:val="00F91B66"/>
    <w:rsid w:val="00F9354A"/>
    <w:rsid w:val="00F93688"/>
    <w:rsid w:val="00F939F3"/>
    <w:rsid w:val="00F93C6E"/>
    <w:rsid w:val="00F93F2C"/>
    <w:rsid w:val="00F947E9"/>
    <w:rsid w:val="00F962AD"/>
    <w:rsid w:val="00F9644E"/>
    <w:rsid w:val="00FA0105"/>
    <w:rsid w:val="00FA05A0"/>
    <w:rsid w:val="00FA0AEF"/>
    <w:rsid w:val="00FA17CC"/>
    <w:rsid w:val="00FA1CA9"/>
    <w:rsid w:val="00FA1CFE"/>
    <w:rsid w:val="00FA1EE7"/>
    <w:rsid w:val="00FA1F01"/>
    <w:rsid w:val="00FA26DF"/>
    <w:rsid w:val="00FA2C07"/>
    <w:rsid w:val="00FA32BC"/>
    <w:rsid w:val="00FA3FA8"/>
    <w:rsid w:val="00FA4059"/>
    <w:rsid w:val="00FA4574"/>
    <w:rsid w:val="00FA48A4"/>
    <w:rsid w:val="00FA4CB7"/>
    <w:rsid w:val="00FA5112"/>
    <w:rsid w:val="00FA5526"/>
    <w:rsid w:val="00FA5D4D"/>
    <w:rsid w:val="00FA6CB6"/>
    <w:rsid w:val="00FA70D3"/>
    <w:rsid w:val="00FA7AEC"/>
    <w:rsid w:val="00FB0AEA"/>
    <w:rsid w:val="00FB0EE2"/>
    <w:rsid w:val="00FB1A79"/>
    <w:rsid w:val="00FB1BA4"/>
    <w:rsid w:val="00FB208B"/>
    <w:rsid w:val="00FB2B2D"/>
    <w:rsid w:val="00FB542E"/>
    <w:rsid w:val="00FB5580"/>
    <w:rsid w:val="00FB564F"/>
    <w:rsid w:val="00FB7DBB"/>
    <w:rsid w:val="00FC05F8"/>
    <w:rsid w:val="00FC077B"/>
    <w:rsid w:val="00FC0E5F"/>
    <w:rsid w:val="00FC1070"/>
    <w:rsid w:val="00FC1266"/>
    <w:rsid w:val="00FC1A95"/>
    <w:rsid w:val="00FC1ED4"/>
    <w:rsid w:val="00FC3BEC"/>
    <w:rsid w:val="00FC42C5"/>
    <w:rsid w:val="00FC440B"/>
    <w:rsid w:val="00FC56DE"/>
    <w:rsid w:val="00FC63D9"/>
    <w:rsid w:val="00FC64DE"/>
    <w:rsid w:val="00FC6785"/>
    <w:rsid w:val="00FC684B"/>
    <w:rsid w:val="00FC7D98"/>
    <w:rsid w:val="00FD1135"/>
    <w:rsid w:val="00FD3265"/>
    <w:rsid w:val="00FD3CF7"/>
    <w:rsid w:val="00FD4124"/>
    <w:rsid w:val="00FD4372"/>
    <w:rsid w:val="00FD4916"/>
    <w:rsid w:val="00FD4D12"/>
    <w:rsid w:val="00FD4F73"/>
    <w:rsid w:val="00FD595E"/>
    <w:rsid w:val="00FD6667"/>
    <w:rsid w:val="00FD7802"/>
    <w:rsid w:val="00FD7D3B"/>
    <w:rsid w:val="00FD7FBE"/>
    <w:rsid w:val="00FE27C7"/>
    <w:rsid w:val="00FE2C7E"/>
    <w:rsid w:val="00FE2F78"/>
    <w:rsid w:val="00FE3137"/>
    <w:rsid w:val="00FE346B"/>
    <w:rsid w:val="00FE346F"/>
    <w:rsid w:val="00FE431E"/>
    <w:rsid w:val="00FE460E"/>
    <w:rsid w:val="00FE48E4"/>
    <w:rsid w:val="00FE5466"/>
    <w:rsid w:val="00FE634C"/>
    <w:rsid w:val="00FE6E69"/>
    <w:rsid w:val="00FE6F59"/>
    <w:rsid w:val="00FF01B6"/>
    <w:rsid w:val="00FF0989"/>
    <w:rsid w:val="00FF0F79"/>
    <w:rsid w:val="00FF1136"/>
    <w:rsid w:val="00FF3D76"/>
    <w:rsid w:val="00FF556A"/>
    <w:rsid w:val="00FF5B8C"/>
    <w:rsid w:val="00FF63E6"/>
    <w:rsid w:val="00FF72DC"/>
    <w:rsid w:val="00FF7B96"/>
    <w:rsid w:val="019CB78C"/>
    <w:rsid w:val="0241D284"/>
    <w:rsid w:val="04BD1937"/>
    <w:rsid w:val="0523CDF2"/>
    <w:rsid w:val="06B1A837"/>
    <w:rsid w:val="07FB41B9"/>
    <w:rsid w:val="08A648BF"/>
    <w:rsid w:val="08AB0269"/>
    <w:rsid w:val="0A844D4D"/>
    <w:rsid w:val="0BCD71E1"/>
    <w:rsid w:val="0EBE9DEC"/>
    <w:rsid w:val="0FBB85B6"/>
    <w:rsid w:val="12650F4E"/>
    <w:rsid w:val="1371242A"/>
    <w:rsid w:val="1394E51D"/>
    <w:rsid w:val="14DB2A87"/>
    <w:rsid w:val="15DD577B"/>
    <w:rsid w:val="16EC38E2"/>
    <w:rsid w:val="17178072"/>
    <w:rsid w:val="173F358F"/>
    <w:rsid w:val="17513AF8"/>
    <w:rsid w:val="1812CB49"/>
    <w:rsid w:val="1B53A8C8"/>
    <w:rsid w:val="1BEE6986"/>
    <w:rsid w:val="20D21749"/>
    <w:rsid w:val="2111A021"/>
    <w:rsid w:val="21BE069A"/>
    <w:rsid w:val="224238BC"/>
    <w:rsid w:val="224482AD"/>
    <w:rsid w:val="23E0530E"/>
    <w:rsid w:val="24FC0D77"/>
    <w:rsid w:val="2A0E9F3A"/>
    <w:rsid w:val="2A2A6298"/>
    <w:rsid w:val="2F72CB2D"/>
    <w:rsid w:val="3204B56C"/>
    <w:rsid w:val="36A6CB7D"/>
    <w:rsid w:val="37D604A5"/>
    <w:rsid w:val="38C72AFC"/>
    <w:rsid w:val="3A31F626"/>
    <w:rsid w:val="3AA0BED0"/>
    <w:rsid w:val="3C7646FC"/>
    <w:rsid w:val="3E4A9713"/>
    <w:rsid w:val="3E77F3B4"/>
    <w:rsid w:val="40C3BF09"/>
    <w:rsid w:val="4475CE70"/>
    <w:rsid w:val="47207A7B"/>
    <w:rsid w:val="48038D4B"/>
    <w:rsid w:val="49A859FB"/>
    <w:rsid w:val="49E8263C"/>
    <w:rsid w:val="4A567F3C"/>
    <w:rsid w:val="50A35788"/>
    <w:rsid w:val="52944939"/>
    <w:rsid w:val="53942896"/>
    <w:rsid w:val="5536E42E"/>
    <w:rsid w:val="55914544"/>
    <w:rsid w:val="581B14F9"/>
    <w:rsid w:val="58FD3BB8"/>
    <w:rsid w:val="5B145290"/>
    <w:rsid w:val="5CF587E8"/>
    <w:rsid w:val="5DD689BF"/>
    <w:rsid w:val="5E8D8646"/>
    <w:rsid w:val="60B2C930"/>
    <w:rsid w:val="64244C5C"/>
    <w:rsid w:val="64B5C10F"/>
    <w:rsid w:val="661E5011"/>
    <w:rsid w:val="67F8BB57"/>
    <w:rsid w:val="6AEA4E8B"/>
    <w:rsid w:val="6AEC8A78"/>
    <w:rsid w:val="6D951AA9"/>
    <w:rsid w:val="7059F910"/>
    <w:rsid w:val="74248E8F"/>
    <w:rsid w:val="74EA3077"/>
    <w:rsid w:val="754BB0AE"/>
    <w:rsid w:val="75B5B795"/>
    <w:rsid w:val="76D4E0D9"/>
    <w:rsid w:val="78058569"/>
    <w:rsid w:val="785B85D1"/>
    <w:rsid w:val="78E73CD1"/>
    <w:rsid w:val="78EC659F"/>
    <w:rsid w:val="7C941E33"/>
    <w:rsid w:val="7E2BC7B5"/>
    <w:rsid w:val="7F508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ecf4dd,#eaecee,#fcec0a,#fcecdb,#f1daf5"/>
    </o:shapedefaults>
    <o:shapelayout v:ext="edit">
      <o:idmap v:ext="edit" data="1"/>
    </o:shapelayout>
  </w:shapeDefaults>
  <w:decimalSymbol w:val=","/>
  <w:listSeparator w:val=";"/>
  <w14:docId w14:val="5D395025"/>
  <w15:docId w15:val="{56910147-D8D0-4759-AD79-65565E20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link w:val="OdstavecseseznamemChar"/>
    <w:uiPriority w:val="34"/>
    <w:qFormat/>
    <w:rsid w:val="006B0F92"/>
    <w:pPr>
      <w:ind w:left="720"/>
      <w:contextualSpacing/>
    </w:pPr>
  </w:style>
  <w:style w:type="paragraph" w:customStyle="1" w:styleId="Normalodrka">
    <w:name w:val="Normal odrážka"/>
    <w:qFormat/>
    <w:rsid w:val="006B0F92"/>
    <w:pPr>
      <w:numPr>
        <w:numId w:val="2"/>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Standardnpsmoodstavce"/>
    <w:rsid w:val="006A3CAF"/>
  </w:style>
  <w:style w:type="paragraph" w:customStyle="1" w:styleId="paragraph">
    <w:name w:val="paragraph"/>
    <w:basedOn w:val="Normln"/>
    <w:rsid w:val="006A3CAF"/>
    <w:pPr>
      <w:spacing w:before="100" w:beforeAutospacing="1" w:after="100" w:afterAutospacing="1" w:line="240" w:lineRule="auto"/>
      <w:jc w:val="left"/>
    </w:pPr>
    <w:rPr>
      <w:rFonts w:ascii="Times New Roman" w:hAnsi="Times New Roman"/>
      <w:sz w:val="24"/>
    </w:rPr>
  </w:style>
  <w:style w:type="character" w:customStyle="1" w:styleId="eop">
    <w:name w:val="eop"/>
    <w:basedOn w:val="Standardnpsmoodstavce"/>
    <w:rsid w:val="00784980"/>
  </w:style>
  <w:style w:type="character" w:customStyle="1" w:styleId="scxw9398236">
    <w:name w:val="scxw9398236"/>
    <w:basedOn w:val="Standardnpsmoodstavce"/>
    <w:rsid w:val="000D7C6F"/>
  </w:style>
  <w:style w:type="character" w:customStyle="1" w:styleId="superscript">
    <w:name w:val="superscript"/>
    <w:basedOn w:val="Standardnpsmoodstavce"/>
    <w:rsid w:val="000D7C6F"/>
  </w:style>
  <w:style w:type="character" w:customStyle="1" w:styleId="OdstavecseseznamemChar">
    <w:name w:val="Odstavec se seznamem Char"/>
    <w:basedOn w:val="Standardnpsmoodstavce"/>
    <w:link w:val="Odstavecseseznamem"/>
    <w:uiPriority w:val="34"/>
    <w:rsid w:val="00A51A9B"/>
    <w:rPr>
      <w:rFonts w:ascii="Arial" w:eastAsia="Times New Roman" w:hAnsi="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72790313">
      <w:bodyDiv w:val="1"/>
      <w:marLeft w:val="0"/>
      <w:marRight w:val="0"/>
      <w:marTop w:val="0"/>
      <w:marBottom w:val="0"/>
      <w:divBdr>
        <w:top w:val="none" w:sz="0" w:space="0" w:color="auto"/>
        <w:left w:val="none" w:sz="0" w:space="0" w:color="auto"/>
        <w:bottom w:val="none" w:sz="0" w:space="0" w:color="auto"/>
        <w:right w:val="none" w:sz="0" w:space="0" w:color="auto"/>
      </w:divBdr>
    </w:div>
    <w:div w:id="475994402">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768357224">
      <w:bodyDiv w:val="1"/>
      <w:marLeft w:val="0"/>
      <w:marRight w:val="0"/>
      <w:marTop w:val="0"/>
      <w:marBottom w:val="0"/>
      <w:divBdr>
        <w:top w:val="none" w:sz="0" w:space="0" w:color="auto"/>
        <w:left w:val="none" w:sz="0" w:space="0" w:color="auto"/>
        <w:bottom w:val="none" w:sz="0" w:space="0" w:color="auto"/>
        <w:right w:val="none" w:sz="0" w:space="0" w:color="auto"/>
      </w:divBdr>
      <w:divsChild>
        <w:div w:id="1344359446">
          <w:marLeft w:val="0"/>
          <w:marRight w:val="0"/>
          <w:marTop w:val="0"/>
          <w:marBottom w:val="0"/>
          <w:divBdr>
            <w:top w:val="none" w:sz="0" w:space="0" w:color="auto"/>
            <w:left w:val="none" w:sz="0" w:space="0" w:color="auto"/>
            <w:bottom w:val="none" w:sz="0" w:space="0" w:color="auto"/>
            <w:right w:val="none" w:sz="0" w:space="0" w:color="auto"/>
          </w:divBdr>
        </w:div>
        <w:div w:id="1716659461">
          <w:marLeft w:val="0"/>
          <w:marRight w:val="0"/>
          <w:marTop w:val="0"/>
          <w:marBottom w:val="0"/>
          <w:divBdr>
            <w:top w:val="none" w:sz="0" w:space="0" w:color="auto"/>
            <w:left w:val="none" w:sz="0" w:space="0" w:color="auto"/>
            <w:bottom w:val="none" w:sz="0" w:space="0" w:color="auto"/>
            <w:right w:val="none" w:sz="0" w:space="0" w:color="auto"/>
          </w:divBdr>
          <w:divsChild>
            <w:div w:id="908930234">
              <w:marLeft w:val="-75"/>
              <w:marRight w:val="0"/>
              <w:marTop w:val="30"/>
              <w:marBottom w:val="30"/>
              <w:divBdr>
                <w:top w:val="none" w:sz="0" w:space="0" w:color="auto"/>
                <w:left w:val="none" w:sz="0" w:space="0" w:color="auto"/>
                <w:bottom w:val="none" w:sz="0" w:space="0" w:color="auto"/>
                <w:right w:val="none" w:sz="0" w:space="0" w:color="auto"/>
              </w:divBdr>
              <w:divsChild>
                <w:div w:id="189690384">
                  <w:marLeft w:val="0"/>
                  <w:marRight w:val="0"/>
                  <w:marTop w:val="0"/>
                  <w:marBottom w:val="0"/>
                  <w:divBdr>
                    <w:top w:val="none" w:sz="0" w:space="0" w:color="auto"/>
                    <w:left w:val="none" w:sz="0" w:space="0" w:color="auto"/>
                    <w:bottom w:val="none" w:sz="0" w:space="0" w:color="auto"/>
                    <w:right w:val="none" w:sz="0" w:space="0" w:color="auto"/>
                  </w:divBdr>
                  <w:divsChild>
                    <w:div w:id="345450649">
                      <w:marLeft w:val="0"/>
                      <w:marRight w:val="0"/>
                      <w:marTop w:val="0"/>
                      <w:marBottom w:val="0"/>
                      <w:divBdr>
                        <w:top w:val="none" w:sz="0" w:space="0" w:color="auto"/>
                        <w:left w:val="none" w:sz="0" w:space="0" w:color="auto"/>
                        <w:bottom w:val="none" w:sz="0" w:space="0" w:color="auto"/>
                        <w:right w:val="none" w:sz="0" w:space="0" w:color="auto"/>
                      </w:divBdr>
                    </w:div>
                  </w:divsChild>
                </w:div>
                <w:div w:id="2130083414">
                  <w:marLeft w:val="0"/>
                  <w:marRight w:val="0"/>
                  <w:marTop w:val="0"/>
                  <w:marBottom w:val="0"/>
                  <w:divBdr>
                    <w:top w:val="none" w:sz="0" w:space="0" w:color="auto"/>
                    <w:left w:val="none" w:sz="0" w:space="0" w:color="auto"/>
                    <w:bottom w:val="none" w:sz="0" w:space="0" w:color="auto"/>
                    <w:right w:val="none" w:sz="0" w:space="0" w:color="auto"/>
                  </w:divBdr>
                  <w:divsChild>
                    <w:div w:id="1847819293">
                      <w:marLeft w:val="0"/>
                      <w:marRight w:val="0"/>
                      <w:marTop w:val="0"/>
                      <w:marBottom w:val="0"/>
                      <w:divBdr>
                        <w:top w:val="none" w:sz="0" w:space="0" w:color="auto"/>
                        <w:left w:val="none" w:sz="0" w:space="0" w:color="auto"/>
                        <w:bottom w:val="none" w:sz="0" w:space="0" w:color="auto"/>
                        <w:right w:val="none" w:sz="0" w:space="0" w:color="auto"/>
                      </w:divBdr>
                    </w:div>
                  </w:divsChild>
                </w:div>
                <w:div w:id="141698433">
                  <w:marLeft w:val="0"/>
                  <w:marRight w:val="0"/>
                  <w:marTop w:val="0"/>
                  <w:marBottom w:val="0"/>
                  <w:divBdr>
                    <w:top w:val="none" w:sz="0" w:space="0" w:color="auto"/>
                    <w:left w:val="none" w:sz="0" w:space="0" w:color="auto"/>
                    <w:bottom w:val="none" w:sz="0" w:space="0" w:color="auto"/>
                    <w:right w:val="none" w:sz="0" w:space="0" w:color="auto"/>
                  </w:divBdr>
                  <w:divsChild>
                    <w:div w:id="1561865753">
                      <w:marLeft w:val="0"/>
                      <w:marRight w:val="0"/>
                      <w:marTop w:val="0"/>
                      <w:marBottom w:val="0"/>
                      <w:divBdr>
                        <w:top w:val="none" w:sz="0" w:space="0" w:color="auto"/>
                        <w:left w:val="none" w:sz="0" w:space="0" w:color="auto"/>
                        <w:bottom w:val="none" w:sz="0" w:space="0" w:color="auto"/>
                        <w:right w:val="none" w:sz="0" w:space="0" w:color="auto"/>
                      </w:divBdr>
                    </w:div>
                  </w:divsChild>
                </w:div>
                <w:div w:id="1168449760">
                  <w:marLeft w:val="0"/>
                  <w:marRight w:val="0"/>
                  <w:marTop w:val="0"/>
                  <w:marBottom w:val="0"/>
                  <w:divBdr>
                    <w:top w:val="none" w:sz="0" w:space="0" w:color="auto"/>
                    <w:left w:val="none" w:sz="0" w:space="0" w:color="auto"/>
                    <w:bottom w:val="none" w:sz="0" w:space="0" w:color="auto"/>
                    <w:right w:val="none" w:sz="0" w:space="0" w:color="auto"/>
                  </w:divBdr>
                  <w:divsChild>
                    <w:div w:id="1407143116">
                      <w:marLeft w:val="0"/>
                      <w:marRight w:val="0"/>
                      <w:marTop w:val="0"/>
                      <w:marBottom w:val="0"/>
                      <w:divBdr>
                        <w:top w:val="none" w:sz="0" w:space="0" w:color="auto"/>
                        <w:left w:val="none" w:sz="0" w:space="0" w:color="auto"/>
                        <w:bottom w:val="none" w:sz="0" w:space="0" w:color="auto"/>
                        <w:right w:val="none" w:sz="0" w:space="0" w:color="auto"/>
                      </w:divBdr>
                    </w:div>
                  </w:divsChild>
                </w:div>
                <w:div w:id="2124761785">
                  <w:marLeft w:val="0"/>
                  <w:marRight w:val="0"/>
                  <w:marTop w:val="0"/>
                  <w:marBottom w:val="0"/>
                  <w:divBdr>
                    <w:top w:val="none" w:sz="0" w:space="0" w:color="auto"/>
                    <w:left w:val="none" w:sz="0" w:space="0" w:color="auto"/>
                    <w:bottom w:val="none" w:sz="0" w:space="0" w:color="auto"/>
                    <w:right w:val="none" w:sz="0" w:space="0" w:color="auto"/>
                  </w:divBdr>
                  <w:divsChild>
                    <w:div w:id="1111317610">
                      <w:marLeft w:val="0"/>
                      <w:marRight w:val="0"/>
                      <w:marTop w:val="0"/>
                      <w:marBottom w:val="0"/>
                      <w:divBdr>
                        <w:top w:val="none" w:sz="0" w:space="0" w:color="auto"/>
                        <w:left w:val="none" w:sz="0" w:space="0" w:color="auto"/>
                        <w:bottom w:val="none" w:sz="0" w:space="0" w:color="auto"/>
                        <w:right w:val="none" w:sz="0" w:space="0" w:color="auto"/>
                      </w:divBdr>
                    </w:div>
                  </w:divsChild>
                </w:div>
                <w:div w:id="1016151455">
                  <w:marLeft w:val="0"/>
                  <w:marRight w:val="0"/>
                  <w:marTop w:val="0"/>
                  <w:marBottom w:val="0"/>
                  <w:divBdr>
                    <w:top w:val="none" w:sz="0" w:space="0" w:color="auto"/>
                    <w:left w:val="none" w:sz="0" w:space="0" w:color="auto"/>
                    <w:bottom w:val="none" w:sz="0" w:space="0" w:color="auto"/>
                    <w:right w:val="none" w:sz="0" w:space="0" w:color="auto"/>
                  </w:divBdr>
                  <w:divsChild>
                    <w:div w:id="1179079040">
                      <w:marLeft w:val="0"/>
                      <w:marRight w:val="0"/>
                      <w:marTop w:val="0"/>
                      <w:marBottom w:val="0"/>
                      <w:divBdr>
                        <w:top w:val="none" w:sz="0" w:space="0" w:color="auto"/>
                        <w:left w:val="none" w:sz="0" w:space="0" w:color="auto"/>
                        <w:bottom w:val="none" w:sz="0" w:space="0" w:color="auto"/>
                        <w:right w:val="none" w:sz="0" w:space="0" w:color="auto"/>
                      </w:divBdr>
                    </w:div>
                  </w:divsChild>
                </w:div>
                <w:div w:id="953753815">
                  <w:marLeft w:val="0"/>
                  <w:marRight w:val="0"/>
                  <w:marTop w:val="0"/>
                  <w:marBottom w:val="0"/>
                  <w:divBdr>
                    <w:top w:val="none" w:sz="0" w:space="0" w:color="auto"/>
                    <w:left w:val="none" w:sz="0" w:space="0" w:color="auto"/>
                    <w:bottom w:val="none" w:sz="0" w:space="0" w:color="auto"/>
                    <w:right w:val="none" w:sz="0" w:space="0" w:color="auto"/>
                  </w:divBdr>
                  <w:divsChild>
                    <w:div w:id="126052794">
                      <w:marLeft w:val="0"/>
                      <w:marRight w:val="0"/>
                      <w:marTop w:val="0"/>
                      <w:marBottom w:val="0"/>
                      <w:divBdr>
                        <w:top w:val="none" w:sz="0" w:space="0" w:color="auto"/>
                        <w:left w:val="none" w:sz="0" w:space="0" w:color="auto"/>
                        <w:bottom w:val="none" w:sz="0" w:space="0" w:color="auto"/>
                        <w:right w:val="none" w:sz="0" w:space="0" w:color="auto"/>
                      </w:divBdr>
                    </w:div>
                  </w:divsChild>
                </w:div>
                <w:div w:id="864711492">
                  <w:marLeft w:val="0"/>
                  <w:marRight w:val="0"/>
                  <w:marTop w:val="0"/>
                  <w:marBottom w:val="0"/>
                  <w:divBdr>
                    <w:top w:val="none" w:sz="0" w:space="0" w:color="auto"/>
                    <w:left w:val="none" w:sz="0" w:space="0" w:color="auto"/>
                    <w:bottom w:val="none" w:sz="0" w:space="0" w:color="auto"/>
                    <w:right w:val="none" w:sz="0" w:space="0" w:color="auto"/>
                  </w:divBdr>
                  <w:divsChild>
                    <w:div w:id="1959221365">
                      <w:marLeft w:val="0"/>
                      <w:marRight w:val="0"/>
                      <w:marTop w:val="0"/>
                      <w:marBottom w:val="0"/>
                      <w:divBdr>
                        <w:top w:val="none" w:sz="0" w:space="0" w:color="auto"/>
                        <w:left w:val="none" w:sz="0" w:space="0" w:color="auto"/>
                        <w:bottom w:val="none" w:sz="0" w:space="0" w:color="auto"/>
                        <w:right w:val="none" w:sz="0" w:space="0" w:color="auto"/>
                      </w:divBdr>
                    </w:div>
                  </w:divsChild>
                </w:div>
                <w:div w:id="708652465">
                  <w:marLeft w:val="0"/>
                  <w:marRight w:val="0"/>
                  <w:marTop w:val="0"/>
                  <w:marBottom w:val="0"/>
                  <w:divBdr>
                    <w:top w:val="none" w:sz="0" w:space="0" w:color="auto"/>
                    <w:left w:val="none" w:sz="0" w:space="0" w:color="auto"/>
                    <w:bottom w:val="none" w:sz="0" w:space="0" w:color="auto"/>
                    <w:right w:val="none" w:sz="0" w:space="0" w:color="auto"/>
                  </w:divBdr>
                  <w:divsChild>
                    <w:div w:id="587033635">
                      <w:marLeft w:val="0"/>
                      <w:marRight w:val="0"/>
                      <w:marTop w:val="0"/>
                      <w:marBottom w:val="0"/>
                      <w:divBdr>
                        <w:top w:val="none" w:sz="0" w:space="0" w:color="auto"/>
                        <w:left w:val="none" w:sz="0" w:space="0" w:color="auto"/>
                        <w:bottom w:val="none" w:sz="0" w:space="0" w:color="auto"/>
                        <w:right w:val="none" w:sz="0" w:space="0" w:color="auto"/>
                      </w:divBdr>
                    </w:div>
                  </w:divsChild>
                </w:div>
                <w:div w:id="970284968">
                  <w:marLeft w:val="0"/>
                  <w:marRight w:val="0"/>
                  <w:marTop w:val="0"/>
                  <w:marBottom w:val="0"/>
                  <w:divBdr>
                    <w:top w:val="none" w:sz="0" w:space="0" w:color="auto"/>
                    <w:left w:val="none" w:sz="0" w:space="0" w:color="auto"/>
                    <w:bottom w:val="none" w:sz="0" w:space="0" w:color="auto"/>
                    <w:right w:val="none" w:sz="0" w:space="0" w:color="auto"/>
                  </w:divBdr>
                  <w:divsChild>
                    <w:div w:id="1759984152">
                      <w:marLeft w:val="0"/>
                      <w:marRight w:val="0"/>
                      <w:marTop w:val="0"/>
                      <w:marBottom w:val="0"/>
                      <w:divBdr>
                        <w:top w:val="none" w:sz="0" w:space="0" w:color="auto"/>
                        <w:left w:val="none" w:sz="0" w:space="0" w:color="auto"/>
                        <w:bottom w:val="none" w:sz="0" w:space="0" w:color="auto"/>
                        <w:right w:val="none" w:sz="0" w:space="0" w:color="auto"/>
                      </w:divBdr>
                    </w:div>
                  </w:divsChild>
                </w:div>
                <w:div w:id="1041595004">
                  <w:marLeft w:val="0"/>
                  <w:marRight w:val="0"/>
                  <w:marTop w:val="0"/>
                  <w:marBottom w:val="0"/>
                  <w:divBdr>
                    <w:top w:val="none" w:sz="0" w:space="0" w:color="auto"/>
                    <w:left w:val="none" w:sz="0" w:space="0" w:color="auto"/>
                    <w:bottom w:val="none" w:sz="0" w:space="0" w:color="auto"/>
                    <w:right w:val="none" w:sz="0" w:space="0" w:color="auto"/>
                  </w:divBdr>
                  <w:divsChild>
                    <w:div w:id="1259410822">
                      <w:marLeft w:val="0"/>
                      <w:marRight w:val="0"/>
                      <w:marTop w:val="0"/>
                      <w:marBottom w:val="0"/>
                      <w:divBdr>
                        <w:top w:val="none" w:sz="0" w:space="0" w:color="auto"/>
                        <w:left w:val="none" w:sz="0" w:space="0" w:color="auto"/>
                        <w:bottom w:val="none" w:sz="0" w:space="0" w:color="auto"/>
                        <w:right w:val="none" w:sz="0" w:space="0" w:color="auto"/>
                      </w:divBdr>
                    </w:div>
                  </w:divsChild>
                </w:div>
                <w:div w:id="1384409651">
                  <w:marLeft w:val="0"/>
                  <w:marRight w:val="0"/>
                  <w:marTop w:val="0"/>
                  <w:marBottom w:val="0"/>
                  <w:divBdr>
                    <w:top w:val="none" w:sz="0" w:space="0" w:color="auto"/>
                    <w:left w:val="none" w:sz="0" w:space="0" w:color="auto"/>
                    <w:bottom w:val="none" w:sz="0" w:space="0" w:color="auto"/>
                    <w:right w:val="none" w:sz="0" w:space="0" w:color="auto"/>
                  </w:divBdr>
                  <w:divsChild>
                    <w:div w:id="73013662">
                      <w:marLeft w:val="0"/>
                      <w:marRight w:val="0"/>
                      <w:marTop w:val="0"/>
                      <w:marBottom w:val="0"/>
                      <w:divBdr>
                        <w:top w:val="none" w:sz="0" w:space="0" w:color="auto"/>
                        <w:left w:val="none" w:sz="0" w:space="0" w:color="auto"/>
                        <w:bottom w:val="none" w:sz="0" w:space="0" w:color="auto"/>
                        <w:right w:val="none" w:sz="0" w:space="0" w:color="auto"/>
                      </w:divBdr>
                    </w:div>
                  </w:divsChild>
                </w:div>
                <w:div w:id="1396856273">
                  <w:marLeft w:val="0"/>
                  <w:marRight w:val="0"/>
                  <w:marTop w:val="0"/>
                  <w:marBottom w:val="0"/>
                  <w:divBdr>
                    <w:top w:val="none" w:sz="0" w:space="0" w:color="auto"/>
                    <w:left w:val="none" w:sz="0" w:space="0" w:color="auto"/>
                    <w:bottom w:val="none" w:sz="0" w:space="0" w:color="auto"/>
                    <w:right w:val="none" w:sz="0" w:space="0" w:color="auto"/>
                  </w:divBdr>
                  <w:divsChild>
                    <w:div w:id="1129475919">
                      <w:marLeft w:val="0"/>
                      <w:marRight w:val="0"/>
                      <w:marTop w:val="0"/>
                      <w:marBottom w:val="0"/>
                      <w:divBdr>
                        <w:top w:val="none" w:sz="0" w:space="0" w:color="auto"/>
                        <w:left w:val="none" w:sz="0" w:space="0" w:color="auto"/>
                        <w:bottom w:val="none" w:sz="0" w:space="0" w:color="auto"/>
                        <w:right w:val="none" w:sz="0" w:space="0" w:color="auto"/>
                      </w:divBdr>
                    </w:div>
                  </w:divsChild>
                </w:div>
                <w:div w:id="241991679">
                  <w:marLeft w:val="0"/>
                  <w:marRight w:val="0"/>
                  <w:marTop w:val="0"/>
                  <w:marBottom w:val="0"/>
                  <w:divBdr>
                    <w:top w:val="none" w:sz="0" w:space="0" w:color="auto"/>
                    <w:left w:val="none" w:sz="0" w:space="0" w:color="auto"/>
                    <w:bottom w:val="none" w:sz="0" w:space="0" w:color="auto"/>
                    <w:right w:val="none" w:sz="0" w:space="0" w:color="auto"/>
                  </w:divBdr>
                  <w:divsChild>
                    <w:div w:id="1142037930">
                      <w:marLeft w:val="0"/>
                      <w:marRight w:val="0"/>
                      <w:marTop w:val="0"/>
                      <w:marBottom w:val="0"/>
                      <w:divBdr>
                        <w:top w:val="none" w:sz="0" w:space="0" w:color="auto"/>
                        <w:left w:val="none" w:sz="0" w:space="0" w:color="auto"/>
                        <w:bottom w:val="none" w:sz="0" w:space="0" w:color="auto"/>
                        <w:right w:val="none" w:sz="0" w:space="0" w:color="auto"/>
                      </w:divBdr>
                    </w:div>
                  </w:divsChild>
                </w:div>
                <w:div w:id="87964264">
                  <w:marLeft w:val="0"/>
                  <w:marRight w:val="0"/>
                  <w:marTop w:val="0"/>
                  <w:marBottom w:val="0"/>
                  <w:divBdr>
                    <w:top w:val="none" w:sz="0" w:space="0" w:color="auto"/>
                    <w:left w:val="none" w:sz="0" w:space="0" w:color="auto"/>
                    <w:bottom w:val="none" w:sz="0" w:space="0" w:color="auto"/>
                    <w:right w:val="none" w:sz="0" w:space="0" w:color="auto"/>
                  </w:divBdr>
                  <w:divsChild>
                    <w:div w:id="297150500">
                      <w:marLeft w:val="0"/>
                      <w:marRight w:val="0"/>
                      <w:marTop w:val="0"/>
                      <w:marBottom w:val="0"/>
                      <w:divBdr>
                        <w:top w:val="none" w:sz="0" w:space="0" w:color="auto"/>
                        <w:left w:val="none" w:sz="0" w:space="0" w:color="auto"/>
                        <w:bottom w:val="none" w:sz="0" w:space="0" w:color="auto"/>
                        <w:right w:val="none" w:sz="0" w:space="0" w:color="auto"/>
                      </w:divBdr>
                    </w:div>
                  </w:divsChild>
                </w:div>
                <w:div w:id="368145167">
                  <w:marLeft w:val="0"/>
                  <w:marRight w:val="0"/>
                  <w:marTop w:val="0"/>
                  <w:marBottom w:val="0"/>
                  <w:divBdr>
                    <w:top w:val="none" w:sz="0" w:space="0" w:color="auto"/>
                    <w:left w:val="none" w:sz="0" w:space="0" w:color="auto"/>
                    <w:bottom w:val="none" w:sz="0" w:space="0" w:color="auto"/>
                    <w:right w:val="none" w:sz="0" w:space="0" w:color="auto"/>
                  </w:divBdr>
                  <w:divsChild>
                    <w:div w:id="1170104264">
                      <w:marLeft w:val="0"/>
                      <w:marRight w:val="0"/>
                      <w:marTop w:val="0"/>
                      <w:marBottom w:val="0"/>
                      <w:divBdr>
                        <w:top w:val="none" w:sz="0" w:space="0" w:color="auto"/>
                        <w:left w:val="none" w:sz="0" w:space="0" w:color="auto"/>
                        <w:bottom w:val="none" w:sz="0" w:space="0" w:color="auto"/>
                        <w:right w:val="none" w:sz="0" w:space="0" w:color="auto"/>
                      </w:divBdr>
                    </w:div>
                  </w:divsChild>
                </w:div>
                <w:div w:id="542448709">
                  <w:marLeft w:val="0"/>
                  <w:marRight w:val="0"/>
                  <w:marTop w:val="0"/>
                  <w:marBottom w:val="0"/>
                  <w:divBdr>
                    <w:top w:val="none" w:sz="0" w:space="0" w:color="auto"/>
                    <w:left w:val="none" w:sz="0" w:space="0" w:color="auto"/>
                    <w:bottom w:val="none" w:sz="0" w:space="0" w:color="auto"/>
                    <w:right w:val="none" w:sz="0" w:space="0" w:color="auto"/>
                  </w:divBdr>
                  <w:divsChild>
                    <w:div w:id="811479007">
                      <w:marLeft w:val="0"/>
                      <w:marRight w:val="0"/>
                      <w:marTop w:val="0"/>
                      <w:marBottom w:val="0"/>
                      <w:divBdr>
                        <w:top w:val="none" w:sz="0" w:space="0" w:color="auto"/>
                        <w:left w:val="none" w:sz="0" w:space="0" w:color="auto"/>
                        <w:bottom w:val="none" w:sz="0" w:space="0" w:color="auto"/>
                        <w:right w:val="none" w:sz="0" w:space="0" w:color="auto"/>
                      </w:divBdr>
                    </w:div>
                  </w:divsChild>
                </w:div>
                <w:div w:id="218828323">
                  <w:marLeft w:val="0"/>
                  <w:marRight w:val="0"/>
                  <w:marTop w:val="0"/>
                  <w:marBottom w:val="0"/>
                  <w:divBdr>
                    <w:top w:val="none" w:sz="0" w:space="0" w:color="auto"/>
                    <w:left w:val="none" w:sz="0" w:space="0" w:color="auto"/>
                    <w:bottom w:val="none" w:sz="0" w:space="0" w:color="auto"/>
                    <w:right w:val="none" w:sz="0" w:space="0" w:color="auto"/>
                  </w:divBdr>
                  <w:divsChild>
                    <w:div w:id="521748238">
                      <w:marLeft w:val="0"/>
                      <w:marRight w:val="0"/>
                      <w:marTop w:val="0"/>
                      <w:marBottom w:val="0"/>
                      <w:divBdr>
                        <w:top w:val="none" w:sz="0" w:space="0" w:color="auto"/>
                        <w:left w:val="none" w:sz="0" w:space="0" w:color="auto"/>
                        <w:bottom w:val="none" w:sz="0" w:space="0" w:color="auto"/>
                        <w:right w:val="none" w:sz="0" w:space="0" w:color="auto"/>
                      </w:divBdr>
                    </w:div>
                  </w:divsChild>
                </w:div>
                <w:div w:id="929586458">
                  <w:marLeft w:val="0"/>
                  <w:marRight w:val="0"/>
                  <w:marTop w:val="0"/>
                  <w:marBottom w:val="0"/>
                  <w:divBdr>
                    <w:top w:val="none" w:sz="0" w:space="0" w:color="auto"/>
                    <w:left w:val="none" w:sz="0" w:space="0" w:color="auto"/>
                    <w:bottom w:val="none" w:sz="0" w:space="0" w:color="auto"/>
                    <w:right w:val="none" w:sz="0" w:space="0" w:color="auto"/>
                  </w:divBdr>
                  <w:divsChild>
                    <w:div w:id="1428455051">
                      <w:marLeft w:val="0"/>
                      <w:marRight w:val="0"/>
                      <w:marTop w:val="0"/>
                      <w:marBottom w:val="0"/>
                      <w:divBdr>
                        <w:top w:val="none" w:sz="0" w:space="0" w:color="auto"/>
                        <w:left w:val="none" w:sz="0" w:space="0" w:color="auto"/>
                        <w:bottom w:val="none" w:sz="0" w:space="0" w:color="auto"/>
                        <w:right w:val="none" w:sz="0" w:space="0" w:color="auto"/>
                      </w:divBdr>
                    </w:div>
                  </w:divsChild>
                </w:div>
                <w:div w:id="118381659">
                  <w:marLeft w:val="0"/>
                  <w:marRight w:val="0"/>
                  <w:marTop w:val="0"/>
                  <w:marBottom w:val="0"/>
                  <w:divBdr>
                    <w:top w:val="none" w:sz="0" w:space="0" w:color="auto"/>
                    <w:left w:val="none" w:sz="0" w:space="0" w:color="auto"/>
                    <w:bottom w:val="none" w:sz="0" w:space="0" w:color="auto"/>
                    <w:right w:val="none" w:sz="0" w:space="0" w:color="auto"/>
                  </w:divBdr>
                  <w:divsChild>
                    <w:div w:id="1199583312">
                      <w:marLeft w:val="0"/>
                      <w:marRight w:val="0"/>
                      <w:marTop w:val="0"/>
                      <w:marBottom w:val="0"/>
                      <w:divBdr>
                        <w:top w:val="none" w:sz="0" w:space="0" w:color="auto"/>
                        <w:left w:val="none" w:sz="0" w:space="0" w:color="auto"/>
                        <w:bottom w:val="none" w:sz="0" w:space="0" w:color="auto"/>
                        <w:right w:val="none" w:sz="0" w:space="0" w:color="auto"/>
                      </w:divBdr>
                    </w:div>
                  </w:divsChild>
                </w:div>
                <w:div w:id="427849766">
                  <w:marLeft w:val="0"/>
                  <w:marRight w:val="0"/>
                  <w:marTop w:val="0"/>
                  <w:marBottom w:val="0"/>
                  <w:divBdr>
                    <w:top w:val="none" w:sz="0" w:space="0" w:color="auto"/>
                    <w:left w:val="none" w:sz="0" w:space="0" w:color="auto"/>
                    <w:bottom w:val="none" w:sz="0" w:space="0" w:color="auto"/>
                    <w:right w:val="none" w:sz="0" w:space="0" w:color="auto"/>
                  </w:divBdr>
                  <w:divsChild>
                    <w:div w:id="975451761">
                      <w:marLeft w:val="0"/>
                      <w:marRight w:val="0"/>
                      <w:marTop w:val="0"/>
                      <w:marBottom w:val="0"/>
                      <w:divBdr>
                        <w:top w:val="none" w:sz="0" w:space="0" w:color="auto"/>
                        <w:left w:val="none" w:sz="0" w:space="0" w:color="auto"/>
                        <w:bottom w:val="none" w:sz="0" w:space="0" w:color="auto"/>
                        <w:right w:val="none" w:sz="0" w:space="0" w:color="auto"/>
                      </w:divBdr>
                    </w:div>
                  </w:divsChild>
                </w:div>
                <w:div w:id="1316687618">
                  <w:marLeft w:val="0"/>
                  <w:marRight w:val="0"/>
                  <w:marTop w:val="0"/>
                  <w:marBottom w:val="0"/>
                  <w:divBdr>
                    <w:top w:val="none" w:sz="0" w:space="0" w:color="auto"/>
                    <w:left w:val="none" w:sz="0" w:space="0" w:color="auto"/>
                    <w:bottom w:val="none" w:sz="0" w:space="0" w:color="auto"/>
                    <w:right w:val="none" w:sz="0" w:space="0" w:color="auto"/>
                  </w:divBdr>
                  <w:divsChild>
                    <w:div w:id="1760709789">
                      <w:marLeft w:val="0"/>
                      <w:marRight w:val="0"/>
                      <w:marTop w:val="0"/>
                      <w:marBottom w:val="0"/>
                      <w:divBdr>
                        <w:top w:val="none" w:sz="0" w:space="0" w:color="auto"/>
                        <w:left w:val="none" w:sz="0" w:space="0" w:color="auto"/>
                        <w:bottom w:val="none" w:sz="0" w:space="0" w:color="auto"/>
                        <w:right w:val="none" w:sz="0" w:space="0" w:color="auto"/>
                      </w:divBdr>
                    </w:div>
                  </w:divsChild>
                </w:div>
                <w:div w:id="91436658">
                  <w:marLeft w:val="0"/>
                  <w:marRight w:val="0"/>
                  <w:marTop w:val="0"/>
                  <w:marBottom w:val="0"/>
                  <w:divBdr>
                    <w:top w:val="none" w:sz="0" w:space="0" w:color="auto"/>
                    <w:left w:val="none" w:sz="0" w:space="0" w:color="auto"/>
                    <w:bottom w:val="none" w:sz="0" w:space="0" w:color="auto"/>
                    <w:right w:val="none" w:sz="0" w:space="0" w:color="auto"/>
                  </w:divBdr>
                  <w:divsChild>
                    <w:div w:id="1271090708">
                      <w:marLeft w:val="0"/>
                      <w:marRight w:val="0"/>
                      <w:marTop w:val="0"/>
                      <w:marBottom w:val="0"/>
                      <w:divBdr>
                        <w:top w:val="none" w:sz="0" w:space="0" w:color="auto"/>
                        <w:left w:val="none" w:sz="0" w:space="0" w:color="auto"/>
                        <w:bottom w:val="none" w:sz="0" w:space="0" w:color="auto"/>
                        <w:right w:val="none" w:sz="0" w:space="0" w:color="auto"/>
                      </w:divBdr>
                    </w:div>
                  </w:divsChild>
                </w:div>
                <w:div w:id="251159376">
                  <w:marLeft w:val="0"/>
                  <w:marRight w:val="0"/>
                  <w:marTop w:val="0"/>
                  <w:marBottom w:val="0"/>
                  <w:divBdr>
                    <w:top w:val="none" w:sz="0" w:space="0" w:color="auto"/>
                    <w:left w:val="none" w:sz="0" w:space="0" w:color="auto"/>
                    <w:bottom w:val="none" w:sz="0" w:space="0" w:color="auto"/>
                    <w:right w:val="none" w:sz="0" w:space="0" w:color="auto"/>
                  </w:divBdr>
                  <w:divsChild>
                    <w:div w:id="1281374192">
                      <w:marLeft w:val="0"/>
                      <w:marRight w:val="0"/>
                      <w:marTop w:val="0"/>
                      <w:marBottom w:val="0"/>
                      <w:divBdr>
                        <w:top w:val="none" w:sz="0" w:space="0" w:color="auto"/>
                        <w:left w:val="none" w:sz="0" w:space="0" w:color="auto"/>
                        <w:bottom w:val="none" w:sz="0" w:space="0" w:color="auto"/>
                        <w:right w:val="none" w:sz="0" w:space="0" w:color="auto"/>
                      </w:divBdr>
                    </w:div>
                  </w:divsChild>
                </w:div>
                <w:div w:id="1298798031">
                  <w:marLeft w:val="0"/>
                  <w:marRight w:val="0"/>
                  <w:marTop w:val="0"/>
                  <w:marBottom w:val="0"/>
                  <w:divBdr>
                    <w:top w:val="none" w:sz="0" w:space="0" w:color="auto"/>
                    <w:left w:val="none" w:sz="0" w:space="0" w:color="auto"/>
                    <w:bottom w:val="none" w:sz="0" w:space="0" w:color="auto"/>
                    <w:right w:val="none" w:sz="0" w:space="0" w:color="auto"/>
                  </w:divBdr>
                  <w:divsChild>
                    <w:div w:id="739056931">
                      <w:marLeft w:val="0"/>
                      <w:marRight w:val="0"/>
                      <w:marTop w:val="0"/>
                      <w:marBottom w:val="0"/>
                      <w:divBdr>
                        <w:top w:val="none" w:sz="0" w:space="0" w:color="auto"/>
                        <w:left w:val="none" w:sz="0" w:space="0" w:color="auto"/>
                        <w:bottom w:val="none" w:sz="0" w:space="0" w:color="auto"/>
                        <w:right w:val="none" w:sz="0" w:space="0" w:color="auto"/>
                      </w:divBdr>
                    </w:div>
                  </w:divsChild>
                </w:div>
                <w:div w:id="1063525951">
                  <w:marLeft w:val="0"/>
                  <w:marRight w:val="0"/>
                  <w:marTop w:val="0"/>
                  <w:marBottom w:val="0"/>
                  <w:divBdr>
                    <w:top w:val="none" w:sz="0" w:space="0" w:color="auto"/>
                    <w:left w:val="none" w:sz="0" w:space="0" w:color="auto"/>
                    <w:bottom w:val="none" w:sz="0" w:space="0" w:color="auto"/>
                    <w:right w:val="none" w:sz="0" w:space="0" w:color="auto"/>
                  </w:divBdr>
                  <w:divsChild>
                    <w:div w:id="11733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08559">
          <w:marLeft w:val="0"/>
          <w:marRight w:val="0"/>
          <w:marTop w:val="0"/>
          <w:marBottom w:val="0"/>
          <w:divBdr>
            <w:top w:val="none" w:sz="0" w:space="0" w:color="auto"/>
            <w:left w:val="none" w:sz="0" w:space="0" w:color="auto"/>
            <w:bottom w:val="none" w:sz="0" w:space="0" w:color="auto"/>
            <w:right w:val="none" w:sz="0" w:space="0" w:color="auto"/>
          </w:divBdr>
        </w:div>
        <w:div w:id="1058825861">
          <w:marLeft w:val="0"/>
          <w:marRight w:val="0"/>
          <w:marTop w:val="0"/>
          <w:marBottom w:val="0"/>
          <w:divBdr>
            <w:top w:val="none" w:sz="0" w:space="0" w:color="auto"/>
            <w:left w:val="none" w:sz="0" w:space="0" w:color="auto"/>
            <w:bottom w:val="none" w:sz="0" w:space="0" w:color="auto"/>
            <w:right w:val="none" w:sz="0" w:space="0" w:color="auto"/>
          </w:divBdr>
        </w:div>
        <w:div w:id="485049849">
          <w:marLeft w:val="0"/>
          <w:marRight w:val="0"/>
          <w:marTop w:val="0"/>
          <w:marBottom w:val="0"/>
          <w:divBdr>
            <w:top w:val="none" w:sz="0" w:space="0" w:color="auto"/>
            <w:left w:val="none" w:sz="0" w:space="0" w:color="auto"/>
            <w:bottom w:val="none" w:sz="0" w:space="0" w:color="auto"/>
            <w:right w:val="none" w:sz="0" w:space="0" w:color="auto"/>
          </w:divBdr>
        </w:div>
        <w:div w:id="1856000505">
          <w:marLeft w:val="0"/>
          <w:marRight w:val="0"/>
          <w:marTop w:val="0"/>
          <w:marBottom w:val="0"/>
          <w:divBdr>
            <w:top w:val="none" w:sz="0" w:space="0" w:color="auto"/>
            <w:left w:val="none" w:sz="0" w:space="0" w:color="auto"/>
            <w:bottom w:val="none" w:sz="0" w:space="0" w:color="auto"/>
            <w:right w:val="none" w:sz="0" w:space="0" w:color="auto"/>
          </w:divBdr>
        </w:div>
        <w:div w:id="1800152014">
          <w:marLeft w:val="0"/>
          <w:marRight w:val="0"/>
          <w:marTop w:val="0"/>
          <w:marBottom w:val="0"/>
          <w:divBdr>
            <w:top w:val="none" w:sz="0" w:space="0" w:color="auto"/>
            <w:left w:val="none" w:sz="0" w:space="0" w:color="auto"/>
            <w:bottom w:val="none" w:sz="0" w:space="0" w:color="auto"/>
            <w:right w:val="none" w:sz="0" w:space="0" w:color="auto"/>
          </w:divBdr>
        </w:div>
      </w:divsChild>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32671944">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65171563">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26651344">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614737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metodicka-poznamka-k-indexu-spotrebitelskych-cen-imputovane-najem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1/Makroanal&#253;za%20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1/Makroanal&#253;za%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1/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3780592177219003E-2"/>
          <c:y val="2.1811315924220361E-2"/>
          <c:w val="0.9371655705812737"/>
          <c:h val="0.75761119672373434"/>
        </c:manualLayout>
      </c:layout>
      <c:barChart>
        <c:barDir val="col"/>
        <c:grouping val="clustered"/>
        <c:varyColors val="0"/>
        <c:ser>
          <c:idx val="0"/>
          <c:order val="0"/>
          <c:tx>
            <c:strRef>
              <c:f>'Ceny 2'!$C$5</c:f>
              <c:strCache>
                <c:ptCount val="1"/>
                <c:pt idx="0">
                  <c:v>Celkem</c:v>
                </c:pt>
              </c:strCache>
            </c:strRef>
          </c:tx>
          <c:spPr>
            <a:solidFill>
              <a:schemeClr val="bg1">
                <a:lumMod val="65000"/>
              </a:schemeClr>
            </a:solidFill>
            <a:ln w="19050">
              <a:noFill/>
            </a:ln>
          </c:spPr>
          <c:invertIfNegative val="0"/>
          <c:cat>
            <c:multiLvlStrRef>
              <c:f>'Ceny 2'!$A$10:$B$30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2'!$C$10:$C$30</c:f>
              <c:numCache>
                <c:formatCode>0.0</c:formatCode>
                <c:ptCount val="21"/>
                <c:pt idx="0">
                  <c:v>2.7</c:v>
                </c:pt>
                <c:pt idx="1">
                  <c:v>2.8</c:v>
                </c:pt>
                <c:pt idx="2">
                  <c:v>2.8</c:v>
                </c:pt>
                <c:pt idx="3">
                  <c:v>3</c:v>
                </c:pt>
                <c:pt idx="4">
                  <c:v>3.6</c:v>
                </c:pt>
                <c:pt idx="5">
                  <c:v>3.1</c:v>
                </c:pt>
                <c:pt idx="6">
                  <c:v>3.3</c:v>
                </c:pt>
                <c:pt idx="7">
                  <c:v>2.6</c:v>
                </c:pt>
                <c:pt idx="8">
                  <c:v>2.2000000000000002</c:v>
                </c:pt>
                <c:pt idx="9">
                  <c:v>2.9</c:v>
                </c:pt>
                <c:pt idx="10">
                  <c:v>4.0999999999999996</c:v>
                </c:pt>
                <c:pt idx="11">
                  <c:v>6.1</c:v>
                </c:pt>
                <c:pt idx="12">
                  <c:v>11.2</c:v>
                </c:pt>
                <c:pt idx="13">
                  <c:v>15.8</c:v>
                </c:pt>
                <c:pt idx="14">
                  <c:v>17.600000000000001</c:v>
                </c:pt>
                <c:pt idx="15">
                  <c:v>15.7</c:v>
                </c:pt>
                <c:pt idx="16">
                  <c:v>16.399999999999999</c:v>
                </c:pt>
                <c:pt idx="17">
                  <c:v>11.1</c:v>
                </c:pt>
                <c:pt idx="18">
                  <c:v>8</c:v>
                </c:pt>
                <c:pt idx="19">
                  <c:v>7.6</c:v>
                </c:pt>
                <c:pt idx="20">
                  <c:v>2.1</c:v>
                </c:pt>
              </c:numCache>
            </c:numRef>
          </c:val>
          <c:extLst>
            <c:ext xmlns:c16="http://schemas.microsoft.com/office/drawing/2014/chart" uri="{C3380CC4-5D6E-409C-BE32-E72D297353CC}">
              <c16:uniqueId val="{00000000-D482-411D-B9BA-43CB1DCA6FF3}"/>
            </c:ext>
          </c:extLst>
        </c:ser>
        <c:dLbls>
          <c:showLegendKey val="0"/>
          <c:showVal val="0"/>
          <c:showCatName val="0"/>
          <c:showSerName val="0"/>
          <c:showPercent val="0"/>
          <c:showBubbleSize val="0"/>
        </c:dLbls>
        <c:gapWidth val="95"/>
        <c:axId val="119392896"/>
        <c:axId val="119624064"/>
      </c:barChart>
      <c:lineChart>
        <c:grouping val="standard"/>
        <c:varyColors val="0"/>
        <c:ser>
          <c:idx val="1"/>
          <c:order val="1"/>
          <c:tx>
            <c:strRef>
              <c:f>'Ceny 2'!$D$5</c:f>
              <c:strCache>
                <c:ptCount val="1"/>
                <c:pt idx="0">
                  <c:v>Potraviny a nealkoholické nápoje</c:v>
                </c:pt>
              </c:strCache>
            </c:strRef>
          </c:tx>
          <c:spPr>
            <a:ln w="19050">
              <a:solidFill>
                <a:srgbClr val="0071BC"/>
              </a:solidFill>
            </a:ln>
          </c:spPr>
          <c:marker>
            <c:symbol val="none"/>
          </c:marker>
          <c:cat>
            <c:multiLvlStrRef>
              <c:f>'Ceny 2'!$A$10:$B$30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2'!$D$10:$D$30</c:f>
              <c:numCache>
                <c:formatCode>0.0</c:formatCode>
                <c:ptCount val="21"/>
                <c:pt idx="0">
                  <c:v>1</c:v>
                </c:pt>
                <c:pt idx="1">
                  <c:v>2.5</c:v>
                </c:pt>
                <c:pt idx="2">
                  <c:v>3.5</c:v>
                </c:pt>
                <c:pt idx="3">
                  <c:v>4.3</c:v>
                </c:pt>
                <c:pt idx="4">
                  <c:v>6.1</c:v>
                </c:pt>
                <c:pt idx="5">
                  <c:v>6.5</c:v>
                </c:pt>
                <c:pt idx="6">
                  <c:v>4</c:v>
                </c:pt>
                <c:pt idx="7">
                  <c:v>1.7000000000000004</c:v>
                </c:pt>
                <c:pt idx="8">
                  <c:v>0.30000000000000021</c:v>
                </c:pt>
                <c:pt idx="9">
                  <c:v>-0.8</c:v>
                </c:pt>
                <c:pt idx="10">
                  <c:v>1.4</c:v>
                </c:pt>
                <c:pt idx="11">
                  <c:v>2.2999999999999998</c:v>
                </c:pt>
                <c:pt idx="12">
                  <c:v>6.7</c:v>
                </c:pt>
                <c:pt idx="13">
                  <c:v>14.6</c:v>
                </c:pt>
                <c:pt idx="14">
                  <c:v>20</c:v>
                </c:pt>
                <c:pt idx="15">
                  <c:v>25.5</c:v>
                </c:pt>
                <c:pt idx="16">
                  <c:v>24.1</c:v>
                </c:pt>
                <c:pt idx="17">
                  <c:v>14.6</c:v>
                </c:pt>
                <c:pt idx="18">
                  <c:v>7.8</c:v>
                </c:pt>
                <c:pt idx="19">
                  <c:v>1.6</c:v>
                </c:pt>
                <c:pt idx="20">
                  <c:v>-4.9000000000000004</c:v>
                </c:pt>
              </c:numCache>
            </c:numRef>
          </c:val>
          <c:smooth val="0"/>
          <c:extLst>
            <c:ext xmlns:c16="http://schemas.microsoft.com/office/drawing/2014/chart" uri="{C3380CC4-5D6E-409C-BE32-E72D297353CC}">
              <c16:uniqueId val="{00000001-D482-411D-B9BA-43CB1DCA6FF3}"/>
            </c:ext>
          </c:extLst>
        </c:ser>
        <c:ser>
          <c:idx val="3"/>
          <c:order val="2"/>
          <c:tx>
            <c:strRef>
              <c:f>'Ceny 2'!$F$5</c:f>
              <c:strCache>
                <c:ptCount val="1"/>
                <c:pt idx="0">
                  <c:v>Bydlení a energie</c:v>
                </c:pt>
              </c:strCache>
            </c:strRef>
          </c:tx>
          <c:spPr>
            <a:ln w="19050">
              <a:solidFill>
                <a:srgbClr val="7DBB2D"/>
              </a:solidFill>
            </a:ln>
          </c:spPr>
          <c:marker>
            <c:symbol val="none"/>
          </c:marker>
          <c:cat>
            <c:multiLvlStrRef>
              <c:f>'Ceny 2'!$A$10:$B$30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2'!$F$10:$F$30</c:f>
              <c:numCache>
                <c:formatCode>0.0</c:formatCode>
                <c:ptCount val="21"/>
                <c:pt idx="0">
                  <c:v>5.4</c:v>
                </c:pt>
                <c:pt idx="1">
                  <c:v>5.7</c:v>
                </c:pt>
                <c:pt idx="2">
                  <c:v>5.2</c:v>
                </c:pt>
                <c:pt idx="3">
                  <c:v>5</c:v>
                </c:pt>
                <c:pt idx="4">
                  <c:v>4.2</c:v>
                </c:pt>
                <c:pt idx="5">
                  <c:v>3.2</c:v>
                </c:pt>
                <c:pt idx="6">
                  <c:v>2.7</c:v>
                </c:pt>
                <c:pt idx="7">
                  <c:v>1.4</c:v>
                </c:pt>
                <c:pt idx="8">
                  <c:v>0.60000000000000042</c:v>
                </c:pt>
                <c:pt idx="9">
                  <c:v>1.3</c:v>
                </c:pt>
                <c:pt idx="10">
                  <c:v>3.6</c:v>
                </c:pt>
                <c:pt idx="11">
                  <c:v>5.6</c:v>
                </c:pt>
                <c:pt idx="12">
                  <c:v>16</c:v>
                </c:pt>
                <c:pt idx="13">
                  <c:v>21.4</c:v>
                </c:pt>
                <c:pt idx="14">
                  <c:v>23.6</c:v>
                </c:pt>
                <c:pt idx="15">
                  <c:v>14.9</c:v>
                </c:pt>
                <c:pt idx="16">
                  <c:v>22.2</c:v>
                </c:pt>
                <c:pt idx="17">
                  <c:v>16</c:v>
                </c:pt>
                <c:pt idx="18">
                  <c:v>11.6</c:v>
                </c:pt>
                <c:pt idx="19">
                  <c:v>17.8</c:v>
                </c:pt>
                <c:pt idx="20">
                  <c:v>3.4</c:v>
                </c:pt>
              </c:numCache>
            </c:numRef>
          </c:val>
          <c:smooth val="0"/>
          <c:extLst>
            <c:ext xmlns:c16="http://schemas.microsoft.com/office/drawing/2014/chart" uri="{C3380CC4-5D6E-409C-BE32-E72D297353CC}">
              <c16:uniqueId val="{00000002-D482-411D-B9BA-43CB1DCA6FF3}"/>
            </c:ext>
          </c:extLst>
        </c:ser>
        <c:ser>
          <c:idx val="4"/>
          <c:order val="3"/>
          <c:tx>
            <c:strRef>
              <c:f>'Ceny 2'!$G$5</c:f>
              <c:strCache>
                <c:ptCount val="1"/>
                <c:pt idx="0">
                  <c:v>Doprava</c:v>
                </c:pt>
              </c:strCache>
            </c:strRef>
          </c:tx>
          <c:spPr>
            <a:ln w="19050">
              <a:solidFill>
                <a:srgbClr val="FFC000"/>
              </a:solidFill>
            </a:ln>
          </c:spPr>
          <c:marker>
            <c:symbol val="none"/>
          </c:marker>
          <c:cat>
            <c:multiLvlStrRef>
              <c:f>'Ceny 2'!$A$10:$B$30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2'!$G$10:$G$30</c:f>
              <c:numCache>
                <c:formatCode>0.0</c:formatCode>
                <c:ptCount val="21"/>
                <c:pt idx="0">
                  <c:v>0.60000000000000042</c:v>
                </c:pt>
                <c:pt idx="1">
                  <c:v>0.8</c:v>
                </c:pt>
                <c:pt idx="2">
                  <c:v>-0.2</c:v>
                </c:pt>
                <c:pt idx="3">
                  <c:v>0.5</c:v>
                </c:pt>
                <c:pt idx="4" formatCode="General">
                  <c:v>1.7000000000000004</c:v>
                </c:pt>
                <c:pt idx="5">
                  <c:v>-3.4</c:v>
                </c:pt>
                <c:pt idx="6">
                  <c:v>-0.2</c:v>
                </c:pt>
                <c:pt idx="7">
                  <c:v>0.60000000000000042</c:v>
                </c:pt>
                <c:pt idx="8">
                  <c:v>2.4</c:v>
                </c:pt>
                <c:pt idx="9">
                  <c:v>9.1</c:v>
                </c:pt>
                <c:pt idx="10">
                  <c:v>8.8000000000000007</c:v>
                </c:pt>
                <c:pt idx="11">
                  <c:v>13.1</c:v>
                </c:pt>
                <c:pt idx="12">
                  <c:v>17.2</c:v>
                </c:pt>
                <c:pt idx="13">
                  <c:v>22.7</c:v>
                </c:pt>
                <c:pt idx="14">
                  <c:v>19.7</c:v>
                </c:pt>
                <c:pt idx="15">
                  <c:v>13.1</c:v>
                </c:pt>
                <c:pt idx="16">
                  <c:v>4.5</c:v>
                </c:pt>
                <c:pt idx="17">
                  <c:v>-4</c:v>
                </c:pt>
                <c:pt idx="18">
                  <c:v>-2.4</c:v>
                </c:pt>
                <c:pt idx="19">
                  <c:v>-1.6</c:v>
                </c:pt>
                <c:pt idx="20">
                  <c:v>0.2</c:v>
                </c:pt>
              </c:numCache>
            </c:numRef>
          </c:val>
          <c:smooth val="0"/>
          <c:extLst>
            <c:ext xmlns:c16="http://schemas.microsoft.com/office/drawing/2014/chart" uri="{C3380CC4-5D6E-409C-BE32-E72D297353CC}">
              <c16:uniqueId val="{00000003-D482-411D-B9BA-43CB1DCA6FF3}"/>
            </c:ext>
          </c:extLst>
        </c:ser>
        <c:ser>
          <c:idx val="2"/>
          <c:order val="4"/>
          <c:tx>
            <c:strRef>
              <c:f>'Ceny 2'!$E$5</c:f>
              <c:strCache>
                <c:ptCount val="1"/>
                <c:pt idx="0">
                  <c:v>Alkoholické nápoje a tabák</c:v>
                </c:pt>
              </c:strCache>
              <c:extLst xmlns:c15="http://schemas.microsoft.com/office/drawing/2012/chart"/>
            </c:strRef>
          </c:tx>
          <c:spPr>
            <a:ln w="19050">
              <a:solidFill>
                <a:srgbClr val="FF0000"/>
              </a:solidFill>
            </a:ln>
          </c:spPr>
          <c:marker>
            <c:symbol val="none"/>
          </c:marker>
          <c:cat>
            <c:multiLvlStrRef>
              <c:f>'Ceny 2'!$A$10:$B$30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2'!$E$10:$E$30</c:f>
              <c:numCache>
                <c:formatCode>0.0</c:formatCode>
                <c:ptCount val="21"/>
                <c:pt idx="0">
                  <c:v>3.3</c:v>
                </c:pt>
                <c:pt idx="1">
                  <c:v>1.7000000000000004</c:v>
                </c:pt>
                <c:pt idx="2">
                  <c:v>1.9000000000000001</c:v>
                </c:pt>
                <c:pt idx="3">
                  <c:v>1.8</c:v>
                </c:pt>
                <c:pt idx="4" formatCode="General">
                  <c:v>3.5</c:v>
                </c:pt>
                <c:pt idx="5">
                  <c:v>6.6</c:v>
                </c:pt>
                <c:pt idx="6">
                  <c:v>10.3</c:v>
                </c:pt>
                <c:pt idx="7">
                  <c:v>9.9</c:v>
                </c:pt>
                <c:pt idx="8">
                  <c:v>9.9</c:v>
                </c:pt>
                <c:pt idx="9">
                  <c:v>9.8000000000000007</c:v>
                </c:pt>
                <c:pt idx="10">
                  <c:v>6.5</c:v>
                </c:pt>
                <c:pt idx="11">
                  <c:v>7.7</c:v>
                </c:pt>
                <c:pt idx="12">
                  <c:v>7.1</c:v>
                </c:pt>
                <c:pt idx="13">
                  <c:v>5.6</c:v>
                </c:pt>
                <c:pt idx="14">
                  <c:v>6.3</c:v>
                </c:pt>
                <c:pt idx="15">
                  <c:v>6</c:v>
                </c:pt>
                <c:pt idx="16">
                  <c:v>6.8</c:v>
                </c:pt>
                <c:pt idx="17">
                  <c:v>6.5</c:v>
                </c:pt>
                <c:pt idx="18">
                  <c:v>7.2</c:v>
                </c:pt>
                <c:pt idx="19">
                  <c:v>5.9</c:v>
                </c:pt>
                <c:pt idx="20">
                  <c:v>4.7</c:v>
                </c:pt>
              </c:numCache>
            </c:numRef>
          </c:val>
          <c:smooth val="0"/>
          <c:extLst xmlns:c15="http://schemas.microsoft.com/office/drawing/2012/chart">
            <c:ext xmlns:c16="http://schemas.microsoft.com/office/drawing/2014/chart" uri="{C3380CC4-5D6E-409C-BE32-E72D297353CC}">
              <c16:uniqueId val="{00000004-D482-411D-B9BA-43CB1DCA6FF3}"/>
            </c:ext>
          </c:extLst>
        </c:ser>
        <c:ser>
          <c:idx val="5"/>
          <c:order val="5"/>
          <c:tx>
            <c:strRef>
              <c:f>'Ceny 2'!$H$5</c:f>
              <c:strCache>
                <c:ptCount val="1"/>
                <c:pt idx="0">
                  <c:v>Stravování a ubytování</c:v>
                </c:pt>
              </c:strCache>
            </c:strRef>
          </c:tx>
          <c:spPr>
            <a:ln w="19050">
              <a:solidFill>
                <a:srgbClr val="7030A0"/>
              </a:solidFill>
            </a:ln>
          </c:spPr>
          <c:marker>
            <c:symbol val="none"/>
          </c:marker>
          <c:cat>
            <c:multiLvlStrRef>
              <c:f>'Ceny 2'!$A$10:$B$30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2'!$H$10:$H$30</c:f>
              <c:numCache>
                <c:formatCode>0.0</c:formatCode>
                <c:ptCount val="21"/>
                <c:pt idx="0">
                  <c:v>3.8</c:v>
                </c:pt>
                <c:pt idx="1">
                  <c:v>4</c:v>
                </c:pt>
                <c:pt idx="2">
                  <c:v>4.5</c:v>
                </c:pt>
                <c:pt idx="3">
                  <c:v>4.5999999999999996</c:v>
                </c:pt>
                <c:pt idx="4">
                  <c:v>5.5</c:v>
                </c:pt>
                <c:pt idx="5">
                  <c:v>5.0999999999999996</c:v>
                </c:pt>
                <c:pt idx="6">
                  <c:v>4.9000000000000004</c:v>
                </c:pt>
                <c:pt idx="7">
                  <c:v>4.3</c:v>
                </c:pt>
                <c:pt idx="8">
                  <c:v>3</c:v>
                </c:pt>
                <c:pt idx="9">
                  <c:v>2.9</c:v>
                </c:pt>
                <c:pt idx="10">
                  <c:v>4.5999999999999996</c:v>
                </c:pt>
                <c:pt idx="11">
                  <c:v>6.8</c:v>
                </c:pt>
                <c:pt idx="12">
                  <c:v>12.3</c:v>
                </c:pt>
                <c:pt idx="13">
                  <c:v>21.4</c:v>
                </c:pt>
                <c:pt idx="14">
                  <c:v>24.3</c:v>
                </c:pt>
                <c:pt idx="15">
                  <c:v>25.6</c:v>
                </c:pt>
                <c:pt idx="16">
                  <c:v>22.4</c:v>
                </c:pt>
                <c:pt idx="17">
                  <c:v>15.4</c:v>
                </c:pt>
                <c:pt idx="18">
                  <c:v>11.6</c:v>
                </c:pt>
                <c:pt idx="19">
                  <c:v>8.8000000000000007</c:v>
                </c:pt>
                <c:pt idx="20">
                  <c:v>8.6</c:v>
                </c:pt>
              </c:numCache>
            </c:numRef>
          </c:val>
          <c:smooth val="0"/>
          <c:extLst>
            <c:ext xmlns:c16="http://schemas.microsoft.com/office/drawing/2014/chart" uri="{C3380CC4-5D6E-409C-BE32-E72D297353CC}">
              <c16:uniqueId val="{00000005-D482-411D-B9BA-43CB1DCA6FF3}"/>
            </c:ext>
          </c:extLst>
        </c:ser>
        <c:dLbls>
          <c:showLegendKey val="0"/>
          <c:showVal val="0"/>
          <c:showCatName val="0"/>
          <c:showSerName val="0"/>
          <c:showPercent val="0"/>
          <c:showBubbleSize val="0"/>
        </c:dLbls>
        <c:marker val="1"/>
        <c:smooth val="0"/>
        <c:axId val="119392896"/>
        <c:axId val="119624064"/>
        <c:extLst>
          <c:ext xmlns:c15="http://schemas.microsoft.com/office/drawing/2012/chart" uri="{02D57815-91ED-43cb-92C2-25804820EDAC}">
            <c15:filteredLineSeries>
              <c15:ser>
                <c:idx val="6"/>
                <c:order val="6"/>
                <c:tx>
                  <c:strRef>
                    <c:extLst>
                      <c:ext uri="{02D57815-91ED-43cb-92C2-25804820EDAC}">
                        <c15:formulaRef>
                          <c15:sqref>'Ceny 2'!$I$5</c15:sqref>
                        </c15:formulaRef>
                      </c:ext>
                    </c:extLst>
                    <c:strCache>
                      <c:ptCount val="1"/>
                      <c:pt idx="0">
                        <c:v>Rekreace a kultura</c:v>
                      </c:pt>
                    </c:strCache>
                  </c:strRef>
                </c:tx>
                <c:spPr>
                  <a:ln w="19050">
                    <a:solidFill>
                      <a:srgbClr val="FF0000"/>
                    </a:solidFill>
                  </a:ln>
                </c:spPr>
                <c:marker>
                  <c:symbol val="none"/>
                </c:marker>
                <c:cat>
                  <c:multiLvlStrRef>
                    <c:extLst>
                      <c:ext uri="{02D57815-91ED-43cb-92C2-25804820EDAC}">
                        <c15:formulaRef>
                          <c15:sqref>'Ceny 2'!$A$10:$B$30</c15:sqref>
                        </c15:formulaRef>
                      </c:ext>
                    </c:extLst>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extLst>
                      <c:ext uri="{02D57815-91ED-43cb-92C2-25804820EDAC}">
                        <c15:formulaRef>
                          <c15:sqref>'Ceny 2'!$I$10:$I$30</c15:sqref>
                        </c15:formulaRef>
                      </c:ext>
                    </c:extLst>
                    <c:numCache>
                      <c:formatCode>General</c:formatCode>
                      <c:ptCount val="21"/>
                      <c:pt idx="0">
                        <c:v>1.7000000000000028</c:v>
                      </c:pt>
                      <c:pt idx="1">
                        <c:v>1</c:v>
                      </c:pt>
                      <c:pt idx="2">
                        <c:v>1.7000000000000028</c:v>
                      </c:pt>
                      <c:pt idx="3">
                        <c:v>2.0999999999999943</c:v>
                      </c:pt>
                      <c:pt idx="4">
                        <c:v>2.0999999999999943</c:v>
                      </c:pt>
                      <c:pt idx="5">
                        <c:v>2</c:v>
                      </c:pt>
                      <c:pt idx="6">
                        <c:v>2.2000000000000028</c:v>
                      </c:pt>
                      <c:pt idx="7">
                        <c:v>2.5</c:v>
                      </c:pt>
                      <c:pt idx="8">
                        <c:v>1.4000000000000057</c:v>
                      </c:pt>
                      <c:pt idx="9">
                        <c:v>2</c:v>
                      </c:pt>
                      <c:pt idx="10">
                        <c:v>3.0999999999999943</c:v>
                      </c:pt>
                      <c:pt idx="11">
                        <c:v>5.2999999999999972</c:v>
                      </c:pt>
                      <c:pt idx="12">
                        <c:v>8.5</c:v>
                      </c:pt>
                      <c:pt idx="13">
                        <c:v>11.299999999999997</c:v>
                      </c:pt>
                      <c:pt idx="14">
                        <c:v>12.599999999999994</c:v>
                      </c:pt>
                      <c:pt idx="15" formatCode="0.0">
                        <c:v>13.2</c:v>
                      </c:pt>
                      <c:pt idx="16" formatCode="0.0">
                        <c:v>14</c:v>
                      </c:pt>
                      <c:pt idx="17" formatCode="0.0">
                        <c:v>11.7</c:v>
                      </c:pt>
                      <c:pt idx="18" formatCode="0.0">
                        <c:v>9.6999999999999993</c:v>
                      </c:pt>
                      <c:pt idx="19" formatCode="0.0">
                        <c:v>6.9</c:v>
                      </c:pt>
                      <c:pt idx="20" formatCode="0.0">
                        <c:v>4.4000000000000004</c:v>
                      </c:pt>
                    </c:numCache>
                  </c:numRef>
                </c:val>
                <c:smooth val="0"/>
                <c:extLst>
                  <c:ext xmlns:c16="http://schemas.microsoft.com/office/drawing/2014/chart" uri="{C3380CC4-5D6E-409C-BE32-E72D297353CC}">
                    <c16:uniqueId val="{00000006-D482-411D-B9BA-43CB1DCA6FF3}"/>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'Ceny 2'!$J$5</c15:sqref>
                        </c15:formulaRef>
                      </c:ext>
                    </c:extLst>
                    <c:strCache>
                      <c:ptCount val="1"/>
                      <c:pt idx="0">
                        <c:v>Odívání a obuv</c:v>
                      </c:pt>
                    </c:strCache>
                  </c:strRef>
                </c:tx>
                <c:spPr>
                  <a:ln w="19050">
                    <a:solidFill>
                      <a:srgbClr val="E8AFB2"/>
                    </a:solidFill>
                  </a:ln>
                </c:spPr>
                <c:marker>
                  <c:symbol val="none"/>
                </c:marker>
                <c:cat>
                  <c:multiLvlStrRef>
                    <c:extLst xmlns:c15="http://schemas.microsoft.com/office/drawing/2012/chart">
                      <c:ext xmlns:c15="http://schemas.microsoft.com/office/drawing/2012/chart" uri="{02D57815-91ED-43cb-92C2-25804820EDAC}">
                        <c15:formulaRef>
                          <c15:sqref>'Ceny 2'!$A$10:$B$30</c15:sqref>
                        </c15:formulaRef>
                      </c:ext>
                    </c:extLst>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extLst xmlns:c15="http://schemas.microsoft.com/office/drawing/2012/chart">
                      <c:ext xmlns:c15="http://schemas.microsoft.com/office/drawing/2012/chart" uri="{02D57815-91ED-43cb-92C2-25804820EDAC}">
                        <c15:formulaRef>
                          <c15:sqref>'Ceny 2'!$J$6:$J$24</c15:sqref>
                        </c15:formulaRef>
                      </c:ext>
                    </c:extLst>
                    <c:numCache>
                      <c:formatCode>General</c:formatCode>
                      <c:ptCount val="19"/>
                      <c:pt idx="0">
                        <c:v>-0.29999999999999716</c:v>
                      </c:pt>
                      <c:pt idx="1">
                        <c:v>-1</c:v>
                      </c:pt>
                      <c:pt idx="2">
                        <c:v>-1.4000000000000057</c:v>
                      </c:pt>
                      <c:pt idx="3">
                        <c:v>-1.7000000000000028</c:v>
                      </c:pt>
                      <c:pt idx="4">
                        <c:v>-1.0999999999999943</c:v>
                      </c:pt>
                      <c:pt idx="5">
                        <c:v>-1.9000000000000057</c:v>
                      </c:pt>
                      <c:pt idx="6">
                        <c:v>-1.5</c:v>
                      </c:pt>
                      <c:pt idx="7">
                        <c:v>-0.29999999999999716</c:v>
                      </c:pt>
                      <c:pt idx="8">
                        <c:v>3.5</c:v>
                      </c:pt>
                      <c:pt idx="9">
                        <c:v>3.4000000000000057</c:v>
                      </c:pt>
                      <c:pt idx="10">
                        <c:v>4.5</c:v>
                      </c:pt>
                      <c:pt idx="11">
                        <c:v>3.4000000000000057</c:v>
                      </c:pt>
                      <c:pt idx="12">
                        <c:v>2.7000000000000028</c:v>
                      </c:pt>
                      <c:pt idx="13">
                        <c:v>2.9000000000000057</c:v>
                      </c:pt>
                      <c:pt idx="14">
                        <c:v>7.7999999999999972</c:v>
                      </c:pt>
                      <c:pt idx="15">
                        <c:v>12.599999999999994</c:v>
                      </c:pt>
                      <c:pt idx="16">
                        <c:v>16.900000000000006</c:v>
                      </c:pt>
                      <c:pt idx="17">
                        <c:v>20</c:v>
                      </c:pt>
                      <c:pt idx="18">
                        <c:v>19</c:v>
                      </c:pt>
                    </c:numCache>
                  </c:numRef>
                </c:val>
                <c:smooth val="0"/>
                <c:extLst xmlns:c15="http://schemas.microsoft.com/office/drawing/2012/chart">
                  <c:ext xmlns:c16="http://schemas.microsoft.com/office/drawing/2014/chart" uri="{C3380CC4-5D6E-409C-BE32-E72D297353CC}">
                    <c16:uniqueId val="{00000007-D482-411D-B9BA-43CB1DCA6FF3}"/>
                  </c:ext>
                </c:extLst>
              </c15:ser>
            </c15:filteredLineSeries>
          </c:ext>
        </c:extLst>
      </c:lineChart>
      <c:catAx>
        <c:axId val="11939289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19624064"/>
        <c:crosses val="autoZero"/>
        <c:auto val="1"/>
        <c:lblAlgn val="ctr"/>
        <c:lblOffset val="100"/>
        <c:noMultiLvlLbl val="0"/>
      </c:catAx>
      <c:valAx>
        <c:axId val="119624064"/>
        <c:scaling>
          <c:orientation val="minMax"/>
          <c:max val="27"/>
          <c:min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9392896"/>
        <c:crosses val="autoZero"/>
        <c:crossBetween val="between"/>
        <c:majorUnit val="3"/>
      </c:valAx>
      <c:spPr>
        <a:ln>
          <a:solidFill>
            <a:schemeClr val="tx1"/>
          </a:solidFill>
        </a:ln>
      </c:spPr>
    </c:plotArea>
    <c:legend>
      <c:legendPos val="b"/>
      <c:layout>
        <c:manualLayout>
          <c:xMode val="edge"/>
          <c:yMode val="edge"/>
          <c:x val="5.3882134414049376E-2"/>
          <c:y val="0.89376988734317164"/>
          <c:w val="0.92470364741641364"/>
          <c:h val="9.550737793164607E-2"/>
        </c:manualLayout>
      </c:layout>
      <c:overlay val="0"/>
      <c:spPr>
        <a:ln w="6350">
          <a:no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703731847348988E-2"/>
          <c:y val="2.9569886214146503E-2"/>
          <c:w val="0.90493308848362042"/>
          <c:h val="0.73556653157716956"/>
        </c:manualLayout>
      </c:layout>
      <c:barChart>
        <c:barDir val="col"/>
        <c:grouping val="clustered"/>
        <c:varyColors val="0"/>
        <c:ser>
          <c:idx val="0"/>
          <c:order val="0"/>
          <c:tx>
            <c:strRef>
              <c:f>'Ceny 1'!$C$5</c:f>
              <c:strCache>
                <c:ptCount val="1"/>
                <c:pt idx="0">
                  <c:v>Realizované ceny starších bytů, ČR</c:v>
                </c:pt>
              </c:strCache>
            </c:strRef>
          </c:tx>
          <c:spPr>
            <a:solidFill>
              <a:schemeClr val="bg1">
                <a:lumMod val="65000"/>
              </a:schemeClr>
            </a:solidFill>
            <a:ln w="19050">
              <a:noFill/>
            </a:ln>
          </c:spPr>
          <c:invertIfNegative val="0"/>
          <c:cat>
            <c:multiLvlStrRef>
              <c:f>'Ceny 1'!$A$10:$B$30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1'!$C$10:$C$30</c:f>
              <c:numCache>
                <c:formatCode>General</c:formatCode>
                <c:ptCount val="21"/>
                <c:pt idx="0">
                  <c:v>11.3</c:v>
                </c:pt>
                <c:pt idx="1">
                  <c:v>10.600000000000001</c:v>
                </c:pt>
                <c:pt idx="2">
                  <c:v>9.5</c:v>
                </c:pt>
                <c:pt idx="3">
                  <c:v>9.4000000000000057</c:v>
                </c:pt>
                <c:pt idx="4">
                  <c:v>10.600000000000001</c:v>
                </c:pt>
                <c:pt idx="5">
                  <c:v>10.200000000000003</c:v>
                </c:pt>
                <c:pt idx="6">
                  <c:v>11.200000000000003</c:v>
                </c:pt>
                <c:pt idx="7">
                  <c:v>13.3</c:v>
                </c:pt>
                <c:pt idx="8">
                  <c:v>15.200000000000003</c:v>
                </c:pt>
                <c:pt idx="9">
                  <c:v>17.900000000000006</c:v>
                </c:pt>
                <c:pt idx="10">
                  <c:v>21.299999999999986</c:v>
                </c:pt>
                <c:pt idx="11">
                  <c:v>25.200000000000003</c:v>
                </c:pt>
                <c:pt idx="12">
                  <c:v>27.299999999999986</c:v>
                </c:pt>
                <c:pt idx="13">
                  <c:v>27.599999999999987</c:v>
                </c:pt>
                <c:pt idx="14">
                  <c:v>23.400000000000006</c:v>
                </c:pt>
                <c:pt idx="15">
                  <c:v>13.8</c:v>
                </c:pt>
                <c:pt idx="16">
                  <c:v>3.7000000000000042</c:v>
                </c:pt>
                <c:pt idx="17">
                  <c:v>-4.0999999999999943</c:v>
                </c:pt>
                <c:pt idx="18">
                  <c:v>-7</c:v>
                </c:pt>
                <c:pt idx="19">
                  <c:v>-5.5</c:v>
                </c:pt>
                <c:pt idx="20">
                  <c:v>9.9999999999994413E-2</c:v>
                </c:pt>
              </c:numCache>
            </c:numRef>
          </c:val>
          <c:extLst>
            <c:ext xmlns:c16="http://schemas.microsoft.com/office/drawing/2014/chart" uri="{C3380CC4-5D6E-409C-BE32-E72D297353CC}">
              <c16:uniqueId val="{00000000-B7CE-405D-80F5-4410F481A7A1}"/>
            </c:ext>
          </c:extLst>
        </c:ser>
        <c:ser>
          <c:idx val="1"/>
          <c:order val="1"/>
          <c:tx>
            <c:strRef>
              <c:f>'Ceny 1'!$D$5</c:f>
              <c:strCache>
                <c:ptCount val="1"/>
                <c:pt idx="0">
                  <c:v>Realizované ceny starších bytů, Praha</c:v>
                </c:pt>
              </c:strCache>
            </c:strRef>
          </c:tx>
          <c:spPr>
            <a:solidFill>
              <a:prstClr val="black">
                <a:lumMod val="50000"/>
                <a:lumOff val="50000"/>
              </a:prstClr>
            </a:solidFill>
            <a:ln w="19050">
              <a:noFill/>
            </a:ln>
          </c:spPr>
          <c:invertIfNegative val="0"/>
          <c:cat>
            <c:multiLvlStrRef>
              <c:f>'Ceny 1'!$A$10:$B$30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1'!$D$10:$D$30</c:f>
              <c:numCache>
                <c:formatCode>General</c:formatCode>
                <c:ptCount val="21"/>
                <c:pt idx="0">
                  <c:v>9.4000000000000057</c:v>
                </c:pt>
                <c:pt idx="1">
                  <c:v>8.7000000000000011</c:v>
                </c:pt>
                <c:pt idx="2">
                  <c:v>6.5</c:v>
                </c:pt>
                <c:pt idx="3">
                  <c:v>7.0999999999999943</c:v>
                </c:pt>
                <c:pt idx="4">
                  <c:v>6.2000000000000028</c:v>
                </c:pt>
                <c:pt idx="5">
                  <c:v>8</c:v>
                </c:pt>
                <c:pt idx="6">
                  <c:v>9.4000000000000057</c:v>
                </c:pt>
                <c:pt idx="7">
                  <c:v>10.600000000000001</c:v>
                </c:pt>
                <c:pt idx="8">
                  <c:v>14.3</c:v>
                </c:pt>
                <c:pt idx="9">
                  <c:v>15.8</c:v>
                </c:pt>
                <c:pt idx="10">
                  <c:v>16.599999999999987</c:v>
                </c:pt>
                <c:pt idx="11">
                  <c:v>20</c:v>
                </c:pt>
                <c:pt idx="12">
                  <c:v>19</c:v>
                </c:pt>
                <c:pt idx="13">
                  <c:v>16.700000000000003</c:v>
                </c:pt>
                <c:pt idx="14">
                  <c:v>15.600000000000001</c:v>
                </c:pt>
                <c:pt idx="15">
                  <c:v>8.4000000000000057</c:v>
                </c:pt>
                <c:pt idx="16">
                  <c:v>1.2000000000000028</c:v>
                </c:pt>
                <c:pt idx="17">
                  <c:v>-3.5999999999999943</c:v>
                </c:pt>
                <c:pt idx="18">
                  <c:v>-5.2999999999999972</c:v>
                </c:pt>
                <c:pt idx="19">
                  <c:v>-2.5999999999999943</c:v>
                </c:pt>
                <c:pt idx="20">
                  <c:v>1</c:v>
                </c:pt>
              </c:numCache>
            </c:numRef>
          </c:val>
          <c:extLst>
            <c:ext xmlns:c16="http://schemas.microsoft.com/office/drawing/2014/chart" uri="{C3380CC4-5D6E-409C-BE32-E72D297353CC}">
              <c16:uniqueId val="{00000001-B7CE-405D-80F5-4410F481A7A1}"/>
            </c:ext>
          </c:extLst>
        </c:ser>
        <c:dLbls>
          <c:showLegendKey val="0"/>
          <c:showVal val="0"/>
          <c:showCatName val="0"/>
          <c:showSerName val="0"/>
          <c:showPercent val="0"/>
          <c:showBubbleSize val="0"/>
        </c:dLbls>
        <c:gapWidth val="95"/>
        <c:axId val="114985216"/>
        <c:axId val="114995200"/>
      </c:barChart>
      <c:lineChart>
        <c:grouping val="standard"/>
        <c:varyColors val="0"/>
        <c:ser>
          <c:idx val="2"/>
          <c:order val="2"/>
          <c:tx>
            <c:strRef>
              <c:f>'Ceny 1'!$E$5</c:f>
              <c:strCache>
                <c:ptCount val="1"/>
                <c:pt idx="0">
                  <c:v>Nabídkové ceny bytů, ČR</c:v>
                </c:pt>
              </c:strCache>
            </c:strRef>
          </c:tx>
          <c:spPr>
            <a:ln w="19050">
              <a:solidFill>
                <a:schemeClr val="accent2"/>
              </a:solidFill>
            </a:ln>
          </c:spPr>
          <c:marker>
            <c:symbol val="none"/>
          </c:marker>
          <c:cat>
            <c:multiLvlStrRef>
              <c:f>'Ceny 1'!$A$10:$B$30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1'!$E$10:$E$30</c:f>
              <c:numCache>
                <c:formatCode>0.0</c:formatCode>
                <c:ptCount val="21"/>
                <c:pt idx="0">
                  <c:v>7.4232690935046541</c:v>
                </c:pt>
                <c:pt idx="1">
                  <c:v>5.726256983240237</c:v>
                </c:pt>
                <c:pt idx="2">
                  <c:v>5.1912568306010876</c:v>
                </c:pt>
                <c:pt idx="3">
                  <c:v>5.5144586415601955</c:v>
                </c:pt>
                <c:pt idx="4">
                  <c:v>6.0465116279069626</c:v>
                </c:pt>
                <c:pt idx="5">
                  <c:v>7.1334214002641883</c:v>
                </c:pt>
                <c:pt idx="6">
                  <c:v>7.9870129870129887</c:v>
                </c:pt>
                <c:pt idx="7">
                  <c:v>7.6481835564053489</c:v>
                </c:pt>
                <c:pt idx="8">
                  <c:v>7.6441102756892239</c:v>
                </c:pt>
                <c:pt idx="9">
                  <c:v>7.953144266337854</c:v>
                </c:pt>
                <c:pt idx="10">
                  <c:v>9.320505111244751</c:v>
                </c:pt>
                <c:pt idx="11">
                  <c:v>12.433392539964474</c:v>
                </c:pt>
                <c:pt idx="12">
                  <c:v>16.880093131548293</c:v>
                </c:pt>
                <c:pt idx="13">
                  <c:v>24.67161621930326</c:v>
                </c:pt>
                <c:pt idx="14">
                  <c:v>22.937293729372925</c:v>
                </c:pt>
                <c:pt idx="15">
                  <c:v>18.325434439178494</c:v>
                </c:pt>
                <c:pt idx="16">
                  <c:v>9.8107569721115624</c:v>
                </c:pt>
                <c:pt idx="17" formatCode="General">
                  <c:v>-0.7329363261566757</c:v>
                </c:pt>
                <c:pt idx="18" formatCode="General">
                  <c:v>-3.3109619686800897</c:v>
                </c:pt>
                <c:pt idx="19" formatCode="General">
                  <c:v>-4.1833555852247324</c:v>
                </c:pt>
                <c:pt idx="20" formatCode="General">
                  <c:v>-0.68027210884353906</c:v>
                </c:pt>
              </c:numCache>
            </c:numRef>
          </c:val>
          <c:smooth val="0"/>
          <c:extLst>
            <c:ext xmlns:c16="http://schemas.microsoft.com/office/drawing/2014/chart" uri="{C3380CC4-5D6E-409C-BE32-E72D297353CC}">
              <c16:uniqueId val="{00000002-B7CE-405D-80F5-4410F481A7A1}"/>
            </c:ext>
          </c:extLst>
        </c:ser>
        <c:ser>
          <c:idx val="3"/>
          <c:order val="3"/>
          <c:tx>
            <c:strRef>
              <c:f>'Ceny 1'!$F$5</c:f>
              <c:strCache>
                <c:ptCount val="1"/>
                <c:pt idx="0">
                  <c:v>Nabídkové ceny bytů, Praha</c:v>
                </c:pt>
              </c:strCache>
            </c:strRef>
          </c:tx>
          <c:spPr>
            <a:ln>
              <a:solidFill>
                <a:schemeClr val="accent1"/>
              </a:solidFill>
            </a:ln>
          </c:spPr>
          <c:marker>
            <c:symbol val="none"/>
          </c:marker>
          <c:cat>
            <c:multiLvlStrRef>
              <c:f>'Ceny 1'!$A$10:$B$30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1'!$F$10:$F$30</c:f>
              <c:numCache>
                <c:formatCode>0.0</c:formatCode>
                <c:ptCount val="21"/>
                <c:pt idx="0">
                  <c:v>8.3178150217256377</c:v>
                </c:pt>
                <c:pt idx="1">
                  <c:v>4.9397590361445722</c:v>
                </c:pt>
                <c:pt idx="2">
                  <c:v>3.3096926713947976</c:v>
                </c:pt>
                <c:pt idx="3">
                  <c:v>2.9530978575564606</c:v>
                </c:pt>
                <c:pt idx="4">
                  <c:v>3.553008595988528</c:v>
                </c:pt>
                <c:pt idx="5">
                  <c:v>5.2812858783008068</c:v>
                </c:pt>
                <c:pt idx="6">
                  <c:v>6.2356979405034316</c:v>
                </c:pt>
                <c:pt idx="7">
                  <c:v>5.1743532058492718</c:v>
                </c:pt>
                <c:pt idx="8">
                  <c:v>4.7592695074709646</c:v>
                </c:pt>
                <c:pt idx="9">
                  <c:v>4.5256270447110012</c:v>
                </c:pt>
                <c:pt idx="10">
                  <c:v>6.246634356488979</c:v>
                </c:pt>
                <c:pt idx="11">
                  <c:v>9.1443850267379485</c:v>
                </c:pt>
                <c:pt idx="12">
                  <c:v>12.255678816693077</c:v>
                </c:pt>
                <c:pt idx="13">
                  <c:v>19.718309859154925</c:v>
                </c:pt>
                <c:pt idx="14">
                  <c:v>18.499746578813966</c:v>
                </c:pt>
                <c:pt idx="15">
                  <c:v>16.903478686918177</c:v>
                </c:pt>
                <c:pt idx="16">
                  <c:v>10.305882352941191</c:v>
                </c:pt>
                <c:pt idx="17" formatCode="General">
                  <c:v>0.30501089324617703</c:v>
                </c:pt>
                <c:pt idx="18" formatCode="General">
                  <c:v>-1.582549187339608</c:v>
                </c:pt>
                <c:pt idx="19" formatCode="General">
                  <c:v>-3.56244761106454</c:v>
                </c:pt>
                <c:pt idx="20" formatCode="General">
                  <c:v>0.34129692832762282</c:v>
                </c:pt>
              </c:numCache>
            </c:numRef>
          </c:val>
          <c:smooth val="0"/>
          <c:extLst>
            <c:ext xmlns:c16="http://schemas.microsoft.com/office/drawing/2014/chart" uri="{C3380CC4-5D6E-409C-BE32-E72D297353CC}">
              <c16:uniqueId val="{00000003-B7CE-405D-80F5-4410F481A7A1}"/>
            </c:ext>
          </c:extLst>
        </c:ser>
        <c:dLbls>
          <c:showLegendKey val="0"/>
          <c:showVal val="0"/>
          <c:showCatName val="0"/>
          <c:showSerName val="0"/>
          <c:showPercent val="0"/>
          <c:showBubbleSize val="0"/>
        </c:dLbls>
        <c:marker val="1"/>
        <c:smooth val="0"/>
        <c:axId val="114985216"/>
        <c:axId val="114995200"/>
      </c:lineChart>
      <c:catAx>
        <c:axId val="11498521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14995200"/>
        <c:crosses val="autoZero"/>
        <c:auto val="1"/>
        <c:lblAlgn val="ctr"/>
        <c:lblOffset val="100"/>
        <c:noMultiLvlLbl val="0"/>
      </c:catAx>
      <c:valAx>
        <c:axId val="114995200"/>
        <c:scaling>
          <c:orientation val="minMax"/>
          <c:max val="28"/>
          <c:min val="-8"/>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4985216"/>
        <c:crosses val="autoZero"/>
        <c:crossBetween val="between"/>
        <c:majorUnit val="4"/>
      </c:valAx>
      <c:spPr>
        <a:ln>
          <a:solidFill>
            <a:schemeClr val="tx1"/>
          </a:solidFill>
        </a:ln>
      </c:spPr>
    </c:plotArea>
    <c:legend>
      <c:legendPos val="b"/>
      <c:layout>
        <c:manualLayout>
          <c:xMode val="edge"/>
          <c:yMode val="edge"/>
          <c:x val="7.3334810874704504E-2"/>
          <c:y val="0.88817854328492629"/>
          <c:w val="0.89999282337048336"/>
          <c:h val="9.838061465721031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948270126413876E-2"/>
          <c:y val="2.1811315924220472E-2"/>
          <c:w val="0.92972688385431712"/>
          <c:h val="0.71663233141956562"/>
        </c:manualLayout>
      </c:layout>
      <c:barChart>
        <c:barDir val="col"/>
        <c:grouping val="clustered"/>
        <c:varyColors val="0"/>
        <c:ser>
          <c:idx val="0"/>
          <c:order val="0"/>
          <c:tx>
            <c:strRef>
              <c:f>'Ceny 4'!$C$5</c:f>
              <c:strCache>
                <c:ptCount val="1"/>
                <c:pt idx="0">
                  <c:v>Celkem</c:v>
                </c:pt>
              </c:strCache>
            </c:strRef>
          </c:tx>
          <c:spPr>
            <a:solidFill>
              <a:schemeClr val="bg1">
                <a:lumMod val="65000"/>
              </a:schemeClr>
            </a:solidFill>
            <a:ln w="19050">
              <a:noFill/>
            </a:ln>
          </c:spPr>
          <c:invertIfNegative val="0"/>
          <c:cat>
            <c:multiLvlStrRef>
              <c:f>'Ceny 4'!$A$10:$B$30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4'!$C$10:$C$30</c:f>
              <c:numCache>
                <c:formatCode>General</c:formatCode>
                <c:ptCount val="21"/>
                <c:pt idx="0">
                  <c:v>3.5</c:v>
                </c:pt>
                <c:pt idx="1">
                  <c:v>3.5</c:v>
                </c:pt>
                <c:pt idx="2">
                  <c:v>2</c:v>
                </c:pt>
                <c:pt idx="3">
                  <c:v>1.2999999999999956</c:v>
                </c:pt>
                <c:pt idx="4">
                  <c:v>1.4000000000000057</c:v>
                </c:pt>
                <c:pt idx="5">
                  <c:v>-0.59999999999999432</c:v>
                </c:pt>
                <c:pt idx="6">
                  <c:v>-0.29999999999999755</c:v>
                </c:pt>
                <c:pt idx="7">
                  <c:v>9.9999999999994413E-2</c:v>
                </c:pt>
                <c:pt idx="8">
                  <c:v>1.5</c:v>
                </c:pt>
                <c:pt idx="9">
                  <c:v>5.2999999999999972</c:v>
                </c:pt>
                <c:pt idx="10">
                  <c:v>9</c:v>
                </c:pt>
                <c:pt idx="11">
                  <c:v>12.8</c:v>
                </c:pt>
                <c:pt idx="12">
                  <c:v>21.799999999999986</c:v>
                </c:pt>
                <c:pt idx="13">
                  <c:v>27.700000000000003</c:v>
                </c:pt>
                <c:pt idx="14">
                  <c:v>25.900000000000006</c:v>
                </c:pt>
                <c:pt idx="15">
                  <c:v>21.799999999999986</c:v>
                </c:pt>
                <c:pt idx="16">
                  <c:v>15</c:v>
                </c:pt>
                <c:pt idx="17">
                  <c:v>3.9000000000000057</c:v>
                </c:pt>
                <c:pt idx="18">
                  <c:v>1.3</c:v>
                </c:pt>
                <c:pt idx="19">
                  <c:v>0.8</c:v>
                </c:pt>
                <c:pt idx="20">
                  <c:v>-0.9</c:v>
                </c:pt>
              </c:numCache>
            </c:numRef>
          </c:val>
          <c:extLst>
            <c:ext xmlns:c16="http://schemas.microsoft.com/office/drawing/2014/chart" uri="{C3380CC4-5D6E-409C-BE32-E72D297353CC}">
              <c16:uniqueId val="{00000000-8E64-402E-80AB-209CC92F7542}"/>
            </c:ext>
          </c:extLst>
        </c:ser>
        <c:dLbls>
          <c:showLegendKey val="0"/>
          <c:showVal val="0"/>
          <c:showCatName val="0"/>
          <c:showSerName val="0"/>
          <c:showPercent val="0"/>
          <c:showBubbleSize val="0"/>
        </c:dLbls>
        <c:gapWidth val="96"/>
        <c:axId val="117908608"/>
        <c:axId val="117910144"/>
      </c:barChart>
      <c:lineChart>
        <c:grouping val="standard"/>
        <c:varyColors val="0"/>
        <c:ser>
          <c:idx val="1"/>
          <c:order val="1"/>
          <c:tx>
            <c:strRef>
              <c:f>'Ceny 4'!$D$5</c:f>
              <c:strCache>
                <c:ptCount val="1"/>
                <c:pt idx="0">
                  <c:v>Těžba a dobývání</c:v>
                </c:pt>
              </c:strCache>
            </c:strRef>
          </c:tx>
          <c:spPr>
            <a:ln w="19050">
              <a:solidFill>
                <a:srgbClr val="7DBB2D"/>
              </a:solidFill>
            </a:ln>
          </c:spPr>
          <c:marker>
            <c:symbol val="none"/>
          </c:marker>
          <c:cat>
            <c:multiLvlStrRef>
              <c:f>'Ceny 4'!$A$10:$B$30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4'!$D$10:$D$30</c:f>
              <c:numCache>
                <c:formatCode>General</c:formatCode>
                <c:ptCount val="21"/>
                <c:pt idx="0">
                  <c:v>7.7000000000000028</c:v>
                </c:pt>
                <c:pt idx="1">
                  <c:v>7.7000000000000028</c:v>
                </c:pt>
                <c:pt idx="2">
                  <c:v>6.7000000000000028</c:v>
                </c:pt>
                <c:pt idx="3">
                  <c:v>3.7000000000000042</c:v>
                </c:pt>
                <c:pt idx="4">
                  <c:v>-2.0999999999999943</c:v>
                </c:pt>
                <c:pt idx="5">
                  <c:v>-3.5</c:v>
                </c:pt>
                <c:pt idx="6">
                  <c:v>-3.5999999999999943</c:v>
                </c:pt>
                <c:pt idx="7">
                  <c:v>-2</c:v>
                </c:pt>
                <c:pt idx="8">
                  <c:v>-0.5</c:v>
                </c:pt>
                <c:pt idx="9">
                  <c:v>0.7999999999999976</c:v>
                </c:pt>
                <c:pt idx="10">
                  <c:v>3.2999999999999972</c:v>
                </c:pt>
                <c:pt idx="11">
                  <c:v>13.8</c:v>
                </c:pt>
                <c:pt idx="12">
                  <c:v>25.200000000000003</c:v>
                </c:pt>
                <c:pt idx="13">
                  <c:v>31.900000000000006</c:v>
                </c:pt>
                <c:pt idx="14">
                  <c:v>30.199999999999992</c:v>
                </c:pt>
                <c:pt idx="15">
                  <c:v>23.299999999999986</c:v>
                </c:pt>
                <c:pt idx="16">
                  <c:v>54</c:v>
                </c:pt>
                <c:pt idx="17">
                  <c:v>47.600000000000009</c:v>
                </c:pt>
                <c:pt idx="18">
                  <c:v>44.5</c:v>
                </c:pt>
                <c:pt idx="19">
                  <c:v>40.200000000000003</c:v>
                </c:pt>
                <c:pt idx="20">
                  <c:v>-1.2</c:v>
                </c:pt>
              </c:numCache>
            </c:numRef>
          </c:val>
          <c:smooth val="0"/>
          <c:extLst>
            <c:ext xmlns:c16="http://schemas.microsoft.com/office/drawing/2014/chart" uri="{C3380CC4-5D6E-409C-BE32-E72D297353CC}">
              <c16:uniqueId val="{00000001-8E64-402E-80AB-209CC92F7542}"/>
            </c:ext>
          </c:extLst>
        </c:ser>
        <c:ser>
          <c:idx val="2"/>
          <c:order val="2"/>
          <c:tx>
            <c:strRef>
              <c:f>'Ceny 4'!$E$5</c:f>
              <c:strCache>
                <c:ptCount val="1"/>
                <c:pt idx="0">
                  <c:v>Zpracovatelský průmysl</c:v>
                </c:pt>
              </c:strCache>
            </c:strRef>
          </c:tx>
          <c:spPr>
            <a:ln w="19050">
              <a:solidFill>
                <a:srgbClr val="BD1B21"/>
              </a:solidFill>
            </a:ln>
          </c:spPr>
          <c:marker>
            <c:symbol val="none"/>
          </c:marker>
          <c:cat>
            <c:multiLvlStrRef>
              <c:f>'Ceny 4'!$A$10:$B$30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4'!$E$10:$E$30</c:f>
              <c:numCache>
                <c:formatCode>General</c:formatCode>
                <c:ptCount val="21"/>
                <c:pt idx="0">
                  <c:v>2.5999999999999943</c:v>
                </c:pt>
                <c:pt idx="1">
                  <c:v>2.5999999999999943</c:v>
                </c:pt>
                <c:pt idx="2">
                  <c:v>0.7999999999999976</c:v>
                </c:pt>
                <c:pt idx="3">
                  <c:v>-9.9999999999994413E-2</c:v>
                </c:pt>
                <c:pt idx="4">
                  <c:v>0</c:v>
                </c:pt>
                <c:pt idx="5">
                  <c:v>-2.2999999999999972</c:v>
                </c:pt>
                <c:pt idx="6">
                  <c:v>-1.7999999999999956</c:v>
                </c:pt>
                <c:pt idx="7">
                  <c:v>-1.2000000000000028</c:v>
                </c:pt>
                <c:pt idx="8">
                  <c:v>1.7999999999999956</c:v>
                </c:pt>
                <c:pt idx="9">
                  <c:v>6.5</c:v>
                </c:pt>
                <c:pt idx="10">
                  <c:v>11</c:v>
                </c:pt>
                <c:pt idx="11">
                  <c:v>14.5</c:v>
                </c:pt>
                <c:pt idx="12">
                  <c:v>17.5</c:v>
                </c:pt>
                <c:pt idx="13">
                  <c:v>24.200000000000003</c:v>
                </c:pt>
                <c:pt idx="14">
                  <c:v>20.5</c:v>
                </c:pt>
                <c:pt idx="15">
                  <c:v>16</c:v>
                </c:pt>
                <c:pt idx="16">
                  <c:v>10.3</c:v>
                </c:pt>
                <c:pt idx="17">
                  <c:v>-0.90000000000000568</c:v>
                </c:pt>
                <c:pt idx="18">
                  <c:v>-2.4</c:v>
                </c:pt>
                <c:pt idx="19">
                  <c:v>-2.2999999999999998</c:v>
                </c:pt>
                <c:pt idx="20">
                  <c:v>-1.7</c:v>
                </c:pt>
              </c:numCache>
            </c:numRef>
          </c:val>
          <c:smooth val="0"/>
          <c:extLst>
            <c:ext xmlns:c16="http://schemas.microsoft.com/office/drawing/2014/chart" uri="{C3380CC4-5D6E-409C-BE32-E72D297353CC}">
              <c16:uniqueId val="{00000002-8E64-402E-80AB-209CC92F7542}"/>
            </c:ext>
          </c:extLst>
        </c:ser>
        <c:ser>
          <c:idx val="3"/>
          <c:order val="3"/>
          <c:tx>
            <c:strRef>
              <c:f>'Ceny 4'!$F$5</c:f>
              <c:strCache>
                <c:ptCount val="1"/>
                <c:pt idx="0">
                  <c:v>Elektřina, plyn, pára a klim. vzduch</c:v>
                </c:pt>
              </c:strCache>
            </c:strRef>
          </c:tx>
          <c:spPr>
            <a:ln w="19050">
              <a:solidFill>
                <a:srgbClr val="F8A124"/>
              </a:solidFill>
            </a:ln>
          </c:spPr>
          <c:marker>
            <c:symbol val="none"/>
          </c:marker>
          <c:cat>
            <c:multiLvlStrRef>
              <c:f>'Ceny 4'!$A$10:$B$30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4'!$F$10:$F$30</c:f>
              <c:numCache>
                <c:formatCode>General</c:formatCode>
                <c:ptCount val="21"/>
                <c:pt idx="0">
                  <c:v>7.7000000000000028</c:v>
                </c:pt>
                <c:pt idx="1">
                  <c:v>8.3000000000000025</c:v>
                </c:pt>
                <c:pt idx="2">
                  <c:v>7.7999999999999972</c:v>
                </c:pt>
                <c:pt idx="3">
                  <c:v>8.3000000000000025</c:v>
                </c:pt>
                <c:pt idx="4">
                  <c:v>8.9000000000000057</c:v>
                </c:pt>
                <c:pt idx="5">
                  <c:v>8.2000000000000011</c:v>
                </c:pt>
                <c:pt idx="6">
                  <c:v>7.7999999999999972</c:v>
                </c:pt>
                <c:pt idx="7">
                  <c:v>6.0999999999999943</c:v>
                </c:pt>
                <c:pt idx="8">
                  <c:v>0.29999999999999755</c:v>
                </c:pt>
                <c:pt idx="9">
                  <c:v>9.9999999999994413E-2</c:v>
                </c:pt>
                <c:pt idx="10">
                  <c:v>0.7999999999999976</c:v>
                </c:pt>
                <c:pt idx="11">
                  <c:v>5.5</c:v>
                </c:pt>
                <c:pt idx="12">
                  <c:v>45</c:v>
                </c:pt>
                <c:pt idx="13">
                  <c:v>47.20000000000001</c:v>
                </c:pt>
                <c:pt idx="14">
                  <c:v>56</c:v>
                </c:pt>
                <c:pt idx="15">
                  <c:v>54.300000000000004</c:v>
                </c:pt>
                <c:pt idx="16">
                  <c:v>28.400000000000006</c:v>
                </c:pt>
                <c:pt idx="17">
                  <c:v>18.400000000000006</c:v>
                </c:pt>
                <c:pt idx="18">
                  <c:v>10.5</c:v>
                </c:pt>
                <c:pt idx="19">
                  <c:v>7.1</c:v>
                </c:pt>
                <c:pt idx="20">
                  <c:v>0.8</c:v>
                </c:pt>
              </c:numCache>
            </c:numRef>
          </c:val>
          <c:smooth val="0"/>
          <c:extLst>
            <c:ext xmlns:c16="http://schemas.microsoft.com/office/drawing/2014/chart" uri="{C3380CC4-5D6E-409C-BE32-E72D297353CC}">
              <c16:uniqueId val="{00000003-8E64-402E-80AB-209CC92F7542}"/>
            </c:ext>
          </c:extLst>
        </c:ser>
        <c:ser>
          <c:idx val="4"/>
          <c:order val="4"/>
          <c:tx>
            <c:strRef>
              <c:f>'Ceny 4'!$G$5</c:f>
              <c:strCache>
                <c:ptCount val="1"/>
                <c:pt idx="0">
                  <c:v>Zás. vodou; odpadní vody</c:v>
                </c:pt>
              </c:strCache>
            </c:strRef>
          </c:tx>
          <c:spPr>
            <a:ln w="19050">
              <a:solidFill>
                <a:schemeClr val="accent1"/>
              </a:solidFill>
            </a:ln>
          </c:spPr>
          <c:marker>
            <c:symbol val="none"/>
          </c:marker>
          <c:cat>
            <c:multiLvlStrRef>
              <c:f>'Ceny 4'!$A$10:$B$30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4'!$G$10:$G$30</c:f>
              <c:numCache>
                <c:formatCode>General</c:formatCode>
                <c:ptCount val="21"/>
                <c:pt idx="0">
                  <c:v>2.9000000000000057</c:v>
                </c:pt>
                <c:pt idx="1">
                  <c:v>2.9000000000000057</c:v>
                </c:pt>
                <c:pt idx="2">
                  <c:v>2.9000000000000057</c:v>
                </c:pt>
                <c:pt idx="3">
                  <c:v>2.9000000000000057</c:v>
                </c:pt>
                <c:pt idx="4">
                  <c:v>5.4000000000000083</c:v>
                </c:pt>
                <c:pt idx="5">
                  <c:v>6.0999999999999943</c:v>
                </c:pt>
                <c:pt idx="6">
                  <c:v>6.4000000000000083</c:v>
                </c:pt>
                <c:pt idx="7">
                  <c:v>6.4000000000000083</c:v>
                </c:pt>
                <c:pt idx="8">
                  <c:v>6.9000000000000083</c:v>
                </c:pt>
                <c:pt idx="9">
                  <c:v>6.2000000000000028</c:v>
                </c:pt>
                <c:pt idx="10">
                  <c:v>5.9000000000000083</c:v>
                </c:pt>
                <c:pt idx="11">
                  <c:v>5.9000000000000083</c:v>
                </c:pt>
                <c:pt idx="12">
                  <c:v>5.2999999999999972</c:v>
                </c:pt>
                <c:pt idx="13">
                  <c:v>5.2999999999999972</c:v>
                </c:pt>
                <c:pt idx="14">
                  <c:v>5.2999999999999972</c:v>
                </c:pt>
                <c:pt idx="15">
                  <c:v>5.2999999999999972</c:v>
                </c:pt>
                <c:pt idx="16">
                  <c:v>16.299999999999986</c:v>
                </c:pt>
                <c:pt idx="17">
                  <c:v>16.299999999999986</c:v>
                </c:pt>
                <c:pt idx="18">
                  <c:v>16.3</c:v>
                </c:pt>
                <c:pt idx="19">
                  <c:v>16.3</c:v>
                </c:pt>
                <c:pt idx="20">
                  <c:v>9.2000000000000011</c:v>
                </c:pt>
              </c:numCache>
            </c:numRef>
          </c:val>
          <c:smooth val="0"/>
          <c:extLst>
            <c:ext xmlns:c16="http://schemas.microsoft.com/office/drawing/2014/chart" uri="{C3380CC4-5D6E-409C-BE32-E72D297353CC}">
              <c16:uniqueId val="{00000004-8E64-402E-80AB-209CC92F7542}"/>
            </c:ext>
          </c:extLst>
        </c:ser>
        <c:dLbls>
          <c:showLegendKey val="0"/>
          <c:showVal val="0"/>
          <c:showCatName val="0"/>
          <c:showSerName val="0"/>
          <c:showPercent val="0"/>
          <c:showBubbleSize val="0"/>
        </c:dLbls>
        <c:marker val="1"/>
        <c:smooth val="0"/>
        <c:axId val="117908608"/>
        <c:axId val="117910144"/>
      </c:lineChart>
      <c:catAx>
        <c:axId val="117908608"/>
        <c:scaling>
          <c:orientation val="minMax"/>
        </c:scaling>
        <c:delete val="0"/>
        <c:axPos val="b"/>
        <c:numFmt formatCode="General" sourceLinked="0"/>
        <c:majorTickMark val="out"/>
        <c:minorTickMark val="none"/>
        <c:tickLblPos val="low"/>
        <c:spPr>
          <a:ln>
            <a:solidFill>
              <a:schemeClr val="tx1"/>
            </a:solidFill>
          </a:ln>
        </c:spPr>
        <c:crossAx val="117910144"/>
        <c:crosses val="autoZero"/>
        <c:auto val="1"/>
        <c:lblAlgn val="ctr"/>
        <c:lblOffset val="100"/>
        <c:noMultiLvlLbl val="0"/>
      </c:catAx>
      <c:valAx>
        <c:axId val="117910144"/>
        <c:scaling>
          <c:orientation val="minMax"/>
          <c:min val="-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7908608"/>
        <c:crosses val="autoZero"/>
        <c:crossBetween val="between"/>
        <c:majorUnit val="5"/>
      </c:valAx>
      <c:spPr>
        <a:ln>
          <a:solidFill>
            <a:schemeClr val="tx1"/>
          </a:solidFill>
        </a:ln>
      </c:spPr>
    </c:plotArea>
    <c:legend>
      <c:legendPos val="b"/>
      <c:layout>
        <c:manualLayout>
          <c:xMode val="edge"/>
          <c:yMode val="edge"/>
          <c:x val="5.0756819693945479E-2"/>
          <c:y val="0.86223931272106069"/>
          <c:w val="0.92591056042997266"/>
          <c:h val="0.12109402425765239"/>
        </c:manualLayout>
      </c:layout>
      <c:overlay val="0"/>
      <c:spPr>
        <a:ln w="6350">
          <a:no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0204C7C21F48A488F44995C5F8FB06D" ma:contentTypeVersion="11" ma:contentTypeDescription="Vytvoří nový dokument" ma:contentTypeScope="" ma:versionID="9a58d24f60b264923fe9c7150327a53c">
  <xsd:schema xmlns:xsd="http://www.w3.org/2001/XMLSchema" xmlns:xs="http://www.w3.org/2001/XMLSchema" xmlns:p="http://schemas.microsoft.com/office/2006/metadata/properties" xmlns:ns3="b8c0c86d-151e-4fca-b0d5-747e6692fa1d" targetNamespace="http://schemas.microsoft.com/office/2006/metadata/properties" ma:root="true" ma:fieldsID="91c8efd7c542b57fe84d8bfb95d003d1" ns3:_="">
    <xsd:import namespace="b8c0c86d-151e-4fca-b0d5-747e6692fa1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c86d-151e-4fca-b0d5-747e6692f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2.xml><?xml version="1.0" encoding="utf-8"?>
<ds:datastoreItem xmlns:ds="http://schemas.openxmlformats.org/officeDocument/2006/customXml" ds:itemID="{1E238702-393C-4E0B-95FC-639749005827}">
  <ds:schemaRef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b8c0c86d-151e-4fca-b0d5-747e6692fa1d"/>
    <ds:schemaRef ds:uri="http://purl.org/dc/elements/1.1/"/>
  </ds:schemaRefs>
</ds:datastoreItem>
</file>

<file path=customXml/itemProps3.xml><?xml version="1.0" encoding="utf-8"?>
<ds:datastoreItem xmlns:ds="http://schemas.openxmlformats.org/officeDocument/2006/customXml" ds:itemID="{CB628BEE-D3B6-471C-BFAD-E9D2E34E1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0c86d-151e-4fca-b0d5-747e6692f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83A79-1833-4B5E-A825-0FBF6DA67A9E}">
  <ds:schemaRefs>
    <ds:schemaRef ds:uri="http://schemas.openxmlformats.org/officeDocument/2006/bibliography"/>
  </ds:schemaRefs>
</ds:datastoreItem>
</file>

<file path=customXml/itemProps5.xml><?xml version="1.0" encoding="utf-8"?>
<ds:datastoreItem xmlns:ds="http://schemas.openxmlformats.org/officeDocument/2006/customXml" ds:itemID="{41B1895C-06F2-41DB-A196-AC17F7B3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6</Pages>
  <Words>2438</Words>
  <Characters>14391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Karolína Súkupová</dc:creator>
  <cp:keywords/>
  <dc:description/>
  <cp:lastModifiedBy>Zábojníková Karolína</cp:lastModifiedBy>
  <cp:revision>3</cp:revision>
  <cp:lastPrinted>2023-06-09T17:23:00Z</cp:lastPrinted>
  <dcterms:created xsi:type="dcterms:W3CDTF">2024-06-14T09:49:00Z</dcterms:created>
  <dcterms:modified xsi:type="dcterms:W3CDTF">2024-06-14T10:03:00Z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0x01010070204C7C21F48A488F44995C5F8FB06D</vt:lpwstr>
  </property>
</Properties>
</file>