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6" w:rsidRPr="001B16ED" w:rsidRDefault="00A87366" w:rsidP="00191423">
      <w:pPr>
        <w:autoSpaceDE w:val="0"/>
        <w:autoSpaceDN w:val="0"/>
        <w:adjustRightInd w:val="0"/>
        <w:spacing w:before="240" w:after="240" w:line="20" w:lineRule="atLeast"/>
        <w:jc w:val="both"/>
        <w:rPr>
          <w:rFonts w:ascii="Arial" w:eastAsiaTheme="minorHAnsi" w:hAnsi="Arial" w:cs="Arial"/>
          <w:b/>
          <w:bCs/>
          <w:sz w:val="28"/>
          <w:szCs w:val="20"/>
          <w:lang w:eastAsia="en-US"/>
        </w:rPr>
      </w:pPr>
      <w:r w:rsidRPr="001B16ED">
        <w:rPr>
          <w:rFonts w:ascii="Arial" w:eastAsiaTheme="minorHAnsi" w:hAnsi="Arial" w:cs="Arial"/>
          <w:b/>
          <w:bCs/>
          <w:sz w:val="28"/>
          <w:szCs w:val="20"/>
          <w:lang w:eastAsia="en-US"/>
        </w:rPr>
        <w:t xml:space="preserve">ÚVOD </w:t>
      </w:r>
    </w:p>
    <w:p w:rsidR="00297E46" w:rsidRPr="00191423" w:rsidRDefault="00272F8F" w:rsidP="00191423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Strukturální šetření v zemědělství </w:t>
      </w:r>
      <w:r w:rsidR="00BB6E5C">
        <w:rPr>
          <w:rFonts w:ascii="Arial" w:eastAsiaTheme="minorHAnsi" w:hAnsi="Arial" w:cs="Arial"/>
          <w:sz w:val="20"/>
          <w:szCs w:val="22"/>
          <w:lang w:eastAsia="en-US"/>
        </w:rPr>
        <w:t>proběhlo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na podzim roku 2013 jako výběrové </w:t>
      </w:r>
      <w:r w:rsidR="002A55E3" w:rsidRPr="00191423">
        <w:rPr>
          <w:rFonts w:ascii="Arial" w:eastAsiaTheme="minorHAnsi" w:hAnsi="Arial" w:cs="Arial"/>
          <w:sz w:val="20"/>
          <w:szCs w:val="22"/>
          <w:lang w:eastAsia="en-US"/>
        </w:rPr>
        <w:t>zjišťování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. </w:t>
      </w:r>
      <w:r w:rsidR="00B0377C">
        <w:rPr>
          <w:rFonts w:ascii="Arial" w:eastAsiaTheme="minorHAnsi" w:hAnsi="Arial" w:cs="Arial"/>
          <w:sz w:val="20"/>
          <w:szCs w:val="22"/>
          <w:lang w:eastAsia="en-US"/>
        </w:rPr>
        <w:t>N</w:t>
      </w:r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>av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ázalo </w:t>
      </w:r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na celoplošné zemědělské sčítání </w:t>
      </w:r>
      <w:proofErr w:type="spellStart"/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>Agrocenzus</w:t>
      </w:r>
      <w:proofErr w:type="spellEnd"/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2010</w:t>
      </w:r>
      <w:r w:rsidR="000B3341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výběrová šetření 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 xml:space="preserve">konaná 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>v letech 2007, 2005 a 2003</w:t>
      </w:r>
      <w:r w:rsidR="000B3341">
        <w:rPr>
          <w:rFonts w:ascii="Arial" w:eastAsiaTheme="minorHAnsi" w:hAnsi="Arial" w:cs="Arial"/>
          <w:sz w:val="20"/>
          <w:szCs w:val="22"/>
          <w:lang w:eastAsia="en-US"/>
        </w:rPr>
        <w:t xml:space="preserve"> a plošné zjišťování Agrocenzus 2000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. </w:t>
      </w:r>
      <w:r w:rsidR="004B7437">
        <w:rPr>
          <w:rFonts w:ascii="Arial" w:eastAsiaTheme="minorHAnsi" w:hAnsi="Arial" w:cs="Arial"/>
          <w:sz w:val="20"/>
          <w:szCs w:val="22"/>
          <w:lang w:eastAsia="en-US"/>
        </w:rPr>
        <w:t>Jeho c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ílem </w:t>
      </w:r>
      <w:r w:rsidR="00191423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bylo 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zji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štění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detailní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ch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a komplexní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ch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informací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o velikosti, struktuře a vývoji zemědělských subjektů, jejich vybavenosti, výrobní orientaci a </w:t>
      </w:r>
      <w:proofErr w:type="spellStart"/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mimozemědělských</w:t>
      </w:r>
      <w:proofErr w:type="spellEnd"/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a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doplňkových činnostech. Šetření je také podkladem pro aktualizaci registru farem, který slouží jako základna pro každoroční zjišťování v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zemědělství. </w:t>
      </w:r>
    </w:p>
    <w:p w:rsidR="008B6C40" w:rsidRPr="00191423" w:rsidRDefault="00DD5905" w:rsidP="00191423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Strukturální šetření 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se provádí ve všech členských státech Evropské unie (EU) na základě požadavků legislativy EU/ES</w:t>
      </w:r>
      <w:r w:rsidR="00B0377C">
        <w:rPr>
          <w:rFonts w:ascii="Arial" w:eastAsiaTheme="minorHAnsi" w:hAnsi="Arial" w:cs="Arial"/>
          <w:sz w:val="20"/>
          <w:szCs w:val="22"/>
          <w:lang w:eastAsia="en-US"/>
        </w:rPr>
        <w:t>. Základním právním předpisem je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nařízení Evropského parlamentu a Rady (ES) č. 1166/2008 ze dne 19. listopadu 2008, o statistických zjišťováních o struktuře zemědělských podniků a o statistickém zjišťování o metodách zemědělské výroby a o zrušení nařízení Rady (EHS) č. 571/88. Prováděcím předpisem k výše uvedenému nařízení je nařízení Komise (ES) č. 1200/2009 ze dne 30. listopadu 2009.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</w:p>
    <w:p w:rsidR="00110B8B" w:rsidRPr="00EF660F" w:rsidRDefault="00191423" w:rsidP="00A237D5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t>Podle výše jmenované legislativy se zjišťování týká (i) zemědělských subjektů</w:t>
      </w:r>
      <w:r w:rsidRPr="00831AD8">
        <w:rPr>
          <w:rFonts w:ascii="Arial" w:eastAsiaTheme="minorHAnsi" w:hAnsi="Arial" w:cs="Arial"/>
          <w:sz w:val="20"/>
          <w:szCs w:val="22"/>
          <w:vertAlign w:val="superscript"/>
          <w:lang w:eastAsia="en-US"/>
        </w:rPr>
        <w:footnoteReference w:id="1"/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, jejichž obhospodařovaná zemědělská půda činí nejméně jeden hektar; (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ii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) zemědělských subjektů, jejichž obhospodařovaná zemědělská půda činí méně než jeden hektar, </w:t>
      </w:r>
      <w:r w:rsidR="00A237D5" w:rsidRPr="00A237D5">
        <w:rPr>
          <w:rFonts w:ascii="Arial" w:eastAsiaTheme="minorHAnsi" w:hAnsi="Arial" w:cs="Arial"/>
          <w:sz w:val="20"/>
          <w:szCs w:val="22"/>
          <w:lang w:eastAsia="en-US"/>
        </w:rPr>
        <w:t>jestliže tyto podniky produkují určitou část na prodej nebo jestliže jejich produkční jednotka přesahuje některou fyzickou prahovou hodnotu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 Členské státy mohou použít pro zjišťování práh větší než jeden hektar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, m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usí ho však stanovit na takové úrovni, aby ze šetření byly vyloučeny jen menší zemědělské subjekty, které tvoří celkem nejvýše 2 % celkové obhospodařované zemědělské půdy a nejvýše 2 % z celkového počtu </w:t>
      </w:r>
      <w:r w:rsidR="00110B8B" w:rsidRPr="00EF660F">
        <w:rPr>
          <w:rFonts w:ascii="Arial" w:eastAsiaTheme="minorHAnsi" w:hAnsi="Arial" w:cs="Arial"/>
          <w:sz w:val="20"/>
          <w:szCs w:val="22"/>
          <w:lang w:eastAsia="en-US"/>
        </w:rPr>
        <w:t>dobytčích jednotek</w:t>
      </w:r>
      <w:r w:rsidR="00110B8B" w:rsidRPr="00EF660F">
        <w:rPr>
          <w:rFonts w:ascii="Arial" w:eastAsiaTheme="minorHAnsi" w:hAnsi="Arial" w:cs="Arial"/>
          <w:sz w:val="20"/>
          <w:szCs w:val="22"/>
          <w:vertAlign w:val="superscript"/>
          <w:lang w:eastAsia="en-US"/>
        </w:rPr>
        <w:footnoteReference w:id="2"/>
      </w:r>
      <w:r w:rsidR="00110B8B" w:rsidRPr="00EF660F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191423" w:rsidRPr="00191423" w:rsidRDefault="000F2770" w:rsidP="000F2770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91423">
        <w:rPr>
          <w:rFonts w:ascii="Arial" w:hAnsi="Arial" w:cs="Arial"/>
          <w:sz w:val="20"/>
          <w:szCs w:val="20"/>
        </w:rPr>
        <w:t xml:space="preserve">e Strukturálním šetření 2013 </w:t>
      </w:r>
      <w:r w:rsidR="00191423" w:rsidRPr="00191423">
        <w:rPr>
          <w:rFonts w:ascii="Arial" w:hAnsi="Arial" w:cs="Arial"/>
          <w:sz w:val="20"/>
          <w:szCs w:val="20"/>
        </w:rPr>
        <w:t xml:space="preserve">byly </w:t>
      </w:r>
      <w:r w:rsidRPr="00191423">
        <w:rPr>
          <w:rFonts w:ascii="Arial" w:hAnsi="Arial" w:cs="Arial"/>
          <w:sz w:val="20"/>
          <w:szCs w:val="20"/>
        </w:rPr>
        <w:t xml:space="preserve">pro Českou republiku </w:t>
      </w:r>
      <w:r>
        <w:rPr>
          <w:rFonts w:ascii="Arial" w:hAnsi="Arial" w:cs="Arial"/>
          <w:sz w:val="20"/>
          <w:szCs w:val="20"/>
        </w:rPr>
        <w:t xml:space="preserve">použity </w:t>
      </w:r>
      <w:r w:rsidR="00191423" w:rsidRPr="00191423">
        <w:rPr>
          <w:rFonts w:ascii="Arial" w:hAnsi="Arial" w:cs="Arial"/>
          <w:sz w:val="20"/>
          <w:szCs w:val="20"/>
        </w:rPr>
        <w:t>následující</w:t>
      </w:r>
      <w:r w:rsidRPr="000F2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1423">
        <w:rPr>
          <w:rFonts w:ascii="Arial" w:hAnsi="Arial" w:cs="Arial"/>
          <w:sz w:val="20"/>
          <w:szCs w:val="20"/>
        </w:rPr>
        <w:t>rahové hodnoty</w:t>
      </w:r>
      <w:r w:rsidR="00191423" w:rsidRPr="00191423">
        <w:rPr>
          <w:rFonts w:ascii="Arial" w:hAnsi="Arial" w:cs="Arial"/>
          <w:sz w:val="20"/>
          <w:szCs w:val="20"/>
        </w:rPr>
        <w:t xml:space="preserve">: 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5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ha obhospodařované zemědělské půdy vlastní nebo najaté,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ha sadů,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3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500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m</w:t>
      </w:r>
      <w:r w:rsidRPr="00191423">
        <w:rPr>
          <w:rFonts w:ascii="Arial" w:hAnsi="Arial" w:cs="Arial"/>
          <w:sz w:val="20"/>
          <w:szCs w:val="20"/>
          <w:vertAlign w:val="superscript"/>
        </w:rPr>
        <w:t>2</w:t>
      </w:r>
      <w:r w:rsidRPr="00191423">
        <w:rPr>
          <w:rFonts w:ascii="Arial" w:hAnsi="Arial" w:cs="Arial"/>
          <w:sz w:val="20"/>
          <w:szCs w:val="20"/>
        </w:rPr>
        <w:t xml:space="preserve"> vinic,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součtová plocha zeleniny, jahod a květin od výměry 2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500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m</w:t>
      </w:r>
      <w:r w:rsidRPr="00191423">
        <w:rPr>
          <w:rFonts w:ascii="Arial" w:hAnsi="Arial" w:cs="Arial"/>
          <w:sz w:val="20"/>
          <w:szCs w:val="20"/>
          <w:vertAlign w:val="superscript"/>
        </w:rPr>
        <w:t>2</w:t>
      </w:r>
      <w:r w:rsidRPr="00191423">
        <w:rPr>
          <w:rFonts w:ascii="Arial" w:hAnsi="Arial" w:cs="Arial"/>
          <w:sz w:val="20"/>
          <w:szCs w:val="20"/>
        </w:rPr>
        <w:t>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chov 5 ks skotu,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prasat,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koz a ovcí, nebo</w:t>
      </w:r>
    </w:p>
    <w:p w:rsidR="00191423" w:rsidRPr="00191423" w:rsidRDefault="00191423" w:rsidP="00651B95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120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chov 100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drůbeže včetně běžců.</w:t>
      </w:r>
    </w:p>
    <w:p w:rsidR="004B7437" w:rsidRPr="00EF660F" w:rsidRDefault="0001096C" w:rsidP="00EF660F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Pro vytvoření výběrového souboru byla použita metoda stratifikovaného náhodného výběru. Výkaz pro Strukturální šetření v zemědělství 2013 vyplnilo celkem </w:t>
      </w:r>
      <w:r w:rsidR="0071416A" w:rsidRPr="00E002CE">
        <w:rPr>
          <w:rFonts w:ascii="Arial" w:eastAsiaTheme="minorHAnsi" w:hAnsi="Arial" w:cs="Arial"/>
          <w:sz w:val="20"/>
          <w:szCs w:val="22"/>
          <w:lang w:eastAsia="en-US"/>
        </w:rPr>
        <w:t>11</w:t>
      </w:r>
      <w:r w:rsidR="00A11C44" w:rsidRPr="00E002CE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2643F2" w:rsidRPr="00E002CE">
        <w:rPr>
          <w:rFonts w:ascii="Arial" w:eastAsiaTheme="minorHAnsi" w:hAnsi="Arial" w:cs="Arial"/>
          <w:sz w:val="20"/>
          <w:szCs w:val="22"/>
          <w:lang w:eastAsia="en-US"/>
        </w:rPr>
        <w:t>186</w:t>
      </w:r>
      <w:r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 zemědělských subjektů. V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> analýz</w:t>
      </w:r>
      <w:r w:rsidRPr="00651B95">
        <w:rPr>
          <w:rFonts w:ascii="Arial" w:eastAsiaTheme="minorHAnsi" w:hAnsi="Arial" w:cs="Arial"/>
          <w:sz w:val="20"/>
          <w:szCs w:val="22"/>
          <w:lang w:eastAsia="en-US"/>
        </w:rPr>
        <w:t>e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 výsledků byly použity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 údaje dopočtené na základní soubor pro 26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246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zemědělských subjektů (23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345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subjektů fyzických osob a 2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901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právnických osob) 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>s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plňujících stanovené prahové hodnoty.</w:t>
      </w:r>
      <w:r w:rsidR="00191423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</w:p>
    <w:p w:rsidR="00BB6E5C" w:rsidRPr="00EF660F" w:rsidRDefault="00BB6E5C" w:rsidP="00EF660F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Jedním z nejvýznamnějších výstupů Strukturálního šetření v zemědělství 2013 je klasifikace zemědělských subjektů podle typu jejich výrobního zaměření, ekonomické velikosti a podle významu jiných výdělečných činností. Typologii farem [Nařízení komise (ES) č. 1242/2008 ze dne 8. prosince 2008 o založení klasifikačního systému pro zemědělské podniky ve Společenství] zajišťuje v České republice Ústav zemědělské ekonomiky a informací (ÚZEI), provozovatel mezinárodní zemědělské účetní datové sítě (FADN, 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Farm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Accountancy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Data Network), na základě mikroekonomických charakteristik zemědělských podniků</w:t>
      </w:r>
      <w:r w:rsidR="00CF1E89">
        <w:rPr>
          <w:rFonts w:ascii="Arial" w:eastAsiaTheme="minorHAnsi" w:hAnsi="Arial" w:cs="Arial"/>
          <w:sz w:val="20"/>
          <w:szCs w:val="22"/>
          <w:lang w:eastAsia="en-US"/>
        </w:rPr>
        <w:t xml:space="preserve"> odvozených z údajů zjišťovaných ve strukturálních šetřeních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191423" w:rsidRPr="00BB6E5C" w:rsidRDefault="00BB6E5C" w:rsidP="005E10D3">
      <w:pPr>
        <w:spacing w:after="120" w:line="20" w:lineRule="atLeast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t>Předkládaná analytická publikace sestává z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e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 dvou tematicky odlišných částí. První část je zaměřena na typologii farem a je zpracována kolektivem pracovníků Ústavu zemědělské ekonomiky a informací.</w:t>
      </w:r>
      <w:r w:rsidR="004D28D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Druhá část popisuje změny v našem zemědělství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71416A">
        <w:rPr>
          <w:rFonts w:ascii="Arial" w:eastAsiaTheme="minorHAnsi" w:hAnsi="Arial" w:cs="Arial"/>
          <w:sz w:val="20"/>
          <w:szCs w:val="22"/>
          <w:lang w:eastAsia="en-US"/>
        </w:rPr>
        <w:t>na základě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71416A">
        <w:rPr>
          <w:rFonts w:ascii="Arial" w:eastAsiaTheme="minorHAnsi" w:hAnsi="Arial" w:cs="Arial"/>
          <w:sz w:val="20"/>
          <w:szCs w:val="22"/>
          <w:lang w:eastAsia="en-US"/>
        </w:rPr>
        <w:t xml:space="preserve">srovnání 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výsledků Strukturálního šetření v zemědělství 2013 s výsledky šetření </w:t>
      </w:r>
      <w:proofErr w:type="spellStart"/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Agrocenzus</w:t>
      </w:r>
      <w:proofErr w:type="spellEnd"/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2000</w:t>
      </w:r>
      <w:r w:rsidR="009D5EF7">
        <w:rPr>
          <w:rFonts w:ascii="Arial" w:eastAsiaTheme="minorHAnsi" w:hAnsi="Arial" w:cs="Arial"/>
          <w:sz w:val="20"/>
          <w:szCs w:val="22"/>
          <w:lang w:eastAsia="en-US"/>
        </w:rPr>
        <w:t xml:space="preserve"> a regionální rozdíly zachycené na základě FSS 2013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 Kapitolu připravil kolektiv pracovníků Českého statistického úřadu.</w:t>
      </w:r>
    </w:p>
    <w:sectPr w:rsidR="00191423" w:rsidRPr="00BB6E5C" w:rsidSect="00CF1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9C" w:rsidRDefault="0051519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endnote>
  <w:endnote w:type="continuationSeparator" w:id="0">
    <w:p w:rsidR="0051519C" w:rsidRDefault="0051519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9C" w:rsidRDefault="0051519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footnote>
  <w:footnote w:type="continuationSeparator" w:id="0">
    <w:p w:rsidR="0051519C" w:rsidRDefault="0051519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footnote>
  <w:footnote w:id="1">
    <w:p w:rsidR="00191423" w:rsidRPr="004D28DF" w:rsidRDefault="00191423" w:rsidP="00191423">
      <w:pPr>
        <w:pStyle w:val="Textpoznpodarou"/>
        <w:jc w:val="both"/>
        <w:rPr>
          <w:rFonts w:ascii="Arial" w:hAnsi="Arial" w:cs="Arial"/>
          <w:sz w:val="18"/>
        </w:rPr>
      </w:pPr>
      <w:r w:rsidRPr="004D28DF">
        <w:rPr>
          <w:rStyle w:val="Znakapoznpodarou"/>
          <w:rFonts w:ascii="Arial" w:hAnsi="Arial" w:cs="Arial"/>
          <w:sz w:val="18"/>
        </w:rPr>
        <w:footnoteRef/>
      </w:r>
      <w:r w:rsidRPr="004D28DF">
        <w:rPr>
          <w:rFonts w:ascii="Arial" w:hAnsi="Arial" w:cs="Arial"/>
          <w:sz w:val="18"/>
        </w:rPr>
        <w:t xml:space="preserve"> Zemědělským subjektem se rozumí </w:t>
      </w:r>
      <w:proofErr w:type="spellStart"/>
      <w:proofErr w:type="gramStart"/>
      <w:r w:rsidRPr="004D28DF">
        <w:rPr>
          <w:rFonts w:ascii="Arial" w:hAnsi="Arial" w:cs="Arial"/>
          <w:sz w:val="18"/>
        </w:rPr>
        <w:t>technicko</w:t>
      </w:r>
      <w:proofErr w:type="spellEnd"/>
      <w:r w:rsidRPr="004D28DF">
        <w:rPr>
          <w:rFonts w:ascii="Arial" w:hAnsi="Arial" w:cs="Arial"/>
          <w:sz w:val="18"/>
        </w:rPr>
        <w:t>–hospodářská</w:t>
      </w:r>
      <w:proofErr w:type="gramEnd"/>
      <w:r w:rsidRPr="004D28DF">
        <w:rPr>
          <w:rFonts w:ascii="Arial" w:hAnsi="Arial" w:cs="Arial"/>
          <w:sz w:val="18"/>
        </w:rPr>
        <w:t xml:space="preserve"> jednotka, která podléhá jednotnému řízení a provádí činnosti podle Klasifikace ekonomických činností (CZ-NACE) jako svou primární nebo sekundární činnost. Tyto činnosti jsou: pěstování plodin jiných než trvalých (01.1), pěstování trvalých plodin (01.2) včetně produkce vína z hroznů pocházejících z vlastní produkce, množení rostlin (01.3), živočišná výroba (01.4), smíšené hospodářství (01.5), podpůrné činnosti pro zemědělství a posklizňové činnosti (01.6). Nejsou zahrnuty zemědělské subjekty s chovem ostatních zvířat (01.49) vyjma chovu pštrosů, emu a králíků, chovu včel a výroby medu a včelího vosku. Dále se ze šetření vyjímají všechny zemědělské subjekty, které výhradně provádějí činnosti ve skupině 01.6, kromě subjektů udržujících zemědělskou půdu v dobrém zemědělském a environmentálním stavu.</w:t>
      </w:r>
    </w:p>
  </w:footnote>
  <w:footnote w:id="2">
    <w:p w:rsidR="00110B8B" w:rsidRPr="004D28DF" w:rsidRDefault="00110B8B" w:rsidP="00110B8B">
      <w:pPr>
        <w:pStyle w:val="Textpoznpodarou"/>
        <w:jc w:val="both"/>
        <w:rPr>
          <w:rFonts w:ascii="Arial" w:hAnsi="Arial" w:cs="Arial"/>
          <w:sz w:val="18"/>
        </w:rPr>
      </w:pPr>
      <w:r w:rsidRPr="004D28DF">
        <w:rPr>
          <w:rStyle w:val="Znakapoznpodarou"/>
          <w:rFonts w:ascii="Arial" w:hAnsi="Arial" w:cs="Arial"/>
          <w:sz w:val="18"/>
        </w:rPr>
        <w:footnoteRef/>
      </w:r>
      <w:r w:rsidRPr="004D28DF">
        <w:rPr>
          <w:rFonts w:ascii="Arial" w:hAnsi="Arial" w:cs="Arial"/>
          <w:sz w:val="18"/>
        </w:rPr>
        <w:t xml:space="preserve"> Dobytčí jednotka (DJ) je standardní měřicí jednotka umožňující sdružení různých kategorií hospodářských zvířat za účelem jejich srovnání. 1 DJ představuje 500 kg živé váhy zvířete.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482D9C"/>
    <w:multiLevelType w:val="hybridMultilevel"/>
    <w:tmpl w:val="ABBA0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F240D"/>
    <w:multiLevelType w:val="hybridMultilevel"/>
    <w:tmpl w:val="A29CA57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DC26BB9"/>
    <w:multiLevelType w:val="hybridMultilevel"/>
    <w:tmpl w:val="B3DEEA3A"/>
    <w:lvl w:ilvl="0" w:tplc="E8384198">
      <w:start w:val="1"/>
      <w:numFmt w:val="bullet"/>
      <w:pStyle w:val="odrky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964ED"/>
    <w:multiLevelType w:val="hybridMultilevel"/>
    <w:tmpl w:val="490A5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714C9F"/>
    <w:multiLevelType w:val="hybridMultilevel"/>
    <w:tmpl w:val="3F9CA78E"/>
    <w:lvl w:ilvl="0" w:tplc="F33869C6">
      <w:numFmt w:val="bullet"/>
      <w:lvlText w:val="•"/>
      <w:lvlJc w:val="left"/>
      <w:pPr>
        <w:ind w:left="3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2B"/>
    <w:rsid w:val="0001096C"/>
    <w:rsid w:val="00024A5B"/>
    <w:rsid w:val="00027A7C"/>
    <w:rsid w:val="000345E0"/>
    <w:rsid w:val="00083318"/>
    <w:rsid w:val="000B3341"/>
    <w:rsid w:val="000D42C7"/>
    <w:rsid w:val="000F2770"/>
    <w:rsid w:val="00110B8B"/>
    <w:rsid w:val="00184DA3"/>
    <w:rsid w:val="00191423"/>
    <w:rsid w:val="0019359F"/>
    <w:rsid w:val="001A5035"/>
    <w:rsid w:val="001B16ED"/>
    <w:rsid w:val="001B6C44"/>
    <w:rsid w:val="001C120D"/>
    <w:rsid w:val="002068AD"/>
    <w:rsid w:val="00226C6D"/>
    <w:rsid w:val="0025494B"/>
    <w:rsid w:val="00255C37"/>
    <w:rsid w:val="002643F2"/>
    <w:rsid w:val="00272F8F"/>
    <w:rsid w:val="002808A0"/>
    <w:rsid w:val="00297E46"/>
    <w:rsid w:val="002A55E3"/>
    <w:rsid w:val="002D27FD"/>
    <w:rsid w:val="002D43E6"/>
    <w:rsid w:val="00303FF2"/>
    <w:rsid w:val="0032771A"/>
    <w:rsid w:val="0033472A"/>
    <w:rsid w:val="00362A2B"/>
    <w:rsid w:val="0037223E"/>
    <w:rsid w:val="004110CF"/>
    <w:rsid w:val="004A0310"/>
    <w:rsid w:val="004B7437"/>
    <w:rsid w:val="004D28DF"/>
    <w:rsid w:val="004E3600"/>
    <w:rsid w:val="00511DA0"/>
    <w:rsid w:val="0051519C"/>
    <w:rsid w:val="00527E69"/>
    <w:rsid w:val="00556592"/>
    <w:rsid w:val="0056333C"/>
    <w:rsid w:val="005B7298"/>
    <w:rsid w:val="005C68D3"/>
    <w:rsid w:val="005D1D5E"/>
    <w:rsid w:val="005D5205"/>
    <w:rsid w:val="005E10D3"/>
    <w:rsid w:val="005E2A68"/>
    <w:rsid w:val="005F2535"/>
    <w:rsid w:val="00603CDA"/>
    <w:rsid w:val="0060693C"/>
    <w:rsid w:val="00626AA6"/>
    <w:rsid w:val="00645CB0"/>
    <w:rsid w:val="00651B95"/>
    <w:rsid w:val="00664B6E"/>
    <w:rsid w:val="00671B1C"/>
    <w:rsid w:val="00695E62"/>
    <w:rsid w:val="006B34BD"/>
    <w:rsid w:val="006C01CA"/>
    <w:rsid w:val="006C68F6"/>
    <w:rsid w:val="006D1D11"/>
    <w:rsid w:val="007119B1"/>
    <w:rsid w:val="0071416A"/>
    <w:rsid w:val="00736B2F"/>
    <w:rsid w:val="007779EC"/>
    <w:rsid w:val="00777BC1"/>
    <w:rsid w:val="007C7E75"/>
    <w:rsid w:val="007F0271"/>
    <w:rsid w:val="00821A57"/>
    <w:rsid w:val="00831AD8"/>
    <w:rsid w:val="0083351A"/>
    <w:rsid w:val="00883CAA"/>
    <w:rsid w:val="00896EF0"/>
    <w:rsid w:val="008B6C40"/>
    <w:rsid w:val="008D6B24"/>
    <w:rsid w:val="009510A7"/>
    <w:rsid w:val="00961588"/>
    <w:rsid w:val="00974B2C"/>
    <w:rsid w:val="009774F5"/>
    <w:rsid w:val="009B0366"/>
    <w:rsid w:val="009C2691"/>
    <w:rsid w:val="009C3255"/>
    <w:rsid w:val="009D5EF7"/>
    <w:rsid w:val="009E168C"/>
    <w:rsid w:val="009E7DA1"/>
    <w:rsid w:val="00A04588"/>
    <w:rsid w:val="00A11C44"/>
    <w:rsid w:val="00A12BF4"/>
    <w:rsid w:val="00A14F72"/>
    <w:rsid w:val="00A237D5"/>
    <w:rsid w:val="00A3606E"/>
    <w:rsid w:val="00A87366"/>
    <w:rsid w:val="00AB7F02"/>
    <w:rsid w:val="00AE4331"/>
    <w:rsid w:val="00AF2F3B"/>
    <w:rsid w:val="00B0377C"/>
    <w:rsid w:val="00B15E23"/>
    <w:rsid w:val="00BB6E5C"/>
    <w:rsid w:val="00BF2888"/>
    <w:rsid w:val="00C17FB3"/>
    <w:rsid w:val="00C33FD3"/>
    <w:rsid w:val="00C363A0"/>
    <w:rsid w:val="00C66BE1"/>
    <w:rsid w:val="00C73DC5"/>
    <w:rsid w:val="00CA3BA1"/>
    <w:rsid w:val="00CD419D"/>
    <w:rsid w:val="00CF1E89"/>
    <w:rsid w:val="00CF6FFE"/>
    <w:rsid w:val="00D46D41"/>
    <w:rsid w:val="00D56EED"/>
    <w:rsid w:val="00D65C64"/>
    <w:rsid w:val="00D72417"/>
    <w:rsid w:val="00DA6459"/>
    <w:rsid w:val="00DB0AA6"/>
    <w:rsid w:val="00DB5159"/>
    <w:rsid w:val="00DD5905"/>
    <w:rsid w:val="00DF691B"/>
    <w:rsid w:val="00E002CE"/>
    <w:rsid w:val="00E33674"/>
    <w:rsid w:val="00E527AF"/>
    <w:rsid w:val="00E5505F"/>
    <w:rsid w:val="00EA2D8B"/>
    <w:rsid w:val="00EC31EF"/>
    <w:rsid w:val="00EF660F"/>
    <w:rsid w:val="00F070A6"/>
    <w:rsid w:val="00F13E18"/>
    <w:rsid w:val="00F17F93"/>
    <w:rsid w:val="00F22270"/>
    <w:rsid w:val="00F55A1F"/>
    <w:rsid w:val="00F55D6E"/>
    <w:rsid w:val="00F61ABC"/>
    <w:rsid w:val="00F642F3"/>
    <w:rsid w:val="00F76BA0"/>
    <w:rsid w:val="00F96E88"/>
    <w:rsid w:val="00FC79FA"/>
    <w:rsid w:val="00FD1CA2"/>
    <w:rsid w:val="00FD29FB"/>
    <w:rsid w:val="00FD4812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A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F76BA0"/>
    <w:pPr>
      <w:keepNext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rsid w:val="00F76BA0"/>
    <w:pPr>
      <w:keepNext/>
      <w:jc w:val="both"/>
      <w:outlineLvl w:val="1"/>
    </w:pPr>
    <w:rPr>
      <w:rFonts w:ascii="Arial" w:hAnsi="Arial" w:cs="Arial"/>
      <w:b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Zkladntext"/>
    <w:rsid w:val="00F76BA0"/>
    <w:pPr>
      <w:numPr>
        <w:numId w:val="1"/>
      </w:numPr>
      <w:tabs>
        <w:tab w:val="left" w:pos="709"/>
      </w:tabs>
      <w:spacing w:after="0"/>
      <w:jc w:val="both"/>
    </w:pPr>
    <w:rPr>
      <w:rFonts w:ascii="Arial" w:hAnsi="Arial"/>
      <w:bCs/>
      <w:sz w:val="22"/>
      <w:szCs w:val="20"/>
    </w:rPr>
  </w:style>
  <w:style w:type="paragraph" w:customStyle="1" w:styleId="MJSTYL">
    <w:name w:val="MŮJ STYL"/>
    <w:basedOn w:val="Normln"/>
    <w:rsid w:val="00F76BA0"/>
    <w:pPr>
      <w:spacing w:after="120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semiHidden/>
    <w:unhideWhenUsed/>
    <w:rsid w:val="00F76BA0"/>
    <w:pPr>
      <w:spacing w:after="120"/>
    </w:pPr>
  </w:style>
  <w:style w:type="character" w:customStyle="1" w:styleId="ZkladntextChar">
    <w:name w:val="Základní text Char"/>
    <w:basedOn w:val="Standardnpsmoodstavce"/>
    <w:semiHidden/>
    <w:rsid w:val="00F76BA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76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semiHidden/>
    <w:rsid w:val="00F76BA0"/>
    <w:pPr>
      <w:jc w:val="both"/>
    </w:pPr>
  </w:style>
  <w:style w:type="character" w:customStyle="1" w:styleId="Nadpis2Char">
    <w:name w:val="Nadpis 2 Char"/>
    <w:basedOn w:val="Standardnpsmoodstavce"/>
    <w:rsid w:val="00F76BA0"/>
    <w:rPr>
      <w:rFonts w:ascii="Arial" w:eastAsia="Times New Roman" w:hAnsi="Arial" w:cs="Arial"/>
      <w:b/>
      <w:iCs/>
    </w:rPr>
  </w:style>
  <w:style w:type="paragraph" w:styleId="Textpoznpodarou">
    <w:name w:val="footnote text"/>
    <w:basedOn w:val="Normln"/>
    <w:semiHidden/>
    <w:rsid w:val="00F76BA0"/>
    <w:rPr>
      <w:bCs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76BA0"/>
    <w:rPr>
      <w:rFonts w:ascii="Times New Roman" w:eastAsia="Times New Roman" w:hAnsi="Times New Roman"/>
      <w:bCs/>
      <w:iCs/>
    </w:rPr>
  </w:style>
  <w:style w:type="character" w:styleId="Znakapoznpodarou">
    <w:name w:val="footnote reference"/>
    <w:basedOn w:val="Standardnpsmoodstavce"/>
    <w:semiHidden/>
    <w:rsid w:val="00F76BA0"/>
    <w:rPr>
      <w:vertAlign w:val="superscript"/>
    </w:rPr>
  </w:style>
  <w:style w:type="paragraph" w:styleId="Normlnweb">
    <w:name w:val="Normal (Web)"/>
    <w:basedOn w:val="Normln"/>
    <w:semiHidden/>
    <w:rsid w:val="00F76BA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dkaznakoment">
    <w:name w:val="annotation reference"/>
    <w:basedOn w:val="Standardnpsmoodstavce"/>
    <w:semiHidden/>
    <w:unhideWhenUsed/>
    <w:rsid w:val="00F76BA0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F76BA0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F76B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F76BA0"/>
    <w:rPr>
      <w:b/>
      <w:bCs/>
    </w:rPr>
  </w:style>
  <w:style w:type="character" w:customStyle="1" w:styleId="PedmtkomenteChar">
    <w:name w:val="Předmět komentáře Char"/>
    <w:basedOn w:val="TextkomenteChar"/>
    <w:semiHidden/>
    <w:rsid w:val="00F76BA0"/>
    <w:rPr>
      <w:b/>
      <w:bCs/>
    </w:rPr>
  </w:style>
  <w:style w:type="paragraph" w:styleId="Revize">
    <w:name w:val="Revision"/>
    <w:hidden/>
    <w:semiHidden/>
    <w:rsid w:val="00F76BA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F76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F76BA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F76BA0"/>
    <w:pPr>
      <w:spacing w:before="120"/>
      <w:ind w:firstLine="709"/>
      <w:jc w:val="both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Úvod</vt:lpstr>
    </vt:vector>
  </TitlesOfParts>
  <Company>ČSÚ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Úvod</dc:title>
  <dc:creator>macova4870</dc:creator>
  <cp:lastModifiedBy>macova4870</cp:lastModifiedBy>
  <cp:revision>5</cp:revision>
  <cp:lastPrinted>2015-02-11T10:25:00Z</cp:lastPrinted>
  <dcterms:created xsi:type="dcterms:W3CDTF">2015-01-05T14:34:00Z</dcterms:created>
  <dcterms:modified xsi:type="dcterms:W3CDTF">2015-02-11T10:27:00Z</dcterms:modified>
</cp:coreProperties>
</file>