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1B" w:rsidRDefault="00977F2A" w:rsidP="006701EE">
      <w:pPr>
        <w:pStyle w:val="Nadpis2"/>
        <w:spacing w:after="100"/>
      </w:pPr>
      <w:bookmarkStart w:id="0" w:name="_Toc513101502"/>
      <w:r>
        <w:t>4.3. Ukončené případy dočasné pracovní neschopnosti</w:t>
      </w:r>
      <w:bookmarkEnd w:id="0"/>
    </w:p>
    <w:p w:rsidR="00A26069" w:rsidRDefault="00B630A8" w:rsidP="006301B8">
      <w:pPr>
        <w:jc w:val="both"/>
        <w:rPr>
          <w:rFonts w:cs="Arial"/>
        </w:rPr>
      </w:pPr>
      <w:r>
        <w:rPr>
          <w:rFonts w:cs="Arial"/>
          <w:szCs w:val="20"/>
        </w:rPr>
        <w:t>Kromě statistiky nově hlášených případů dočasné pracovní neschopnosti zpracovávané ČSÚ</w:t>
      </w:r>
      <w:r w:rsidR="006A3987">
        <w:rPr>
          <w:rFonts w:cs="Arial"/>
          <w:szCs w:val="20"/>
        </w:rPr>
        <w:t xml:space="preserve">, které byla věnována celá předchozí kapitola </w:t>
      </w:r>
      <w:proofErr w:type="gramStart"/>
      <w:r w:rsidR="006A3987">
        <w:rPr>
          <w:rFonts w:cs="Arial"/>
          <w:szCs w:val="20"/>
        </w:rPr>
        <w:t>4.2.</w:t>
      </w:r>
      <w:r w:rsidR="00534A75">
        <w:rPr>
          <w:rFonts w:cs="Arial"/>
          <w:szCs w:val="20"/>
        </w:rPr>
        <w:t xml:space="preserve"> </w:t>
      </w:r>
      <w:r>
        <w:rPr>
          <w:rFonts w:cs="Arial"/>
          <w:szCs w:val="20"/>
        </w:rPr>
        <w:t>jsou</w:t>
      </w:r>
      <w:proofErr w:type="gramEnd"/>
      <w:r>
        <w:rPr>
          <w:rFonts w:cs="Arial"/>
          <w:szCs w:val="20"/>
        </w:rPr>
        <w:t xml:space="preserve"> z evidence </w:t>
      </w:r>
      <w:r w:rsidR="00A26069">
        <w:rPr>
          <w:rFonts w:cs="Arial"/>
          <w:szCs w:val="20"/>
        </w:rPr>
        <w:t>České správy sociálního zabezpečení (</w:t>
      </w:r>
      <w:r>
        <w:rPr>
          <w:rFonts w:cs="Arial"/>
          <w:szCs w:val="20"/>
        </w:rPr>
        <w:t>ČSSZ</w:t>
      </w:r>
      <w:r w:rsidR="00A26069">
        <w:rPr>
          <w:rFonts w:cs="Arial"/>
          <w:szCs w:val="20"/>
        </w:rPr>
        <w:t>)</w:t>
      </w:r>
      <w:r>
        <w:rPr>
          <w:rFonts w:cs="Arial"/>
          <w:szCs w:val="20"/>
        </w:rPr>
        <w:t xml:space="preserve"> zpracovávány a publikovány také údaje o ukončených případech pracovní</w:t>
      </w:r>
      <w:r>
        <w:rPr>
          <w:rFonts w:cs="Arial"/>
          <w:b/>
          <w:szCs w:val="20"/>
        </w:rPr>
        <w:t xml:space="preserve"> </w:t>
      </w:r>
      <w:r>
        <w:rPr>
          <w:rFonts w:cs="Arial"/>
          <w:szCs w:val="20"/>
        </w:rPr>
        <w:t xml:space="preserve">neschopnosti, </w:t>
      </w:r>
      <w:r w:rsidR="007C66C6">
        <w:rPr>
          <w:rFonts w:cs="Arial"/>
          <w:szCs w:val="20"/>
        </w:rPr>
        <w:t>které zpracovává a uveřejňuje ČSSZ</w:t>
      </w:r>
      <w:r w:rsidR="002C23FB">
        <w:rPr>
          <w:rFonts w:cs="Arial"/>
          <w:szCs w:val="20"/>
        </w:rPr>
        <w:t>,</w:t>
      </w:r>
      <w:r w:rsidR="007C66C6">
        <w:rPr>
          <w:rFonts w:cs="Arial"/>
          <w:szCs w:val="20"/>
        </w:rPr>
        <w:t xml:space="preserve"> </w:t>
      </w:r>
      <w:r w:rsidR="002C23FB">
        <w:rPr>
          <w:rFonts w:cs="Arial"/>
          <w:szCs w:val="20"/>
        </w:rPr>
        <w:t xml:space="preserve">rovněž tyto statistiky zpracovává a sleduje </w:t>
      </w:r>
      <w:r>
        <w:rPr>
          <w:rFonts w:cs="Arial"/>
          <w:szCs w:val="20"/>
        </w:rPr>
        <w:t>Ústav zdravotnických informací a statistiky České republiky (ÚZIS ČR)</w:t>
      </w:r>
      <w:r w:rsidR="006A3987">
        <w:rPr>
          <w:rFonts w:cs="Arial"/>
          <w:szCs w:val="20"/>
        </w:rPr>
        <w:t>.</w:t>
      </w:r>
      <w:r w:rsidR="006301B8" w:rsidRPr="006301B8">
        <w:rPr>
          <w:rFonts w:cs="Arial"/>
        </w:rPr>
        <w:t xml:space="preserve"> </w:t>
      </w:r>
      <w:r w:rsidR="00942832">
        <w:rPr>
          <w:rFonts w:cs="Arial"/>
        </w:rPr>
        <w:t>Trendy vývoje těchto ukazatelů jsou konzistentní.</w:t>
      </w:r>
    </w:p>
    <w:p w:rsidR="006301B8" w:rsidRPr="000F1FE8" w:rsidRDefault="006301B8" w:rsidP="006301B8">
      <w:pPr>
        <w:jc w:val="both"/>
        <w:rPr>
          <w:rFonts w:cs="Arial"/>
          <w:b/>
        </w:rPr>
      </w:pPr>
      <w:r w:rsidRPr="000F1FE8">
        <w:rPr>
          <w:rFonts w:cs="Arial"/>
          <w:b/>
        </w:rPr>
        <w:t>Rozdíly v počtech nově hlášených a ukončených případů</w:t>
      </w:r>
      <w:r>
        <w:rPr>
          <w:rFonts w:cs="Arial"/>
        </w:rPr>
        <w:t xml:space="preserve"> dočasné pracovní neschopnosti mezi oběma </w:t>
      </w:r>
      <w:r w:rsidR="001436FE" w:rsidRPr="001436FE">
        <w:rPr>
          <w:rFonts w:cs="Arial"/>
        </w:rPr>
        <w:t>zdroji</w:t>
      </w:r>
      <w:r w:rsidRPr="000F1FE8">
        <w:rPr>
          <w:rFonts w:cs="Arial"/>
          <w:b/>
        </w:rPr>
        <w:t xml:space="preserve"> jsou dány odlišnou metodikou sběru dat. </w:t>
      </w:r>
    </w:p>
    <w:p w:rsidR="00B630A8" w:rsidRDefault="0013513B" w:rsidP="00B630A8">
      <w:pPr>
        <w:jc w:val="both"/>
        <w:rPr>
          <w:rFonts w:cs="Arial"/>
        </w:rPr>
      </w:pPr>
      <w:r>
        <w:rPr>
          <w:rFonts w:cs="Arial"/>
          <w:szCs w:val="20"/>
        </w:rPr>
        <w:t xml:space="preserve">Z hlediska rozdílů </w:t>
      </w:r>
      <w:r w:rsidR="00B630A8">
        <w:rPr>
          <w:rFonts w:cs="Arial"/>
          <w:szCs w:val="20"/>
        </w:rPr>
        <w:t>od statistik nově hlášených případů dočasné neschopnosti, které zajišťuje a zpracovává ČSÚ</w:t>
      </w:r>
      <w:r w:rsidR="00B630A8">
        <w:rPr>
          <w:rFonts w:cs="Arial"/>
        </w:rPr>
        <w:t xml:space="preserve">, zaznamenává a zjišťuje </w:t>
      </w:r>
      <w:r>
        <w:rPr>
          <w:rFonts w:cs="Arial"/>
        </w:rPr>
        <w:t xml:space="preserve">ČSSZ i </w:t>
      </w:r>
      <w:r w:rsidR="00B630A8">
        <w:rPr>
          <w:rFonts w:cs="Arial"/>
          <w:szCs w:val="20"/>
        </w:rPr>
        <w:t>ÚZIS ČR</w:t>
      </w:r>
      <w:r w:rsidR="00B630A8">
        <w:rPr>
          <w:rFonts w:cs="Arial"/>
        </w:rPr>
        <w:t xml:space="preserve"> dočasné pracovní neschopnosti z dat ČSSZ pouze pro </w:t>
      </w:r>
      <w:r w:rsidR="00B630A8" w:rsidRPr="006301B8">
        <w:rPr>
          <w:rFonts w:cs="Arial"/>
          <w:b/>
        </w:rPr>
        <w:t>případy ukončené ve sledovaném roce</w:t>
      </w:r>
      <w:r w:rsidR="00B630A8">
        <w:rPr>
          <w:rFonts w:cs="Arial"/>
        </w:rPr>
        <w:t>.</w:t>
      </w:r>
      <w:r w:rsidR="00E9007A">
        <w:rPr>
          <w:rFonts w:cs="Arial"/>
        </w:rPr>
        <w:t xml:space="preserve"> </w:t>
      </w:r>
      <w:r w:rsidR="003B2E45">
        <w:rPr>
          <w:rFonts w:cs="Arial"/>
        </w:rPr>
        <w:t xml:space="preserve">Některé případy vzniklé na konci roku jsou tak v závislosti na délce jejich trvání evidovány až ve zpracování dat pracovní neschopnosti roku následujícího. </w:t>
      </w:r>
      <w:r w:rsidR="00573B0B">
        <w:rPr>
          <w:rFonts w:cs="Arial"/>
        </w:rPr>
        <w:t xml:space="preserve">ČSSZ i </w:t>
      </w:r>
      <w:r w:rsidR="00B630A8">
        <w:rPr>
          <w:rFonts w:cs="Arial"/>
        </w:rPr>
        <w:t>ÚZIS ČR</w:t>
      </w:r>
      <w:r w:rsidR="00E9007A">
        <w:rPr>
          <w:rFonts w:cs="Arial"/>
        </w:rPr>
        <w:t>, který vede Informační systém Pracovní neschopnost,</w:t>
      </w:r>
      <w:r w:rsidR="00B630A8">
        <w:rPr>
          <w:rFonts w:cs="Arial"/>
        </w:rPr>
        <w:t xml:space="preserve"> nabízí ve svých statistikách třídění publikovaných dat </w:t>
      </w:r>
      <w:r w:rsidR="0086773F">
        <w:rPr>
          <w:rFonts w:cs="Arial"/>
        </w:rPr>
        <w:t>spíše z pohledu pojištěnce než z pohledu zaměstnavatele</w:t>
      </w:r>
      <w:r w:rsidR="00534A75">
        <w:rPr>
          <w:rFonts w:cs="Arial"/>
        </w:rPr>
        <w:t>,</w:t>
      </w:r>
      <w:r w:rsidR="0086773F">
        <w:rPr>
          <w:rFonts w:cs="Arial"/>
        </w:rPr>
        <w:t xml:space="preserve"> jak bylo dosud prezentováno a jak uvádí </w:t>
      </w:r>
      <w:r w:rsidR="00B630A8">
        <w:rPr>
          <w:rFonts w:cs="Arial"/>
        </w:rPr>
        <w:t>ČSÚ</w:t>
      </w:r>
      <w:r w:rsidR="0086773F">
        <w:rPr>
          <w:rFonts w:cs="Arial"/>
        </w:rPr>
        <w:t>. Data ČSSZ a ÚZIS ČR umožňují srovnání</w:t>
      </w:r>
      <w:r w:rsidR="00B630A8">
        <w:rPr>
          <w:rFonts w:cs="Arial"/>
        </w:rPr>
        <w:t xml:space="preserve"> zejména </w:t>
      </w:r>
      <w:r w:rsidR="000F1FE8">
        <w:rPr>
          <w:rFonts w:cs="Arial"/>
        </w:rPr>
        <w:t>dle</w:t>
      </w:r>
      <w:r w:rsidR="00B630A8">
        <w:rPr>
          <w:rFonts w:cs="Arial"/>
        </w:rPr>
        <w:t xml:space="preserve"> věku práce neschopných</w:t>
      </w:r>
      <w:r w:rsidR="00CB73DA">
        <w:rPr>
          <w:rFonts w:cs="Arial"/>
        </w:rPr>
        <w:t>, podle délky trvání</w:t>
      </w:r>
      <w:r w:rsidR="00B630A8">
        <w:rPr>
          <w:rFonts w:cs="Arial"/>
        </w:rPr>
        <w:t xml:space="preserve"> a </w:t>
      </w:r>
      <w:r w:rsidR="000F1FE8">
        <w:rPr>
          <w:rFonts w:cs="Arial"/>
        </w:rPr>
        <w:t>dle</w:t>
      </w:r>
      <w:r w:rsidR="00B630A8">
        <w:rPr>
          <w:rFonts w:cs="Arial"/>
        </w:rPr>
        <w:t xml:space="preserve"> </w:t>
      </w:r>
      <w:r w:rsidR="000F1FE8">
        <w:rPr>
          <w:rFonts w:cs="Arial"/>
        </w:rPr>
        <w:t>skupin diagnóz.</w:t>
      </w:r>
      <w:r w:rsidR="00B630A8">
        <w:rPr>
          <w:rFonts w:cs="Arial"/>
        </w:rPr>
        <w:t xml:space="preserve"> </w:t>
      </w:r>
    </w:p>
    <w:p w:rsidR="00977F2A" w:rsidRPr="00F46EA8" w:rsidRDefault="00E9007A" w:rsidP="00E9007A">
      <w:pPr>
        <w:pStyle w:val="Box1"/>
        <w:jc w:val="both"/>
        <w:rPr>
          <w:i/>
        </w:rPr>
      </w:pPr>
      <w:r>
        <w:rPr>
          <w:b/>
          <w:i/>
        </w:rPr>
        <w:t>Ukončené případy pracovní neschopnosti</w:t>
      </w:r>
      <w:r w:rsidR="00977F2A" w:rsidRPr="00F46EA8">
        <w:rPr>
          <w:b/>
          <w:i/>
        </w:rPr>
        <w:t xml:space="preserve"> </w:t>
      </w:r>
      <w:r w:rsidR="00977F2A" w:rsidRPr="00F46EA8">
        <w:rPr>
          <w:i/>
        </w:rPr>
        <w:t xml:space="preserve">– </w:t>
      </w:r>
      <w:r>
        <w:rPr>
          <w:i/>
        </w:rPr>
        <w:t xml:space="preserve">zahrnují veškerá onemocnění a úrazy, které zapříčinily alespoň jednodenní pracovní neschopnost u </w:t>
      </w:r>
      <w:proofErr w:type="spellStart"/>
      <w:r>
        <w:rPr>
          <w:i/>
        </w:rPr>
        <w:t>nemocensky</w:t>
      </w:r>
      <w:proofErr w:type="spellEnd"/>
      <w:r>
        <w:rPr>
          <w:i/>
        </w:rPr>
        <w:t xml:space="preserve"> pojištěných osob ukončenou v daném roce. Nezahrnuje tedy onemocnění a úrazy, u nichž pracovní neschopnost přesahovala do dalšího roku, ani ty případy, kdy nebylo vystaveno „Rozhodnutí o dočasné pracovní neschopnosti“</w:t>
      </w:r>
      <w:r w:rsidR="00977F2A" w:rsidRPr="00F46EA8">
        <w:rPr>
          <w:i/>
        </w:rPr>
        <w:t>.</w:t>
      </w:r>
    </w:p>
    <w:p w:rsidR="00F659EB" w:rsidRDefault="00F659EB" w:rsidP="00AF2E89">
      <w:pPr>
        <w:jc w:val="both"/>
      </w:pPr>
    </w:p>
    <w:p w:rsidR="001436FE" w:rsidRDefault="00F659EB" w:rsidP="001436FE">
      <w:pPr>
        <w:pStyle w:val="Normlnweb"/>
        <w:spacing w:line="288" w:lineRule="auto"/>
        <w:jc w:val="both"/>
        <w:rPr>
          <w:rFonts w:ascii="Arial" w:hAnsi="Arial"/>
          <w:sz w:val="20"/>
        </w:rPr>
      </w:pPr>
      <w:r w:rsidRPr="00F659EB">
        <w:rPr>
          <w:rFonts w:ascii="Arial" w:hAnsi="Arial"/>
          <w:sz w:val="20"/>
        </w:rPr>
        <w:t>Za prvních šest měsíců letošního roku evidovala Česká správa sociálního zabezpečení (ČSSZ) 1 013 791 ukončených případů dočasných pracovních neschopností, tzv. neschopenek, což je o 7,6 % více než za stejné období loňského roku.  </w:t>
      </w:r>
    </w:p>
    <w:p w:rsidR="001436FE" w:rsidRDefault="00F659EB" w:rsidP="001436FE">
      <w:pPr>
        <w:pStyle w:val="Normlnweb"/>
        <w:spacing w:line="288" w:lineRule="auto"/>
        <w:jc w:val="both"/>
        <w:rPr>
          <w:rFonts w:ascii="Arial" w:hAnsi="Arial"/>
          <w:sz w:val="20"/>
        </w:rPr>
      </w:pPr>
      <w:r w:rsidRPr="00F659EB">
        <w:rPr>
          <w:rFonts w:ascii="Arial" w:hAnsi="Arial"/>
          <w:sz w:val="20"/>
        </w:rPr>
        <w:t xml:space="preserve">Nejvíce případů ukončených tzv. neschopenek vykazoval stejně jako loni Středočeský kraj, následovaný hlavním městem Prahou a Moravskoslezským krajem. Lidé za leden až červen 2018 prostonali celkem 38 286 512 dnů, to je o 449 705 víc než za stejné období vloni. V počtu prostonaných dní vedl stejně jako v roce minulém Moravskoslezský kraj. </w:t>
      </w:r>
    </w:p>
    <w:p w:rsidR="001436FE" w:rsidRDefault="00F659EB" w:rsidP="001436FE">
      <w:pPr>
        <w:pStyle w:val="Normlnweb"/>
        <w:spacing w:line="288" w:lineRule="auto"/>
        <w:jc w:val="both"/>
        <w:rPr>
          <w:rFonts w:ascii="Arial" w:hAnsi="Arial"/>
          <w:sz w:val="20"/>
        </w:rPr>
      </w:pPr>
      <w:r w:rsidRPr="00F659EB">
        <w:rPr>
          <w:rFonts w:ascii="Arial" w:hAnsi="Arial"/>
          <w:sz w:val="20"/>
        </w:rPr>
        <w:t xml:space="preserve">Průměrná délka trvání jednoho případu dočasné pracovní neschopnosti se meziročně zkrátila o více než 2 dny – z loňských 40,16 dne na letošních 37,77 dne. Nejkratší dobu opět stonali pojištěnci </w:t>
      </w:r>
      <w:r w:rsidR="00282919">
        <w:rPr>
          <w:rFonts w:ascii="Arial" w:hAnsi="Arial"/>
          <w:sz w:val="20"/>
        </w:rPr>
        <w:t xml:space="preserve">se sídlem zaměstnavatele </w:t>
      </w:r>
      <w:r w:rsidRPr="00F659EB">
        <w:rPr>
          <w:rFonts w:ascii="Arial" w:hAnsi="Arial"/>
          <w:sz w:val="20"/>
        </w:rPr>
        <w:t xml:space="preserve">v Praze (29,09 dne) následováni </w:t>
      </w:r>
      <w:r w:rsidR="00282919">
        <w:rPr>
          <w:rFonts w:ascii="Arial" w:hAnsi="Arial"/>
          <w:sz w:val="20"/>
        </w:rPr>
        <w:t>Středočeským krajem</w:t>
      </w:r>
      <w:r w:rsidR="00282919" w:rsidRPr="00F659EB">
        <w:rPr>
          <w:rFonts w:ascii="Arial" w:hAnsi="Arial"/>
          <w:sz w:val="20"/>
        </w:rPr>
        <w:t xml:space="preserve"> </w:t>
      </w:r>
      <w:r w:rsidRPr="00F659EB">
        <w:rPr>
          <w:rFonts w:ascii="Arial" w:hAnsi="Arial"/>
          <w:sz w:val="20"/>
        </w:rPr>
        <w:t>(33,79 dne).</w:t>
      </w:r>
    </w:p>
    <w:p w:rsidR="001436FE" w:rsidRDefault="00F659EB" w:rsidP="001436FE">
      <w:pPr>
        <w:pStyle w:val="Normlnweb"/>
        <w:spacing w:line="288" w:lineRule="auto"/>
        <w:jc w:val="both"/>
        <w:rPr>
          <w:rFonts w:ascii="Arial" w:hAnsi="Arial"/>
          <w:sz w:val="20"/>
        </w:rPr>
      </w:pPr>
      <w:r w:rsidRPr="00F659EB">
        <w:rPr>
          <w:rFonts w:ascii="Arial" w:hAnsi="Arial"/>
          <w:sz w:val="20"/>
        </w:rPr>
        <w:t>Nejdéle na neschopence byli letos pojištěnci ve Zlínském kraji (v průměru 46,42 dne), dočasná pracovní neschopnost v Moravskoslezském kraji, který loni v délce dočasné pracovní neschopnosti vedl, trvala letos v průměru 45,34 dne. </w:t>
      </w:r>
    </w:p>
    <w:p w:rsidR="00584874" w:rsidRDefault="00584874" w:rsidP="00F659EB">
      <w:pPr>
        <w:pStyle w:val="Normlnweb"/>
        <w:jc w:val="both"/>
        <w:rPr>
          <w:rFonts w:ascii="Arial" w:hAnsi="Arial"/>
          <w:sz w:val="20"/>
        </w:rPr>
      </w:pPr>
    </w:p>
    <w:p w:rsidR="00E00D1A" w:rsidRDefault="00E00D1A" w:rsidP="00F659EB">
      <w:pPr>
        <w:pStyle w:val="Normlnweb"/>
        <w:jc w:val="both"/>
        <w:rPr>
          <w:rFonts w:ascii="Arial" w:hAnsi="Arial"/>
          <w:sz w:val="20"/>
        </w:rPr>
      </w:pPr>
    </w:p>
    <w:p w:rsidR="00E00D1A" w:rsidRDefault="00E00D1A" w:rsidP="00F659EB">
      <w:pPr>
        <w:pStyle w:val="Normlnweb"/>
        <w:jc w:val="both"/>
        <w:rPr>
          <w:rFonts w:ascii="Arial" w:hAnsi="Arial"/>
          <w:sz w:val="20"/>
        </w:rPr>
      </w:pPr>
    </w:p>
    <w:p w:rsidR="00E00D1A" w:rsidRDefault="00E00D1A" w:rsidP="00F659EB">
      <w:pPr>
        <w:pStyle w:val="Normlnweb"/>
        <w:jc w:val="both"/>
        <w:rPr>
          <w:rFonts w:ascii="Arial" w:hAnsi="Arial"/>
          <w:sz w:val="20"/>
        </w:rPr>
      </w:pPr>
    </w:p>
    <w:p w:rsidR="00FA0483" w:rsidRDefault="00FA0483" w:rsidP="00F659EB">
      <w:pPr>
        <w:pStyle w:val="Normlnweb"/>
        <w:jc w:val="both"/>
        <w:rPr>
          <w:rFonts w:ascii="Arial" w:hAnsi="Arial"/>
          <w:sz w:val="20"/>
        </w:rPr>
      </w:pPr>
    </w:p>
    <w:p w:rsidR="00C11B22" w:rsidRDefault="00C11B22" w:rsidP="00C11B22">
      <w:pPr>
        <w:jc w:val="both"/>
        <w:rPr>
          <w:b/>
        </w:rPr>
      </w:pPr>
      <w:r w:rsidRPr="00C11B22">
        <w:rPr>
          <w:b/>
        </w:rPr>
        <w:lastRenderedPageBreak/>
        <w:t xml:space="preserve">Tab. </w:t>
      </w:r>
      <w:r w:rsidR="00144CD5">
        <w:rPr>
          <w:b/>
        </w:rPr>
        <w:t>3.1 -</w:t>
      </w:r>
      <w:r w:rsidRPr="00C11B22">
        <w:rPr>
          <w:b/>
        </w:rPr>
        <w:t xml:space="preserve">  Základní ukazatele dočasné pracovní neschopnosti (DPN) </w:t>
      </w:r>
      <w:r>
        <w:rPr>
          <w:b/>
        </w:rPr>
        <w:t xml:space="preserve">podle krajů </w:t>
      </w:r>
      <w:r w:rsidRPr="00C11B22">
        <w:rPr>
          <w:b/>
        </w:rPr>
        <w:t xml:space="preserve">za 1. pololetí 2018 </w:t>
      </w:r>
    </w:p>
    <w:p w:rsidR="00D21E88" w:rsidRPr="00C11B22" w:rsidRDefault="00B5452C" w:rsidP="00C11B22">
      <w:pPr>
        <w:jc w:val="both"/>
        <w:rPr>
          <w:b/>
        </w:rPr>
      </w:pPr>
      <w:r w:rsidRPr="00EF2E7C">
        <w:rPr>
          <w:noProof/>
        </w:rPr>
        <w:drawing>
          <wp:inline distT="0" distB="0" distL="0" distR="0">
            <wp:extent cx="5656377" cy="2798859"/>
            <wp:effectExtent l="19050" t="0" r="1473" b="0"/>
            <wp:docPr id="2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657850" cy="2799588"/>
                    </a:xfrm>
                    <a:prstGeom prst="rect">
                      <a:avLst/>
                    </a:prstGeom>
                    <a:noFill/>
                    <a:ln w="9525">
                      <a:noFill/>
                      <a:miter lim="800000"/>
                      <a:headEnd/>
                      <a:tailEnd/>
                    </a:ln>
                  </pic:spPr>
                </pic:pic>
              </a:graphicData>
            </a:graphic>
          </wp:inline>
        </w:drawing>
      </w:r>
    </w:p>
    <w:p w:rsidR="004F6CFB" w:rsidRDefault="004F6CFB" w:rsidP="004F6CFB">
      <w:pPr>
        <w:spacing w:after="0" w:line="240" w:lineRule="auto"/>
        <w:jc w:val="both"/>
        <w:rPr>
          <w:rFonts w:cs="Arial"/>
          <w:sz w:val="16"/>
          <w:szCs w:val="16"/>
        </w:rPr>
      </w:pPr>
      <w:r w:rsidRPr="00D82821">
        <w:rPr>
          <w:rFonts w:cs="Arial"/>
          <w:sz w:val="16"/>
          <w:szCs w:val="16"/>
        </w:rPr>
        <w:t>Zdroj: ČSSZ</w:t>
      </w:r>
    </w:p>
    <w:p w:rsidR="00E00D1A" w:rsidRPr="00D82821" w:rsidRDefault="00E00D1A" w:rsidP="004F6CFB">
      <w:pPr>
        <w:spacing w:after="0" w:line="240" w:lineRule="auto"/>
        <w:jc w:val="both"/>
        <w:rPr>
          <w:rFonts w:cs="Arial"/>
          <w:sz w:val="16"/>
          <w:szCs w:val="16"/>
        </w:rPr>
      </w:pPr>
    </w:p>
    <w:p w:rsidR="00866779" w:rsidRDefault="00AF2E89" w:rsidP="000318FA">
      <w:pPr>
        <w:jc w:val="both"/>
        <w:rPr>
          <w:b/>
        </w:rPr>
      </w:pPr>
      <w:r w:rsidRPr="00AF2E89">
        <w:t>Z pohledu věkové struktury práce neschopných</w:t>
      </w:r>
      <w:r w:rsidR="007C21CE">
        <w:t xml:space="preserve"> bylo v absolutním vyjádření </w:t>
      </w:r>
      <w:r w:rsidR="003007A7">
        <w:t>v</w:t>
      </w:r>
      <w:r w:rsidR="00263C28">
        <w:t xml:space="preserve"> 1. </w:t>
      </w:r>
      <w:proofErr w:type="spellStart"/>
      <w:r w:rsidR="00263C28">
        <w:t>pol</w:t>
      </w:r>
      <w:proofErr w:type="spellEnd"/>
      <w:r w:rsidR="00263C28">
        <w:t>. 2018</w:t>
      </w:r>
      <w:r w:rsidR="003007A7">
        <w:t xml:space="preserve"> </w:t>
      </w:r>
      <w:r w:rsidR="007C21CE">
        <w:t xml:space="preserve">nejvíce případů </w:t>
      </w:r>
      <w:r w:rsidR="006B4327">
        <w:t xml:space="preserve">dočasné </w:t>
      </w:r>
      <w:r w:rsidR="007C21CE">
        <w:t>pracovní neschopnosti</w:t>
      </w:r>
      <w:r w:rsidR="003007A7">
        <w:t xml:space="preserve"> ve věkové skupině 40 – 4</w:t>
      </w:r>
      <w:r w:rsidR="00263C28">
        <w:t>9</w:t>
      </w:r>
      <w:r w:rsidR="003007A7">
        <w:t xml:space="preserve"> let (</w:t>
      </w:r>
      <w:r w:rsidR="00FF00AC">
        <w:t xml:space="preserve">26 % </w:t>
      </w:r>
      <w:r w:rsidR="003007A7">
        <w:t xml:space="preserve">podíl na počtu všech případů) a dále ve věkové skupině </w:t>
      </w:r>
      <w:r w:rsidR="0078196B">
        <w:t>50</w:t>
      </w:r>
      <w:r w:rsidR="003007A7">
        <w:t xml:space="preserve"> – </w:t>
      </w:r>
      <w:r w:rsidR="0078196B">
        <w:t>59</w:t>
      </w:r>
      <w:r w:rsidR="003007A7">
        <w:t xml:space="preserve"> let (</w:t>
      </w:r>
      <w:r w:rsidR="0078196B">
        <w:t xml:space="preserve">23,5 % </w:t>
      </w:r>
      <w:r w:rsidR="003007A7">
        <w:t>podíl</w:t>
      </w:r>
      <w:r w:rsidR="0078196B">
        <w:t xml:space="preserve"> ze všech případů</w:t>
      </w:r>
      <w:r w:rsidR="003007A7">
        <w:t>).</w:t>
      </w:r>
      <w:r w:rsidR="006B4327">
        <w:t xml:space="preserve"> Naopak nejméně případů dočasné pracovní neschopnosti bylo ve věkové skupině do 20 let (1,4 % podíl ze všech případů) a ve věkové skupině 60 a více let (7 % podíl ze všech případů). </w:t>
      </w:r>
      <w:r w:rsidR="003007A7">
        <w:t>Z hlediska pohla</w:t>
      </w:r>
      <w:r w:rsidR="004F7964">
        <w:t>ví,</w:t>
      </w:r>
      <w:r w:rsidR="003007A7">
        <w:t xml:space="preserve"> práce neschopní muži převládali </w:t>
      </w:r>
      <w:r w:rsidR="00A2028E">
        <w:t xml:space="preserve">v počtu ukončených případů DPN nejvíce </w:t>
      </w:r>
      <w:r w:rsidR="00D567E1">
        <w:t xml:space="preserve">ve věkové skupině </w:t>
      </w:r>
      <w:r w:rsidR="00282919">
        <w:t>do 20 let</w:t>
      </w:r>
      <w:r w:rsidR="00D567E1">
        <w:t xml:space="preserve"> </w:t>
      </w:r>
      <w:r w:rsidR="00282919">
        <w:t>a</w:t>
      </w:r>
      <w:r w:rsidR="00D567E1">
        <w:t xml:space="preserve"> </w:t>
      </w:r>
      <w:r w:rsidR="00A2028E">
        <w:t>věkové skupině 20 – 29</w:t>
      </w:r>
      <w:r w:rsidR="00282919">
        <w:t>.</w:t>
      </w:r>
      <w:r w:rsidR="00A2028E">
        <w:t xml:space="preserve"> </w:t>
      </w:r>
      <w:r w:rsidR="00282919">
        <w:t>Ve</w:t>
      </w:r>
      <w:r w:rsidR="00A2028E">
        <w:t xml:space="preserve"> věkové skupině 30 – 39 a let</w:t>
      </w:r>
      <w:r w:rsidR="00282919">
        <w:t xml:space="preserve"> byl podíl žen a mužů vyrovnaný.</w:t>
      </w:r>
      <w:r w:rsidR="004F7964">
        <w:t xml:space="preserve"> </w:t>
      </w:r>
      <w:r w:rsidR="00282919">
        <w:t>Ž</w:t>
      </w:r>
      <w:r w:rsidR="004F7964">
        <w:t xml:space="preserve">eny v počtu ukončených případů DPN převládaly nad muži </w:t>
      </w:r>
      <w:r w:rsidR="00D567E1">
        <w:t xml:space="preserve">ve věkové skupině </w:t>
      </w:r>
      <w:r w:rsidR="00D27E2C">
        <w:t xml:space="preserve">40 – 49 let </w:t>
      </w:r>
      <w:r w:rsidR="004F7964">
        <w:t xml:space="preserve">a ve věkové skupině 50 </w:t>
      </w:r>
      <w:r w:rsidR="007C0204">
        <w:t>–</w:t>
      </w:r>
      <w:r w:rsidR="004F7964">
        <w:t xml:space="preserve"> 59</w:t>
      </w:r>
      <w:r w:rsidR="007C0204">
        <w:t>, ve věkové skupině 60 a více let opět převažují muži</w:t>
      </w:r>
      <w:r w:rsidR="00144CD5">
        <w:t>.</w:t>
      </w:r>
    </w:p>
    <w:p w:rsidR="000318FA" w:rsidRDefault="005C52B4" w:rsidP="000318FA">
      <w:pPr>
        <w:jc w:val="both"/>
      </w:pPr>
      <w:r w:rsidRPr="005C52B4">
        <w:rPr>
          <w:b/>
        </w:rPr>
        <w:t>Tab. 3.</w:t>
      </w:r>
      <w:r w:rsidR="005C0CBD">
        <w:rPr>
          <w:b/>
        </w:rPr>
        <w:t>2</w:t>
      </w:r>
      <w:r w:rsidRPr="005C52B4">
        <w:rPr>
          <w:b/>
        </w:rPr>
        <w:t xml:space="preserve"> – Ukončené případy dočasné pracovní neschopnosti, počet kalendářních dnů a průměrná délka trvání 1 případu dočasné pracovní neschopnosti podle věku a pohlaví</w:t>
      </w:r>
      <w:r w:rsidR="007E3D00">
        <w:rPr>
          <w:b/>
        </w:rPr>
        <w:t xml:space="preserve"> za 1. </w:t>
      </w:r>
      <w:proofErr w:type="spellStart"/>
      <w:r w:rsidR="007E3D00">
        <w:rPr>
          <w:b/>
        </w:rPr>
        <w:t>pol</w:t>
      </w:r>
      <w:proofErr w:type="spellEnd"/>
      <w:r w:rsidR="007E3D00">
        <w:rPr>
          <w:b/>
        </w:rPr>
        <w:t>. 2017 1. </w:t>
      </w:r>
      <w:proofErr w:type="spellStart"/>
      <w:r w:rsidR="007E3D00">
        <w:rPr>
          <w:b/>
        </w:rPr>
        <w:t>pol</w:t>
      </w:r>
      <w:proofErr w:type="spellEnd"/>
      <w:r w:rsidR="007E3D00">
        <w:rPr>
          <w:b/>
        </w:rPr>
        <w:t>. 2018</w:t>
      </w:r>
      <w:r w:rsidR="00AF6409" w:rsidRPr="00AF6409">
        <w:rPr>
          <w:noProof/>
        </w:rPr>
        <w:drawing>
          <wp:inline distT="0" distB="0" distL="0" distR="0">
            <wp:extent cx="6029966" cy="3085106"/>
            <wp:effectExtent l="19050" t="0" r="8884" b="0"/>
            <wp:docPr id="2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029325" cy="3084778"/>
                    </a:xfrm>
                    <a:prstGeom prst="rect">
                      <a:avLst/>
                    </a:prstGeom>
                    <a:noFill/>
                    <a:ln w="9525">
                      <a:noFill/>
                      <a:miter lim="800000"/>
                      <a:headEnd/>
                      <a:tailEnd/>
                    </a:ln>
                  </pic:spPr>
                </pic:pic>
              </a:graphicData>
            </a:graphic>
          </wp:inline>
        </w:drawing>
      </w:r>
    </w:p>
    <w:p w:rsidR="00D82821" w:rsidRPr="00D82821" w:rsidRDefault="00D82821" w:rsidP="00D82821">
      <w:pPr>
        <w:spacing w:after="0" w:line="240" w:lineRule="auto"/>
        <w:jc w:val="both"/>
        <w:rPr>
          <w:rFonts w:cs="Arial"/>
          <w:sz w:val="16"/>
          <w:szCs w:val="16"/>
        </w:rPr>
      </w:pPr>
      <w:r w:rsidRPr="00D82821">
        <w:rPr>
          <w:rFonts w:cs="Arial"/>
          <w:sz w:val="16"/>
          <w:szCs w:val="16"/>
        </w:rPr>
        <w:t>Zdroj: ČSSZ</w:t>
      </w:r>
    </w:p>
    <w:p w:rsidR="00C904CE" w:rsidRDefault="00D74C16" w:rsidP="001B64E2">
      <w:pPr>
        <w:jc w:val="both"/>
        <w:rPr>
          <w:b/>
        </w:rPr>
      </w:pPr>
      <w:r>
        <w:rPr>
          <w:b/>
        </w:rPr>
        <w:lastRenderedPageBreak/>
        <w:t>Graf 3.1 –</w:t>
      </w:r>
      <w:r w:rsidR="001B64E2">
        <w:rPr>
          <w:b/>
        </w:rPr>
        <w:t xml:space="preserve"> U</w:t>
      </w:r>
      <w:r>
        <w:rPr>
          <w:b/>
        </w:rPr>
        <w:t>končen</w:t>
      </w:r>
      <w:r w:rsidR="001B64E2">
        <w:rPr>
          <w:b/>
        </w:rPr>
        <w:t>é</w:t>
      </w:r>
      <w:r>
        <w:rPr>
          <w:b/>
        </w:rPr>
        <w:t xml:space="preserve"> případ</w:t>
      </w:r>
      <w:r w:rsidR="001B64E2">
        <w:rPr>
          <w:b/>
        </w:rPr>
        <w:t>y</w:t>
      </w:r>
      <w:r>
        <w:rPr>
          <w:b/>
        </w:rPr>
        <w:t xml:space="preserve"> pracovní neschopnosti podle věku a pohlaví v</w:t>
      </w:r>
      <w:r w:rsidR="00C904CE">
        <w:rPr>
          <w:b/>
        </w:rPr>
        <w:t xml:space="preserve"> 1. </w:t>
      </w:r>
      <w:proofErr w:type="spellStart"/>
      <w:r w:rsidR="00C904CE">
        <w:rPr>
          <w:b/>
        </w:rPr>
        <w:t>pol</w:t>
      </w:r>
      <w:proofErr w:type="spellEnd"/>
      <w:r w:rsidR="00C904CE">
        <w:rPr>
          <w:b/>
        </w:rPr>
        <w:t>. 2018</w:t>
      </w:r>
    </w:p>
    <w:p w:rsidR="00C904CE" w:rsidRDefault="008E664F" w:rsidP="001B64E2">
      <w:pPr>
        <w:jc w:val="both"/>
        <w:rPr>
          <w:b/>
        </w:rPr>
      </w:pPr>
      <w:r w:rsidRPr="008E664F">
        <w:rPr>
          <w:noProof/>
        </w:rPr>
        <w:drawing>
          <wp:inline distT="0" distB="0" distL="0" distR="0">
            <wp:extent cx="6101881" cy="2830665"/>
            <wp:effectExtent l="19050" t="0" r="0" b="0"/>
            <wp:docPr id="48"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6105525" cy="2832355"/>
                    </a:xfrm>
                    <a:prstGeom prst="rect">
                      <a:avLst/>
                    </a:prstGeom>
                    <a:noFill/>
                    <a:ln w="9525">
                      <a:noFill/>
                      <a:miter lim="800000"/>
                      <a:headEnd/>
                      <a:tailEnd/>
                    </a:ln>
                  </pic:spPr>
                </pic:pic>
              </a:graphicData>
            </a:graphic>
          </wp:inline>
        </w:drawing>
      </w:r>
    </w:p>
    <w:p w:rsidR="00C904CE" w:rsidRDefault="00C904CE" w:rsidP="00C904CE">
      <w:pPr>
        <w:spacing w:after="0" w:line="240" w:lineRule="auto"/>
        <w:jc w:val="both"/>
        <w:rPr>
          <w:rFonts w:cs="Arial"/>
          <w:sz w:val="16"/>
          <w:szCs w:val="16"/>
        </w:rPr>
      </w:pPr>
      <w:r w:rsidRPr="00D82821">
        <w:rPr>
          <w:rFonts w:cs="Arial"/>
          <w:sz w:val="16"/>
          <w:szCs w:val="16"/>
        </w:rPr>
        <w:t>Zdroj: ČSSZ</w:t>
      </w:r>
    </w:p>
    <w:p w:rsidR="00D303A2" w:rsidRDefault="00D303A2" w:rsidP="00C904CE">
      <w:pPr>
        <w:spacing w:after="0" w:line="240" w:lineRule="auto"/>
        <w:jc w:val="both"/>
        <w:rPr>
          <w:b/>
        </w:rPr>
      </w:pPr>
    </w:p>
    <w:p w:rsidR="00C613C3" w:rsidRPr="00D303A2" w:rsidRDefault="00C613C3" w:rsidP="00C904CE">
      <w:pPr>
        <w:spacing w:after="0" w:line="240" w:lineRule="auto"/>
        <w:jc w:val="both"/>
        <w:rPr>
          <w:b/>
        </w:rPr>
      </w:pPr>
    </w:p>
    <w:p w:rsidR="00E00D1A" w:rsidRDefault="00E00D1A" w:rsidP="00622CCE">
      <w:pPr>
        <w:jc w:val="both"/>
      </w:pPr>
    </w:p>
    <w:p w:rsidR="00622CCE" w:rsidRDefault="00622CCE" w:rsidP="00622CCE">
      <w:pPr>
        <w:jc w:val="both"/>
      </w:pPr>
      <w:r w:rsidRPr="000D2467">
        <w:t>Průměrná délka trvání jednoho případu pracovní neschopnosti průběžně roste s věkem (viz tab. 3.</w:t>
      </w:r>
      <w:r w:rsidR="00685013">
        <w:t>2</w:t>
      </w:r>
      <w:r w:rsidRPr="000D2467">
        <w:t>), a to od 17,1 dne ve věkové skupině do 20 let až po 57,</w:t>
      </w:r>
      <w:r w:rsidR="00685013">
        <w:t>8</w:t>
      </w:r>
      <w:r w:rsidRPr="000D2467">
        <w:t xml:space="preserve"> dne ve věkové skupině 60 a více let, což je dáno zejména poklesem krátkodobých případů pracovní neschopnosti pro nemoci dýchací soustavy a naopak nárůstem dlouhodobých případů pracovní neschopnosti pro nádorová onemocnění a nemoci oběhové soustavy se zvyšujícím se věkem.</w:t>
      </w:r>
      <w:r>
        <w:t xml:space="preserve"> Rozložení počtu kalendářních dnů DPN podle věku a pohlaví je ovlivněno také věkovou hranicí pro odchod do důchodu, v nejstarší věkové skupině je větší podíl mužů než</w:t>
      </w:r>
      <w:r w:rsidR="00165721">
        <w:t xml:space="preserve"> žen.</w:t>
      </w:r>
      <w:r w:rsidR="002665F3">
        <w:t xml:space="preserve"> </w:t>
      </w:r>
      <w:r w:rsidR="00395E54">
        <w:t xml:space="preserve">V následující tab. </w:t>
      </w:r>
      <w:r w:rsidR="002665F3">
        <w:t>3.</w:t>
      </w:r>
      <w:r w:rsidR="00685013">
        <w:t>3</w:t>
      </w:r>
      <w:r w:rsidR="002665F3">
        <w:t xml:space="preserve"> </w:t>
      </w:r>
      <w:r w:rsidR="00685013">
        <w:t xml:space="preserve">je uveden </w:t>
      </w:r>
      <w:r w:rsidR="002665F3">
        <w:t>přehled ukončených případů dočasné pracovní neschopnosti podle délky jejího trvání</w:t>
      </w:r>
      <w:r w:rsidR="007E3D00">
        <w:t>.</w:t>
      </w:r>
      <w:r w:rsidR="00F649B5">
        <w:t xml:space="preserve"> </w:t>
      </w:r>
      <w:r w:rsidR="007E3D00">
        <w:t>N</w:t>
      </w:r>
      <w:r w:rsidR="00F649B5">
        <w:t>ejvíce ukončených případů DPN</w:t>
      </w:r>
      <w:r w:rsidR="008D3293">
        <w:t xml:space="preserve"> je ve skupině 1 – 14 dnů a 15 – 21 dnů, nejméně ve skupině 366 a více dnů.</w:t>
      </w:r>
    </w:p>
    <w:p w:rsidR="00C904CE" w:rsidRDefault="00C904CE" w:rsidP="00106E17">
      <w:pPr>
        <w:rPr>
          <w:b/>
        </w:rPr>
      </w:pPr>
      <w:r w:rsidRPr="00FF1901">
        <w:rPr>
          <w:b/>
        </w:rPr>
        <w:lastRenderedPageBreak/>
        <w:t>Tab. 3.</w:t>
      </w:r>
      <w:r w:rsidR="001C1006">
        <w:rPr>
          <w:b/>
        </w:rPr>
        <w:t xml:space="preserve">3 </w:t>
      </w:r>
      <w:r w:rsidRPr="00FF1901">
        <w:rPr>
          <w:b/>
        </w:rPr>
        <w:t xml:space="preserve">– Ukončené případy dočasné pracovní neschopnosti za 1. </w:t>
      </w:r>
      <w:proofErr w:type="spellStart"/>
      <w:r w:rsidR="0068544B">
        <w:rPr>
          <w:b/>
        </w:rPr>
        <w:t>p</w:t>
      </w:r>
      <w:r w:rsidRPr="00FF1901">
        <w:rPr>
          <w:b/>
        </w:rPr>
        <w:t>ol</w:t>
      </w:r>
      <w:proofErr w:type="spellEnd"/>
      <w:r w:rsidR="0068544B">
        <w:rPr>
          <w:b/>
        </w:rPr>
        <w:t>.</w:t>
      </w:r>
      <w:r w:rsidRPr="00FF1901">
        <w:rPr>
          <w:b/>
        </w:rPr>
        <w:t xml:space="preserve"> 2018 podle délky trvání</w:t>
      </w:r>
      <w:r w:rsidR="001E0887" w:rsidRPr="001E0887">
        <w:rPr>
          <w:b/>
        </w:rPr>
        <w:t xml:space="preserve"> </w:t>
      </w:r>
      <w:r w:rsidR="007E3D00">
        <w:rPr>
          <w:b/>
        </w:rPr>
        <w:t>a krajů ČR</w:t>
      </w:r>
      <w:r w:rsidR="001E0887" w:rsidRPr="001E0887">
        <w:rPr>
          <w:noProof/>
        </w:rPr>
        <w:drawing>
          <wp:inline distT="0" distB="0" distL="0" distR="0">
            <wp:extent cx="6115050" cy="4772025"/>
            <wp:effectExtent l="19050" t="0" r="0" b="0"/>
            <wp:docPr id="102"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srcRect/>
                    <a:stretch>
                      <a:fillRect/>
                    </a:stretch>
                  </pic:blipFill>
                  <pic:spPr bwMode="auto">
                    <a:xfrm>
                      <a:off x="0" y="0"/>
                      <a:ext cx="6120130" cy="4775989"/>
                    </a:xfrm>
                    <a:prstGeom prst="rect">
                      <a:avLst/>
                    </a:prstGeom>
                    <a:noFill/>
                    <a:ln w="9525">
                      <a:noFill/>
                      <a:miter lim="800000"/>
                      <a:headEnd/>
                      <a:tailEnd/>
                    </a:ln>
                  </pic:spPr>
                </pic:pic>
              </a:graphicData>
            </a:graphic>
          </wp:inline>
        </w:drawing>
      </w:r>
    </w:p>
    <w:p w:rsidR="00C904CE" w:rsidRDefault="00C904CE" w:rsidP="00C904CE">
      <w:pPr>
        <w:spacing w:after="0" w:line="240" w:lineRule="auto"/>
        <w:jc w:val="both"/>
        <w:rPr>
          <w:rFonts w:cs="Arial"/>
          <w:sz w:val="16"/>
          <w:szCs w:val="16"/>
        </w:rPr>
      </w:pPr>
    </w:p>
    <w:p w:rsidR="00C904CE" w:rsidRPr="00D82821" w:rsidRDefault="00C904CE" w:rsidP="00C904CE">
      <w:pPr>
        <w:spacing w:after="0" w:line="240" w:lineRule="auto"/>
        <w:jc w:val="both"/>
        <w:rPr>
          <w:rFonts w:cs="Arial"/>
          <w:sz w:val="16"/>
          <w:szCs w:val="16"/>
        </w:rPr>
      </w:pPr>
      <w:r w:rsidRPr="00D82821">
        <w:rPr>
          <w:rFonts w:cs="Arial"/>
          <w:sz w:val="16"/>
          <w:szCs w:val="16"/>
        </w:rPr>
        <w:t>Zdroj: ČSSZ</w:t>
      </w:r>
    </w:p>
    <w:p w:rsidR="00CA60C2" w:rsidRDefault="00CA60C2" w:rsidP="00A85F44">
      <w:pPr>
        <w:spacing w:after="0" w:line="240" w:lineRule="auto"/>
      </w:pPr>
    </w:p>
    <w:p w:rsidR="00F659EB" w:rsidRDefault="00F659EB" w:rsidP="00A85F44">
      <w:pPr>
        <w:spacing w:after="0" w:line="240" w:lineRule="auto"/>
      </w:pPr>
    </w:p>
    <w:p w:rsidR="00CD3EEE" w:rsidRPr="00A34C92" w:rsidRDefault="00EC4E6F" w:rsidP="00A34C92">
      <w:pPr>
        <w:jc w:val="both"/>
      </w:pPr>
      <w:r w:rsidRPr="00655BD5">
        <w:t>Z hlediska dočasné pracovní neschopnosti podle příčin (dle kapitol MKN-10), n</w:t>
      </w:r>
      <w:r w:rsidR="007E34D5" w:rsidRPr="00655BD5">
        <w:t>ejčastějším důvodem pracovní neschopnosti zůstávají nemoci dýchací soustavy, které v</w:t>
      </w:r>
      <w:r w:rsidR="00E00C80" w:rsidRPr="00655BD5">
        <w:t xml:space="preserve"> 1. </w:t>
      </w:r>
      <w:proofErr w:type="spellStart"/>
      <w:r w:rsidR="00E00C80" w:rsidRPr="00655BD5">
        <w:t>pol</w:t>
      </w:r>
      <w:proofErr w:type="spellEnd"/>
      <w:r w:rsidR="00E00C80" w:rsidRPr="00655BD5">
        <w:t>. 2018</w:t>
      </w:r>
      <w:r w:rsidR="007E34D5" w:rsidRPr="00655BD5">
        <w:t xml:space="preserve">  tvořily </w:t>
      </w:r>
      <w:r w:rsidR="00685013" w:rsidRPr="00655BD5">
        <w:t>4</w:t>
      </w:r>
      <w:r w:rsidR="00685013">
        <w:t>6</w:t>
      </w:r>
      <w:r w:rsidR="00904E83" w:rsidRPr="00655BD5">
        <w:t xml:space="preserve">,4 </w:t>
      </w:r>
      <w:r w:rsidR="007E34D5" w:rsidRPr="00655BD5">
        <w:t>% všech případů pracovní neschopnosti</w:t>
      </w:r>
      <w:r w:rsidR="00655BD5">
        <w:t>. Z</w:t>
      </w:r>
      <w:r w:rsidR="00655BD5" w:rsidRPr="00A34C92">
        <w:t> více než milionu ukončených tzv. neschopenek zapříčinily nemoci dýchací soustavy 470 080 případů dočasné pracovní neschopnosti, od ledna do června</w:t>
      </w:r>
      <w:r w:rsidR="00685013">
        <w:t xml:space="preserve"> 2017</w:t>
      </w:r>
      <w:r w:rsidR="00655BD5" w:rsidRPr="00A34C92">
        <w:t xml:space="preserve"> tato onemocnění způsobila 396 157 případů dočasné pracovní neschopnosti. </w:t>
      </w:r>
      <w:r w:rsidR="00BC2D19" w:rsidRPr="00655BD5">
        <w:t xml:space="preserve">Z nemocí této skupiny jsou to zejména </w:t>
      </w:r>
      <w:r w:rsidR="007C51D7" w:rsidRPr="00655BD5">
        <w:t>akutní infekce dýchacích cest, chřipka, chronické onemocnění dýchacích cest, jiné nemoci dýchacích cest.</w:t>
      </w:r>
      <w:r w:rsidR="00BC2D19" w:rsidRPr="00655BD5">
        <w:t xml:space="preserve"> </w:t>
      </w:r>
      <w:r w:rsidR="005E7112" w:rsidRPr="00655BD5">
        <w:t xml:space="preserve">V celkovém objemu </w:t>
      </w:r>
      <w:r w:rsidR="00685013" w:rsidRPr="00655BD5">
        <w:t xml:space="preserve">prostonaných dnů tvoří </w:t>
      </w:r>
      <w:r w:rsidR="005E7112" w:rsidRPr="00655BD5">
        <w:t>onemocnění dýchací soustavy pouze 1</w:t>
      </w:r>
      <w:r w:rsidR="00467C9A" w:rsidRPr="00655BD5">
        <w:t>8</w:t>
      </w:r>
      <w:r w:rsidR="005E7112" w:rsidRPr="00655BD5">
        <w:t>,</w:t>
      </w:r>
      <w:r w:rsidR="00467C9A" w:rsidRPr="00655BD5">
        <w:t>8</w:t>
      </w:r>
      <w:r w:rsidR="005E7112" w:rsidRPr="00655BD5">
        <w:t xml:space="preserve"> % (</w:t>
      </w:r>
      <w:r w:rsidR="00611E58" w:rsidRPr="00655BD5">
        <w:t>7</w:t>
      </w:r>
      <w:r w:rsidR="007060E6">
        <w:t> </w:t>
      </w:r>
      <w:r w:rsidR="00611E58" w:rsidRPr="00655BD5">
        <w:t>209</w:t>
      </w:r>
      <w:r w:rsidR="007060E6">
        <w:t>,4 tis. dnů</w:t>
      </w:r>
      <w:r w:rsidR="00611E58" w:rsidRPr="00655BD5">
        <w:t>)</w:t>
      </w:r>
      <w:r w:rsidR="005E7112" w:rsidRPr="00655BD5">
        <w:t xml:space="preserve"> z celkového počtu, což znamená v průměru nejkratší dobu pracovní neschopnosti ze všech skupin diagnóz – 15,</w:t>
      </w:r>
      <w:r w:rsidR="00611E58" w:rsidRPr="00655BD5">
        <w:t>3</w:t>
      </w:r>
      <w:r w:rsidR="005E7112" w:rsidRPr="00655BD5">
        <w:t xml:space="preserve"> dne.</w:t>
      </w:r>
      <w:r w:rsidR="00611E58" w:rsidRPr="00655BD5">
        <w:t xml:space="preserve"> Naopak 43 pacientů s Tube</w:t>
      </w:r>
      <w:r w:rsidR="0083066F">
        <w:t>r</w:t>
      </w:r>
      <w:r w:rsidR="00611E58" w:rsidRPr="00655BD5">
        <w:t xml:space="preserve">kulózou strávilo na lůžku v průměru </w:t>
      </w:r>
      <w:r w:rsidR="000A3A51" w:rsidRPr="00655BD5">
        <w:t>207 dní.</w:t>
      </w:r>
      <w:r w:rsidR="007945FC">
        <w:t xml:space="preserve"> K nemocem s časově náročnou léčbou a tedy i dlouhou dobou trvání patří také onkologická onemocnění (zhruba 178 – loni 179 dnů) a cévní onemocnění mozku (zhruba 160 oproti loňským 163 dnům). </w:t>
      </w:r>
      <w:r w:rsidR="00BC2D19" w:rsidRPr="00EB4A1C">
        <w:t xml:space="preserve">Druhou nejčastější příčinou pracovní neschopnosti jsou nemoci </w:t>
      </w:r>
      <w:r w:rsidR="000138D2" w:rsidRPr="00EB4A1C">
        <w:t>pohybové soustavy</w:t>
      </w:r>
      <w:r w:rsidR="007441F5" w:rsidRPr="00EB4A1C">
        <w:t>, které v</w:t>
      </w:r>
      <w:r w:rsidR="000138D2" w:rsidRPr="00EB4A1C">
        <w:t xml:space="preserve"> 1. </w:t>
      </w:r>
      <w:proofErr w:type="spellStart"/>
      <w:r w:rsidR="000138D2" w:rsidRPr="00EB4A1C">
        <w:t>pol</w:t>
      </w:r>
      <w:proofErr w:type="spellEnd"/>
      <w:r w:rsidR="000138D2" w:rsidRPr="00EB4A1C">
        <w:t xml:space="preserve">. 2018 </w:t>
      </w:r>
      <w:r w:rsidR="007441F5" w:rsidRPr="00EB4A1C">
        <w:t xml:space="preserve">tvořily </w:t>
      </w:r>
      <w:r w:rsidR="00685013">
        <w:t>16,6</w:t>
      </w:r>
      <w:r w:rsidR="000138D2" w:rsidRPr="00EB4A1C">
        <w:t xml:space="preserve"> % ze všech případu dočasné pracovní neschopnosti.</w:t>
      </w:r>
      <w:r w:rsidR="007441F5" w:rsidRPr="00EB4A1C">
        <w:t xml:space="preserve"> Tyto </w:t>
      </w:r>
      <w:r w:rsidR="005129CB" w:rsidRPr="00EB4A1C">
        <w:t>nemoci se vyznačují poměrně dlouhou průměrnou délkou trvání jednoho případu – více než 2 kalendářní měsíce (</w:t>
      </w:r>
      <w:r w:rsidR="00FF0634">
        <w:t>66 dní</w:t>
      </w:r>
      <w:r w:rsidR="005129CB" w:rsidRPr="00EB4A1C">
        <w:t>). Na celkovém počtu prostonaných dnů se tato kategorie podílí téměř třetinou (</w:t>
      </w:r>
      <w:r w:rsidR="0042374E" w:rsidRPr="00EB4A1C">
        <w:t>11</w:t>
      </w:r>
      <w:r w:rsidR="0076173C" w:rsidRPr="00EB4A1C">
        <w:t xml:space="preserve"> </w:t>
      </w:r>
      <w:r w:rsidR="0042374E" w:rsidRPr="00EB4A1C">
        <w:t>093</w:t>
      </w:r>
      <w:r w:rsidR="0076173C" w:rsidRPr="00EB4A1C">
        <w:t>,4 tis.</w:t>
      </w:r>
      <w:r w:rsidR="001030DF" w:rsidRPr="00EB4A1C">
        <w:t xml:space="preserve"> dnů</w:t>
      </w:r>
      <w:r w:rsidR="0076173C" w:rsidRPr="00EB4A1C">
        <w:t>.</w:t>
      </w:r>
      <w:r w:rsidR="00A26F00" w:rsidRPr="00EB4A1C">
        <w:t xml:space="preserve"> </w:t>
      </w:r>
      <w:proofErr w:type="gramStart"/>
      <w:r w:rsidR="00A26F00" w:rsidRPr="00EB4A1C">
        <w:t>tj.</w:t>
      </w:r>
      <w:proofErr w:type="gramEnd"/>
      <w:r w:rsidR="00A26F00" w:rsidRPr="00EB4A1C">
        <w:t xml:space="preserve"> </w:t>
      </w:r>
      <w:r w:rsidR="00174FF2" w:rsidRPr="00EB4A1C">
        <w:t>29</w:t>
      </w:r>
      <w:r w:rsidR="005129CB" w:rsidRPr="00EB4A1C">
        <w:t xml:space="preserve"> %), což je dlouhodobě nejvyšší podíl.</w:t>
      </w:r>
      <w:r w:rsidR="005129CB" w:rsidRPr="00A34C92">
        <w:t xml:space="preserve"> </w:t>
      </w:r>
    </w:p>
    <w:p w:rsidR="005A1D3A" w:rsidRDefault="005A1D3A" w:rsidP="007B7979">
      <w:pPr>
        <w:jc w:val="both"/>
        <w:rPr>
          <w:b/>
        </w:rPr>
      </w:pPr>
    </w:p>
    <w:p w:rsidR="00E00D1A" w:rsidRDefault="00E00D1A" w:rsidP="007B7979">
      <w:pPr>
        <w:jc w:val="both"/>
        <w:rPr>
          <w:b/>
        </w:rPr>
      </w:pPr>
    </w:p>
    <w:p w:rsidR="00130594" w:rsidRDefault="007B7979" w:rsidP="007B7979">
      <w:pPr>
        <w:jc w:val="both"/>
        <w:rPr>
          <w:b/>
        </w:rPr>
      </w:pPr>
      <w:r>
        <w:rPr>
          <w:b/>
        </w:rPr>
        <w:t>Graf 3.</w:t>
      </w:r>
      <w:r w:rsidR="00F01ECB">
        <w:rPr>
          <w:b/>
        </w:rPr>
        <w:t>2</w:t>
      </w:r>
      <w:r>
        <w:rPr>
          <w:b/>
        </w:rPr>
        <w:t xml:space="preserve"> – Struktura ukončených případů dočasné pracovní neschopnosti podle skupin diagnóz (kapitol MKN-10) v</w:t>
      </w:r>
      <w:r w:rsidR="00380598">
        <w:rPr>
          <w:b/>
        </w:rPr>
        <w:t xml:space="preserve"> 1. </w:t>
      </w:r>
      <w:proofErr w:type="spellStart"/>
      <w:r w:rsidR="00380598">
        <w:rPr>
          <w:b/>
        </w:rPr>
        <w:t>pol</w:t>
      </w:r>
      <w:proofErr w:type="spellEnd"/>
      <w:r w:rsidR="00380598">
        <w:rPr>
          <w:b/>
        </w:rPr>
        <w:t>. 2018</w:t>
      </w:r>
      <w:r>
        <w:rPr>
          <w:b/>
        </w:rPr>
        <w:t xml:space="preserve"> </w:t>
      </w:r>
    </w:p>
    <w:p w:rsidR="00130594" w:rsidRDefault="005A1D3A" w:rsidP="00977F2A">
      <w:pPr>
        <w:rPr>
          <w:b/>
        </w:rPr>
      </w:pPr>
      <w:r w:rsidRPr="005A1D3A">
        <w:rPr>
          <w:noProof/>
        </w:rPr>
        <w:drawing>
          <wp:inline distT="0" distB="0" distL="0" distR="0">
            <wp:extent cx="6115050" cy="3952875"/>
            <wp:effectExtent l="0" t="0" r="0" b="0"/>
            <wp:docPr id="39"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6115050" cy="3952875"/>
                    </a:xfrm>
                    <a:prstGeom prst="rect">
                      <a:avLst/>
                    </a:prstGeom>
                    <a:noFill/>
                    <a:ln w="9525">
                      <a:noFill/>
                      <a:miter lim="800000"/>
                      <a:headEnd/>
                      <a:tailEnd/>
                    </a:ln>
                  </pic:spPr>
                </pic:pic>
              </a:graphicData>
            </a:graphic>
          </wp:inline>
        </w:drawing>
      </w:r>
    </w:p>
    <w:p w:rsidR="006743FC" w:rsidRPr="001338A0" w:rsidRDefault="007B7979" w:rsidP="007B7979">
      <w:pPr>
        <w:jc w:val="both"/>
        <w:rPr>
          <w:rFonts w:cs="Arial"/>
          <w:sz w:val="16"/>
          <w:szCs w:val="16"/>
        </w:rPr>
      </w:pPr>
      <w:r>
        <w:rPr>
          <w:rFonts w:cs="Arial"/>
          <w:sz w:val="16"/>
          <w:szCs w:val="16"/>
        </w:rPr>
        <w:t xml:space="preserve">Zdroj: </w:t>
      </w:r>
      <w:r w:rsidR="006743FC">
        <w:rPr>
          <w:rFonts w:cs="Arial"/>
          <w:sz w:val="16"/>
          <w:szCs w:val="16"/>
        </w:rPr>
        <w:t>ČSSZ</w:t>
      </w:r>
    </w:p>
    <w:p w:rsidR="001670A7" w:rsidRPr="00BA5248" w:rsidRDefault="00DC6DD3" w:rsidP="001670A7">
      <w:pPr>
        <w:jc w:val="both"/>
      </w:pPr>
      <w:r>
        <w:t>P</w:t>
      </w:r>
      <w:r w:rsidR="001670A7" w:rsidRPr="00BA5248">
        <w:t>růměrná délka trvání jednoho případu pracovní neschopnosti</w:t>
      </w:r>
      <w:r w:rsidR="006B4468">
        <w:t xml:space="preserve"> byla nejdelší u </w:t>
      </w:r>
      <w:r w:rsidR="006B4468" w:rsidRPr="00BA5248">
        <w:t>Tuberkulóz</w:t>
      </w:r>
      <w:r w:rsidR="006B4468">
        <w:t xml:space="preserve">y </w:t>
      </w:r>
      <w:r w:rsidR="006B4468" w:rsidRPr="00BA5248">
        <w:t>(207,1 dne),</w:t>
      </w:r>
      <w:r w:rsidR="006B4468">
        <w:t xml:space="preserve"> u</w:t>
      </w:r>
      <w:r w:rsidRPr="00BA5248">
        <w:t xml:space="preserve"> zhoubných novotvarů </w:t>
      </w:r>
      <w:r w:rsidR="001670A7" w:rsidRPr="00BA5248">
        <w:t xml:space="preserve">byla v  </w:t>
      </w:r>
      <w:r w:rsidR="00F8293A" w:rsidRPr="00BA5248">
        <w:t xml:space="preserve">1. </w:t>
      </w:r>
      <w:proofErr w:type="spellStart"/>
      <w:r w:rsidR="00F8293A" w:rsidRPr="00BA5248">
        <w:t>pol</w:t>
      </w:r>
      <w:proofErr w:type="spellEnd"/>
      <w:r w:rsidR="00F8293A" w:rsidRPr="00BA5248">
        <w:t>. 2018</w:t>
      </w:r>
      <w:r w:rsidR="001670A7" w:rsidRPr="00BA5248">
        <w:t xml:space="preserve"> 1</w:t>
      </w:r>
      <w:r w:rsidR="00F715BF" w:rsidRPr="00BA5248">
        <w:t xml:space="preserve">77,6 </w:t>
      </w:r>
      <w:r w:rsidR="001670A7" w:rsidRPr="00BA5248">
        <w:t xml:space="preserve">dne </w:t>
      </w:r>
      <w:r>
        <w:t>(</w:t>
      </w:r>
      <w:r w:rsidR="001670A7" w:rsidRPr="00BA5248">
        <w:t>u mužů 1</w:t>
      </w:r>
      <w:r w:rsidR="00F715BF" w:rsidRPr="00BA5248">
        <w:t xml:space="preserve">70,1 </w:t>
      </w:r>
      <w:r w:rsidR="001670A7" w:rsidRPr="00BA5248">
        <w:t>dn</w:t>
      </w:r>
      <w:r w:rsidR="00F715BF" w:rsidRPr="00BA5248">
        <w:t>e</w:t>
      </w:r>
      <w:r w:rsidR="001670A7" w:rsidRPr="00BA5248">
        <w:t>, zatímco u žen 1</w:t>
      </w:r>
      <w:r w:rsidR="00F715BF" w:rsidRPr="00BA5248">
        <w:t>84</w:t>
      </w:r>
      <w:r w:rsidR="001670A7" w:rsidRPr="00BA5248">
        <w:t>,</w:t>
      </w:r>
      <w:r w:rsidR="00F715BF" w:rsidRPr="00BA5248">
        <w:t>5</w:t>
      </w:r>
      <w:r w:rsidR="001670A7" w:rsidRPr="00BA5248">
        <w:t xml:space="preserve"> dne</w:t>
      </w:r>
      <w:r>
        <w:t>)</w:t>
      </w:r>
      <w:r w:rsidR="001670A7" w:rsidRPr="00BA5248">
        <w:t xml:space="preserve">. </w:t>
      </w:r>
      <w:r w:rsidR="000073B0" w:rsidRPr="00BA5248">
        <w:t>Další diagnózou, kde se projevuje dlouhodobá pracovní neschopnost</w:t>
      </w:r>
      <w:r w:rsidR="00534A75">
        <w:t>,</w:t>
      </w:r>
      <w:r w:rsidR="000073B0" w:rsidRPr="00BA5248">
        <w:t xml:space="preserve"> </w:t>
      </w:r>
      <w:r w:rsidR="006B4468">
        <w:t>jsou</w:t>
      </w:r>
      <w:r w:rsidR="00F515CB" w:rsidRPr="00BA5248">
        <w:t xml:space="preserve"> </w:t>
      </w:r>
      <w:r w:rsidR="006B4468">
        <w:t xml:space="preserve">dále </w:t>
      </w:r>
      <w:r w:rsidR="00F515CB" w:rsidRPr="00BA5248">
        <w:t xml:space="preserve">cévní nemoci mozku (160,7 dne), </w:t>
      </w:r>
      <w:r w:rsidR="000073B0" w:rsidRPr="00BA5248">
        <w:t>ischemická choroba srdeční</w:t>
      </w:r>
      <w:r w:rsidR="00F515CB" w:rsidRPr="00BA5248">
        <w:t xml:space="preserve"> (128,2 dne)</w:t>
      </w:r>
      <w:r w:rsidR="000073B0" w:rsidRPr="00BA5248">
        <w:t xml:space="preserve">, </w:t>
      </w:r>
      <w:r w:rsidR="00F515CB" w:rsidRPr="00BA5248">
        <w:t xml:space="preserve">mezi další </w:t>
      </w:r>
      <w:r w:rsidR="00FF0634">
        <w:t xml:space="preserve">příčiny </w:t>
      </w:r>
      <w:r w:rsidR="00534A75" w:rsidRPr="00BA5248">
        <w:t>dlouhodob</w:t>
      </w:r>
      <w:r w:rsidR="00534A75">
        <w:t>é</w:t>
      </w:r>
      <w:r w:rsidR="00534A75" w:rsidRPr="00BA5248">
        <w:t xml:space="preserve"> </w:t>
      </w:r>
      <w:r w:rsidR="00F515CB" w:rsidRPr="00BA5248">
        <w:t>pracovní neschopnost</w:t>
      </w:r>
      <w:r w:rsidR="00FF0634">
        <w:t>i</w:t>
      </w:r>
      <w:r w:rsidR="00F515CB" w:rsidRPr="00BA5248">
        <w:t xml:space="preserve"> patří </w:t>
      </w:r>
      <w:r w:rsidR="001670A7" w:rsidRPr="00BA5248">
        <w:t>těhotenství</w:t>
      </w:r>
      <w:r w:rsidR="00F515CB" w:rsidRPr="00BA5248">
        <w:t>, porod, šestinedělí</w:t>
      </w:r>
      <w:r w:rsidR="001670A7" w:rsidRPr="00BA5248">
        <w:t xml:space="preserve"> (10</w:t>
      </w:r>
      <w:r w:rsidR="008849C2" w:rsidRPr="00BA5248">
        <w:t>3</w:t>
      </w:r>
      <w:r w:rsidR="001670A7" w:rsidRPr="00BA5248">
        <w:t>,</w:t>
      </w:r>
      <w:r w:rsidR="008849C2" w:rsidRPr="00BA5248">
        <w:t>2</w:t>
      </w:r>
      <w:r w:rsidR="001670A7" w:rsidRPr="00BA5248">
        <w:t xml:space="preserve"> dne)</w:t>
      </w:r>
      <w:r w:rsidR="00F515CB" w:rsidRPr="00BA5248">
        <w:t xml:space="preserve">, dlouhodobou pracovní neschopnost si vyžádaly i </w:t>
      </w:r>
      <w:r w:rsidR="001670A7" w:rsidRPr="00BA5248">
        <w:t xml:space="preserve">duševní </w:t>
      </w:r>
      <w:r w:rsidR="00F515CB" w:rsidRPr="00BA5248">
        <w:t>nemoci (</w:t>
      </w:r>
      <w:r w:rsidR="00FF0634">
        <w:t>87,2</w:t>
      </w:r>
      <w:r w:rsidR="00FF0634" w:rsidRPr="00BA5248">
        <w:t xml:space="preserve"> </w:t>
      </w:r>
      <w:r w:rsidR="00F515CB" w:rsidRPr="00BA5248">
        <w:t xml:space="preserve">dnů), </w:t>
      </w:r>
      <w:r w:rsidR="001670A7" w:rsidRPr="00BA5248">
        <w:t>nemoci nervové soustavy (</w:t>
      </w:r>
      <w:r w:rsidR="00FF0634">
        <w:t>83,0</w:t>
      </w:r>
      <w:r w:rsidR="001670A7" w:rsidRPr="00BA5248">
        <w:t xml:space="preserve"> dne)</w:t>
      </w:r>
      <w:r w:rsidR="001E1882" w:rsidRPr="00BA5248">
        <w:t xml:space="preserve"> a nemoci pohybové soustavy (66 dne)</w:t>
      </w:r>
      <w:r w:rsidR="00AB570B" w:rsidRPr="00BA5248">
        <w:t>.</w:t>
      </w:r>
    </w:p>
    <w:p w:rsidR="001670A7" w:rsidRDefault="001670A7" w:rsidP="001670A7">
      <w:pPr>
        <w:jc w:val="both"/>
        <w:rPr>
          <w:color w:val="000000" w:themeColor="text1"/>
        </w:rPr>
      </w:pPr>
      <w:r w:rsidRPr="006743FC">
        <w:rPr>
          <w:color w:val="000000" w:themeColor="text1"/>
        </w:rPr>
        <w:t xml:space="preserve">Z pohledu pohlaví bývají v pracovní neschopnosti častěji ženy, </w:t>
      </w:r>
      <w:r w:rsidR="00805BF2">
        <w:rPr>
          <w:color w:val="000000" w:themeColor="text1"/>
        </w:rPr>
        <w:t>v</w:t>
      </w:r>
      <w:r w:rsidR="00B3274A" w:rsidRPr="006743FC">
        <w:rPr>
          <w:color w:val="000000" w:themeColor="text1"/>
        </w:rPr>
        <w:t> 1.</w:t>
      </w:r>
      <w:r w:rsidR="00FF0634">
        <w:rPr>
          <w:color w:val="000000" w:themeColor="text1"/>
        </w:rPr>
        <w:t> </w:t>
      </w:r>
      <w:proofErr w:type="spellStart"/>
      <w:r w:rsidR="00B3274A" w:rsidRPr="006743FC">
        <w:rPr>
          <w:color w:val="000000" w:themeColor="text1"/>
        </w:rPr>
        <w:t>pol</w:t>
      </w:r>
      <w:proofErr w:type="spellEnd"/>
      <w:r w:rsidR="00B3274A" w:rsidRPr="006743FC">
        <w:rPr>
          <w:color w:val="000000" w:themeColor="text1"/>
        </w:rPr>
        <w:t>. 2018</w:t>
      </w:r>
      <w:r w:rsidRPr="006743FC">
        <w:rPr>
          <w:color w:val="000000" w:themeColor="text1"/>
        </w:rPr>
        <w:t xml:space="preserve"> připadalo </w:t>
      </w:r>
      <w:r w:rsidR="00544095" w:rsidRPr="006743FC">
        <w:rPr>
          <w:color w:val="000000" w:themeColor="text1"/>
        </w:rPr>
        <w:t>542</w:t>
      </w:r>
      <w:r w:rsidR="00D20CD3" w:rsidRPr="006743FC">
        <w:rPr>
          <w:color w:val="000000" w:themeColor="text1"/>
        </w:rPr>
        <w:t>,1 tis.</w:t>
      </w:r>
      <w:r w:rsidR="00544095" w:rsidRPr="006743FC">
        <w:rPr>
          <w:color w:val="000000" w:themeColor="text1"/>
        </w:rPr>
        <w:t xml:space="preserve"> </w:t>
      </w:r>
      <w:r w:rsidR="005B52C1" w:rsidRPr="006743FC">
        <w:rPr>
          <w:color w:val="000000" w:themeColor="text1"/>
        </w:rPr>
        <w:t xml:space="preserve">ukončených případů </w:t>
      </w:r>
      <w:r w:rsidR="00D20CD3" w:rsidRPr="006743FC">
        <w:rPr>
          <w:color w:val="000000" w:themeColor="text1"/>
        </w:rPr>
        <w:t>DPN na ženy a 471,6 tis. na muže.</w:t>
      </w:r>
      <w:r w:rsidR="00A34C92">
        <w:rPr>
          <w:color w:val="000000" w:themeColor="text1"/>
        </w:rPr>
        <w:t xml:space="preserve"> </w:t>
      </w:r>
      <w:r w:rsidR="00CC4392" w:rsidRPr="006743FC">
        <w:rPr>
          <w:color w:val="000000" w:themeColor="text1"/>
        </w:rPr>
        <w:t>Dočasná p</w:t>
      </w:r>
      <w:r w:rsidRPr="006743FC">
        <w:rPr>
          <w:color w:val="000000" w:themeColor="text1"/>
        </w:rPr>
        <w:t xml:space="preserve">racovní neschopnost u žen také trvala v průměru o </w:t>
      </w:r>
      <w:r w:rsidR="00C31081" w:rsidRPr="006743FC">
        <w:rPr>
          <w:color w:val="000000" w:themeColor="text1"/>
        </w:rPr>
        <w:t>2,5</w:t>
      </w:r>
      <w:r w:rsidRPr="006743FC">
        <w:rPr>
          <w:color w:val="000000" w:themeColor="text1"/>
        </w:rPr>
        <w:t xml:space="preserve"> dní déle než u mužů. Tento rozdíl mezi pohlavími trvá dlouhodobě a jeho příčinou jsou zejména nemoci spojené s těhotenstvím. Výraznější rozdíl mezi pohlavími se objevuje i u dalších diagnóz – výraznější počet případů u žen než u mužů je patrný u duševních poruch a poruch chování</w:t>
      </w:r>
      <w:r w:rsidR="00492702">
        <w:rPr>
          <w:color w:val="000000" w:themeColor="text1"/>
        </w:rPr>
        <w:t xml:space="preserve"> </w:t>
      </w:r>
      <w:r w:rsidRPr="006743FC">
        <w:rPr>
          <w:color w:val="000000" w:themeColor="text1"/>
        </w:rPr>
        <w:t>a u nemocí močové a pohlavní soustavy. Muži jsou naopak náchylnější na nemoci oběhové soustavy a mnohem častěji než ženy jsou práce neschopní pro poranění, otravy a jiné následky vnějších příčin.</w:t>
      </w:r>
      <w:r w:rsidR="00A34C92">
        <w:rPr>
          <w:color w:val="000000" w:themeColor="text1"/>
        </w:rPr>
        <w:t xml:space="preserve"> S věkem naopak roste podíl</w:t>
      </w:r>
      <w:r w:rsidR="00CB0B1F">
        <w:rPr>
          <w:color w:val="000000" w:themeColor="text1"/>
        </w:rPr>
        <w:t xml:space="preserve"> případů dočasné pracovní neschopnosti pro nemoci svalové a kosterní soustavy.</w:t>
      </w:r>
      <w:r w:rsidR="00A34C92">
        <w:rPr>
          <w:color w:val="000000" w:themeColor="text1"/>
        </w:rPr>
        <w:t xml:space="preserve"> </w:t>
      </w:r>
    </w:p>
    <w:p w:rsidR="00E00D1A" w:rsidRDefault="00E00D1A" w:rsidP="00563D96">
      <w:pPr>
        <w:spacing w:after="120" w:line="240" w:lineRule="auto"/>
        <w:rPr>
          <w:b/>
        </w:rPr>
      </w:pPr>
    </w:p>
    <w:p w:rsidR="00E00D1A" w:rsidRDefault="00E00D1A" w:rsidP="00563D96">
      <w:pPr>
        <w:spacing w:after="120" w:line="240" w:lineRule="auto"/>
        <w:rPr>
          <w:b/>
        </w:rPr>
      </w:pPr>
    </w:p>
    <w:p w:rsidR="00E00D1A" w:rsidRDefault="00E00D1A" w:rsidP="00563D96">
      <w:pPr>
        <w:spacing w:after="120" w:line="240" w:lineRule="auto"/>
        <w:rPr>
          <w:b/>
        </w:rPr>
      </w:pPr>
    </w:p>
    <w:p w:rsidR="00E00D1A" w:rsidRDefault="00E00D1A" w:rsidP="00563D96">
      <w:pPr>
        <w:spacing w:after="120" w:line="240" w:lineRule="auto"/>
        <w:rPr>
          <w:b/>
        </w:rPr>
      </w:pPr>
    </w:p>
    <w:p w:rsidR="00E00D1A" w:rsidRDefault="00E00D1A" w:rsidP="00563D96">
      <w:pPr>
        <w:spacing w:after="120" w:line="240" w:lineRule="auto"/>
        <w:rPr>
          <w:b/>
        </w:rPr>
      </w:pPr>
    </w:p>
    <w:p w:rsidR="00CB0A23" w:rsidRDefault="00D74C16" w:rsidP="00563D96">
      <w:pPr>
        <w:spacing w:after="120" w:line="240" w:lineRule="auto"/>
        <w:rPr>
          <w:b/>
        </w:rPr>
      </w:pPr>
      <w:r>
        <w:rPr>
          <w:b/>
        </w:rPr>
        <w:lastRenderedPageBreak/>
        <w:t>Tab. 3.</w:t>
      </w:r>
      <w:r w:rsidR="00042338">
        <w:rPr>
          <w:b/>
        </w:rPr>
        <w:t>4</w:t>
      </w:r>
      <w:r>
        <w:rPr>
          <w:b/>
        </w:rPr>
        <w:t xml:space="preserve"> – Ukončené případy pracovní neschopnosti podle </w:t>
      </w:r>
      <w:r w:rsidR="00D47982">
        <w:rPr>
          <w:b/>
        </w:rPr>
        <w:t>skupin diagnóz</w:t>
      </w:r>
      <w:r w:rsidR="00DC6DD3">
        <w:rPr>
          <w:b/>
        </w:rPr>
        <w:t xml:space="preserve"> a pohlaví </w:t>
      </w:r>
      <w:r w:rsidR="00563D96">
        <w:rPr>
          <w:b/>
        </w:rPr>
        <w:br/>
      </w:r>
      <w:r w:rsidR="00DC6DD3">
        <w:rPr>
          <w:b/>
        </w:rPr>
        <w:t>v 1. </w:t>
      </w:r>
      <w:proofErr w:type="spellStart"/>
      <w:r w:rsidR="00DC6DD3">
        <w:rPr>
          <w:b/>
        </w:rPr>
        <w:t>pol</w:t>
      </w:r>
      <w:proofErr w:type="spellEnd"/>
      <w:r w:rsidR="00DC6DD3">
        <w:rPr>
          <w:b/>
        </w:rPr>
        <w:t xml:space="preserve">. 2017 </w:t>
      </w:r>
      <w:r w:rsidR="00811819">
        <w:rPr>
          <w:b/>
        </w:rPr>
        <w:t>a</w:t>
      </w:r>
      <w:r w:rsidR="00DC6DD3">
        <w:rPr>
          <w:b/>
        </w:rPr>
        <w:t> 1. </w:t>
      </w:r>
      <w:proofErr w:type="spellStart"/>
      <w:r w:rsidR="00DC6DD3">
        <w:rPr>
          <w:b/>
        </w:rPr>
        <w:t>pol</w:t>
      </w:r>
      <w:proofErr w:type="spellEnd"/>
      <w:r w:rsidR="00DC6DD3">
        <w:rPr>
          <w:b/>
        </w:rPr>
        <w:t>. 2018</w:t>
      </w:r>
    </w:p>
    <w:tbl>
      <w:tblPr>
        <w:tblW w:w="9620" w:type="dxa"/>
        <w:jc w:val="center"/>
        <w:tblCellMar>
          <w:left w:w="70" w:type="dxa"/>
          <w:right w:w="70" w:type="dxa"/>
        </w:tblCellMar>
        <w:tblLook w:val="04A0"/>
      </w:tblPr>
      <w:tblGrid>
        <w:gridCol w:w="2689"/>
        <w:gridCol w:w="872"/>
        <w:gridCol w:w="674"/>
        <w:gridCol w:w="674"/>
        <w:gridCol w:w="989"/>
        <w:gridCol w:w="912"/>
        <w:gridCol w:w="912"/>
        <w:gridCol w:w="710"/>
        <w:gridCol w:w="594"/>
        <w:gridCol w:w="594"/>
      </w:tblGrid>
      <w:tr w:rsidR="00233ECF" w:rsidRPr="00233ECF" w:rsidTr="00563D96">
        <w:trPr>
          <w:trHeight w:val="600"/>
          <w:jc w:val="center"/>
        </w:trPr>
        <w:tc>
          <w:tcPr>
            <w:tcW w:w="2689" w:type="dxa"/>
            <w:vMerge w:val="restart"/>
            <w:tcBorders>
              <w:top w:val="single" w:sz="4" w:space="0" w:color="auto"/>
              <w:left w:val="nil"/>
              <w:bottom w:val="single" w:sz="4" w:space="0" w:color="000000"/>
              <w:right w:val="single" w:sz="4" w:space="0" w:color="auto"/>
            </w:tcBorders>
            <w:shd w:val="clear" w:color="000000" w:fill="F5DADD"/>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 </w:t>
            </w:r>
          </w:p>
        </w:tc>
        <w:tc>
          <w:tcPr>
            <w:tcW w:w="2220" w:type="dxa"/>
            <w:gridSpan w:val="3"/>
            <w:tcBorders>
              <w:top w:val="single" w:sz="4" w:space="0" w:color="auto"/>
              <w:left w:val="nil"/>
              <w:bottom w:val="single" w:sz="4" w:space="0" w:color="auto"/>
              <w:right w:val="nil"/>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Počet ukončených případů DPN</w:t>
            </w:r>
          </w:p>
        </w:tc>
        <w:tc>
          <w:tcPr>
            <w:tcW w:w="2813" w:type="dxa"/>
            <w:gridSpan w:val="3"/>
            <w:tcBorders>
              <w:top w:val="single" w:sz="4" w:space="0" w:color="auto"/>
              <w:left w:val="single" w:sz="4" w:space="0" w:color="auto"/>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Počet kalendářních dnů DPN</w:t>
            </w:r>
          </w:p>
        </w:tc>
        <w:tc>
          <w:tcPr>
            <w:tcW w:w="1898" w:type="dxa"/>
            <w:gridSpan w:val="3"/>
            <w:tcBorders>
              <w:top w:val="single" w:sz="4" w:space="0" w:color="auto"/>
              <w:left w:val="single" w:sz="4" w:space="0" w:color="auto"/>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Průměrná délka trvání 1 ukončeného případu DPN ve dnech</w:t>
            </w:r>
          </w:p>
        </w:tc>
      </w:tr>
      <w:tr w:rsidR="00233ECF" w:rsidRPr="00233ECF" w:rsidTr="00563D96">
        <w:trPr>
          <w:trHeight w:val="270"/>
          <w:jc w:val="center"/>
        </w:trPr>
        <w:tc>
          <w:tcPr>
            <w:tcW w:w="2689" w:type="dxa"/>
            <w:vMerge/>
            <w:tcBorders>
              <w:top w:val="single" w:sz="4" w:space="0" w:color="auto"/>
              <w:left w:val="nil"/>
              <w:bottom w:val="single" w:sz="4" w:space="0" w:color="000000"/>
              <w:right w:val="single" w:sz="4" w:space="0" w:color="auto"/>
            </w:tcBorders>
            <w:vAlign w:val="center"/>
            <w:hideMark/>
          </w:tcPr>
          <w:p w:rsidR="00233ECF" w:rsidRPr="00233ECF" w:rsidRDefault="00233ECF" w:rsidP="00233ECF">
            <w:pPr>
              <w:spacing w:after="0" w:line="240" w:lineRule="auto"/>
              <w:rPr>
                <w:rFonts w:cs="Arial"/>
                <w:sz w:val="14"/>
                <w:szCs w:val="14"/>
              </w:rPr>
            </w:pPr>
          </w:p>
        </w:tc>
        <w:tc>
          <w:tcPr>
            <w:tcW w:w="872" w:type="dxa"/>
            <w:vMerge w:val="restart"/>
            <w:tcBorders>
              <w:top w:val="nil"/>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celkem</w:t>
            </w:r>
          </w:p>
        </w:tc>
        <w:tc>
          <w:tcPr>
            <w:tcW w:w="1348" w:type="dxa"/>
            <w:gridSpan w:val="2"/>
            <w:tcBorders>
              <w:top w:val="single" w:sz="4" w:space="0" w:color="auto"/>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z toho</w:t>
            </w:r>
          </w:p>
        </w:tc>
        <w:tc>
          <w:tcPr>
            <w:tcW w:w="989" w:type="dxa"/>
            <w:vMerge w:val="restart"/>
            <w:tcBorders>
              <w:top w:val="nil"/>
              <w:left w:val="single" w:sz="4" w:space="0" w:color="auto"/>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celkem</w:t>
            </w:r>
          </w:p>
        </w:tc>
        <w:tc>
          <w:tcPr>
            <w:tcW w:w="1824" w:type="dxa"/>
            <w:gridSpan w:val="2"/>
            <w:tcBorders>
              <w:top w:val="single" w:sz="4" w:space="0" w:color="auto"/>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z toho</w:t>
            </w:r>
          </w:p>
        </w:tc>
        <w:tc>
          <w:tcPr>
            <w:tcW w:w="710" w:type="dxa"/>
            <w:vMerge w:val="restart"/>
            <w:tcBorders>
              <w:top w:val="nil"/>
              <w:left w:val="single" w:sz="4" w:space="0" w:color="auto"/>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celkem</w:t>
            </w:r>
          </w:p>
        </w:tc>
        <w:tc>
          <w:tcPr>
            <w:tcW w:w="1188" w:type="dxa"/>
            <w:gridSpan w:val="2"/>
            <w:tcBorders>
              <w:top w:val="single" w:sz="4" w:space="0" w:color="auto"/>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z toho</w:t>
            </w:r>
          </w:p>
        </w:tc>
      </w:tr>
      <w:tr w:rsidR="00233ECF" w:rsidRPr="00233ECF" w:rsidTr="00563D96">
        <w:trPr>
          <w:trHeight w:val="270"/>
          <w:jc w:val="center"/>
        </w:trPr>
        <w:tc>
          <w:tcPr>
            <w:tcW w:w="2689" w:type="dxa"/>
            <w:vMerge/>
            <w:tcBorders>
              <w:top w:val="single" w:sz="4" w:space="0" w:color="auto"/>
              <w:left w:val="nil"/>
              <w:bottom w:val="single" w:sz="4" w:space="0" w:color="000000"/>
              <w:right w:val="single" w:sz="4" w:space="0" w:color="auto"/>
            </w:tcBorders>
            <w:vAlign w:val="center"/>
            <w:hideMark/>
          </w:tcPr>
          <w:p w:rsidR="00233ECF" w:rsidRPr="00233ECF" w:rsidRDefault="00233ECF" w:rsidP="00233ECF">
            <w:pPr>
              <w:spacing w:after="0" w:line="240" w:lineRule="auto"/>
              <w:rPr>
                <w:rFonts w:cs="Arial"/>
                <w:sz w:val="14"/>
                <w:szCs w:val="14"/>
              </w:rPr>
            </w:pPr>
          </w:p>
        </w:tc>
        <w:tc>
          <w:tcPr>
            <w:tcW w:w="872" w:type="dxa"/>
            <w:vMerge/>
            <w:tcBorders>
              <w:top w:val="nil"/>
              <w:left w:val="nil"/>
              <w:bottom w:val="single" w:sz="4" w:space="0" w:color="auto"/>
              <w:right w:val="single" w:sz="4" w:space="0" w:color="auto"/>
            </w:tcBorders>
            <w:vAlign w:val="center"/>
            <w:hideMark/>
          </w:tcPr>
          <w:p w:rsidR="00233ECF" w:rsidRPr="00233ECF" w:rsidRDefault="00233ECF" w:rsidP="00233ECF">
            <w:pPr>
              <w:spacing w:after="0" w:line="240" w:lineRule="auto"/>
              <w:rPr>
                <w:rFonts w:cs="Arial"/>
                <w:sz w:val="14"/>
                <w:szCs w:val="14"/>
              </w:rPr>
            </w:pPr>
          </w:p>
        </w:tc>
        <w:tc>
          <w:tcPr>
            <w:tcW w:w="674" w:type="dxa"/>
            <w:tcBorders>
              <w:top w:val="nil"/>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muži</w:t>
            </w:r>
          </w:p>
        </w:tc>
        <w:tc>
          <w:tcPr>
            <w:tcW w:w="674" w:type="dxa"/>
            <w:tcBorders>
              <w:top w:val="nil"/>
              <w:left w:val="nil"/>
              <w:bottom w:val="single" w:sz="4" w:space="0" w:color="auto"/>
              <w:right w:val="nil"/>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ženy</w:t>
            </w:r>
          </w:p>
        </w:tc>
        <w:tc>
          <w:tcPr>
            <w:tcW w:w="989" w:type="dxa"/>
            <w:vMerge/>
            <w:tcBorders>
              <w:top w:val="nil"/>
              <w:left w:val="single" w:sz="4" w:space="0" w:color="auto"/>
              <w:bottom w:val="single" w:sz="4" w:space="0" w:color="auto"/>
              <w:right w:val="single" w:sz="4" w:space="0" w:color="auto"/>
            </w:tcBorders>
            <w:vAlign w:val="center"/>
            <w:hideMark/>
          </w:tcPr>
          <w:p w:rsidR="00233ECF" w:rsidRPr="00233ECF" w:rsidRDefault="00233ECF" w:rsidP="00233ECF">
            <w:pPr>
              <w:spacing w:after="0" w:line="240" w:lineRule="auto"/>
              <w:rPr>
                <w:rFonts w:cs="Arial"/>
                <w:sz w:val="14"/>
                <w:szCs w:val="14"/>
              </w:rPr>
            </w:pPr>
          </w:p>
        </w:tc>
        <w:tc>
          <w:tcPr>
            <w:tcW w:w="912" w:type="dxa"/>
            <w:tcBorders>
              <w:top w:val="nil"/>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muži</w:t>
            </w:r>
          </w:p>
        </w:tc>
        <w:tc>
          <w:tcPr>
            <w:tcW w:w="912" w:type="dxa"/>
            <w:tcBorders>
              <w:top w:val="nil"/>
              <w:left w:val="nil"/>
              <w:bottom w:val="single" w:sz="4" w:space="0" w:color="auto"/>
              <w:right w:val="nil"/>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ženy</w:t>
            </w:r>
          </w:p>
        </w:tc>
        <w:tc>
          <w:tcPr>
            <w:tcW w:w="710" w:type="dxa"/>
            <w:vMerge/>
            <w:tcBorders>
              <w:top w:val="nil"/>
              <w:left w:val="single" w:sz="4" w:space="0" w:color="auto"/>
              <w:bottom w:val="single" w:sz="4" w:space="0" w:color="auto"/>
              <w:right w:val="single" w:sz="4" w:space="0" w:color="auto"/>
            </w:tcBorders>
            <w:vAlign w:val="center"/>
            <w:hideMark/>
          </w:tcPr>
          <w:p w:rsidR="00233ECF" w:rsidRPr="00233ECF" w:rsidRDefault="00233ECF" w:rsidP="00233ECF">
            <w:pPr>
              <w:spacing w:after="0" w:line="240" w:lineRule="auto"/>
              <w:rPr>
                <w:rFonts w:cs="Arial"/>
                <w:sz w:val="14"/>
                <w:szCs w:val="14"/>
              </w:rPr>
            </w:pPr>
          </w:p>
        </w:tc>
        <w:tc>
          <w:tcPr>
            <w:tcW w:w="594" w:type="dxa"/>
            <w:tcBorders>
              <w:top w:val="nil"/>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muži</w:t>
            </w:r>
          </w:p>
        </w:tc>
        <w:tc>
          <w:tcPr>
            <w:tcW w:w="594" w:type="dxa"/>
            <w:tcBorders>
              <w:top w:val="nil"/>
              <w:left w:val="nil"/>
              <w:bottom w:val="single" w:sz="4" w:space="0" w:color="auto"/>
              <w:right w:val="nil"/>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ženy</w:t>
            </w:r>
          </w:p>
        </w:tc>
      </w:tr>
      <w:tr w:rsidR="00233ECF" w:rsidRPr="00233ECF" w:rsidTr="00563D96">
        <w:trPr>
          <w:trHeight w:val="270"/>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ascii="Arial CE" w:hAnsi="Arial CE" w:cs="Arial CE"/>
                <w:sz w:val="14"/>
                <w:szCs w:val="14"/>
              </w:rPr>
            </w:pPr>
          </w:p>
        </w:tc>
        <w:tc>
          <w:tcPr>
            <w:tcW w:w="6931" w:type="dxa"/>
            <w:gridSpan w:val="9"/>
            <w:tcBorders>
              <w:top w:val="single" w:sz="4" w:space="0" w:color="auto"/>
              <w:left w:val="single" w:sz="4" w:space="0" w:color="auto"/>
              <w:bottom w:val="single" w:sz="4" w:space="0" w:color="auto"/>
              <w:right w:val="nil"/>
            </w:tcBorders>
            <w:shd w:val="clear" w:color="auto" w:fill="auto"/>
            <w:vAlign w:val="center"/>
            <w:hideMark/>
          </w:tcPr>
          <w:p w:rsidR="00233ECF" w:rsidRPr="00233ECF" w:rsidRDefault="00233ECF" w:rsidP="00233ECF">
            <w:pPr>
              <w:spacing w:after="0" w:line="240" w:lineRule="auto"/>
              <w:jc w:val="center"/>
              <w:rPr>
                <w:rFonts w:ascii="Arial CE" w:hAnsi="Arial CE" w:cs="Arial CE"/>
                <w:sz w:val="14"/>
                <w:szCs w:val="14"/>
              </w:rPr>
            </w:pPr>
            <w:r w:rsidRPr="00233ECF">
              <w:rPr>
                <w:rFonts w:ascii="Arial CE" w:hAnsi="Arial CE" w:cs="Arial CE"/>
                <w:sz w:val="14"/>
                <w:szCs w:val="14"/>
              </w:rPr>
              <w:t>1. pololetí 2018</w:t>
            </w:r>
          </w:p>
        </w:tc>
      </w:tr>
      <w:tr w:rsidR="00233ECF" w:rsidRPr="00233ECF" w:rsidTr="00563D96">
        <w:trPr>
          <w:trHeight w:val="270"/>
          <w:jc w:val="center"/>
        </w:trPr>
        <w:tc>
          <w:tcPr>
            <w:tcW w:w="2689" w:type="dxa"/>
            <w:tcBorders>
              <w:top w:val="nil"/>
              <w:left w:val="nil"/>
              <w:bottom w:val="nil"/>
              <w:right w:val="nil"/>
            </w:tcBorders>
            <w:shd w:val="clear" w:color="auto" w:fill="auto"/>
            <w:vAlign w:val="center"/>
            <w:hideMark/>
          </w:tcPr>
          <w:p w:rsidR="00233ECF" w:rsidRPr="00233ECF" w:rsidRDefault="00233ECF" w:rsidP="00233ECF">
            <w:pPr>
              <w:spacing w:after="0" w:line="240" w:lineRule="auto"/>
              <w:rPr>
                <w:rFonts w:cs="Arial"/>
                <w:b/>
                <w:bCs/>
                <w:sz w:val="14"/>
                <w:szCs w:val="14"/>
              </w:rPr>
            </w:pPr>
            <w:r w:rsidRPr="00233ECF">
              <w:rPr>
                <w:rFonts w:cs="Arial"/>
                <w:b/>
                <w:bCs/>
                <w:sz w:val="14"/>
                <w:szCs w:val="14"/>
              </w:rPr>
              <w:t>ČR celkem</w:t>
            </w:r>
          </w:p>
        </w:tc>
        <w:tc>
          <w:tcPr>
            <w:tcW w:w="872" w:type="dxa"/>
            <w:tcBorders>
              <w:top w:val="nil"/>
              <w:left w:val="single" w:sz="4" w:space="0" w:color="auto"/>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1 013 791</w:t>
            </w:r>
          </w:p>
        </w:tc>
        <w:tc>
          <w:tcPr>
            <w:tcW w:w="67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471 646</w:t>
            </w:r>
          </w:p>
        </w:tc>
        <w:tc>
          <w:tcPr>
            <w:tcW w:w="67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542 145</w:t>
            </w:r>
          </w:p>
        </w:tc>
        <w:tc>
          <w:tcPr>
            <w:tcW w:w="9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38 286 512</w:t>
            </w:r>
          </w:p>
        </w:tc>
        <w:tc>
          <w:tcPr>
            <w:tcW w:w="912"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17 174 798</w:t>
            </w:r>
          </w:p>
        </w:tc>
        <w:tc>
          <w:tcPr>
            <w:tcW w:w="912"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21 111 714</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ascii="Arial CE" w:hAnsi="Arial CE" w:cs="Arial CE"/>
                <w:b/>
                <w:bCs/>
                <w:sz w:val="14"/>
                <w:szCs w:val="14"/>
              </w:rPr>
            </w:pPr>
            <w:r w:rsidRPr="00233ECF">
              <w:rPr>
                <w:rFonts w:ascii="Arial CE" w:hAnsi="Arial CE" w:cs="Arial CE"/>
                <w:b/>
                <w:bCs/>
                <w:sz w:val="14"/>
                <w:szCs w:val="14"/>
              </w:rPr>
              <w:t>37,77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ascii="Arial CE" w:hAnsi="Arial CE" w:cs="Arial CE"/>
                <w:b/>
                <w:bCs/>
                <w:sz w:val="14"/>
                <w:szCs w:val="14"/>
              </w:rPr>
            </w:pPr>
            <w:r w:rsidRPr="00233ECF">
              <w:rPr>
                <w:rFonts w:ascii="Arial CE" w:hAnsi="Arial CE" w:cs="Arial CE"/>
                <w:b/>
                <w:bCs/>
                <w:sz w:val="14"/>
                <w:szCs w:val="14"/>
              </w:rPr>
              <w:t>36,41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ascii="Arial CE" w:hAnsi="Arial CE" w:cs="Arial CE"/>
                <w:b/>
                <w:bCs/>
                <w:sz w:val="14"/>
                <w:szCs w:val="14"/>
              </w:rPr>
            </w:pPr>
            <w:r w:rsidRPr="00233ECF">
              <w:rPr>
                <w:rFonts w:ascii="Arial CE" w:hAnsi="Arial CE" w:cs="Arial CE"/>
                <w:b/>
                <w:bCs/>
                <w:sz w:val="14"/>
                <w:szCs w:val="14"/>
              </w:rPr>
              <w:t>38,94</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Tuberkulóza</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12</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8 904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7 312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1 592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207,07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235,87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132,67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Zhoubné novotvary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7 050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3 361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3 689</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1 252 354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571 679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680 675</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177,64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170,09</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184,51</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duševní</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22 828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8 248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14 580</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1 991 290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686 278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1 305 012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87,23</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83,21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89,51</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nervové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13 987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5 743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8 244</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1 161 059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475 809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685 250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83,01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82,85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83,12</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oběhové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25 675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14 463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11 212</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2 023 468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1 270 928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752 540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78,81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87,87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67,12</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hypertenze</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7 237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4 089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3 148</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409 892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229 235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180 657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56,64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56,06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57,39</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ischemická choroba srdeční</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3 293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2 628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665</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422 285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342 486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79 799</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128,24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130,32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120,00</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cévní nemoci mozku</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1 481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937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544</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237 941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151 029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86 912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160,66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161,18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159,76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jiné nemoci oběhové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13 662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6 808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6 854</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953 218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548 091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405 127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69,77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80,51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59,11</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dýchací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470 080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212 770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257 310</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7 209 432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3 187 532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4 021 900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15,34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14,98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15,63</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akutní infekce dýchacích cest</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364 438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162 198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202 240</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5 372 479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2 317 153</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3 055 326</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14,74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14,29</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15,11</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chřipka</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92 886</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44 337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48 549</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1 376 596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644 582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732 014</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14,82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14,54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15,08</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w:t>
            </w:r>
            <w:r w:rsidR="00563D96">
              <w:rPr>
                <w:rFonts w:cs="Arial"/>
                <w:sz w:val="14"/>
                <w:szCs w:val="14"/>
              </w:rPr>
              <w:t xml:space="preserve"> </w:t>
            </w:r>
            <w:proofErr w:type="spellStart"/>
            <w:r w:rsidR="00563D96">
              <w:rPr>
                <w:rFonts w:cs="Arial"/>
                <w:sz w:val="14"/>
                <w:szCs w:val="14"/>
              </w:rPr>
              <w:t>chron</w:t>
            </w:r>
            <w:proofErr w:type="spellEnd"/>
            <w:r w:rsidR="00563D96">
              <w:rPr>
                <w:rFonts w:cs="Arial"/>
                <w:sz w:val="14"/>
                <w:szCs w:val="14"/>
              </w:rPr>
              <w:t xml:space="preserve">. </w:t>
            </w:r>
            <w:proofErr w:type="gramStart"/>
            <w:r w:rsidR="00563D96">
              <w:rPr>
                <w:rFonts w:cs="Arial"/>
                <w:sz w:val="14"/>
                <w:szCs w:val="14"/>
              </w:rPr>
              <w:t>nemoci</w:t>
            </w:r>
            <w:proofErr w:type="gramEnd"/>
            <w:r w:rsidR="00563D96">
              <w:rPr>
                <w:rFonts w:cs="Arial"/>
                <w:sz w:val="14"/>
                <w:szCs w:val="14"/>
              </w:rPr>
              <w:t xml:space="preserve"> dolních </w:t>
            </w:r>
            <w:proofErr w:type="spellStart"/>
            <w:r w:rsidR="00563D96">
              <w:rPr>
                <w:rFonts w:cs="Arial"/>
                <w:sz w:val="14"/>
                <w:szCs w:val="14"/>
              </w:rPr>
              <w:t>dých</w:t>
            </w:r>
            <w:proofErr w:type="spellEnd"/>
            <w:r w:rsidR="00563D96">
              <w:rPr>
                <w:rFonts w:cs="Arial"/>
                <w:sz w:val="14"/>
                <w:szCs w:val="14"/>
              </w:rPr>
              <w:t xml:space="preserve">. </w:t>
            </w:r>
            <w:r w:rsidRPr="00233ECF">
              <w:rPr>
                <w:rFonts w:cs="Arial"/>
                <w:sz w:val="14"/>
                <w:szCs w:val="14"/>
              </w:rPr>
              <w:t xml:space="preserve"> cest</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6 536</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2 962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3 574</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295 457</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134 712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160 745</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45,20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45,48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44,98</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jiné nemoci dýchacích cest</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6 217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3 271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2 946</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164 860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91 054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73 806</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26,52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27,84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25,05</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trávicí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59 863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32 520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27 343</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1 838 419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1 016 246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822 173</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30,71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31,25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30,07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kůže</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14 054</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7 911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6 143</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477 840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265 425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212 415</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34,00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33,55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34,58</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pohybové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168 123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85 182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82 941</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11 093 351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5 280 513</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5 812 838</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65,98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61,99</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70,08</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nemoci páteře</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109 377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55 079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54 298</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6 756 842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3 169 665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3 587 177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61,78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57,55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66,06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jiné nemoci pohybové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58 735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30 098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28 637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4 335 471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2 110 404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2 225 067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73,81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70,12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77,70</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w:t>
            </w:r>
            <w:proofErr w:type="gramStart"/>
            <w:r w:rsidRPr="00233ECF">
              <w:rPr>
                <w:rFonts w:cs="Arial"/>
                <w:sz w:val="14"/>
                <w:szCs w:val="14"/>
              </w:rPr>
              <w:t xml:space="preserve">moč. a </w:t>
            </w:r>
            <w:proofErr w:type="spellStart"/>
            <w:r w:rsidRPr="00233ECF">
              <w:rPr>
                <w:rFonts w:cs="Arial"/>
                <w:sz w:val="14"/>
                <w:szCs w:val="14"/>
              </w:rPr>
              <w:t>pohl</w:t>
            </w:r>
            <w:proofErr w:type="spellEnd"/>
            <w:proofErr w:type="gramEnd"/>
            <w:r w:rsidRPr="00233ECF">
              <w:rPr>
                <w:rFonts w:cs="Arial"/>
                <w:sz w:val="14"/>
                <w:szCs w:val="14"/>
              </w:rPr>
              <w:t>.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35 739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7 942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27 797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1 213 957</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302 525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911 432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33,97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38,09</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32,79</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Těhotenství, porod, šestinedělí</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17 989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x</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17 989</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1 855 945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x</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1 855 945</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103,17</w:t>
            </w:r>
          </w:p>
        </w:tc>
        <w:tc>
          <w:tcPr>
            <w:tcW w:w="59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x</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103,17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Úrazy, otravy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95 990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60 530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35 460</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5 035 145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3 114 944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1 920 201</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52,45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51,46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54,15</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ostatní (výše neuvedené)</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82 370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32 945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49 425</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3 125 348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995 607</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2 129 741</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37,94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30,22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43,09</w:t>
            </w:r>
          </w:p>
        </w:tc>
      </w:tr>
      <w:tr w:rsidR="00233ECF" w:rsidRPr="00233ECF" w:rsidTr="00563D96">
        <w:trPr>
          <w:trHeight w:val="300"/>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ascii="Arial CE" w:hAnsi="Arial CE" w:cs="Arial CE"/>
                <w:sz w:val="14"/>
                <w:szCs w:val="14"/>
              </w:rPr>
            </w:pPr>
          </w:p>
        </w:tc>
        <w:tc>
          <w:tcPr>
            <w:tcW w:w="6931" w:type="dxa"/>
            <w:gridSpan w:val="9"/>
            <w:tcBorders>
              <w:top w:val="single" w:sz="4" w:space="0" w:color="auto"/>
              <w:left w:val="single" w:sz="4" w:space="0" w:color="auto"/>
              <w:bottom w:val="single" w:sz="4" w:space="0" w:color="auto"/>
              <w:right w:val="nil"/>
            </w:tcBorders>
            <w:shd w:val="clear" w:color="auto" w:fill="auto"/>
            <w:vAlign w:val="center"/>
            <w:hideMark/>
          </w:tcPr>
          <w:p w:rsidR="00233ECF" w:rsidRPr="00233ECF" w:rsidRDefault="00233ECF" w:rsidP="00233ECF">
            <w:pPr>
              <w:spacing w:after="0" w:line="240" w:lineRule="auto"/>
              <w:jc w:val="center"/>
              <w:rPr>
                <w:rFonts w:ascii="Arial CE" w:hAnsi="Arial CE" w:cs="Arial CE"/>
                <w:sz w:val="14"/>
                <w:szCs w:val="14"/>
              </w:rPr>
            </w:pPr>
            <w:r w:rsidRPr="00233ECF">
              <w:rPr>
                <w:rFonts w:ascii="Arial CE" w:hAnsi="Arial CE" w:cs="Arial CE"/>
                <w:sz w:val="14"/>
                <w:szCs w:val="14"/>
              </w:rPr>
              <w:t>1. pololetí 2017</w:t>
            </w:r>
          </w:p>
        </w:tc>
      </w:tr>
      <w:tr w:rsidR="00233ECF" w:rsidRPr="00233ECF" w:rsidTr="00563D96">
        <w:trPr>
          <w:trHeight w:val="300"/>
          <w:jc w:val="center"/>
        </w:trPr>
        <w:tc>
          <w:tcPr>
            <w:tcW w:w="2689" w:type="dxa"/>
            <w:tcBorders>
              <w:top w:val="nil"/>
              <w:left w:val="nil"/>
              <w:bottom w:val="nil"/>
              <w:right w:val="nil"/>
            </w:tcBorders>
            <w:shd w:val="clear" w:color="auto" w:fill="auto"/>
            <w:vAlign w:val="center"/>
            <w:hideMark/>
          </w:tcPr>
          <w:p w:rsidR="00233ECF" w:rsidRPr="00233ECF" w:rsidRDefault="00233ECF" w:rsidP="00233ECF">
            <w:pPr>
              <w:spacing w:after="0" w:line="240" w:lineRule="auto"/>
              <w:rPr>
                <w:rFonts w:cs="Arial"/>
                <w:b/>
                <w:bCs/>
                <w:sz w:val="14"/>
                <w:szCs w:val="14"/>
              </w:rPr>
            </w:pPr>
            <w:r w:rsidRPr="00233ECF">
              <w:rPr>
                <w:rFonts w:cs="Arial"/>
                <w:b/>
                <w:bCs/>
                <w:sz w:val="14"/>
                <w:szCs w:val="14"/>
              </w:rPr>
              <w:t>ČR celkem</w:t>
            </w:r>
          </w:p>
        </w:tc>
        <w:tc>
          <w:tcPr>
            <w:tcW w:w="872" w:type="dxa"/>
            <w:tcBorders>
              <w:top w:val="nil"/>
              <w:left w:val="single" w:sz="4" w:space="0" w:color="auto"/>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942 101</w:t>
            </w:r>
          </w:p>
        </w:tc>
        <w:tc>
          <w:tcPr>
            <w:tcW w:w="67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443 009</w:t>
            </w:r>
          </w:p>
        </w:tc>
        <w:tc>
          <w:tcPr>
            <w:tcW w:w="67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499 092</w:t>
            </w:r>
          </w:p>
        </w:tc>
        <w:tc>
          <w:tcPr>
            <w:tcW w:w="9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37 836 807</w:t>
            </w:r>
          </w:p>
        </w:tc>
        <w:tc>
          <w:tcPr>
            <w:tcW w:w="912"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17 127 770</w:t>
            </w:r>
          </w:p>
        </w:tc>
        <w:tc>
          <w:tcPr>
            <w:tcW w:w="912"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20 709 037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ascii="Arial CE" w:hAnsi="Arial CE" w:cs="Arial CE"/>
                <w:b/>
                <w:bCs/>
                <w:sz w:val="14"/>
                <w:szCs w:val="14"/>
              </w:rPr>
            </w:pPr>
            <w:r w:rsidRPr="00233ECF">
              <w:rPr>
                <w:rFonts w:ascii="Arial CE" w:hAnsi="Arial CE" w:cs="Arial CE"/>
                <w:b/>
                <w:bCs/>
                <w:sz w:val="14"/>
                <w:szCs w:val="14"/>
              </w:rPr>
              <w:t>40,16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ascii="Arial CE" w:hAnsi="Arial CE" w:cs="Arial CE"/>
                <w:b/>
                <w:bCs/>
                <w:sz w:val="14"/>
                <w:szCs w:val="14"/>
              </w:rPr>
            </w:pPr>
            <w:r w:rsidRPr="00233ECF">
              <w:rPr>
                <w:rFonts w:ascii="Arial CE" w:hAnsi="Arial CE" w:cs="Arial CE"/>
                <w:b/>
                <w:bCs/>
                <w:sz w:val="14"/>
                <w:szCs w:val="14"/>
              </w:rPr>
              <w:t>38,66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ascii="Arial CE" w:hAnsi="Arial CE" w:cs="Arial CE"/>
                <w:b/>
                <w:bCs/>
                <w:sz w:val="14"/>
                <w:szCs w:val="14"/>
              </w:rPr>
            </w:pPr>
            <w:r w:rsidRPr="00233ECF">
              <w:rPr>
                <w:rFonts w:ascii="Arial CE" w:hAnsi="Arial CE" w:cs="Arial CE"/>
                <w:b/>
                <w:bCs/>
                <w:sz w:val="14"/>
                <w:szCs w:val="14"/>
              </w:rPr>
              <w:t>41,49</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Tuberkulóza</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14 160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9 228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4 932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224,76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225,07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224,18</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Zhoubné novotvary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6 929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3 343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3 586</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1 243 549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589 285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654 264</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179,47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176,27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182,45</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duševní</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22 648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8 011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14 637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1 959 143</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629 711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1 329 432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86,50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78,61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90,83</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nervové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13 793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5 730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8 063</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1 177 311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491 233</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686 078</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85,36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85,73</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85,09</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oběhové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26 144</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14 760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11 384</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2 070 132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1 324 972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745 160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79,18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89,77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65,46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hypertenze</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7 438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4 135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3 303</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414 731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240 989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173 742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55,76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58,28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52,60</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ischemická choroba srdeční</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3 285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2 652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633</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418 484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346 344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72 140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127,39</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130,60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113,97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cévní nemoci mozku</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1 532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980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552</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250 367</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164 054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86 313</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163,42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167,40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156,36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jiné nemoci oběhové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13 889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6 993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6 896</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986 550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573 585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412 965</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71,03</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82,02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59,88</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dýchací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396 157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180 830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215 327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6 272 189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2 792 116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3 480 073</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15,83</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15,44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16,16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akutní infekce dýchacích cest</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320 441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143 941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176 500</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4 806 114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2 070 405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2 735 709</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15,00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14,38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15,50</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chřipka</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63 320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30 943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32 377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984 890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481 060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503 830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15,55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15,55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15,56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w:t>
            </w:r>
            <w:r w:rsidR="00563D96">
              <w:rPr>
                <w:rFonts w:cs="Arial"/>
                <w:sz w:val="14"/>
                <w:szCs w:val="14"/>
              </w:rPr>
              <w:t xml:space="preserve"> </w:t>
            </w:r>
            <w:proofErr w:type="spellStart"/>
            <w:r w:rsidR="00563D96">
              <w:rPr>
                <w:rFonts w:cs="Arial"/>
                <w:sz w:val="14"/>
                <w:szCs w:val="14"/>
              </w:rPr>
              <w:t>chron</w:t>
            </w:r>
            <w:proofErr w:type="spellEnd"/>
            <w:r w:rsidR="00563D96">
              <w:rPr>
                <w:rFonts w:cs="Arial"/>
                <w:sz w:val="14"/>
                <w:szCs w:val="14"/>
              </w:rPr>
              <w:t xml:space="preserve">. </w:t>
            </w:r>
            <w:proofErr w:type="gramStart"/>
            <w:r w:rsidR="00563D96">
              <w:rPr>
                <w:rFonts w:cs="Arial"/>
                <w:sz w:val="14"/>
                <w:szCs w:val="14"/>
              </w:rPr>
              <w:t>nemoci</w:t>
            </w:r>
            <w:proofErr w:type="gramEnd"/>
            <w:r w:rsidR="00563D96">
              <w:rPr>
                <w:rFonts w:cs="Arial"/>
                <w:sz w:val="14"/>
                <w:szCs w:val="14"/>
              </w:rPr>
              <w:t xml:space="preserve"> dolních </w:t>
            </w:r>
            <w:proofErr w:type="spellStart"/>
            <w:r w:rsidR="00563D96">
              <w:rPr>
                <w:rFonts w:cs="Arial"/>
                <w:sz w:val="14"/>
                <w:szCs w:val="14"/>
              </w:rPr>
              <w:t>dých</w:t>
            </w:r>
            <w:proofErr w:type="spellEnd"/>
            <w:r w:rsidR="00563D96">
              <w:rPr>
                <w:rFonts w:cs="Arial"/>
                <w:sz w:val="14"/>
                <w:szCs w:val="14"/>
              </w:rPr>
              <w:t xml:space="preserve">. </w:t>
            </w:r>
            <w:r w:rsidRPr="00233ECF">
              <w:rPr>
                <w:rFonts w:cs="Arial"/>
                <w:sz w:val="14"/>
                <w:szCs w:val="14"/>
              </w:rPr>
              <w:t xml:space="preserve"> cest</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6 492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2 835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3 657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304 546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141 565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162 981</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46,91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49,93</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44,57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jiné nemoci dýchacích cest</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5 904</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3 111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2 793</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176 639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99 086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77 553</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29,92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31,85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27,77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trávicí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62 999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34 352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28 647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1 890 335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1 048 369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841 966</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30,01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30,52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29,39</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kůže</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13 412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7 675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5 737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463 778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265 598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198 180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34,58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34,61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34,54</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pohybové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168 105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86 068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82 037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11 291 655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5 436 536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5 855 119</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67,17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63,17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71,37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nemoci páteře</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110 989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56 590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54 399</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6 994 077</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3 313 088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3 680 989</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63,02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58,55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67,67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jiné nemoci pohybové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57 115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29 477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27 638</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4 297 469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2 123 339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2 174 130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75,24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72,03</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78,66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w:t>
            </w:r>
            <w:proofErr w:type="gramStart"/>
            <w:r w:rsidRPr="00233ECF">
              <w:rPr>
                <w:rFonts w:cs="Arial"/>
                <w:sz w:val="14"/>
                <w:szCs w:val="14"/>
              </w:rPr>
              <w:t xml:space="preserve">moč. a </w:t>
            </w:r>
            <w:proofErr w:type="spellStart"/>
            <w:r w:rsidRPr="00233ECF">
              <w:rPr>
                <w:rFonts w:cs="Arial"/>
                <w:sz w:val="14"/>
                <w:szCs w:val="14"/>
              </w:rPr>
              <w:t>pohl</w:t>
            </w:r>
            <w:proofErr w:type="spellEnd"/>
            <w:proofErr w:type="gramEnd"/>
            <w:r w:rsidRPr="00233ECF">
              <w:rPr>
                <w:rFonts w:cs="Arial"/>
                <w:sz w:val="14"/>
                <w:szCs w:val="14"/>
              </w:rPr>
              <w:t>.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35 640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7 700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27 940</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1 206 707</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297 350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909 357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33,86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38,62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32,55</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Těhotenství, porod, šestinedělí</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18 631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x</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18 631</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1 962 640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x</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1 962 640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105,34</w:t>
            </w:r>
          </w:p>
        </w:tc>
        <w:tc>
          <w:tcPr>
            <w:tcW w:w="59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x</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105,34</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Úrazy, otravy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98 302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62 395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35 907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5 219 213</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3 257 756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1 961 457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53,09</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52,21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54,63</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ostatní (výše neuvedené)</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79 278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32 104</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47 174</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3 065 995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985 616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2 080 379</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38,67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30,70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44,10</w:t>
            </w:r>
          </w:p>
        </w:tc>
      </w:tr>
    </w:tbl>
    <w:p w:rsidR="00F97FFB" w:rsidRDefault="00F97FFB" w:rsidP="00A34C92">
      <w:pPr>
        <w:spacing w:after="0" w:line="240" w:lineRule="auto"/>
        <w:rPr>
          <w:b/>
        </w:rPr>
      </w:pPr>
    </w:p>
    <w:p w:rsidR="00A22C2E" w:rsidRPr="001338A0" w:rsidRDefault="00F97FFB" w:rsidP="00A22C2E">
      <w:pPr>
        <w:jc w:val="both"/>
        <w:rPr>
          <w:rFonts w:cs="Arial"/>
          <w:sz w:val="16"/>
          <w:szCs w:val="16"/>
        </w:rPr>
      </w:pPr>
      <w:r>
        <w:rPr>
          <w:rFonts w:cs="Arial"/>
          <w:sz w:val="16"/>
          <w:szCs w:val="16"/>
        </w:rPr>
        <w:t>Z</w:t>
      </w:r>
      <w:r w:rsidR="00A22C2E">
        <w:rPr>
          <w:rFonts w:cs="Arial"/>
          <w:sz w:val="16"/>
          <w:szCs w:val="16"/>
        </w:rPr>
        <w:t>droj: ČSSZ</w:t>
      </w:r>
    </w:p>
    <w:p w:rsidR="00CA17EB" w:rsidRDefault="00CA17EB" w:rsidP="00F5640A">
      <w:pPr>
        <w:jc w:val="both"/>
        <w:rPr>
          <w:rFonts w:cs="Arial"/>
          <w:sz w:val="16"/>
          <w:szCs w:val="16"/>
        </w:rPr>
      </w:pPr>
    </w:p>
    <w:p w:rsidR="001436FE" w:rsidRDefault="00CA17EB" w:rsidP="001436FE">
      <w:pPr>
        <w:pStyle w:val="Normlnweb"/>
        <w:spacing w:line="288" w:lineRule="auto"/>
        <w:jc w:val="both"/>
        <w:rPr>
          <w:rFonts w:ascii="Arial" w:hAnsi="Arial"/>
          <w:color w:val="000000" w:themeColor="text1"/>
          <w:sz w:val="20"/>
        </w:rPr>
      </w:pPr>
      <w:r w:rsidRPr="00CA17EB">
        <w:rPr>
          <w:rFonts w:ascii="Arial" w:hAnsi="Arial"/>
          <w:color w:val="000000" w:themeColor="text1"/>
          <w:sz w:val="20"/>
        </w:rPr>
        <w:lastRenderedPageBreak/>
        <w:t xml:space="preserve">Od ledna do konce června 2018 pověření zaměstnanci okresních správ sociálního zabezpečení (OSSZ) provedli přes 73 tisíc </w:t>
      </w:r>
      <w:r w:rsidRPr="00CA17EB">
        <w:rPr>
          <w:rFonts w:ascii="Arial" w:hAnsi="Arial"/>
          <w:b/>
          <w:color w:val="000000" w:themeColor="text1"/>
          <w:sz w:val="20"/>
        </w:rPr>
        <w:t>kontrol dodržování režimu dočasně práceneschopných pojištěnců</w:t>
      </w:r>
      <w:r w:rsidRPr="00CA17EB">
        <w:rPr>
          <w:rFonts w:ascii="Arial" w:hAnsi="Arial"/>
          <w:color w:val="000000" w:themeColor="text1"/>
          <w:sz w:val="20"/>
        </w:rPr>
        <w:t>. Na základě kontrol tak OSSZ udělily téměř 1 900 postihů, které znamenaly krácení či odnětí nemocenského. </w:t>
      </w:r>
    </w:p>
    <w:p w:rsidR="001436FE" w:rsidRDefault="00CA17EB" w:rsidP="001436FE">
      <w:pPr>
        <w:pStyle w:val="Normlnweb"/>
        <w:spacing w:line="288" w:lineRule="auto"/>
        <w:jc w:val="both"/>
        <w:rPr>
          <w:rFonts w:ascii="Arial" w:hAnsi="Arial"/>
          <w:color w:val="000000" w:themeColor="text1"/>
          <w:sz w:val="20"/>
        </w:rPr>
      </w:pPr>
      <w:r w:rsidRPr="00CA17EB">
        <w:rPr>
          <w:rFonts w:ascii="Arial" w:hAnsi="Arial"/>
          <w:color w:val="000000" w:themeColor="text1"/>
          <w:sz w:val="20"/>
        </w:rPr>
        <w:t>Z údajů České správy sociálního zabezpečení (ČSSZ) vyplývá, že nejvíce postihů bylo ve sledovaném období uděleno v Moravskoslezském kraji, a to 269, na „druhém“ místě byl Plzeňský kraj s 259 postihy. Dvoustovku postihů (203) překročil ještě Královéhradecký kraj. Naopak kraje s nejnižším počtem postihů byly Jihočeský a Vysočina (oba 38).</w:t>
      </w:r>
    </w:p>
    <w:p w:rsidR="001436FE" w:rsidRDefault="00CA17EB" w:rsidP="001436FE">
      <w:pPr>
        <w:pStyle w:val="Normlnweb"/>
        <w:spacing w:line="288" w:lineRule="auto"/>
        <w:jc w:val="both"/>
        <w:rPr>
          <w:rFonts w:ascii="Arial" w:hAnsi="Arial"/>
          <w:color w:val="000000" w:themeColor="text1"/>
          <w:sz w:val="20"/>
        </w:rPr>
      </w:pPr>
      <w:r w:rsidRPr="00CA17EB">
        <w:rPr>
          <w:rFonts w:ascii="Arial" w:hAnsi="Arial"/>
          <w:color w:val="000000" w:themeColor="text1"/>
          <w:sz w:val="20"/>
        </w:rPr>
        <w:t xml:space="preserve">Cílem kontrol je, aby dočasná pracovní neschopnost a čerpání nemocenského nebylo zneužíváno. Jsou prováděny na základě tzv. plánu kontrol, který si podle aktuální situace sestavuje OSSZ. Obecně platí, že kontrola může být provedena kdykoliv. Existuje-li důvodné podezření, může být provedena i např. v pozdních hodinách. Může proběhnout i v prvních třech dnech dočasné pracovní neschopnosti, za které nenáleží žádná výplata (tzv. karenční doba). </w:t>
      </w:r>
    </w:p>
    <w:p w:rsidR="001436FE" w:rsidRDefault="00CA17EB" w:rsidP="001436FE">
      <w:pPr>
        <w:pStyle w:val="Normlnweb"/>
        <w:spacing w:line="288" w:lineRule="auto"/>
        <w:jc w:val="both"/>
        <w:rPr>
          <w:rFonts w:ascii="Arial" w:hAnsi="Arial"/>
          <w:color w:val="000000" w:themeColor="text1"/>
          <w:sz w:val="20"/>
        </w:rPr>
      </w:pPr>
      <w:r w:rsidRPr="00CA17EB">
        <w:rPr>
          <w:rFonts w:ascii="Arial" w:hAnsi="Arial"/>
          <w:color w:val="000000" w:themeColor="text1"/>
          <w:sz w:val="20"/>
        </w:rPr>
        <w:t xml:space="preserve">Kontrolovat </w:t>
      </w:r>
      <w:r w:rsidR="002E72B0">
        <w:rPr>
          <w:rFonts w:ascii="Arial" w:hAnsi="Arial"/>
          <w:color w:val="000000" w:themeColor="text1"/>
          <w:sz w:val="20"/>
        </w:rPr>
        <w:t>práce dočasně neschopného zaměstnance má právo</w:t>
      </w:r>
      <w:r w:rsidR="002E72B0" w:rsidRPr="00CA17EB">
        <w:rPr>
          <w:rFonts w:ascii="Arial" w:hAnsi="Arial"/>
          <w:color w:val="000000" w:themeColor="text1"/>
          <w:sz w:val="20"/>
        </w:rPr>
        <w:t xml:space="preserve"> </w:t>
      </w:r>
      <w:r w:rsidRPr="00CA17EB">
        <w:rPr>
          <w:rFonts w:ascii="Arial" w:hAnsi="Arial"/>
          <w:color w:val="000000" w:themeColor="text1"/>
          <w:sz w:val="20"/>
        </w:rPr>
        <w:t>i zaměstnavatel</w:t>
      </w:r>
      <w:r w:rsidR="002E72B0">
        <w:rPr>
          <w:rFonts w:ascii="Arial" w:hAnsi="Arial"/>
          <w:color w:val="000000" w:themeColor="text1"/>
          <w:sz w:val="20"/>
        </w:rPr>
        <w:t>, a to</w:t>
      </w:r>
      <w:r>
        <w:rPr>
          <w:rFonts w:ascii="Arial" w:hAnsi="Arial"/>
          <w:color w:val="000000" w:themeColor="text1"/>
          <w:sz w:val="20"/>
        </w:rPr>
        <w:t xml:space="preserve"> v</w:t>
      </w:r>
      <w:r w:rsidRPr="00CA17EB">
        <w:rPr>
          <w:rFonts w:ascii="Arial" w:hAnsi="Arial"/>
          <w:color w:val="000000" w:themeColor="text1"/>
          <w:sz w:val="20"/>
        </w:rPr>
        <w:t xml:space="preserve"> prvních 14 dnech dočasné pracovní neschopnosti, za které náleží náhrada mzdy vyplácená zaměstnavatelem. Pokud kontrola provedená zaměstnavatelem prokáže, že jejich zaměstnanec porušil režim dočasně práce neschopného pojištěnce, řídí se postih pracovněprávními předpisy, tedy zákoníkem práce.</w:t>
      </w:r>
    </w:p>
    <w:p w:rsidR="001436FE" w:rsidRDefault="002E72B0" w:rsidP="001436FE">
      <w:pPr>
        <w:pStyle w:val="Normlnweb"/>
        <w:spacing w:line="288" w:lineRule="auto"/>
        <w:jc w:val="both"/>
        <w:rPr>
          <w:rFonts w:ascii="Arial" w:hAnsi="Arial"/>
          <w:color w:val="000000" w:themeColor="text1"/>
          <w:sz w:val="20"/>
        </w:rPr>
      </w:pPr>
      <w:r>
        <w:rPr>
          <w:rFonts w:ascii="Arial" w:hAnsi="Arial"/>
          <w:color w:val="000000" w:themeColor="text1"/>
          <w:sz w:val="20"/>
        </w:rPr>
        <w:t>Dočasná pracovní neschopnost vyžaduje od stonajících plnění určitých povinností. S</w:t>
      </w:r>
      <w:r w:rsidR="00CA17EB" w:rsidRPr="00CA17EB">
        <w:rPr>
          <w:rFonts w:ascii="Arial" w:hAnsi="Arial"/>
          <w:color w:val="000000" w:themeColor="text1"/>
          <w:sz w:val="20"/>
        </w:rPr>
        <w:t>tonající na tzv. neschopence</w:t>
      </w:r>
      <w:r w:rsidR="00CA17EB">
        <w:rPr>
          <w:rFonts w:ascii="Arial" w:hAnsi="Arial"/>
          <w:color w:val="000000" w:themeColor="text1"/>
          <w:sz w:val="20"/>
        </w:rPr>
        <w:t xml:space="preserve"> - d</w:t>
      </w:r>
      <w:r w:rsidR="00CA17EB" w:rsidRPr="00CA17EB">
        <w:rPr>
          <w:rFonts w:ascii="Arial" w:hAnsi="Arial"/>
          <w:color w:val="000000" w:themeColor="text1"/>
          <w:sz w:val="20"/>
        </w:rPr>
        <w:t>očasně práceneschopný pojištěnec</w:t>
      </w:r>
      <w:r>
        <w:rPr>
          <w:rFonts w:ascii="Arial" w:hAnsi="Arial"/>
          <w:color w:val="000000" w:themeColor="text1"/>
          <w:sz w:val="20"/>
        </w:rPr>
        <w:t xml:space="preserve"> -</w:t>
      </w:r>
      <w:r w:rsidR="00CA17EB" w:rsidRPr="00CA17EB">
        <w:rPr>
          <w:rFonts w:ascii="Arial" w:hAnsi="Arial"/>
          <w:color w:val="000000" w:themeColor="text1"/>
          <w:sz w:val="20"/>
        </w:rPr>
        <w:t xml:space="preserve"> má povinnost dodržovat ošetřujícím lékařem stanovený režim. Má se zdržovat na platné adrese, kterou sdělil ošetřujícímu lékaři a která je zaznamenána v tzv. neschopence. Pokud ošetřující lékař povolí vycházky (může nejvýše v celkovém rozsahu maximálně 6 hodin denně, v rozmezí od 7 hodin do 19 hodin, v jednom či více intervalech), má pojištěnec povinnost dodržovat konkrétní lékařem stanovený časový úsek. Pro účely kontroly také platí pravidlo „poskytnutí nezbytné součinnosti“. V praxi to zejména znamená, že dočasně práceneschopný pojištěnec musí místo svého pobytu v době nemoci viditelně označit jmenovkou a zajistit funkční zvonek či přístup ke dveřím, aby jej kontrola mohla kontaktovat. </w:t>
      </w:r>
    </w:p>
    <w:p w:rsidR="001436FE" w:rsidRDefault="00CA17EB" w:rsidP="001436FE">
      <w:pPr>
        <w:pStyle w:val="Normlnweb"/>
        <w:spacing w:line="288" w:lineRule="auto"/>
        <w:jc w:val="both"/>
        <w:rPr>
          <w:rFonts w:ascii="Arial" w:hAnsi="Arial"/>
          <w:color w:val="000000" w:themeColor="text1"/>
          <w:sz w:val="20"/>
        </w:rPr>
      </w:pPr>
      <w:r w:rsidRPr="001A620D">
        <w:rPr>
          <w:rFonts w:ascii="Arial" w:hAnsi="Arial"/>
          <w:color w:val="000000" w:themeColor="text1"/>
          <w:sz w:val="20"/>
        </w:rPr>
        <w:t>Průběh kontroly</w:t>
      </w:r>
      <w:r w:rsidR="001A620D" w:rsidRPr="001A620D">
        <w:rPr>
          <w:rFonts w:ascii="Arial" w:hAnsi="Arial"/>
          <w:color w:val="000000" w:themeColor="text1"/>
          <w:sz w:val="20"/>
        </w:rPr>
        <w:t xml:space="preserve"> </w:t>
      </w:r>
      <w:r w:rsidR="002E72B0">
        <w:rPr>
          <w:rFonts w:ascii="Arial" w:hAnsi="Arial"/>
          <w:color w:val="000000" w:themeColor="text1"/>
          <w:sz w:val="20"/>
        </w:rPr>
        <w:t>je následující. P</w:t>
      </w:r>
      <w:r w:rsidRPr="00CA17EB">
        <w:rPr>
          <w:rFonts w:ascii="Arial" w:hAnsi="Arial"/>
          <w:color w:val="000000" w:themeColor="text1"/>
          <w:sz w:val="20"/>
        </w:rPr>
        <w:t>ři kontrole se pověření zaměstnanci OSSZ musejí prokázat průkazem kontrolora a do tzv. neschopenky zaznamenat údaje o kontrole. V případě, že dočasně práceneschopného pojištěnce nezastihnou na uvedené adrese nebo pojištěnec neposkytne nezbytnou součinnost, písemným oznámením ho vyzvou, aby kontaktoval příslušnou OSSZ. Následně jsou objektivně vyhodnoceny důvody nezastižení (nebo neposkytnutí součinnosti). Potvrdí-li se porušení režimu dočasně práceneschopného pojištěnce, zahájí OSSZ správní řízení. Jeho výsledkem může být rozhodnutí o krácení nebo odnětí nemocenského, tzv. postih. Záznam o kontrole při porušení režimu se zasílá dočasně práceneschopnému pojištěnci, ošetřujícímu lékaři a zaměstnavateli.</w:t>
      </w:r>
    </w:p>
    <w:p w:rsidR="00C952AE" w:rsidRDefault="00C952AE" w:rsidP="00E50B5D">
      <w:pPr>
        <w:jc w:val="both"/>
      </w:pPr>
    </w:p>
    <w:p w:rsidR="00C952AE" w:rsidRDefault="00C952AE" w:rsidP="00E50B5D">
      <w:pPr>
        <w:jc w:val="both"/>
      </w:pPr>
    </w:p>
    <w:p w:rsidR="00C952AE" w:rsidRDefault="00C952AE" w:rsidP="00E50B5D">
      <w:pPr>
        <w:jc w:val="both"/>
      </w:pPr>
    </w:p>
    <w:p w:rsidR="00C952AE" w:rsidRDefault="00C952AE" w:rsidP="00E50B5D">
      <w:pPr>
        <w:jc w:val="both"/>
      </w:pPr>
    </w:p>
    <w:p w:rsidR="00C952AE" w:rsidRDefault="00C952AE" w:rsidP="00E50B5D">
      <w:pPr>
        <w:jc w:val="both"/>
      </w:pPr>
    </w:p>
    <w:p w:rsidR="00C952AE" w:rsidRDefault="00C952AE" w:rsidP="00E50B5D">
      <w:pPr>
        <w:jc w:val="both"/>
      </w:pPr>
    </w:p>
    <w:p w:rsidR="00C952AE" w:rsidRDefault="00C952AE" w:rsidP="00E50B5D">
      <w:pPr>
        <w:jc w:val="both"/>
      </w:pPr>
    </w:p>
    <w:p w:rsidR="00CB0A23" w:rsidRPr="00CB0A23" w:rsidRDefault="00CA17EB" w:rsidP="00E50B5D">
      <w:pPr>
        <w:jc w:val="both"/>
        <w:rPr>
          <w:rFonts w:ascii="Arial CE" w:hAnsi="Arial CE" w:cs="Arial CE"/>
          <w:b/>
          <w:bCs/>
          <w:szCs w:val="20"/>
        </w:rPr>
      </w:pPr>
      <w:r>
        <w:lastRenderedPageBreak/>
        <w:t> </w:t>
      </w:r>
      <w:r w:rsidR="00CB0A23">
        <w:rPr>
          <w:b/>
        </w:rPr>
        <w:t>Tab. 3.</w:t>
      </w:r>
      <w:r w:rsidR="00B22A87">
        <w:rPr>
          <w:b/>
        </w:rPr>
        <w:t>5</w:t>
      </w:r>
      <w:r w:rsidR="00CB0A23">
        <w:rPr>
          <w:b/>
        </w:rPr>
        <w:t xml:space="preserve"> – </w:t>
      </w:r>
      <w:r w:rsidR="00CB0A23" w:rsidRPr="00CB0A23">
        <w:rPr>
          <w:rFonts w:ascii="Arial CE" w:hAnsi="Arial CE" w:cs="Arial CE"/>
          <w:b/>
          <w:bCs/>
          <w:szCs w:val="20"/>
        </w:rPr>
        <w:t xml:space="preserve">Kontrola dodržování režimu dočasně práce neschopných pojištěnců </w:t>
      </w:r>
      <w:r w:rsidR="002E72B0">
        <w:rPr>
          <w:rFonts w:ascii="Arial CE" w:hAnsi="Arial CE" w:cs="Arial CE"/>
          <w:b/>
          <w:bCs/>
          <w:szCs w:val="20"/>
        </w:rPr>
        <w:t xml:space="preserve">a počet udělených postihů </w:t>
      </w:r>
      <w:r w:rsidR="00CB0A23" w:rsidRPr="00CB0A23">
        <w:rPr>
          <w:rFonts w:ascii="Arial CE" w:hAnsi="Arial CE" w:cs="Arial CE"/>
          <w:b/>
          <w:bCs/>
          <w:szCs w:val="20"/>
        </w:rPr>
        <w:t xml:space="preserve">v 1. </w:t>
      </w:r>
      <w:proofErr w:type="spellStart"/>
      <w:r w:rsidR="00FF7F23">
        <w:rPr>
          <w:rFonts w:ascii="Arial CE" w:hAnsi="Arial CE" w:cs="Arial CE"/>
          <w:b/>
          <w:bCs/>
          <w:szCs w:val="20"/>
        </w:rPr>
        <w:t>p</w:t>
      </w:r>
      <w:r w:rsidR="00CB0A23" w:rsidRPr="00CB0A23">
        <w:rPr>
          <w:rFonts w:ascii="Arial CE" w:hAnsi="Arial CE" w:cs="Arial CE"/>
          <w:b/>
          <w:bCs/>
          <w:szCs w:val="20"/>
        </w:rPr>
        <w:t>ol</w:t>
      </w:r>
      <w:proofErr w:type="spellEnd"/>
      <w:r w:rsidR="00FF7F23">
        <w:rPr>
          <w:rFonts w:ascii="Arial CE" w:hAnsi="Arial CE" w:cs="Arial CE"/>
          <w:b/>
          <w:bCs/>
          <w:szCs w:val="20"/>
        </w:rPr>
        <w:t>.</w:t>
      </w:r>
      <w:r w:rsidR="00CB0A23" w:rsidRPr="00CB0A23">
        <w:rPr>
          <w:rFonts w:ascii="Arial CE" w:hAnsi="Arial CE" w:cs="Arial CE"/>
          <w:b/>
          <w:bCs/>
          <w:szCs w:val="20"/>
        </w:rPr>
        <w:t xml:space="preserve"> 2018</w:t>
      </w:r>
    </w:p>
    <w:tbl>
      <w:tblPr>
        <w:tblW w:w="9232" w:type="dxa"/>
        <w:tblInd w:w="53" w:type="dxa"/>
        <w:tblCellMar>
          <w:left w:w="70" w:type="dxa"/>
          <w:right w:w="70" w:type="dxa"/>
        </w:tblCellMar>
        <w:tblLook w:val="04A0"/>
      </w:tblPr>
      <w:tblGrid>
        <w:gridCol w:w="3220"/>
        <w:gridCol w:w="3220"/>
        <w:gridCol w:w="2792"/>
      </w:tblGrid>
      <w:tr w:rsidR="009328DB" w:rsidRPr="009328DB" w:rsidTr="00A71891">
        <w:trPr>
          <w:trHeight w:val="555"/>
        </w:trPr>
        <w:tc>
          <w:tcPr>
            <w:tcW w:w="3220" w:type="dxa"/>
            <w:tcBorders>
              <w:top w:val="single" w:sz="4" w:space="0" w:color="auto"/>
              <w:left w:val="nil"/>
              <w:bottom w:val="single" w:sz="4" w:space="0" w:color="auto"/>
              <w:right w:val="single" w:sz="4" w:space="0" w:color="auto"/>
            </w:tcBorders>
            <w:shd w:val="clear" w:color="000000" w:fill="E6B9B8"/>
            <w:vAlign w:val="center"/>
            <w:hideMark/>
          </w:tcPr>
          <w:p w:rsidR="009328DB" w:rsidRPr="009328DB" w:rsidRDefault="009328DB" w:rsidP="009328DB">
            <w:pPr>
              <w:spacing w:after="0" w:line="240" w:lineRule="auto"/>
              <w:jc w:val="center"/>
              <w:rPr>
                <w:rFonts w:cs="Arial"/>
                <w:sz w:val="16"/>
                <w:szCs w:val="16"/>
              </w:rPr>
            </w:pPr>
            <w:r w:rsidRPr="009328DB">
              <w:rPr>
                <w:rFonts w:cs="Arial"/>
                <w:sz w:val="16"/>
                <w:szCs w:val="16"/>
              </w:rPr>
              <w:t>Kraj ČR</w:t>
            </w:r>
          </w:p>
        </w:tc>
        <w:tc>
          <w:tcPr>
            <w:tcW w:w="3220" w:type="dxa"/>
            <w:tcBorders>
              <w:top w:val="single" w:sz="4" w:space="0" w:color="auto"/>
              <w:left w:val="nil"/>
              <w:bottom w:val="single" w:sz="4" w:space="0" w:color="auto"/>
              <w:right w:val="nil"/>
            </w:tcBorders>
            <w:shd w:val="clear" w:color="000000" w:fill="E6B9B8"/>
            <w:vAlign w:val="center"/>
            <w:hideMark/>
          </w:tcPr>
          <w:p w:rsidR="009328DB" w:rsidRPr="009328DB" w:rsidRDefault="009328DB" w:rsidP="009328DB">
            <w:pPr>
              <w:spacing w:after="0" w:line="240" w:lineRule="auto"/>
              <w:jc w:val="center"/>
              <w:rPr>
                <w:rFonts w:cs="Arial"/>
                <w:sz w:val="16"/>
                <w:szCs w:val="16"/>
              </w:rPr>
            </w:pPr>
            <w:r w:rsidRPr="009328DB">
              <w:rPr>
                <w:rFonts w:cs="Arial"/>
                <w:sz w:val="16"/>
                <w:szCs w:val="16"/>
              </w:rPr>
              <w:t>Počet provedených kontrol</w:t>
            </w:r>
          </w:p>
        </w:tc>
        <w:tc>
          <w:tcPr>
            <w:tcW w:w="2792" w:type="dxa"/>
            <w:tcBorders>
              <w:top w:val="single" w:sz="4" w:space="0" w:color="auto"/>
              <w:left w:val="single" w:sz="4" w:space="0" w:color="auto"/>
              <w:bottom w:val="single" w:sz="4" w:space="0" w:color="auto"/>
              <w:right w:val="nil"/>
            </w:tcBorders>
            <w:shd w:val="clear" w:color="000000" w:fill="E6B9B8"/>
            <w:vAlign w:val="center"/>
            <w:hideMark/>
          </w:tcPr>
          <w:p w:rsidR="009328DB" w:rsidRPr="009328DB" w:rsidRDefault="009328DB" w:rsidP="009328DB">
            <w:pPr>
              <w:spacing w:after="0" w:line="240" w:lineRule="auto"/>
              <w:jc w:val="center"/>
              <w:rPr>
                <w:rFonts w:cs="Arial"/>
                <w:sz w:val="16"/>
                <w:szCs w:val="16"/>
              </w:rPr>
            </w:pPr>
            <w:r w:rsidRPr="009328DB">
              <w:rPr>
                <w:rFonts w:cs="Arial"/>
                <w:sz w:val="16"/>
                <w:szCs w:val="16"/>
              </w:rPr>
              <w:t>Počet postihů</w:t>
            </w:r>
          </w:p>
        </w:tc>
      </w:tr>
      <w:tr w:rsidR="009328DB" w:rsidRPr="009328DB" w:rsidTr="00A71891">
        <w:trPr>
          <w:trHeight w:val="31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rPr>
                <w:rFonts w:cs="Arial"/>
                <w:b/>
                <w:bCs/>
                <w:sz w:val="16"/>
                <w:szCs w:val="16"/>
              </w:rPr>
            </w:pPr>
            <w:r w:rsidRPr="009328DB">
              <w:rPr>
                <w:rFonts w:cs="Arial"/>
                <w:b/>
                <w:bCs/>
                <w:sz w:val="16"/>
                <w:szCs w:val="16"/>
              </w:rPr>
              <w:t>ČR celkem</w:t>
            </w:r>
          </w:p>
        </w:tc>
        <w:tc>
          <w:tcPr>
            <w:tcW w:w="3220" w:type="dxa"/>
            <w:tcBorders>
              <w:top w:val="nil"/>
              <w:left w:val="nil"/>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b/>
                <w:bCs/>
                <w:color w:val="000000"/>
                <w:sz w:val="16"/>
                <w:szCs w:val="16"/>
              </w:rPr>
            </w:pPr>
            <w:r w:rsidRPr="009328DB">
              <w:rPr>
                <w:rFonts w:cs="Arial"/>
                <w:b/>
                <w:bCs/>
                <w:color w:val="000000"/>
                <w:sz w:val="16"/>
                <w:szCs w:val="16"/>
              </w:rPr>
              <w:t>73 086</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b/>
                <w:bCs/>
                <w:color w:val="000000"/>
                <w:sz w:val="16"/>
                <w:szCs w:val="16"/>
              </w:rPr>
            </w:pPr>
            <w:r w:rsidRPr="009328DB">
              <w:rPr>
                <w:rFonts w:cs="Arial"/>
                <w:b/>
                <w:bCs/>
                <w:color w:val="000000"/>
                <w:sz w:val="16"/>
                <w:szCs w:val="16"/>
              </w:rPr>
              <w:t>1 875</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Hl. m. Praha</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3 370</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70</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Středočeský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7 165</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109</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Jihočeský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2 884</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38</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Plzeňský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8 173</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259</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Karlovarský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3 325</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169</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Ústecký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5 349</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144</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Liberecký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2 514</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79</w:t>
            </w:r>
          </w:p>
        </w:tc>
      </w:tr>
      <w:tr w:rsidR="009328DB" w:rsidRPr="009328DB" w:rsidTr="00A71891">
        <w:trPr>
          <w:trHeight w:val="25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Královéhradecký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5 995</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203</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Pardubický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5 017</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162</w:t>
            </w:r>
          </w:p>
        </w:tc>
      </w:tr>
      <w:tr w:rsidR="009328DB" w:rsidRPr="009328DB" w:rsidTr="00A71891">
        <w:trPr>
          <w:trHeight w:val="240"/>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Vysočina</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2 749</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38</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Jihomoravský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7 902</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135</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Olomoucký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5 981</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117</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Zlínský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2 118</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83</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Moravskoslezský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10 544</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269</w:t>
            </w:r>
          </w:p>
        </w:tc>
      </w:tr>
    </w:tbl>
    <w:p w:rsidR="009328DB" w:rsidRDefault="009328DB" w:rsidP="00215904">
      <w:pPr>
        <w:pStyle w:val="Normlnweb"/>
      </w:pPr>
    </w:p>
    <w:p w:rsidR="00665A65" w:rsidRPr="001338A0" w:rsidRDefault="00665A65" w:rsidP="00665A65">
      <w:pPr>
        <w:jc w:val="both"/>
        <w:rPr>
          <w:rFonts w:cs="Arial"/>
          <w:sz w:val="16"/>
          <w:szCs w:val="16"/>
        </w:rPr>
      </w:pPr>
      <w:r>
        <w:rPr>
          <w:rFonts w:cs="Arial"/>
          <w:sz w:val="16"/>
          <w:szCs w:val="16"/>
        </w:rPr>
        <w:t>Zdroj: ČSSZ</w:t>
      </w:r>
    </w:p>
    <w:p w:rsidR="0025728D" w:rsidRDefault="00E65730">
      <w:pPr>
        <w:spacing w:after="0"/>
        <w:jc w:val="both"/>
        <w:rPr>
          <w:rFonts w:cs="Arial"/>
          <w:szCs w:val="20"/>
        </w:rPr>
      </w:pPr>
      <w:bookmarkStart w:id="1" w:name="_Toc513101503"/>
      <w:r w:rsidRPr="00840A4D">
        <w:rPr>
          <w:rFonts w:cs="Arial"/>
          <w:b/>
          <w:szCs w:val="20"/>
        </w:rPr>
        <w:t>S</w:t>
      </w:r>
      <w:r w:rsidRPr="009F4826">
        <w:rPr>
          <w:rFonts w:cs="Arial"/>
          <w:b/>
          <w:szCs w:val="20"/>
        </w:rPr>
        <w:t xml:space="preserve"> </w:t>
      </w:r>
      <w:r w:rsidRPr="00840A4D">
        <w:rPr>
          <w:rFonts w:cs="Arial"/>
          <w:b/>
          <w:szCs w:val="20"/>
        </w:rPr>
        <w:t>účinností od</w:t>
      </w:r>
      <w:r w:rsidRPr="009F4826">
        <w:rPr>
          <w:rFonts w:cs="Arial"/>
          <w:b/>
          <w:szCs w:val="20"/>
        </w:rPr>
        <w:t xml:space="preserve"> </w:t>
      </w:r>
      <w:r w:rsidRPr="00840A4D">
        <w:rPr>
          <w:rFonts w:cs="Arial"/>
          <w:b/>
          <w:szCs w:val="20"/>
        </w:rPr>
        <w:t>1. července 2017</w:t>
      </w:r>
      <w:r w:rsidRPr="00840A4D">
        <w:rPr>
          <w:rFonts w:cs="Arial"/>
          <w:szCs w:val="20"/>
        </w:rPr>
        <w:t xml:space="preserve"> vydala náměstkyně pro řízení sekce sociálně pojistných systémů Ministerstva práce a sociálních věcí instrukci č. 9/2017</w:t>
      </w:r>
      <w:r w:rsidRPr="00840A4D">
        <w:rPr>
          <w:rFonts w:cs="Arial"/>
          <w:b/>
          <w:szCs w:val="20"/>
        </w:rPr>
        <w:t>„Standardy délky trvání dočasné pracovní neschopnosti u vybraných diagnóz dle MKN-10“</w:t>
      </w:r>
      <w:r w:rsidRPr="009F4826">
        <w:rPr>
          <w:rFonts w:cs="Arial"/>
          <w:b/>
          <w:szCs w:val="20"/>
        </w:rPr>
        <w:t>.</w:t>
      </w:r>
      <w:r w:rsidR="009D1642">
        <w:rPr>
          <w:rFonts w:cs="Arial"/>
          <w:b/>
          <w:szCs w:val="20"/>
        </w:rPr>
        <w:t xml:space="preserve"> </w:t>
      </w:r>
      <w:r w:rsidRPr="00840A4D">
        <w:rPr>
          <w:rFonts w:cs="Arial"/>
          <w:szCs w:val="20"/>
        </w:rPr>
        <w:t>Tato instrukce upravuje doporučené délky trvání jednoho případu dočasné pracovní neschopnosti u nejčastějších diagnóz (příčin dočasné pracovní neschopnosti) v případech obvyklých a v případech komplikovaných a měla by vést ke sjednocení pracovních postupů lékařů okresních správ sociálního zabezpečení při provádění kontroly správnosti posuzování zdravotního stavu a dočasné pracovní neschopnosti ošetřujícími lékaři pro účely nemocenského pojištění podle zákona č. 187/2006 Sb., o nemocenském pojištění, ve znění pozdějších předpisů.</w:t>
      </w:r>
      <w:r>
        <w:rPr>
          <w:rFonts w:cs="Arial"/>
          <w:szCs w:val="20"/>
        </w:rPr>
        <w:t xml:space="preserve"> </w:t>
      </w:r>
    </w:p>
    <w:p w:rsidR="0025728D" w:rsidRDefault="0025728D">
      <w:pPr>
        <w:spacing w:after="0"/>
        <w:jc w:val="both"/>
        <w:rPr>
          <w:rFonts w:cs="Arial"/>
          <w:szCs w:val="20"/>
        </w:rPr>
      </w:pPr>
    </w:p>
    <w:p w:rsidR="0025728D" w:rsidRDefault="00E65730">
      <w:pPr>
        <w:spacing w:after="0"/>
        <w:jc w:val="both"/>
        <w:rPr>
          <w:rFonts w:cs="Arial"/>
          <w:szCs w:val="20"/>
        </w:rPr>
      </w:pPr>
      <w:r w:rsidRPr="00840A4D">
        <w:rPr>
          <w:rFonts w:cs="Arial"/>
          <w:b/>
          <w:szCs w:val="20"/>
        </w:rPr>
        <w:t>Instrukce nastavuje jednotící pravidla pro posuzování délky trvání dočasné pracovní neschopnosti</w:t>
      </w:r>
      <w:r w:rsidRPr="00840A4D">
        <w:rPr>
          <w:rFonts w:cs="Arial"/>
          <w:szCs w:val="20"/>
        </w:rPr>
        <w:t xml:space="preserve"> u vybraných diagnóz nemocí a pro provádění kontrol správnosti posuzování zdravotního stavu a dočasné pracovní neschopnosti lékaři okresních správ sociálního zabezpečení u případů, které se oproti stanoveným standardům budou odchylovat. Měla by přispět ke zvýšení kvality lékařské posudkové činnosti, dále k optimalizaci fungování systému nemocenského pojištění a k objektivizaci potřeb systému z hlediska provádění kontrol správnosti posuzování zdravotního stavu a dočasné pracovní neschopnosti ošetřujícími lékaři.</w:t>
      </w:r>
    </w:p>
    <w:p w:rsidR="0025728D" w:rsidRDefault="0025728D">
      <w:pPr>
        <w:spacing w:after="0"/>
        <w:jc w:val="both"/>
        <w:rPr>
          <w:rFonts w:cs="Arial"/>
          <w:szCs w:val="20"/>
        </w:rPr>
      </w:pPr>
    </w:p>
    <w:p w:rsidR="0025728D" w:rsidRDefault="00E65730">
      <w:pPr>
        <w:spacing w:after="0"/>
        <w:jc w:val="both"/>
        <w:rPr>
          <w:rFonts w:cs="Arial"/>
          <w:szCs w:val="20"/>
        </w:rPr>
      </w:pPr>
      <w:r w:rsidRPr="00924FE3">
        <w:rPr>
          <w:rFonts w:cs="Arial"/>
          <w:b/>
          <w:szCs w:val="20"/>
        </w:rPr>
        <w:t>K jednotlivým diagnózám byla stanovena</w:t>
      </w:r>
      <w:r w:rsidRPr="00C44C5D">
        <w:rPr>
          <w:rFonts w:cs="Arial"/>
          <w:b/>
          <w:szCs w:val="20"/>
        </w:rPr>
        <w:t xml:space="preserve"> </w:t>
      </w:r>
      <w:r w:rsidRPr="00924FE3">
        <w:rPr>
          <w:rFonts w:cs="Arial"/>
          <w:b/>
          <w:szCs w:val="20"/>
        </w:rPr>
        <w:t>doporučení formou</w:t>
      </w:r>
      <w:r w:rsidRPr="00C44C5D">
        <w:rPr>
          <w:rFonts w:cs="Arial"/>
          <w:b/>
          <w:szCs w:val="20"/>
        </w:rPr>
        <w:t xml:space="preserve"> </w:t>
      </w:r>
      <w:r w:rsidRPr="00924FE3">
        <w:rPr>
          <w:rFonts w:cs="Arial"/>
          <w:b/>
          <w:szCs w:val="20"/>
        </w:rPr>
        <w:t xml:space="preserve">tzv. </w:t>
      </w:r>
      <w:r w:rsidRPr="00C44C5D">
        <w:rPr>
          <w:rFonts w:cs="Arial"/>
          <w:b/>
          <w:szCs w:val="20"/>
        </w:rPr>
        <w:t>o</w:t>
      </w:r>
      <w:r w:rsidRPr="00924FE3">
        <w:rPr>
          <w:rFonts w:cs="Arial"/>
          <w:b/>
          <w:szCs w:val="20"/>
        </w:rPr>
        <w:t>ptimální délky</w:t>
      </w:r>
      <w:r w:rsidRPr="00C44C5D">
        <w:rPr>
          <w:rFonts w:cs="Arial"/>
          <w:b/>
          <w:szCs w:val="20"/>
        </w:rPr>
        <w:t xml:space="preserve"> </w:t>
      </w:r>
      <w:r w:rsidRPr="00924FE3">
        <w:rPr>
          <w:rFonts w:cs="Arial"/>
          <w:b/>
          <w:szCs w:val="20"/>
        </w:rPr>
        <w:t xml:space="preserve">trvání dočasné </w:t>
      </w:r>
      <w:r w:rsidRPr="00C44C5D">
        <w:rPr>
          <w:rFonts w:cs="Arial"/>
          <w:b/>
          <w:szCs w:val="20"/>
        </w:rPr>
        <w:t>pr</w:t>
      </w:r>
      <w:r w:rsidRPr="00924FE3">
        <w:rPr>
          <w:rFonts w:cs="Arial"/>
          <w:b/>
          <w:szCs w:val="20"/>
        </w:rPr>
        <w:t>acovní neschopnost</w:t>
      </w:r>
      <w:r w:rsidRPr="00924FE3">
        <w:rPr>
          <w:rFonts w:cs="Arial"/>
          <w:szCs w:val="20"/>
        </w:rPr>
        <w:t>i při obvyklém klinickém průběhu nemoci a tzv.</w:t>
      </w:r>
      <w:r>
        <w:rPr>
          <w:rFonts w:cs="Arial"/>
          <w:szCs w:val="20"/>
        </w:rPr>
        <w:t xml:space="preserve"> </w:t>
      </w:r>
      <w:r w:rsidRPr="00924FE3">
        <w:rPr>
          <w:rFonts w:cs="Arial"/>
          <w:szCs w:val="20"/>
        </w:rPr>
        <w:t>maximální doporučené délky trvání dočasné pracovní neschopnosti pro případ možných komplikací. Doporučené standardy délky trvání jednoho případu dočasné pracovní neschopnosti v případech obvyklých a v</w:t>
      </w:r>
      <w:r>
        <w:rPr>
          <w:rFonts w:cs="Arial"/>
          <w:szCs w:val="20"/>
        </w:rPr>
        <w:t xml:space="preserve"> </w:t>
      </w:r>
      <w:r w:rsidRPr="00924FE3">
        <w:rPr>
          <w:rFonts w:cs="Arial"/>
          <w:szCs w:val="20"/>
        </w:rPr>
        <w:t xml:space="preserve">případech </w:t>
      </w:r>
      <w:r>
        <w:rPr>
          <w:rFonts w:cs="Arial"/>
          <w:szCs w:val="20"/>
        </w:rPr>
        <w:t>k</w:t>
      </w:r>
      <w:r w:rsidRPr="00924FE3">
        <w:rPr>
          <w:rFonts w:cs="Arial"/>
          <w:szCs w:val="20"/>
        </w:rPr>
        <w:t xml:space="preserve">omplikovaných jsou definovány ve dvou variantách s ohledem na dosavadní pojištěnou činnost dočasně práce neschopného - pro duševně pracující a pro fyzicky pracující. </w:t>
      </w:r>
    </w:p>
    <w:p w:rsidR="0025728D" w:rsidRDefault="0025728D">
      <w:pPr>
        <w:spacing w:after="0"/>
        <w:jc w:val="both"/>
        <w:rPr>
          <w:rFonts w:cs="Arial"/>
          <w:szCs w:val="20"/>
        </w:rPr>
      </w:pPr>
    </w:p>
    <w:p w:rsidR="0025728D" w:rsidRDefault="00E65730">
      <w:pPr>
        <w:jc w:val="both"/>
        <w:rPr>
          <w:rFonts w:cs="Arial"/>
          <w:szCs w:val="20"/>
        </w:rPr>
      </w:pPr>
      <w:r w:rsidRPr="00840A4D">
        <w:rPr>
          <w:rFonts w:cs="Arial"/>
          <w:szCs w:val="20"/>
        </w:rPr>
        <w:t>Standardy délky trvání dočasné pracovní neschopnosti u vybraných diagnóz dle MKN-10“</w:t>
      </w:r>
      <w:r w:rsidRPr="00924FE3">
        <w:rPr>
          <w:rFonts w:cs="Arial"/>
          <w:szCs w:val="20"/>
        </w:rPr>
        <w:t xml:space="preserve"> </w:t>
      </w:r>
      <w:r>
        <w:rPr>
          <w:rFonts w:cs="Arial"/>
          <w:szCs w:val="20"/>
        </w:rPr>
        <w:t xml:space="preserve">k </w:t>
      </w:r>
      <w:r w:rsidRPr="00924FE3">
        <w:rPr>
          <w:rFonts w:cs="Arial"/>
          <w:szCs w:val="20"/>
        </w:rPr>
        <w:t xml:space="preserve">dispozici </w:t>
      </w:r>
      <w:r>
        <w:rPr>
          <w:rFonts w:cs="Arial"/>
          <w:szCs w:val="20"/>
        </w:rPr>
        <w:t xml:space="preserve">zde </w:t>
      </w:r>
      <w:hyperlink r:id="rId13" w:history="1">
        <w:r w:rsidRPr="00D04399">
          <w:rPr>
            <w:rStyle w:val="Hypertextovodkaz"/>
            <w:rFonts w:eastAsia="MS Gothic" w:cs="Arial"/>
            <w:szCs w:val="20"/>
          </w:rPr>
          <w:t>https://www.mpsv.cz/files/clanky/31151/Instrukce_-9_2017-Standardy_delek_DPN.pdf</w:t>
        </w:r>
      </w:hyperlink>
      <w:bookmarkEnd w:id="1"/>
    </w:p>
    <w:sectPr w:rsidR="0025728D" w:rsidSect="006F5416">
      <w:headerReference w:type="even" r:id="rId14"/>
      <w:headerReference w:type="default" r:id="rId15"/>
      <w:footerReference w:type="even" r:id="rId16"/>
      <w:footerReference w:type="default" r:id="rId17"/>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F84" w:rsidRDefault="00C85F84" w:rsidP="00E71A58">
      <w:r>
        <w:separator/>
      </w:r>
    </w:p>
  </w:endnote>
  <w:endnote w:type="continuationSeparator" w:id="0">
    <w:p w:rsidR="00C85F84" w:rsidRDefault="00C85F84"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6A" w:rsidRDefault="009D1069"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p>
  <w:p w:rsidR="009D1069" w:rsidRPr="00932443" w:rsidRDefault="009D1069" w:rsidP="00A418BC">
    <w:pPr>
      <w:pStyle w:val="Zpat"/>
      <w:rPr>
        <w:szCs w:val="16"/>
      </w:rPr>
    </w:pPr>
    <w:r w:rsidRPr="00932443">
      <w:rPr>
        <w:szCs w:val="16"/>
      </w:rPr>
      <w:tab/>
    </w:r>
    <w:r>
      <w:rPr>
        <w:szCs w:val="16"/>
      </w:rPr>
      <w:t>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69" w:rsidRPr="00932443" w:rsidRDefault="009D1069" w:rsidP="00E00D1A">
    <w:pPr>
      <w:pStyle w:val="Zpat"/>
      <w:tabs>
        <w:tab w:val="left" w:pos="9529"/>
      </w:tabs>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2018</w:t>
    </w:r>
    <w:r w:rsidRPr="00932443">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F84" w:rsidRDefault="00C85F84" w:rsidP="00E71A58">
      <w:r>
        <w:separator/>
      </w:r>
    </w:p>
  </w:footnote>
  <w:footnote w:type="continuationSeparator" w:id="0">
    <w:p w:rsidR="00C85F84" w:rsidRDefault="00C85F84"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69" w:rsidRPr="00C62BD6" w:rsidRDefault="009D1069" w:rsidP="00C62BD6">
    <w:pPr>
      <w:pStyle w:val="Zhlav"/>
    </w:pPr>
    <w:r>
      <w:t>Pracovní neschopnost pro nemoc a úraz v České republice za 1. pololetí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69" w:rsidRPr="00C62BD6" w:rsidRDefault="009D1069" w:rsidP="00C62BD6">
    <w:pPr>
      <w:pStyle w:val="Zhlav"/>
    </w:pPr>
    <w:r>
      <w:t>Pracovní neschopnost pro nemoc a úraz v České republice za 1. pololetí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13746EB"/>
    <w:multiLevelType w:val="hybridMultilevel"/>
    <w:tmpl w:val="D616BA4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21F7F59"/>
    <w:multiLevelType w:val="hybridMultilevel"/>
    <w:tmpl w:val="9EACCE2C"/>
    <w:lvl w:ilvl="0" w:tplc="04050001">
      <w:start w:val="1"/>
      <w:numFmt w:val="bullet"/>
      <w:lvlText w:val=""/>
      <w:lvlJc w:val="left"/>
      <w:pPr>
        <w:ind w:left="720" w:hanging="360"/>
      </w:pPr>
      <w:rPr>
        <w:rFonts w:ascii="Symbol" w:hAnsi="Symbol" w:hint="default"/>
      </w:rPr>
    </w:lvl>
    <w:lvl w:ilvl="1" w:tplc="04050009">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92469A9"/>
    <w:multiLevelType w:val="hybridMultilevel"/>
    <w:tmpl w:val="6E42498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A133F17"/>
    <w:multiLevelType w:val="hybridMultilevel"/>
    <w:tmpl w:val="1D3A9A2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1603038"/>
    <w:multiLevelType w:val="multilevel"/>
    <w:tmpl w:val="33D0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723F40"/>
    <w:multiLevelType w:val="hybridMultilevel"/>
    <w:tmpl w:val="65E8E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46B787E"/>
    <w:multiLevelType w:val="hybridMultilevel"/>
    <w:tmpl w:val="A4A86456"/>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4AE0212"/>
    <w:multiLevelType w:val="hybridMultilevel"/>
    <w:tmpl w:val="B27CAB0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86F1BCF"/>
    <w:multiLevelType w:val="multilevel"/>
    <w:tmpl w:val="0CFA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394626"/>
    <w:multiLevelType w:val="hybridMultilevel"/>
    <w:tmpl w:val="C29C8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0772BC2"/>
    <w:multiLevelType w:val="multilevel"/>
    <w:tmpl w:val="B6E2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C14F36"/>
    <w:multiLevelType w:val="multilevel"/>
    <w:tmpl w:val="1A9A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FB3472"/>
    <w:multiLevelType w:val="hybridMultilevel"/>
    <w:tmpl w:val="306E3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99855A7"/>
    <w:multiLevelType w:val="hybridMultilevel"/>
    <w:tmpl w:val="5E740A9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AD14163"/>
    <w:multiLevelType w:val="hybridMultilevel"/>
    <w:tmpl w:val="8E5265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DFE13AA"/>
    <w:multiLevelType w:val="hybridMultilevel"/>
    <w:tmpl w:val="3B30054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nsid w:val="31BE7536"/>
    <w:multiLevelType w:val="hybridMultilevel"/>
    <w:tmpl w:val="CA56DB9C"/>
    <w:lvl w:ilvl="0" w:tplc="578C2E4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23435D6"/>
    <w:multiLevelType w:val="hybridMultilevel"/>
    <w:tmpl w:val="299CC6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2757E69"/>
    <w:multiLevelType w:val="hybridMultilevel"/>
    <w:tmpl w:val="923CA67A"/>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0">
    <w:nsid w:val="42BA0E59"/>
    <w:multiLevelType w:val="hybridMultilevel"/>
    <w:tmpl w:val="3F88B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6375EA9"/>
    <w:multiLevelType w:val="multilevel"/>
    <w:tmpl w:val="8EFA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901B91"/>
    <w:multiLevelType w:val="hybridMultilevel"/>
    <w:tmpl w:val="EA86977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90017F3"/>
    <w:multiLevelType w:val="hybridMultilevel"/>
    <w:tmpl w:val="D4C40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3F873C3"/>
    <w:multiLevelType w:val="hybridMultilevel"/>
    <w:tmpl w:val="B83418D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8">
    <w:nsid w:val="686C4312"/>
    <w:multiLevelType w:val="multilevel"/>
    <w:tmpl w:val="A544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874A64"/>
    <w:multiLevelType w:val="hybridMultilevel"/>
    <w:tmpl w:val="35CA03B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nsid w:val="71FB04D0"/>
    <w:multiLevelType w:val="hybridMultilevel"/>
    <w:tmpl w:val="A5FC2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42159D4"/>
    <w:multiLevelType w:val="hybridMultilevel"/>
    <w:tmpl w:val="A4D2B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62E1767"/>
    <w:multiLevelType w:val="hybridMultilevel"/>
    <w:tmpl w:val="20A0152A"/>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34"/>
  </w:num>
  <w:num w:numId="14">
    <w:abstractNumId w:val="17"/>
  </w:num>
  <w:num w:numId="15">
    <w:abstractNumId w:val="27"/>
  </w:num>
  <w:num w:numId="16">
    <w:abstractNumId w:val="10"/>
  </w:num>
  <w:num w:numId="17">
    <w:abstractNumId w:val="40"/>
  </w:num>
  <w:num w:numId="18">
    <w:abstractNumId w:val="22"/>
  </w:num>
  <w:num w:numId="19">
    <w:abstractNumId w:val="36"/>
  </w:num>
  <w:num w:numId="20">
    <w:abstractNumId w:val="25"/>
  </w:num>
  <w:num w:numId="21">
    <w:abstractNumId w:val="32"/>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5"/>
  </w:num>
  <w:num w:numId="25">
    <w:abstractNumId w:val="14"/>
  </w:num>
  <w:num w:numId="26">
    <w:abstractNumId w:val="38"/>
  </w:num>
  <w:num w:numId="27">
    <w:abstractNumId w:val="11"/>
  </w:num>
  <w:num w:numId="28">
    <w:abstractNumId w:val="12"/>
  </w:num>
  <w:num w:numId="29">
    <w:abstractNumId w:val="13"/>
  </w:num>
  <w:num w:numId="30">
    <w:abstractNumId w:val="28"/>
  </w:num>
  <w:num w:numId="31">
    <w:abstractNumId w:val="24"/>
  </w:num>
  <w:num w:numId="32">
    <w:abstractNumId w:val="16"/>
  </w:num>
  <w:num w:numId="33">
    <w:abstractNumId w:val="30"/>
  </w:num>
  <w:num w:numId="34">
    <w:abstractNumId w:val="41"/>
  </w:num>
  <w:num w:numId="35">
    <w:abstractNumId w:val="20"/>
  </w:num>
  <w:num w:numId="36">
    <w:abstractNumId w:val="21"/>
  </w:num>
  <w:num w:numId="37">
    <w:abstractNumId w:val="39"/>
  </w:num>
  <w:num w:numId="38">
    <w:abstractNumId w:val="26"/>
  </w:num>
  <w:num w:numId="39">
    <w:abstractNumId w:val="37"/>
  </w:num>
  <w:num w:numId="40">
    <w:abstractNumId w:val="29"/>
  </w:num>
  <w:num w:numId="41">
    <w:abstractNumId w:val="18"/>
  </w:num>
  <w:num w:numId="42">
    <w:abstractNumId w:val="31"/>
  </w:num>
  <w:num w:numId="43">
    <w:abstractNumId w:val="15"/>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8194">
      <o:colormru v:ext="edit" colors="#ecf4dd,#eaecee,#fcec0a,#fcecdb,#f1daf5"/>
    </o:shapedefaults>
  </w:hdrShapeDefaults>
  <w:footnotePr>
    <w:footnote w:id="-1"/>
    <w:footnote w:id="0"/>
  </w:footnotePr>
  <w:endnotePr>
    <w:endnote w:id="-1"/>
    <w:endnote w:id="0"/>
  </w:endnotePr>
  <w:compat/>
  <w:rsids>
    <w:rsidRoot w:val="003C629F"/>
    <w:rsid w:val="00000F9E"/>
    <w:rsid w:val="0000209D"/>
    <w:rsid w:val="00004D5A"/>
    <w:rsid w:val="000056AC"/>
    <w:rsid w:val="000056D5"/>
    <w:rsid w:val="00006E59"/>
    <w:rsid w:val="00006FF8"/>
    <w:rsid w:val="000073B0"/>
    <w:rsid w:val="0000767A"/>
    <w:rsid w:val="00010702"/>
    <w:rsid w:val="00012AAA"/>
    <w:rsid w:val="00012D4C"/>
    <w:rsid w:val="000138D2"/>
    <w:rsid w:val="00014CB4"/>
    <w:rsid w:val="0001541D"/>
    <w:rsid w:val="00016992"/>
    <w:rsid w:val="00020366"/>
    <w:rsid w:val="00020F5B"/>
    <w:rsid w:val="00021D4F"/>
    <w:rsid w:val="000220A7"/>
    <w:rsid w:val="00022CC3"/>
    <w:rsid w:val="000234D6"/>
    <w:rsid w:val="00023752"/>
    <w:rsid w:val="00023D29"/>
    <w:rsid w:val="00025962"/>
    <w:rsid w:val="00026389"/>
    <w:rsid w:val="00030C62"/>
    <w:rsid w:val="000318FA"/>
    <w:rsid w:val="00031AE0"/>
    <w:rsid w:val="000322EF"/>
    <w:rsid w:val="00033FCD"/>
    <w:rsid w:val="00035D43"/>
    <w:rsid w:val="00036D75"/>
    <w:rsid w:val="0003700D"/>
    <w:rsid w:val="00037892"/>
    <w:rsid w:val="00040E2B"/>
    <w:rsid w:val="00041CD3"/>
    <w:rsid w:val="00041CEC"/>
    <w:rsid w:val="000422D6"/>
    <w:rsid w:val="00042338"/>
    <w:rsid w:val="00043077"/>
    <w:rsid w:val="000439E1"/>
    <w:rsid w:val="000441B2"/>
    <w:rsid w:val="000456B5"/>
    <w:rsid w:val="0004580B"/>
    <w:rsid w:val="00045DE5"/>
    <w:rsid w:val="00046914"/>
    <w:rsid w:val="0004694F"/>
    <w:rsid w:val="00047203"/>
    <w:rsid w:val="00052266"/>
    <w:rsid w:val="000522E4"/>
    <w:rsid w:val="00052494"/>
    <w:rsid w:val="00055BD9"/>
    <w:rsid w:val="000610E1"/>
    <w:rsid w:val="00061150"/>
    <w:rsid w:val="00061AF0"/>
    <w:rsid w:val="00062AE9"/>
    <w:rsid w:val="00062EC5"/>
    <w:rsid w:val="00062F22"/>
    <w:rsid w:val="000637B9"/>
    <w:rsid w:val="00063B7E"/>
    <w:rsid w:val="00063EF6"/>
    <w:rsid w:val="00065F99"/>
    <w:rsid w:val="00066244"/>
    <w:rsid w:val="00067CC5"/>
    <w:rsid w:val="00070698"/>
    <w:rsid w:val="000712B3"/>
    <w:rsid w:val="0007305F"/>
    <w:rsid w:val="00074B9E"/>
    <w:rsid w:val="00074D94"/>
    <w:rsid w:val="00075921"/>
    <w:rsid w:val="00076895"/>
    <w:rsid w:val="0008263E"/>
    <w:rsid w:val="00082C19"/>
    <w:rsid w:val="00085056"/>
    <w:rsid w:val="000850A2"/>
    <w:rsid w:val="00085395"/>
    <w:rsid w:val="00085DD0"/>
    <w:rsid w:val="00085EA1"/>
    <w:rsid w:val="000860AB"/>
    <w:rsid w:val="000860E7"/>
    <w:rsid w:val="00086E51"/>
    <w:rsid w:val="00087634"/>
    <w:rsid w:val="00087B0B"/>
    <w:rsid w:val="00087D6A"/>
    <w:rsid w:val="00087F2B"/>
    <w:rsid w:val="0009095C"/>
    <w:rsid w:val="00090DF3"/>
    <w:rsid w:val="00091189"/>
    <w:rsid w:val="00091548"/>
    <w:rsid w:val="00092DFE"/>
    <w:rsid w:val="0009305D"/>
    <w:rsid w:val="0009434D"/>
    <w:rsid w:val="00096738"/>
    <w:rsid w:val="00096A2D"/>
    <w:rsid w:val="000974D1"/>
    <w:rsid w:val="0009799E"/>
    <w:rsid w:val="00097C3A"/>
    <w:rsid w:val="000A0EDF"/>
    <w:rsid w:val="000A1183"/>
    <w:rsid w:val="000A1A53"/>
    <w:rsid w:val="000A1DDF"/>
    <w:rsid w:val="000A256D"/>
    <w:rsid w:val="000A34A2"/>
    <w:rsid w:val="000A376E"/>
    <w:rsid w:val="000A3A2C"/>
    <w:rsid w:val="000A3A51"/>
    <w:rsid w:val="000A5007"/>
    <w:rsid w:val="000A5190"/>
    <w:rsid w:val="000A5801"/>
    <w:rsid w:val="000A73A7"/>
    <w:rsid w:val="000A7FAF"/>
    <w:rsid w:val="000B046F"/>
    <w:rsid w:val="000B0F71"/>
    <w:rsid w:val="000B1299"/>
    <w:rsid w:val="000B18E1"/>
    <w:rsid w:val="000B30FA"/>
    <w:rsid w:val="000B3152"/>
    <w:rsid w:val="000B3416"/>
    <w:rsid w:val="000B3EF7"/>
    <w:rsid w:val="000B4F3F"/>
    <w:rsid w:val="000B5AB0"/>
    <w:rsid w:val="000B78F7"/>
    <w:rsid w:val="000C0175"/>
    <w:rsid w:val="000C3408"/>
    <w:rsid w:val="000C3871"/>
    <w:rsid w:val="000C4868"/>
    <w:rsid w:val="000C6AFD"/>
    <w:rsid w:val="000D0984"/>
    <w:rsid w:val="000D0B70"/>
    <w:rsid w:val="000D1857"/>
    <w:rsid w:val="000D2467"/>
    <w:rsid w:val="000D2B7A"/>
    <w:rsid w:val="000D3D37"/>
    <w:rsid w:val="000D4A30"/>
    <w:rsid w:val="000D5637"/>
    <w:rsid w:val="000D5763"/>
    <w:rsid w:val="000D6E68"/>
    <w:rsid w:val="000E1AB0"/>
    <w:rsid w:val="000E2F1E"/>
    <w:rsid w:val="000E3A0E"/>
    <w:rsid w:val="000E3A9C"/>
    <w:rsid w:val="000E43F6"/>
    <w:rsid w:val="000E525F"/>
    <w:rsid w:val="000E5B2D"/>
    <w:rsid w:val="000E6D18"/>
    <w:rsid w:val="000E6FBD"/>
    <w:rsid w:val="000E70A2"/>
    <w:rsid w:val="000F1056"/>
    <w:rsid w:val="000F1FE8"/>
    <w:rsid w:val="000F2C27"/>
    <w:rsid w:val="000F2DDC"/>
    <w:rsid w:val="000F5618"/>
    <w:rsid w:val="000F5FE0"/>
    <w:rsid w:val="000F64E8"/>
    <w:rsid w:val="000F68B6"/>
    <w:rsid w:val="00100C17"/>
    <w:rsid w:val="00100F5C"/>
    <w:rsid w:val="00102149"/>
    <w:rsid w:val="00102408"/>
    <w:rsid w:val="001030DF"/>
    <w:rsid w:val="0010437D"/>
    <w:rsid w:val="00104C4C"/>
    <w:rsid w:val="0010665F"/>
    <w:rsid w:val="00106C1B"/>
    <w:rsid w:val="00106E17"/>
    <w:rsid w:val="001077C2"/>
    <w:rsid w:val="0011072F"/>
    <w:rsid w:val="001116A9"/>
    <w:rsid w:val="001122E0"/>
    <w:rsid w:val="0011447F"/>
    <w:rsid w:val="0012192F"/>
    <w:rsid w:val="00121BBA"/>
    <w:rsid w:val="00125175"/>
    <w:rsid w:val="001253F3"/>
    <w:rsid w:val="00125D69"/>
    <w:rsid w:val="00125F56"/>
    <w:rsid w:val="00126448"/>
    <w:rsid w:val="00130594"/>
    <w:rsid w:val="00130A21"/>
    <w:rsid w:val="0013134F"/>
    <w:rsid w:val="001316B8"/>
    <w:rsid w:val="0013313C"/>
    <w:rsid w:val="001338A0"/>
    <w:rsid w:val="00133F2E"/>
    <w:rsid w:val="0013471F"/>
    <w:rsid w:val="0013513B"/>
    <w:rsid w:val="00135C05"/>
    <w:rsid w:val="001405FA"/>
    <w:rsid w:val="00140D94"/>
    <w:rsid w:val="00141374"/>
    <w:rsid w:val="001425C3"/>
    <w:rsid w:val="0014311C"/>
    <w:rsid w:val="001436FE"/>
    <w:rsid w:val="00144CD5"/>
    <w:rsid w:val="001451B7"/>
    <w:rsid w:val="001458CD"/>
    <w:rsid w:val="00150CBE"/>
    <w:rsid w:val="001555A9"/>
    <w:rsid w:val="001558A1"/>
    <w:rsid w:val="00155E6E"/>
    <w:rsid w:val="00156FA0"/>
    <w:rsid w:val="001572B6"/>
    <w:rsid w:val="00157C4E"/>
    <w:rsid w:val="00157C82"/>
    <w:rsid w:val="00157F4D"/>
    <w:rsid w:val="00157FF8"/>
    <w:rsid w:val="00160704"/>
    <w:rsid w:val="00161A21"/>
    <w:rsid w:val="00162142"/>
    <w:rsid w:val="0016224B"/>
    <w:rsid w:val="0016256B"/>
    <w:rsid w:val="00162967"/>
    <w:rsid w:val="00162C96"/>
    <w:rsid w:val="00162CEB"/>
    <w:rsid w:val="00163793"/>
    <w:rsid w:val="00165721"/>
    <w:rsid w:val="001670A7"/>
    <w:rsid w:val="0017027A"/>
    <w:rsid w:val="001706D6"/>
    <w:rsid w:val="00170C5F"/>
    <w:rsid w:val="001714F2"/>
    <w:rsid w:val="001722C1"/>
    <w:rsid w:val="00172DAA"/>
    <w:rsid w:val="00172F7F"/>
    <w:rsid w:val="001730B3"/>
    <w:rsid w:val="00173D29"/>
    <w:rsid w:val="00174FF2"/>
    <w:rsid w:val="00175140"/>
    <w:rsid w:val="001757D7"/>
    <w:rsid w:val="00176686"/>
    <w:rsid w:val="001771A3"/>
    <w:rsid w:val="00177AF9"/>
    <w:rsid w:val="00184B08"/>
    <w:rsid w:val="00185010"/>
    <w:rsid w:val="001906E1"/>
    <w:rsid w:val="00191074"/>
    <w:rsid w:val="00191B90"/>
    <w:rsid w:val="00192C20"/>
    <w:rsid w:val="00193CBE"/>
    <w:rsid w:val="00194E14"/>
    <w:rsid w:val="00194FAA"/>
    <w:rsid w:val="00196668"/>
    <w:rsid w:val="0019672E"/>
    <w:rsid w:val="00196D71"/>
    <w:rsid w:val="00196DFF"/>
    <w:rsid w:val="0019752B"/>
    <w:rsid w:val="0019771A"/>
    <w:rsid w:val="001A0FEE"/>
    <w:rsid w:val="001A1661"/>
    <w:rsid w:val="001A552F"/>
    <w:rsid w:val="001A620D"/>
    <w:rsid w:val="001A6B70"/>
    <w:rsid w:val="001A73CD"/>
    <w:rsid w:val="001B2CA9"/>
    <w:rsid w:val="001B2E27"/>
    <w:rsid w:val="001B3110"/>
    <w:rsid w:val="001B46BC"/>
    <w:rsid w:val="001B4729"/>
    <w:rsid w:val="001B5429"/>
    <w:rsid w:val="001B64E2"/>
    <w:rsid w:val="001B6683"/>
    <w:rsid w:val="001B6C09"/>
    <w:rsid w:val="001C05CD"/>
    <w:rsid w:val="001C1006"/>
    <w:rsid w:val="001C1467"/>
    <w:rsid w:val="001C180F"/>
    <w:rsid w:val="001C2FEB"/>
    <w:rsid w:val="001C3015"/>
    <w:rsid w:val="001C4847"/>
    <w:rsid w:val="001C4A15"/>
    <w:rsid w:val="001C691D"/>
    <w:rsid w:val="001C69CD"/>
    <w:rsid w:val="001C77B0"/>
    <w:rsid w:val="001D3447"/>
    <w:rsid w:val="001D4179"/>
    <w:rsid w:val="001D4D07"/>
    <w:rsid w:val="001D520B"/>
    <w:rsid w:val="001D5F5C"/>
    <w:rsid w:val="001D68B2"/>
    <w:rsid w:val="001D7E19"/>
    <w:rsid w:val="001D7F96"/>
    <w:rsid w:val="001E0887"/>
    <w:rsid w:val="001E1882"/>
    <w:rsid w:val="001E36E8"/>
    <w:rsid w:val="001E5798"/>
    <w:rsid w:val="001F07BD"/>
    <w:rsid w:val="001F1AF6"/>
    <w:rsid w:val="001F3AEC"/>
    <w:rsid w:val="001F4597"/>
    <w:rsid w:val="001F4CD7"/>
    <w:rsid w:val="001F6B79"/>
    <w:rsid w:val="00200470"/>
    <w:rsid w:val="002011C2"/>
    <w:rsid w:val="002033D2"/>
    <w:rsid w:val="00204A73"/>
    <w:rsid w:val="00204F00"/>
    <w:rsid w:val="0020632C"/>
    <w:rsid w:val="00206C9F"/>
    <w:rsid w:val="00210FC4"/>
    <w:rsid w:val="002110A0"/>
    <w:rsid w:val="0021141B"/>
    <w:rsid w:val="00211604"/>
    <w:rsid w:val="002118B9"/>
    <w:rsid w:val="0021219D"/>
    <w:rsid w:val="00215605"/>
    <w:rsid w:val="00215904"/>
    <w:rsid w:val="0021605D"/>
    <w:rsid w:val="00217163"/>
    <w:rsid w:val="00217C5B"/>
    <w:rsid w:val="00217DDE"/>
    <w:rsid w:val="00220202"/>
    <w:rsid w:val="00220A25"/>
    <w:rsid w:val="0022139E"/>
    <w:rsid w:val="002232C2"/>
    <w:rsid w:val="00223EE6"/>
    <w:rsid w:val="00224078"/>
    <w:rsid w:val="002247CA"/>
    <w:rsid w:val="002252E0"/>
    <w:rsid w:val="002255F6"/>
    <w:rsid w:val="00225CCC"/>
    <w:rsid w:val="00225D02"/>
    <w:rsid w:val="00225ECD"/>
    <w:rsid w:val="00225F24"/>
    <w:rsid w:val="00227850"/>
    <w:rsid w:val="00227A53"/>
    <w:rsid w:val="00227ADD"/>
    <w:rsid w:val="002305E5"/>
    <w:rsid w:val="00230C6E"/>
    <w:rsid w:val="00230D01"/>
    <w:rsid w:val="002321F2"/>
    <w:rsid w:val="0023272F"/>
    <w:rsid w:val="002329E4"/>
    <w:rsid w:val="002332C5"/>
    <w:rsid w:val="002339CB"/>
    <w:rsid w:val="00233ECF"/>
    <w:rsid w:val="002345D2"/>
    <w:rsid w:val="00235C79"/>
    <w:rsid w:val="00236443"/>
    <w:rsid w:val="00236769"/>
    <w:rsid w:val="00240D82"/>
    <w:rsid w:val="00241BC0"/>
    <w:rsid w:val="002436BA"/>
    <w:rsid w:val="0024398E"/>
    <w:rsid w:val="00244A15"/>
    <w:rsid w:val="00247319"/>
    <w:rsid w:val="0024793B"/>
    <w:rsid w:val="0024799E"/>
    <w:rsid w:val="00253914"/>
    <w:rsid w:val="00253C0F"/>
    <w:rsid w:val="0025512D"/>
    <w:rsid w:val="0025728D"/>
    <w:rsid w:val="00263C28"/>
    <w:rsid w:val="00263C92"/>
    <w:rsid w:val="002646DA"/>
    <w:rsid w:val="0026618C"/>
    <w:rsid w:val="002665F3"/>
    <w:rsid w:val="0026772B"/>
    <w:rsid w:val="00267A3A"/>
    <w:rsid w:val="00270A73"/>
    <w:rsid w:val="00271088"/>
    <w:rsid w:val="002710B1"/>
    <w:rsid w:val="00271465"/>
    <w:rsid w:val="00272934"/>
    <w:rsid w:val="002737BB"/>
    <w:rsid w:val="00273D70"/>
    <w:rsid w:val="00276756"/>
    <w:rsid w:val="002770B9"/>
    <w:rsid w:val="00277F1A"/>
    <w:rsid w:val="0028194C"/>
    <w:rsid w:val="00282919"/>
    <w:rsid w:val="00284606"/>
    <w:rsid w:val="00284C89"/>
    <w:rsid w:val="00285412"/>
    <w:rsid w:val="00285599"/>
    <w:rsid w:val="0028613E"/>
    <w:rsid w:val="00292C38"/>
    <w:rsid w:val="00292EA8"/>
    <w:rsid w:val="002936BC"/>
    <w:rsid w:val="002970C7"/>
    <w:rsid w:val="00297EB5"/>
    <w:rsid w:val="002A00BE"/>
    <w:rsid w:val="002A16D4"/>
    <w:rsid w:val="002A2003"/>
    <w:rsid w:val="002A230C"/>
    <w:rsid w:val="002A5602"/>
    <w:rsid w:val="002A6DD0"/>
    <w:rsid w:val="002B03C8"/>
    <w:rsid w:val="002B1452"/>
    <w:rsid w:val="002B1C15"/>
    <w:rsid w:val="002B234B"/>
    <w:rsid w:val="002B2842"/>
    <w:rsid w:val="002B2E2F"/>
    <w:rsid w:val="002B3776"/>
    <w:rsid w:val="002B3C69"/>
    <w:rsid w:val="002B4327"/>
    <w:rsid w:val="002B58CA"/>
    <w:rsid w:val="002B6146"/>
    <w:rsid w:val="002B7597"/>
    <w:rsid w:val="002C0154"/>
    <w:rsid w:val="002C23FB"/>
    <w:rsid w:val="002C394F"/>
    <w:rsid w:val="002C43BD"/>
    <w:rsid w:val="002C44D3"/>
    <w:rsid w:val="002C47E9"/>
    <w:rsid w:val="002C4C21"/>
    <w:rsid w:val="002C55B2"/>
    <w:rsid w:val="002C5F8F"/>
    <w:rsid w:val="002C63D7"/>
    <w:rsid w:val="002C7AE2"/>
    <w:rsid w:val="002C7B67"/>
    <w:rsid w:val="002C7FE0"/>
    <w:rsid w:val="002D0E59"/>
    <w:rsid w:val="002D2EC8"/>
    <w:rsid w:val="002D548C"/>
    <w:rsid w:val="002D55A7"/>
    <w:rsid w:val="002E0185"/>
    <w:rsid w:val="002E02A1"/>
    <w:rsid w:val="002E1012"/>
    <w:rsid w:val="002E1172"/>
    <w:rsid w:val="002E165B"/>
    <w:rsid w:val="002E246B"/>
    <w:rsid w:val="002E3A00"/>
    <w:rsid w:val="002E3A71"/>
    <w:rsid w:val="002E4E4C"/>
    <w:rsid w:val="002E575B"/>
    <w:rsid w:val="002E72B0"/>
    <w:rsid w:val="002F1459"/>
    <w:rsid w:val="002F1BB4"/>
    <w:rsid w:val="002F2413"/>
    <w:rsid w:val="002F3B4C"/>
    <w:rsid w:val="002F5215"/>
    <w:rsid w:val="002F5756"/>
    <w:rsid w:val="003007A7"/>
    <w:rsid w:val="0030154A"/>
    <w:rsid w:val="00302799"/>
    <w:rsid w:val="00302820"/>
    <w:rsid w:val="00304771"/>
    <w:rsid w:val="003052D4"/>
    <w:rsid w:val="0030568C"/>
    <w:rsid w:val="0030594B"/>
    <w:rsid w:val="00306C5B"/>
    <w:rsid w:val="003116A3"/>
    <w:rsid w:val="00312502"/>
    <w:rsid w:val="003125C1"/>
    <w:rsid w:val="00312E21"/>
    <w:rsid w:val="0031360D"/>
    <w:rsid w:val="00315540"/>
    <w:rsid w:val="003168AE"/>
    <w:rsid w:val="00316B01"/>
    <w:rsid w:val="00320302"/>
    <w:rsid w:val="003209D6"/>
    <w:rsid w:val="00321924"/>
    <w:rsid w:val="003221C3"/>
    <w:rsid w:val="003222D9"/>
    <w:rsid w:val="00323C27"/>
    <w:rsid w:val="0032656E"/>
    <w:rsid w:val="00326B09"/>
    <w:rsid w:val="00330AC3"/>
    <w:rsid w:val="00332190"/>
    <w:rsid w:val="00334C1B"/>
    <w:rsid w:val="00334C4B"/>
    <w:rsid w:val="00335F3A"/>
    <w:rsid w:val="003366ED"/>
    <w:rsid w:val="0033734D"/>
    <w:rsid w:val="003417AC"/>
    <w:rsid w:val="003417FB"/>
    <w:rsid w:val="0034383F"/>
    <w:rsid w:val="00344668"/>
    <w:rsid w:val="00344BAE"/>
    <w:rsid w:val="00344EF8"/>
    <w:rsid w:val="003462D9"/>
    <w:rsid w:val="00346FDD"/>
    <w:rsid w:val="00347869"/>
    <w:rsid w:val="003507B0"/>
    <w:rsid w:val="00350ACD"/>
    <w:rsid w:val="00350C58"/>
    <w:rsid w:val="00350CCA"/>
    <w:rsid w:val="00350E50"/>
    <w:rsid w:val="003528D9"/>
    <w:rsid w:val="00352D01"/>
    <w:rsid w:val="00357586"/>
    <w:rsid w:val="0036061D"/>
    <w:rsid w:val="003607F1"/>
    <w:rsid w:val="00360C86"/>
    <w:rsid w:val="00361483"/>
    <w:rsid w:val="0036240E"/>
    <w:rsid w:val="00362679"/>
    <w:rsid w:val="003630F4"/>
    <w:rsid w:val="00363275"/>
    <w:rsid w:val="0036354F"/>
    <w:rsid w:val="00364662"/>
    <w:rsid w:val="00364D94"/>
    <w:rsid w:val="003657F3"/>
    <w:rsid w:val="00365CBF"/>
    <w:rsid w:val="00366009"/>
    <w:rsid w:val="003705BC"/>
    <w:rsid w:val="003738AC"/>
    <w:rsid w:val="00374DBC"/>
    <w:rsid w:val="0037575F"/>
    <w:rsid w:val="003759C4"/>
    <w:rsid w:val="00377D0A"/>
    <w:rsid w:val="00377F6C"/>
    <w:rsid w:val="00380598"/>
    <w:rsid w:val="003818DC"/>
    <w:rsid w:val="0038419F"/>
    <w:rsid w:val="00384327"/>
    <w:rsid w:val="003847A9"/>
    <w:rsid w:val="003847CF"/>
    <w:rsid w:val="00385D98"/>
    <w:rsid w:val="00385E35"/>
    <w:rsid w:val="00386032"/>
    <w:rsid w:val="00386A33"/>
    <w:rsid w:val="00387E51"/>
    <w:rsid w:val="00390861"/>
    <w:rsid w:val="0039169F"/>
    <w:rsid w:val="003927A5"/>
    <w:rsid w:val="00393054"/>
    <w:rsid w:val="00393A3A"/>
    <w:rsid w:val="00393CDA"/>
    <w:rsid w:val="00393E1C"/>
    <w:rsid w:val="00395632"/>
    <w:rsid w:val="00395D6A"/>
    <w:rsid w:val="00395E54"/>
    <w:rsid w:val="00397E88"/>
    <w:rsid w:val="00397F8B"/>
    <w:rsid w:val="003A01A6"/>
    <w:rsid w:val="003A1230"/>
    <w:rsid w:val="003A1C4E"/>
    <w:rsid w:val="003A2B4D"/>
    <w:rsid w:val="003A2E6F"/>
    <w:rsid w:val="003A478C"/>
    <w:rsid w:val="003A4B26"/>
    <w:rsid w:val="003A5525"/>
    <w:rsid w:val="003A586C"/>
    <w:rsid w:val="003A60D7"/>
    <w:rsid w:val="003A66F7"/>
    <w:rsid w:val="003A6B38"/>
    <w:rsid w:val="003A6C48"/>
    <w:rsid w:val="003B161F"/>
    <w:rsid w:val="003B2E45"/>
    <w:rsid w:val="003B305D"/>
    <w:rsid w:val="003B33EE"/>
    <w:rsid w:val="003B4380"/>
    <w:rsid w:val="003B43F6"/>
    <w:rsid w:val="003B49FF"/>
    <w:rsid w:val="003B51A0"/>
    <w:rsid w:val="003B5A32"/>
    <w:rsid w:val="003B5EEE"/>
    <w:rsid w:val="003C08B4"/>
    <w:rsid w:val="003C0FB0"/>
    <w:rsid w:val="003C1083"/>
    <w:rsid w:val="003C29AB"/>
    <w:rsid w:val="003C3490"/>
    <w:rsid w:val="003C434D"/>
    <w:rsid w:val="003C629F"/>
    <w:rsid w:val="003C6D7F"/>
    <w:rsid w:val="003D106E"/>
    <w:rsid w:val="003D1806"/>
    <w:rsid w:val="003D2E88"/>
    <w:rsid w:val="003D3FC2"/>
    <w:rsid w:val="003D679F"/>
    <w:rsid w:val="003D6920"/>
    <w:rsid w:val="003D6F1D"/>
    <w:rsid w:val="003E05D3"/>
    <w:rsid w:val="003E0A23"/>
    <w:rsid w:val="003E12C3"/>
    <w:rsid w:val="003E2845"/>
    <w:rsid w:val="003E2CA0"/>
    <w:rsid w:val="003E4049"/>
    <w:rsid w:val="003E466E"/>
    <w:rsid w:val="003E4C91"/>
    <w:rsid w:val="003E7488"/>
    <w:rsid w:val="003E7697"/>
    <w:rsid w:val="003F1703"/>
    <w:rsid w:val="003F17C5"/>
    <w:rsid w:val="003F2678"/>
    <w:rsid w:val="003F2FB6"/>
    <w:rsid w:val="003F313C"/>
    <w:rsid w:val="003F3A8B"/>
    <w:rsid w:val="003F4B2C"/>
    <w:rsid w:val="003F551C"/>
    <w:rsid w:val="003F647B"/>
    <w:rsid w:val="003F65C2"/>
    <w:rsid w:val="003F7D23"/>
    <w:rsid w:val="00401585"/>
    <w:rsid w:val="0040166C"/>
    <w:rsid w:val="00401F91"/>
    <w:rsid w:val="00402E84"/>
    <w:rsid w:val="0040332E"/>
    <w:rsid w:val="00404192"/>
    <w:rsid w:val="0040419B"/>
    <w:rsid w:val="004054C2"/>
    <w:rsid w:val="00405801"/>
    <w:rsid w:val="00405C2F"/>
    <w:rsid w:val="00406205"/>
    <w:rsid w:val="00406CE0"/>
    <w:rsid w:val="0040736D"/>
    <w:rsid w:val="00407422"/>
    <w:rsid w:val="004078CE"/>
    <w:rsid w:val="00407C13"/>
    <w:rsid w:val="00407DB7"/>
    <w:rsid w:val="00410638"/>
    <w:rsid w:val="0041080A"/>
    <w:rsid w:val="00411214"/>
    <w:rsid w:val="0041543D"/>
    <w:rsid w:val="00415A3C"/>
    <w:rsid w:val="00415BF4"/>
    <w:rsid w:val="00416B7F"/>
    <w:rsid w:val="00417C49"/>
    <w:rsid w:val="0042086A"/>
    <w:rsid w:val="004231CF"/>
    <w:rsid w:val="0042374E"/>
    <w:rsid w:val="0042447C"/>
    <w:rsid w:val="004247C0"/>
    <w:rsid w:val="004261ED"/>
    <w:rsid w:val="00427AB2"/>
    <w:rsid w:val="004309B2"/>
    <w:rsid w:val="00432A58"/>
    <w:rsid w:val="004338EA"/>
    <w:rsid w:val="00433BEB"/>
    <w:rsid w:val="00434617"/>
    <w:rsid w:val="00436034"/>
    <w:rsid w:val="00440900"/>
    <w:rsid w:val="00442489"/>
    <w:rsid w:val="00443D15"/>
    <w:rsid w:val="004441A0"/>
    <w:rsid w:val="00446E1A"/>
    <w:rsid w:val="00451B1D"/>
    <w:rsid w:val="004522CC"/>
    <w:rsid w:val="004529E3"/>
    <w:rsid w:val="00452AB0"/>
    <w:rsid w:val="00456A66"/>
    <w:rsid w:val="0045766E"/>
    <w:rsid w:val="00460FB3"/>
    <w:rsid w:val="00462A81"/>
    <w:rsid w:val="004638C2"/>
    <w:rsid w:val="00464A3E"/>
    <w:rsid w:val="0046583C"/>
    <w:rsid w:val="004659D3"/>
    <w:rsid w:val="00466E03"/>
    <w:rsid w:val="00467C9A"/>
    <w:rsid w:val="0047002D"/>
    <w:rsid w:val="0047042F"/>
    <w:rsid w:val="00470704"/>
    <w:rsid w:val="00472BF3"/>
    <w:rsid w:val="004757D5"/>
    <w:rsid w:val="0047619A"/>
    <w:rsid w:val="00476240"/>
    <w:rsid w:val="00476439"/>
    <w:rsid w:val="0047735C"/>
    <w:rsid w:val="004776BC"/>
    <w:rsid w:val="00477A9C"/>
    <w:rsid w:val="0048139F"/>
    <w:rsid w:val="004818DE"/>
    <w:rsid w:val="00481E40"/>
    <w:rsid w:val="00484180"/>
    <w:rsid w:val="0048469C"/>
    <w:rsid w:val="00484ECE"/>
    <w:rsid w:val="004852BF"/>
    <w:rsid w:val="00486193"/>
    <w:rsid w:val="004900FF"/>
    <w:rsid w:val="004911FA"/>
    <w:rsid w:val="004915CB"/>
    <w:rsid w:val="004924DC"/>
    <w:rsid w:val="00492702"/>
    <w:rsid w:val="00492ADF"/>
    <w:rsid w:val="004937C8"/>
    <w:rsid w:val="004949FA"/>
    <w:rsid w:val="00494C69"/>
    <w:rsid w:val="00494E37"/>
    <w:rsid w:val="004952C5"/>
    <w:rsid w:val="00495B22"/>
    <w:rsid w:val="00496B5E"/>
    <w:rsid w:val="00496D9B"/>
    <w:rsid w:val="004974FE"/>
    <w:rsid w:val="004A14E4"/>
    <w:rsid w:val="004A199B"/>
    <w:rsid w:val="004A2CC4"/>
    <w:rsid w:val="004A3212"/>
    <w:rsid w:val="004A4A16"/>
    <w:rsid w:val="004A4B7A"/>
    <w:rsid w:val="004A50E3"/>
    <w:rsid w:val="004A5E6C"/>
    <w:rsid w:val="004A61C5"/>
    <w:rsid w:val="004A77DF"/>
    <w:rsid w:val="004B12B7"/>
    <w:rsid w:val="004B1417"/>
    <w:rsid w:val="004B17A6"/>
    <w:rsid w:val="004B1E06"/>
    <w:rsid w:val="004B2E40"/>
    <w:rsid w:val="004B4122"/>
    <w:rsid w:val="004B4654"/>
    <w:rsid w:val="004B5465"/>
    <w:rsid w:val="004B55B7"/>
    <w:rsid w:val="004B5EA6"/>
    <w:rsid w:val="004B6468"/>
    <w:rsid w:val="004C2339"/>
    <w:rsid w:val="004C35FD"/>
    <w:rsid w:val="004C37A4"/>
    <w:rsid w:val="004C384C"/>
    <w:rsid w:val="004C3867"/>
    <w:rsid w:val="004C4CD0"/>
    <w:rsid w:val="004C7031"/>
    <w:rsid w:val="004C70DC"/>
    <w:rsid w:val="004C73DA"/>
    <w:rsid w:val="004C7A61"/>
    <w:rsid w:val="004C7F91"/>
    <w:rsid w:val="004D0211"/>
    <w:rsid w:val="004D043B"/>
    <w:rsid w:val="004D0794"/>
    <w:rsid w:val="004D3282"/>
    <w:rsid w:val="004D334E"/>
    <w:rsid w:val="004D341B"/>
    <w:rsid w:val="004D6204"/>
    <w:rsid w:val="004D6588"/>
    <w:rsid w:val="004D7A0C"/>
    <w:rsid w:val="004E2877"/>
    <w:rsid w:val="004E364D"/>
    <w:rsid w:val="004E46B4"/>
    <w:rsid w:val="004E62A5"/>
    <w:rsid w:val="004E6D7F"/>
    <w:rsid w:val="004E6FD3"/>
    <w:rsid w:val="004E7C48"/>
    <w:rsid w:val="004E7CB3"/>
    <w:rsid w:val="004E7F92"/>
    <w:rsid w:val="004F06F5"/>
    <w:rsid w:val="004F0D45"/>
    <w:rsid w:val="004F0F17"/>
    <w:rsid w:val="004F1EC1"/>
    <w:rsid w:val="004F29EC"/>
    <w:rsid w:val="004F2E80"/>
    <w:rsid w:val="004F33A0"/>
    <w:rsid w:val="004F45A7"/>
    <w:rsid w:val="004F4624"/>
    <w:rsid w:val="004F6CFB"/>
    <w:rsid w:val="004F7787"/>
    <w:rsid w:val="004F7964"/>
    <w:rsid w:val="00500A8A"/>
    <w:rsid w:val="00501105"/>
    <w:rsid w:val="0050262D"/>
    <w:rsid w:val="00502729"/>
    <w:rsid w:val="00502782"/>
    <w:rsid w:val="00503FBC"/>
    <w:rsid w:val="005059D5"/>
    <w:rsid w:val="00506326"/>
    <w:rsid w:val="00510308"/>
    <w:rsid w:val="005108C0"/>
    <w:rsid w:val="0051143F"/>
    <w:rsid w:val="00511873"/>
    <w:rsid w:val="005129CB"/>
    <w:rsid w:val="00512A2F"/>
    <w:rsid w:val="00513B7E"/>
    <w:rsid w:val="00514420"/>
    <w:rsid w:val="00515C74"/>
    <w:rsid w:val="005164AE"/>
    <w:rsid w:val="00516DC4"/>
    <w:rsid w:val="00517816"/>
    <w:rsid w:val="0052007E"/>
    <w:rsid w:val="00520FF1"/>
    <w:rsid w:val="005229A8"/>
    <w:rsid w:val="0052337A"/>
    <w:rsid w:val="00524184"/>
    <w:rsid w:val="00525137"/>
    <w:rsid w:val="005251DD"/>
    <w:rsid w:val="0052542E"/>
    <w:rsid w:val="00526C04"/>
    <w:rsid w:val="00526EBF"/>
    <w:rsid w:val="00532CE7"/>
    <w:rsid w:val="00532E6C"/>
    <w:rsid w:val="0053324C"/>
    <w:rsid w:val="00534A28"/>
    <w:rsid w:val="00534A75"/>
    <w:rsid w:val="00535648"/>
    <w:rsid w:val="00536482"/>
    <w:rsid w:val="00540B61"/>
    <w:rsid w:val="00541508"/>
    <w:rsid w:val="00541AE1"/>
    <w:rsid w:val="00542C0A"/>
    <w:rsid w:val="00544075"/>
    <w:rsid w:val="00544095"/>
    <w:rsid w:val="00545321"/>
    <w:rsid w:val="005454FC"/>
    <w:rsid w:val="00546FB5"/>
    <w:rsid w:val="005475EC"/>
    <w:rsid w:val="005506C4"/>
    <w:rsid w:val="00551034"/>
    <w:rsid w:val="0055182B"/>
    <w:rsid w:val="00552895"/>
    <w:rsid w:val="0055378A"/>
    <w:rsid w:val="00553870"/>
    <w:rsid w:val="00553F56"/>
    <w:rsid w:val="0055461C"/>
    <w:rsid w:val="00554F88"/>
    <w:rsid w:val="00555319"/>
    <w:rsid w:val="0055576C"/>
    <w:rsid w:val="0055599F"/>
    <w:rsid w:val="00556D68"/>
    <w:rsid w:val="00556FA9"/>
    <w:rsid w:val="00557423"/>
    <w:rsid w:val="00563D96"/>
    <w:rsid w:val="00563FC7"/>
    <w:rsid w:val="005642EA"/>
    <w:rsid w:val="005647BF"/>
    <w:rsid w:val="005677FF"/>
    <w:rsid w:val="00570106"/>
    <w:rsid w:val="005701A4"/>
    <w:rsid w:val="005706B1"/>
    <w:rsid w:val="00570BDC"/>
    <w:rsid w:val="00572EBF"/>
    <w:rsid w:val="00573578"/>
    <w:rsid w:val="0057364B"/>
    <w:rsid w:val="005739A3"/>
    <w:rsid w:val="00573B0B"/>
    <w:rsid w:val="00573D06"/>
    <w:rsid w:val="00574773"/>
    <w:rsid w:val="00574C7C"/>
    <w:rsid w:val="00575802"/>
    <w:rsid w:val="00577646"/>
    <w:rsid w:val="0057789D"/>
    <w:rsid w:val="00577B80"/>
    <w:rsid w:val="00580A58"/>
    <w:rsid w:val="005827D5"/>
    <w:rsid w:val="00583F66"/>
    <w:rsid w:val="00583FFD"/>
    <w:rsid w:val="00584874"/>
    <w:rsid w:val="00587ABB"/>
    <w:rsid w:val="00587E8A"/>
    <w:rsid w:val="0059012E"/>
    <w:rsid w:val="005911BE"/>
    <w:rsid w:val="00592F94"/>
    <w:rsid w:val="00593152"/>
    <w:rsid w:val="0059552B"/>
    <w:rsid w:val="00597555"/>
    <w:rsid w:val="00597CC3"/>
    <w:rsid w:val="005A10F2"/>
    <w:rsid w:val="005A1B31"/>
    <w:rsid w:val="005A1D3A"/>
    <w:rsid w:val="005A1DBB"/>
    <w:rsid w:val="005A21E0"/>
    <w:rsid w:val="005A267D"/>
    <w:rsid w:val="005A28FF"/>
    <w:rsid w:val="005A2A92"/>
    <w:rsid w:val="005A3DF8"/>
    <w:rsid w:val="005A3EC3"/>
    <w:rsid w:val="005A4E90"/>
    <w:rsid w:val="005A5549"/>
    <w:rsid w:val="005A7888"/>
    <w:rsid w:val="005B0EB6"/>
    <w:rsid w:val="005B121D"/>
    <w:rsid w:val="005B1FE4"/>
    <w:rsid w:val="005B270C"/>
    <w:rsid w:val="005B2A74"/>
    <w:rsid w:val="005B3A2E"/>
    <w:rsid w:val="005B4D90"/>
    <w:rsid w:val="005B52C1"/>
    <w:rsid w:val="005B5837"/>
    <w:rsid w:val="005B720A"/>
    <w:rsid w:val="005B7285"/>
    <w:rsid w:val="005C06ED"/>
    <w:rsid w:val="005C0CBD"/>
    <w:rsid w:val="005C2F72"/>
    <w:rsid w:val="005C3AFB"/>
    <w:rsid w:val="005C52B4"/>
    <w:rsid w:val="005C568A"/>
    <w:rsid w:val="005C78E2"/>
    <w:rsid w:val="005D5802"/>
    <w:rsid w:val="005D6703"/>
    <w:rsid w:val="005D7890"/>
    <w:rsid w:val="005E0948"/>
    <w:rsid w:val="005E2092"/>
    <w:rsid w:val="005E23AF"/>
    <w:rsid w:val="005E408D"/>
    <w:rsid w:val="005E4739"/>
    <w:rsid w:val="005E5347"/>
    <w:rsid w:val="005E5DFC"/>
    <w:rsid w:val="005E7112"/>
    <w:rsid w:val="005E72F8"/>
    <w:rsid w:val="005E79D6"/>
    <w:rsid w:val="005E7C78"/>
    <w:rsid w:val="005F2E14"/>
    <w:rsid w:val="005F348E"/>
    <w:rsid w:val="005F3EB1"/>
    <w:rsid w:val="005F4843"/>
    <w:rsid w:val="005F5469"/>
    <w:rsid w:val="005F554F"/>
    <w:rsid w:val="005F745C"/>
    <w:rsid w:val="006006C5"/>
    <w:rsid w:val="00602D0B"/>
    <w:rsid w:val="00603EB8"/>
    <w:rsid w:val="00604307"/>
    <w:rsid w:val="0060487F"/>
    <w:rsid w:val="00604EAD"/>
    <w:rsid w:val="00606BF5"/>
    <w:rsid w:val="006074F9"/>
    <w:rsid w:val="006104FB"/>
    <w:rsid w:val="00611E58"/>
    <w:rsid w:val="006124AE"/>
    <w:rsid w:val="00612A2F"/>
    <w:rsid w:val="00612FF2"/>
    <w:rsid w:val="00614B4C"/>
    <w:rsid w:val="00614BF6"/>
    <w:rsid w:val="006157D3"/>
    <w:rsid w:val="00616E05"/>
    <w:rsid w:val="00621BD0"/>
    <w:rsid w:val="0062229D"/>
    <w:rsid w:val="0062262E"/>
    <w:rsid w:val="0062268C"/>
    <w:rsid w:val="00622CCE"/>
    <w:rsid w:val="00624093"/>
    <w:rsid w:val="006257DA"/>
    <w:rsid w:val="00627926"/>
    <w:rsid w:val="00627DC4"/>
    <w:rsid w:val="006301B8"/>
    <w:rsid w:val="00630BF7"/>
    <w:rsid w:val="00631642"/>
    <w:rsid w:val="0063168C"/>
    <w:rsid w:val="00633FEB"/>
    <w:rsid w:val="00635415"/>
    <w:rsid w:val="006355CC"/>
    <w:rsid w:val="00635B3F"/>
    <w:rsid w:val="00637484"/>
    <w:rsid w:val="006404A7"/>
    <w:rsid w:val="00640CD1"/>
    <w:rsid w:val="00641A57"/>
    <w:rsid w:val="00641E00"/>
    <w:rsid w:val="00642E80"/>
    <w:rsid w:val="006437C1"/>
    <w:rsid w:val="00644488"/>
    <w:rsid w:val="00644534"/>
    <w:rsid w:val="006451E4"/>
    <w:rsid w:val="006452AE"/>
    <w:rsid w:val="00645B33"/>
    <w:rsid w:val="0065097C"/>
    <w:rsid w:val="00651553"/>
    <w:rsid w:val="006516CB"/>
    <w:rsid w:val="00655193"/>
    <w:rsid w:val="00655BD5"/>
    <w:rsid w:val="006574B7"/>
    <w:rsid w:val="00657E87"/>
    <w:rsid w:val="00660123"/>
    <w:rsid w:val="006601C5"/>
    <w:rsid w:val="0066149B"/>
    <w:rsid w:val="00661B65"/>
    <w:rsid w:val="00662E7C"/>
    <w:rsid w:val="00662FE6"/>
    <w:rsid w:val="00664803"/>
    <w:rsid w:val="00665A65"/>
    <w:rsid w:val="00665BA4"/>
    <w:rsid w:val="006661B0"/>
    <w:rsid w:val="00666A89"/>
    <w:rsid w:val="00667AF2"/>
    <w:rsid w:val="00667F20"/>
    <w:rsid w:val="006701EE"/>
    <w:rsid w:val="0067037C"/>
    <w:rsid w:val="006710C9"/>
    <w:rsid w:val="0067418E"/>
    <w:rsid w:val="006743FC"/>
    <w:rsid w:val="00674D89"/>
    <w:rsid w:val="00675E37"/>
    <w:rsid w:val="00676F1E"/>
    <w:rsid w:val="00677B7D"/>
    <w:rsid w:val="0068174E"/>
    <w:rsid w:val="00681DCE"/>
    <w:rsid w:val="0068260E"/>
    <w:rsid w:val="00685013"/>
    <w:rsid w:val="0068544B"/>
    <w:rsid w:val="00685594"/>
    <w:rsid w:val="00687770"/>
    <w:rsid w:val="00687950"/>
    <w:rsid w:val="006916AF"/>
    <w:rsid w:val="00691796"/>
    <w:rsid w:val="00692196"/>
    <w:rsid w:val="00695851"/>
    <w:rsid w:val="00695BEF"/>
    <w:rsid w:val="00695EF9"/>
    <w:rsid w:val="006970CA"/>
    <w:rsid w:val="006977F6"/>
    <w:rsid w:val="00697A13"/>
    <w:rsid w:val="00697D62"/>
    <w:rsid w:val="006A109C"/>
    <w:rsid w:val="006A184B"/>
    <w:rsid w:val="006A1AA1"/>
    <w:rsid w:val="006A1B07"/>
    <w:rsid w:val="006A1F35"/>
    <w:rsid w:val="006A3987"/>
    <w:rsid w:val="006B0111"/>
    <w:rsid w:val="006B0338"/>
    <w:rsid w:val="006B18F1"/>
    <w:rsid w:val="006B24F7"/>
    <w:rsid w:val="006B344A"/>
    <w:rsid w:val="006B3F46"/>
    <w:rsid w:val="006B4327"/>
    <w:rsid w:val="006B4468"/>
    <w:rsid w:val="006B78D8"/>
    <w:rsid w:val="006B78EE"/>
    <w:rsid w:val="006C113F"/>
    <w:rsid w:val="006C123E"/>
    <w:rsid w:val="006C15F7"/>
    <w:rsid w:val="006C1A0A"/>
    <w:rsid w:val="006C438F"/>
    <w:rsid w:val="006C52A1"/>
    <w:rsid w:val="006C56D4"/>
    <w:rsid w:val="006C605D"/>
    <w:rsid w:val="006C6924"/>
    <w:rsid w:val="006C6B94"/>
    <w:rsid w:val="006C7CA6"/>
    <w:rsid w:val="006D03D8"/>
    <w:rsid w:val="006D3527"/>
    <w:rsid w:val="006D36FB"/>
    <w:rsid w:val="006D389B"/>
    <w:rsid w:val="006D3E8A"/>
    <w:rsid w:val="006D4AB9"/>
    <w:rsid w:val="006D61F6"/>
    <w:rsid w:val="006E1860"/>
    <w:rsid w:val="006E279A"/>
    <w:rsid w:val="006E313B"/>
    <w:rsid w:val="006E3675"/>
    <w:rsid w:val="006E4470"/>
    <w:rsid w:val="006E49D7"/>
    <w:rsid w:val="006E6496"/>
    <w:rsid w:val="006E7B95"/>
    <w:rsid w:val="006E7F28"/>
    <w:rsid w:val="006F04E1"/>
    <w:rsid w:val="006F0A07"/>
    <w:rsid w:val="006F21AC"/>
    <w:rsid w:val="006F290A"/>
    <w:rsid w:val="006F4F97"/>
    <w:rsid w:val="006F5416"/>
    <w:rsid w:val="006F5655"/>
    <w:rsid w:val="006F61FF"/>
    <w:rsid w:val="006F7068"/>
    <w:rsid w:val="006F7137"/>
    <w:rsid w:val="00700B12"/>
    <w:rsid w:val="00701B58"/>
    <w:rsid w:val="00702DFC"/>
    <w:rsid w:val="00704BE9"/>
    <w:rsid w:val="007060E6"/>
    <w:rsid w:val="00706AD4"/>
    <w:rsid w:val="00710388"/>
    <w:rsid w:val="00710926"/>
    <w:rsid w:val="00712A15"/>
    <w:rsid w:val="007140BC"/>
    <w:rsid w:val="007140BE"/>
    <w:rsid w:val="00714A5B"/>
    <w:rsid w:val="00715DF2"/>
    <w:rsid w:val="00717416"/>
    <w:rsid w:val="00717B13"/>
    <w:rsid w:val="00720547"/>
    <w:rsid w:val="00721096"/>
    <w:rsid w:val="007211F5"/>
    <w:rsid w:val="00722C20"/>
    <w:rsid w:val="00724433"/>
    <w:rsid w:val="00724A1D"/>
    <w:rsid w:val="00724D2B"/>
    <w:rsid w:val="00725BB5"/>
    <w:rsid w:val="00727506"/>
    <w:rsid w:val="00730AE8"/>
    <w:rsid w:val="00730FC0"/>
    <w:rsid w:val="007315D5"/>
    <w:rsid w:val="00731955"/>
    <w:rsid w:val="00731FC9"/>
    <w:rsid w:val="00732F2A"/>
    <w:rsid w:val="00733A55"/>
    <w:rsid w:val="00734018"/>
    <w:rsid w:val="00735A37"/>
    <w:rsid w:val="00736537"/>
    <w:rsid w:val="0074069C"/>
    <w:rsid w:val="00741493"/>
    <w:rsid w:val="00742B33"/>
    <w:rsid w:val="007441F5"/>
    <w:rsid w:val="007445BF"/>
    <w:rsid w:val="00745E8A"/>
    <w:rsid w:val="007508FD"/>
    <w:rsid w:val="00752180"/>
    <w:rsid w:val="007544B5"/>
    <w:rsid w:val="00755202"/>
    <w:rsid w:val="007558F5"/>
    <w:rsid w:val="00755D3A"/>
    <w:rsid w:val="007565E1"/>
    <w:rsid w:val="007568DD"/>
    <w:rsid w:val="007578D3"/>
    <w:rsid w:val="0076054D"/>
    <w:rsid w:val="007609C6"/>
    <w:rsid w:val="00760B64"/>
    <w:rsid w:val="0076173C"/>
    <w:rsid w:val="0076175D"/>
    <w:rsid w:val="007647FA"/>
    <w:rsid w:val="00764989"/>
    <w:rsid w:val="00764EDB"/>
    <w:rsid w:val="0076521E"/>
    <w:rsid w:val="007661E9"/>
    <w:rsid w:val="00766569"/>
    <w:rsid w:val="00772F7E"/>
    <w:rsid w:val="0077355B"/>
    <w:rsid w:val="00773F41"/>
    <w:rsid w:val="0077609F"/>
    <w:rsid w:val="00776169"/>
    <w:rsid w:val="007761A6"/>
    <w:rsid w:val="00776527"/>
    <w:rsid w:val="00780C67"/>
    <w:rsid w:val="00780CDB"/>
    <w:rsid w:val="00780EF1"/>
    <w:rsid w:val="0078196B"/>
    <w:rsid w:val="00782A3A"/>
    <w:rsid w:val="00783112"/>
    <w:rsid w:val="00783E45"/>
    <w:rsid w:val="0078584A"/>
    <w:rsid w:val="00786257"/>
    <w:rsid w:val="0078678E"/>
    <w:rsid w:val="00786B8F"/>
    <w:rsid w:val="00790764"/>
    <w:rsid w:val="00793E89"/>
    <w:rsid w:val="0079453C"/>
    <w:rsid w:val="007945FC"/>
    <w:rsid w:val="00794677"/>
    <w:rsid w:val="0079652D"/>
    <w:rsid w:val="007965D2"/>
    <w:rsid w:val="00796E73"/>
    <w:rsid w:val="007A0E7D"/>
    <w:rsid w:val="007A19CD"/>
    <w:rsid w:val="007A266B"/>
    <w:rsid w:val="007A30B2"/>
    <w:rsid w:val="007A32F7"/>
    <w:rsid w:val="007A48F9"/>
    <w:rsid w:val="007A5A82"/>
    <w:rsid w:val="007A600D"/>
    <w:rsid w:val="007A7C65"/>
    <w:rsid w:val="007B17CC"/>
    <w:rsid w:val="007B2702"/>
    <w:rsid w:val="007B2D45"/>
    <w:rsid w:val="007B4579"/>
    <w:rsid w:val="007B573F"/>
    <w:rsid w:val="007B6689"/>
    <w:rsid w:val="007B7979"/>
    <w:rsid w:val="007C0204"/>
    <w:rsid w:val="007C1650"/>
    <w:rsid w:val="007C1E57"/>
    <w:rsid w:val="007C21CE"/>
    <w:rsid w:val="007C48B2"/>
    <w:rsid w:val="007C51D7"/>
    <w:rsid w:val="007C540D"/>
    <w:rsid w:val="007C5A37"/>
    <w:rsid w:val="007C66C6"/>
    <w:rsid w:val="007D1522"/>
    <w:rsid w:val="007D290E"/>
    <w:rsid w:val="007D2DE0"/>
    <w:rsid w:val="007D40DF"/>
    <w:rsid w:val="007D4160"/>
    <w:rsid w:val="007D54E1"/>
    <w:rsid w:val="007D5731"/>
    <w:rsid w:val="007E063A"/>
    <w:rsid w:val="007E0679"/>
    <w:rsid w:val="007E09FA"/>
    <w:rsid w:val="007E14DB"/>
    <w:rsid w:val="007E1BCE"/>
    <w:rsid w:val="007E21AC"/>
    <w:rsid w:val="007E34D5"/>
    <w:rsid w:val="007E3D00"/>
    <w:rsid w:val="007E3F3A"/>
    <w:rsid w:val="007E46E2"/>
    <w:rsid w:val="007E6165"/>
    <w:rsid w:val="007E6990"/>
    <w:rsid w:val="007E6BAD"/>
    <w:rsid w:val="007E7E61"/>
    <w:rsid w:val="007E7FDD"/>
    <w:rsid w:val="007F0845"/>
    <w:rsid w:val="007F1D5D"/>
    <w:rsid w:val="007F1EBD"/>
    <w:rsid w:val="007F39CF"/>
    <w:rsid w:val="007F6998"/>
    <w:rsid w:val="007F799E"/>
    <w:rsid w:val="008021F7"/>
    <w:rsid w:val="008057CB"/>
    <w:rsid w:val="00805BF2"/>
    <w:rsid w:val="00807123"/>
    <w:rsid w:val="00807C82"/>
    <w:rsid w:val="00807F51"/>
    <w:rsid w:val="0081010C"/>
    <w:rsid w:val="008112F3"/>
    <w:rsid w:val="00811819"/>
    <w:rsid w:val="00813687"/>
    <w:rsid w:val="00814C52"/>
    <w:rsid w:val="00816905"/>
    <w:rsid w:val="008176E8"/>
    <w:rsid w:val="008202D1"/>
    <w:rsid w:val="00821FF6"/>
    <w:rsid w:val="00822BA7"/>
    <w:rsid w:val="0082321A"/>
    <w:rsid w:val="00825C4D"/>
    <w:rsid w:val="008300B8"/>
    <w:rsid w:val="008301EE"/>
    <w:rsid w:val="008305CB"/>
    <w:rsid w:val="0083066F"/>
    <w:rsid w:val="008310A4"/>
    <w:rsid w:val="0083143E"/>
    <w:rsid w:val="00831CDE"/>
    <w:rsid w:val="00832655"/>
    <w:rsid w:val="008330E8"/>
    <w:rsid w:val="00834298"/>
    <w:rsid w:val="00834304"/>
    <w:rsid w:val="00834FAA"/>
    <w:rsid w:val="0083606E"/>
    <w:rsid w:val="00836086"/>
    <w:rsid w:val="00836A50"/>
    <w:rsid w:val="00836EE4"/>
    <w:rsid w:val="0083748E"/>
    <w:rsid w:val="00840858"/>
    <w:rsid w:val="0084299E"/>
    <w:rsid w:val="00844F6D"/>
    <w:rsid w:val="0084708F"/>
    <w:rsid w:val="00847661"/>
    <w:rsid w:val="008477C8"/>
    <w:rsid w:val="00847FF3"/>
    <w:rsid w:val="008507D8"/>
    <w:rsid w:val="0085091B"/>
    <w:rsid w:val="00850977"/>
    <w:rsid w:val="0085114D"/>
    <w:rsid w:val="00852115"/>
    <w:rsid w:val="00852217"/>
    <w:rsid w:val="0085318E"/>
    <w:rsid w:val="00853CAE"/>
    <w:rsid w:val="00854334"/>
    <w:rsid w:val="00855408"/>
    <w:rsid w:val="008557F6"/>
    <w:rsid w:val="00856213"/>
    <w:rsid w:val="008562DF"/>
    <w:rsid w:val="00856D65"/>
    <w:rsid w:val="0085764A"/>
    <w:rsid w:val="00861B41"/>
    <w:rsid w:val="00861C33"/>
    <w:rsid w:val="008629F8"/>
    <w:rsid w:val="00863434"/>
    <w:rsid w:val="00864F31"/>
    <w:rsid w:val="00865807"/>
    <w:rsid w:val="00865E4C"/>
    <w:rsid w:val="0086633B"/>
    <w:rsid w:val="00866779"/>
    <w:rsid w:val="00866F6A"/>
    <w:rsid w:val="0086773F"/>
    <w:rsid w:val="008701E4"/>
    <w:rsid w:val="00870D8A"/>
    <w:rsid w:val="00872FA0"/>
    <w:rsid w:val="00875A32"/>
    <w:rsid w:val="00876086"/>
    <w:rsid w:val="008777C8"/>
    <w:rsid w:val="008803BD"/>
    <w:rsid w:val="00880500"/>
    <w:rsid w:val="00882C6E"/>
    <w:rsid w:val="00883D46"/>
    <w:rsid w:val="008849C2"/>
    <w:rsid w:val="0088572C"/>
    <w:rsid w:val="008868E6"/>
    <w:rsid w:val="008873D4"/>
    <w:rsid w:val="00887509"/>
    <w:rsid w:val="00891046"/>
    <w:rsid w:val="0089159B"/>
    <w:rsid w:val="00891FEA"/>
    <w:rsid w:val="00892950"/>
    <w:rsid w:val="00893D9C"/>
    <w:rsid w:val="00893E85"/>
    <w:rsid w:val="00894031"/>
    <w:rsid w:val="0089447D"/>
    <w:rsid w:val="008947FE"/>
    <w:rsid w:val="0089601F"/>
    <w:rsid w:val="008961BE"/>
    <w:rsid w:val="0089762D"/>
    <w:rsid w:val="008A1753"/>
    <w:rsid w:val="008A1E01"/>
    <w:rsid w:val="008A1E63"/>
    <w:rsid w:val="008A324F"/>
    <w:rsid w:val="008B1014"/>
    <w:rsid w:val="008B111A"/>
    <w:rsid w:val="008B31A0"/>
    <w:rsid w:val="008B3DA5"/>
    <w:rsid w:val="008B4FEF"/>
    <w:rsid w:val="008B7776"/>
    <w:rsid w:val="008B7C02"/>
    <w:rsid w:val="008B7D2B"/>
    <w:rsid w:val="008C0049"/>
    <w:rsid w:val="008C0A80"/>
    <w:rsid w:val="008C0B00"/>
    <w:rsid w:val="008C0E38"/>
    <w:rsid w:val="008C0E88"/>
    <w:rsid w:val="008C2DFB"/>
    <w:rsid w:val="008C5C6B"/>
    <w:rsid w:val="008C6565"/>
    <w:rsid w:val="008C667A"/>
    <w:rsid w:val="008C73B1"/>
    <w:rsid w:val="008D1E6A"/>
    <w:rsid w:val="008D25F1"/>
    <w:rsid w:val="008D267F"/>
    <w:rsid w:val="008D27B0"/>
    <w:rsid w:val="008D2A16"/>
    <w:rsid w:val="008D3268"/>
    <w:rsid w:val="008D3293"/>
    <w:rsid w:val="008D40B9"/>
    <w:rsid w:val="008D40FC"/>
    <w:rsid w:val="008D451C"/>
    <w:rsid w:val="008D4AB7"/>
    <w:rsid w:val="008D52F8"/>
    <w:rsid w:val="008D5B84"/>
    <w:rsid w:val="008D7208"/>
    <w:rsid w:val="008E048A"/>
    <w:rsid w:val="008E1BD2"/>
    <w:rsid w:val="008E1DD6"/>
    <w:rsid w:val="008E2B76"/>
    <w:rsid w:val="008E2C57"/>
    <w:rsid w:val="008E31FF"/>
    <w:rsid w:val="008E657B"/>
    <w:rsid w:val="008E664F"/>
    <w:rsid w:val="008E687A"/>
    <w:rsid w:val="008E6F06"/>
    <w:rsid w:val="008E74A6"/>
    <w:rsid w:val="008F029B"/>
    <w:rsid w:val="008F1070"/>
    <w:rsid w:val="008F165D"/>
    <w:rsid w:val="008F1850"/>
    <w:rsid w:val="008F26A0"/>
    <w:rsid w:val="008F3FC9"/>
    <w:rsid w:val="008F46F1"/>
    <w:rsid w:val="008F585B"/>
    <w:rsid w:val="008F5D0E"/>
    <w:rsid w:val="008F7E19"/>
    <w:rsid w:val="009003A8"/>
    <w:rsid w:val="00902500"/>
    <w:rsid w:val="00902BE2"/>
    <w:rsid w:val="00902CC1"/>
    <w:rsid w:val="00902EFF"/>
    <w:rsid w:val="009033BC"/>
    <w:rsid w:val="0090394F"/>
    <w:rsid w:val="00904E83"/>
    <w:rsid w:val="00906401"/>
    <w:rsid w:val="009064D8"/>
    <w:rsid w:val="0091006C"/>
    <w:rsid w:val="0091019B"/>
    <w:rsid w:val="0091155E"/>
    <w:rsid w:val="009123DA"/>
    <w:rsid w:val="009124AB"/>
    <w:rsid w:val="00912A92"/>
    <w:rsid w:val="0091377A"/>
    <w:rsid w:val="009141DD"/>
    <w:rsid w:val="009159A2"/>
    <w:rsid w:val="00915A24"/>
    <w:rsid w:val="00915A26"/>
    <w:rsid w:val="00915BA2"/>
    <w:rsid w:val="009160BD"/>
    <w:rsid w:val="0091689F"/>
    <w:rsid w:val="00916B54"/>
    <w:rsid w:val="0091728D"/>
    <w:rsid w:val="00920A7F"/>
    <w:rsid w:val="00921332"/>
    <w:rsid w:val="0092180B"/>
    <w:rsid w:val="00921F14"/>
    <w:rsid w:val="00924266"/>
    <w:rsid w:val="00924AC8"/>
    <w:rsid w:val="00925344"/>
    <w:rsid w:val="0092597A"/>
    <w:rsid w:val="00926386"/>
    <w:rsid w:val="00926E5D"/>
    <w:rsid w:val="00927F23"/>
    <w:rsid w:val="009301D7"/>
    <w:rsid w:val="00932443"/>
    <w:rsid w:val="00932746"/>
    <w:rsid w:val="009328DB"/>
    <w:rsid w:val="00933B68"/>
    <w:rsid w:val="00933C5B"/>
    <w:rsid w:val="009340AD"/>
    <w:rsid w:val="0093420B"/>
    <w:rsid w:val="009354B5"/>
    <w:rsid w:val="00937AE2"/>
    <w:rsid w:val="00937F97"/>
    <w:rsid w:val="00942578"/>
    <w:rsid w:val="00942832"/>
    <w:rsid w:val="00942D80"/>
    <w:rsid w:val="0094357D"/>
    <w:rsid w:val="009439D1"/>
    <w:rsid w:val="009440E0"/>
    <w:rsid w:val="0094427A"/>
    <w:rsid w:val="00944344"/>
    <w:rsid w:val="00945187"/>
    <w:rsid w:val="00950169"/>
    <w:rsid w:val="00951456"/>
    <w:rsid w:val="00953759"/>
    <w:rsid w:val="00954EB4"/>
    <w:rsid w:val="009557DA"/>
    <w:rsid w:val="00956122"/>
    <w:rsid w:val="00956159"/>
    <w:rsid w:val="00956D26"/>
    <w:rsid w:val="0096136C"/>
    <w:rsid w:val="00962306"/>
    <w:rsid w:val="0096445E"/>
    <w:rsid w:val="009674BF"/>
    <w:rsid w:val="00972D12"/>
    <w:rsid w:val="00972F12"/>
    <w:rsid w:val="00973496"/>
    <w:rsid w:val="009738D3"/>
    <w:rsid w:val="0097481B"/>
    <w:rsid w:val="00974923"/>
    <w:rsid w:val="0097701C"/>
    <w:rsid w:val="00977F2A"/>
    <w:rsid w:val="00980D3D"/>
    <w:rsid w:val="0098101A"/>
    <w:rsid w:val="0098169D"/>
    <w:rsid w:val="0098336C"/>
    <w:rsid w:val="00984415"/>
    <w:rsid w:val="00985C98"/>
    <w:rsid w:val="00985FE8"/>
    <w:rsid w:val="009870BD"/>
    <w:rsid w:val="00987526"/>
    <w:rsid w:val="00987A30"/>
    <w:rsid w:val="00991128"/>
    <w:rsid w:val="00992BE9"/>
    <w:rsid w:val="00992CF3"/>
    <w:rsid w:val="00992D07"/>
    <w:rsid w:val="009968D6"/>
    <w:rsid w:val="009A187B"/>
    <w:rsid w:val="009A1CAB"/>
    <w:rsid w:val="009A2ADD"/>
    <w:rsid w:val="009A3455"/>
    <w:rsid w:val="009A3A03"/>
    <w:rsid w:val="009A55F5"/>
    <w:rsid w:val="009A60D1"/>
    <w:rsid w:val="009A6833"/>
    <w:rsid w:val="009A7F9C"/>
    <w:rsid w:val="009B0236"/>
    <w:rsid w:val="009B1329"/>
    <w:rsid w:val="009B13DF"/>
    <w:rsid w:val="009B156D"/>
    <w:rsid w:val="009B2883"/>
    <w:rsid w:val="009B2BB2"/>
    <w:rsid w:val="009B5FF0"/>
    <w:rsid w:val="009B6961"/>
    <w:rsid w:val="009B6FD3"/>
    <w:rsid w:val="009C1750"/>
    <w:rsid w:val="009C2E29"/>
    <w:rsid w:val="009C3A9A"/>
    <w:rsid w:val="009C554B"/>
    <w:rsid w:val="009C5D8C"/>
    <w:rsid w:val="009C6BC5"/>
    <w:rsid w:val="009C719E"/>
    <w:rsid w:val="009D0D51"/>
    <w:rsid w:val="009D1069"/>
    <w:rsid w:val="009D1642"/>
    <w:rsid w:val="009D39DC"/>
    <w:rsid w:val="009D3ACD"/>
    <w:rsid w:val="009D44C6"/>
    <w:rsid w:val="009D6320"/>
    <w:rsid w:val="009D6623"/>
    <w:rsid w:val="009E046D"/>
    <w:rsid w:val="009E14BE"/>
    <w:rsid w:val="009E22F5"/>
    <w:rsid w:val="009E2434"/>
    <w:rsid w:val="009E4456"/>
    <w:rsid w:val="009E468E"/>
    <w:rsid w:val="009E4D91"/>
    <w:rsid w:val="009E5273"/>
    <w:rsid w:val="009E5330"/>
    <w:rsid w:val="009E5DDB"/>
    <w:rsid w:val="009F0FB7"/>
    <w:rsid w:val="009F1425"/>
    <w:rsid w:val="009F22E0"/>
    <w:rsid w:val="009F436B"/>
    <w:rsid w:val="009F4CA7"/>
    <w:rsid w:val="009F55A2"/>
    <w:rsid w:val="009F57D7"/>
    <w:rsid w:val="00A00C73"/>
    <w:rsid w:val="00A00D45"/>
    <w:rsid w:val="00A02A9E"/>
    <w:rsid w:val="00A0398B"/>
    <w:rsid w:val="00A03E8E"/>
    <w:rsid w:val="00A0534B"/>
    <w:rsid w:val="00A05546"/>
    <w:rsid w:val="00A062F4"/>
    <w:rsid w:val="00A07544"/>
    <w:rsid w:val="00A10D66"/>
    <w:rsid w:val="00A11191"/>
    <w:rsid w:val="00A117BA"/>
    <w:rsid w:val="00A136D6"/>
    <w:rsid w:val="00A13B06"/>
    <w:rsid w:val="00A13E30"/>
    <w:rsid w:val="00A14114"/>
    <w:rsid w:val="00A14163"/>
    <w:rsid w:val="00A15600"/>
    <w:rsid w:val="00A16413"/>
    <w:rsid w:val="00A2028E"/>
    <w:rsid w:val="00A2036D"/>
    <w:rsid w:val="00A209E5"/>
    <w:rsid w:val="00A20AA1"/>
    <w:rsid w:val="00A21FDD"/>
    <w:rsid w:val="00A22C2E"/>
    <w:rsid w:val="00A239B9"/>
    <w:rsid w:val="00A23E43"/>
    <w:rsid w:val="00A24164"/>
    <w:rsid w:val="00A247BC"/>
    <w:rsid w:val="00A25054"/>
    <w:rsid w:val="00A26069"/>
    <w:rsid w:val="00A2673E"/>
    <w:rsid w:val="00A26EB2"/>
    <w:rsid w:val="00A26F00"/>
    <w:rsid w:val="00A279C8"/>
    <w:rsid w:val="00A30773"/>
    <w:rsid w:val="00A30F65"/>
    <w:rsid w:val="00A317E0"/>
    <w:rsid w:val="00A31E19"/>
    <w:rsid w:val="00A322CE"/>
    <w:rsid w:val="00A32678"/>
    <w:rsid w:val="00A32AC3"/>
    <w:rsid w:val="00A32C2B"/>
    <w:rsid w:val="00A332FB"/>
    <w:rsid w:val="00A333B8"/>
    <w:rsid w:val="00A33D88"/>
    <w:rsid w:val="00A34C92"/>
    <w:rsid w:val="00A34D72"/>
    <w:rsid w:val="00A35FA0"/>
    <w:rsid w:val="00A3716F"/>
    <w:rsid w:val="00A37C85"/>
    <w:rsid w:val="00A418BC"/>
    <w:rsid w:val="00A421A3"/>
    <w:rsid w:val="00A45784"/>
    <w:rsid w:val="00A46DE0"/>
    <w:rsid w:val="00A50D73"/>
    <w:rsid w:val="00A50DA1"/>
    <w:rsid w:val="00A5168E"/>
    <w:rsid w:val="00A51FE6"/>
    <w:rsid w:val="00A52BBE"/>
    <w:rsid w:val="00A52CAD"/>
    <w:rsid w:val="00A53336"/>
    <w:rsid w:val="00A53E07"/>
    <w:rsid w:val="00A53FC7"/>
    <w:rsid w:val="00A54C8E"/>
    <w:rsid w:val="00A557D4"/>
    <w:rsid w:val="00A567C7"/>
    <w:rsid w:val="00A623F0"/>
    <w:rsid w:val="00A62CE1"/>
    <w:rsid w:val="00A63EEE"/>
    <w:rsid w:val="00A64C37"/>
    <w:rsid w:val="00A6579E"/>
    <w:rsid w:val="00A6741E"/>
    <w:rsid w:val="00A67D11"/>
    <w:rsid w:val="00A70CE0"/>
    <w:rsid w:val="00A71891"/>
    <w:rsid w:val="00A735F6"/>
    <w:rsid w:val="00A73B75"/>
    <w:rsid w:val="00A743C7"/>
    <w:rsid w:val="00A75E40"/>
    <w:rsid w:val="00A77D1D"/>
    <w:rsid w:val="00A829BF"/>
    <w:rsid w:val="00A82D93"/>
    <w:rsid w:val="00A857C0"/>
    <w:rsid w:val="00A85F44"/>
    <w:rsid w:val="00A86013"/>
    <w:rsid w:val="00A868DC"/>
    <w:rsid w:val="00A8730D"/>
    <w:rsid w:val="00A87EC2"/>
    <w:rsid w:val="00A92BED"/>
    <w:rsid w:val="00A93A05"/>
    <w:rsid w:val="00A94F86"/>
    <w:rsid w:val="00A95DFC"/>
    <w:rsid w:val="00A96047"/>
    <w:rsid w:val="00A96828"/>
    <w:rsid w:val="00AA1C10"/>
    <w:rsid w:val="00AA2996"/>
    <w:rsid w:val="00AA2EA0"/>
    <w:rsid w:val="00AA3579"/>
    <w:rsid w:val="00AA3EC3"/>
    <w:rsid w:val="00AA4AFF"/>
    <w:rsid w:val="00AA52BF"/>
    <w:rsid w:val="00AA559A"/>
    <w:rsid w:val="00AA58EB"/>
    <w:rsid w:val="00AA5E0B"/>
    <w:rsid w:val="00AA5FC4"/>
    <w:rsid w:val="00AA7252"/>
    <w:rsid w:val="00AA7C9D"/>
    <w:rsid w:val="00AB26F9"/>
    <w:rsid w:val="00AB2800"/>
    <w:rsid w:val="00AB2A28"/>
    <w:rsid w:val="00AB2AF1"/>
    <w:rsid w:val="00AB3FBB"/>
    <w:rsid w:val="00AB570B"/>
    <w:rsid w:val="00AB5EF4"/>
    <w:rsid w:val="00AB63F2"/>
    <w:rsid w:val="00AB6CE1"/>
    <w:rsid w:val="00AB7239"/>
    <w:rsid w:val="00AC0812"/>
    <w:rsid w:val="00AC09DD"/>
    <w:rsid w:val="00AC1857"/>
    <w:rsid w:val="00AC5C2A"/>
    <w:rsid w:val="00AC74F3"/>
    <w:rsid w:val="00AD306C"/>
    <w:rsid w:val="00AD32E7"/>
    <w:rsid w:val="00AD3B2C"/>
    <w:rsid w:val="00AD3FEE"/>
    <w:rsid w:val="00AD43E3"/>
    <w:rsid w:val="00AD5262"/>
    <w:rsid w:val="00AD5376"/>
    <w:rsid w:val="00AD6583"/>
    <w:rsid w:val="00AD74B8"/>
    <w:rsid w:val="00AD787C"/>
    <w:rsid w:val="00AE09B3"/>
    <w:rsid w:val="00AE0DBE"/>
    <w:rsid w:val="00AE1A83"/>
    <w:rsid w:val="00AE1E1F"/>
    <w:rsid w:val="00AE2563"/>
    <w:rsid w:val="00AE3ACD"/>
    <w:rsid w:val="00AE5059"/>
    <w:rsid w:val="00AE6162"/>
    <w:rsid w:val="00AE6232"/>
    <w:rsid w:val="00AF0E9A"/>
    <w:rsid w:val="00AF2E89"/>
    <w:rsid w:val="00AF3D61"/>
    <w:rsid w:val="00AF3FDC"/>
    <w:rsid w:val="00AF4854"/>
    <w:rsid w:val="00AF6409"/>
    <w:rsid w:val="00AF7A82"/>
    <w:rsid w:val="00B00135"/>
    <w:rsid w:val="00B00913"/>
    <w:rsid w:val="00B00F39"/>
    <w:rsid w:val="00B01593"/>
    <w:rsid w:val="00B052F7"/>
    <w:rsid w:val="00B0599A"/>
    <w:rsid w:val="00B07D89"/>
    <w:rsid w:val="00B100E6"/>
    <w:rsid w:val="00B10A4D"/>
    <w:rsid w:val="00B10DD3"/>
    <w:rsid w:val="00B1157F"/>
    <w:rsid w:val="00B11FC0"/>
    <w:rsid w:val="00B1279D"/>
    <w:rsid w:val="00B13C76"/>
    <w:rsid w:val="00B17D34"/>
    <w:rsid w:val="00B17E71"/>
    <w:rsid w:val="00B17FDE"/>
    <w:rsid w:val="00B21FF6"/>
    <w:rsid w:val="00B2281D"/>
    <w:rsid w:val="00B22A87"/>
    <w:rsid w:val="00B2326D"/>
    <w:rsid w:val="00B2379C"/>
    <w:rsid w:val="00B240C9"/>
    <w:rsid w:val="00B2687D"/>
    <w:rsid w:val="00B30390"/>
    <w:rsid w:val="00B30400"/>
    <w:rsid w:val="00B30F55"/>
    <w:rsid w:val="00B3235F"/>
    <w:rsid w:val="00B3240A"/>
    <w:rsid w:val="00B3274A"/>
    <w:rsid w:val="00B32CA3"/>
    <w:rsid w:val="00B32DDB"/>
    <w:rsid w:val="00B334D9"/>
    <w:rsid w:val="00B34528"/>
    <w:rsid w:val="00B353F9"/>
    <w:rsid w:val="00B40073"/>
    <w:rsid w:val="00B40241"/>
    <w:rsid w:val="00B402FC"/>
    <w:rsid w:val="00B408F0"/>
    <w:rsid w:val="00B40EA9"/>
    <w:rsid w:val="00B44012"/>
    <w:rsid w:val="00B44599"/>
    <w:rsid w:val="00B445C5"/>
    <w:rsid w:val="00B45399"/>
    <w:rsid w:val="00B46604"/>
    <w:rsid w:val="00B466E5"/>
    <w:rsid w:val="00B467EC"/>
    <w:rsid w:val="00B46B16"/>
    <w:rsid w:val="00B46E78"/>
    <w:rsid w:val="00B47683"/>
    <w:rsid w:val="00B47694"/>
    <w:rsid w:val="00B47D35"/>
    <w:rsid w:val="00B50BF2"/>
    <w:rsid w:val="00B520C9"/>
    <w:rsid w:val="00B530CD"/>
    <w:rsid w:val="00B5452C"/>
    <w:rsid w:val="00B54761"/>
    <w:rsid w:val="00B554C7"/>
    <w:rsid w:val="00B55638"/>
    <w:rsid w:val="00B55F4A"/>
    <w:rsid w:val="00B55F5E"/>
    <w:rsid w:val="00B5752E"/>
    <w:rsid w:val="00B57734"/>
    <w:rsid w:val="00B57A37"/>
    <w:rsid w:val="00B57DBA"/>
    <w:rsid w:val="00B57FA0"/>
    <w:rsid w:val="00B630A8"/>
    <w:rsid w:val="00B63A11"/>
    <w:rsid w:val="00B63E16"/>
    <w:rsid w:val="00B64C24"/>
    <w:rsid w:val="00B6608F"/>
    <w:rsid w:val="00B679FB"/>
    <w:rsid w:val="00B67E5F"/>
    <w:rsid w:val="00B71AD2"/>
    <w:rsid w:val="00B72CBF"/>
    <w:rsid w:val="00B732D9"/>
    <w:rsid w:val="00B73B84"/>
    <w:rsid w:val="00B73F80"/>
    <w:rsid w:val="00B74FBC"/>
    <w:rsid w:val="00B7550F"/>
    <w:rsid w:val="00B757BC"/>
    <w:rsid w:val="00B7631B"/>
    <w:rsid w:val="00B76D1E"/>
    <w:rsid w:val="00B80EC6"/>
    <w:rsid w:val="00B817E5"/>
    <w:rsid w:val="00B81CC4"/>
    <w:rsid w:val="00B8355D"/>
    <w:rsid w:val="00B83E6D"/>
    <w:rsid w:val="00B84FF9"/>
    <w:rsid w:val="00B86A37"/>
    <w:rsid w:val="00B86D45"/>
    <w:rsid w:val="00B9253D"/>
    <w:rsid w:val="00B92D1D"/>
    <w:rsid w:val="00B938C5"/>
    <w:rsid w:val="00B95940"/>
    <w:rsid w:val="00B96AE1"/>
    <w:rsid w:val="00B96DA9"/>
    <w:rsid w:val="00B97385"/>
    <w:rsid w:val="00BA1760"/>
    <w:rsid w:val="00BA2808"/>
    <w:rsid w:val="00BA3AFA"/>
    <w:rsid w:val="00BA3CED"/>
    <w:rsid w:val="00BA5248"/>
    <w:rsid w:val="00BA52AC"/>
    <w:rsid w:val="00BA5ABB"/>
    <w:rsid w:val="00BA67A0"/>
    <w:rsid w:val="00BB2C19"/>
    <w:rsid w:val="00BB46F3"/>
    <w:rsid w:val="00BB4CB1"/>
    <w:rsid w:val="00BB4F98"/>
    <w:rsid w:val="00BB5DB3"/>
    <w:rsid w:val="00BB70FA"/>
    <w:rsid w:val="00BC21EC"/>
    <w:rsid w:val="00BC2D19"/>
    <w:rsid w:val="00BC2E08"/>
    <w:rsid w:val="00BC2EE6"/>
    <w:rsid w:val="00BC3D45"/>
    <w:rsid w:val="00BC4956"/>
    <w:rsid w:val="00BC7154"/>
    <w:rsid w:val="00BD0745"/>
    <w:rsid w:val="00BD15F7"/>
    <w:rsid w:val="00BD30CC"/>
    <w:rsid w:val="00BD35B7"/>
    <w:rsid w:val="00BD366B"/>
    <w:rsid w:val="00BD49E8"/>
    <w:rsid w:val="00BD5AA2"/>
    <w:rsid w:val="00BD602C"/>
    <w:rsid w:val="00BD64F6"/>
    <w:rsid w:val="00BD664B"/>
    <w:rsid w:val="00BD6D50"/>
    <w:rsid w:val="00BE18B9"/>
    <w:rsid w:val="00BE2495"/>
    <w:rsid w:val="00BE2E55"/>
    <w:rsid w:val="00BE52D6"/>
    <w:rsid w:val="00BE61AB"/>
    <w:rsid w:val="00BE7F0A"/>
    <w:rsid w:val="00BF0D77"/>
    <w:rsid w:val="00BF1410"/>
    <w:rsid w:val="00BF1578"/>
    <w:rsid w:val="00BF576A"/>
    <w:rsid w:val="00BF62BF"/>
    <w:rsid w:val="00BF7EA5"/>
    <w:rsid w:val="00C02411"/>
    <w:rsid w:val="00C02C16"/>
    <w:rsid w:val="00C02D54"/>
    <w:rsid w:val="00C03339"/>
    <w:rsid w:val="00C03857"/>
    <w:rsid w:val="00C048C9"/>
    <w:rsid w:val="00C05003"/>
    <w:rsid w:val="00C065FE"/>
    <w:rsid w:val="00C07704"/>
    <w:rsid w:val="00C07A76"/>
    <w:rsid w:val="00C11750"/>
    <w:rsid w:val="00C11B22"/>
    <w:rsid w:val="00C11C0A"/>
    <w:rsid w:val="00C132AF"/>
    <w:rsid w:val="00C1393C"/>
    <w:rsid w:val="00C16508"/>
    <w:rsid w:val="00C20048"/>
    <w:rsid w:val="00C21F94"/>
    <w:rsid w:val="00C24890"/>
    <w:rsid w:val="00C25AC8"/>
    <w:rsid w:val="00C26854"/>
    <w:rsid w:val="00C26C4E"/>
    <w:rsid w:val="00C2757F"/>
    <w:rsid w:val="00C27913"/>
    <w:rsid w:val="00C27980"/>
    <w:rsid w:val="00C27A21"/>
    <w:rsid w:val="00C27ECC"/>
    <w:rsid w:val="00C31081"/>
    <w:rsid w:val="00C314A0"/>
    <w:rsid w:val="00C31DB6"/>
    <w:rsid w:val="00C3345B"/>
    <w:rsid w:val="00C33B68"/>
    <w:rsid w:val="00C348D6"/>
    <w:rsid w:val="00C35505"/>
    <w:rsid w:val="00C35701"/>
    <w:rsid w:val="00C36A31"/>
    <w:rsid w:val="00C36A79"/>
    <w:rsid w:val="00C372E9"/>
    <w:rsid w:val="00C37668"/>
    <w:rsid w:val="00C3789E"/>
    <w:rsid w:val="00C37FBC"/>
    <w:rsid w:val="00C405D4"/>
    <w:rsid w:val="00C41518"/>
    <w:rsid w:val="00C42146"/>
    <w:rsid w:val="00C43E7A"/>
    <w:rsid w:val="00C447C1"/>
    <w:rsid w:val="00C4513B"/>
    <w:rsid w:val="00C454F9"/>
    <w:rsid w:val="00C45D78"/>
    <w:rsid w:val="00C46A1C"/>
    <w:rsid w:val="00C47E8D"/>
    <w:rsid w:val="00C52B60"/>
    <w:rsid w:val="00C52DD1"/>
    <w:rsid w:val="00C53647"/>
    <w:rsid w:val="00C53D42"/>
    <w:rsid w:val="00C54697"/>
    <w:rsid w:val="00C54F66"/>
    <w:rsid w:val="00C55D3F"/>
    <w:rsid w:val="00C579C4"/>
    <w:rsid w:val="00C60EAA"/>
    <w:rsid w:val="00C61315"/>
    <w:rsid w:val="00C613C3"/>
    <w:rsid w:val="00C62BD6"/>
    <w:rsid w:val="00C63197"/>
    <w:rsid w:val="00C634E0"/>
    <w:rsid w:val="00C6382E"/>
    <w:rsid w:val="00C63A93"/>
    <w:rsid w:val="00C63D29"/>
    <w:rsid w:val="00C642C9"/>
    <w:rsid w:val="00C65507"/>
    <w:rsid w:val="00C6673D"/>
    <w:rsid w:val="00C700FC"/>
    <w:rsid w:val="00C730A3"/>
    <w:rsid w:val="00C73885"/>
    <w:rsid w:val="00C747B1"/>
    <w:rsid w:val="00C82191"/>
    <w:rsid w:val="00C84E58"/>
    <w:rsid w:val="00C85F84"/>
    <w:rsid w:val="00C86A96"/>
    <w:rsid w:val="00C878E6"/>
    <w:rsid w:val="00C904CE"/>
    <w:rsid w:val="00C90CF4"/>
    <w:rsid w:val="00C91D7E"/>
    <w:rsid w:val="00C92EB6"/>
    <w:rsid w:val="00C93194"/>
    <w:rsid w:val="00C93389"/>
    <w:rsid w:val="00C93504"/>
    <w:rsid w:val="00C9485A"/>
    <w:rsid w:val="00C952AE"/>
    <w:rsid w:val="00C95C73"/>
    <w:rsid w:val="00C96D3F"/>
    <w:rsid w:val="00CA04F2"/>
    <w:rsid w:val="00CA17EB"/>
    <w:rsid w:val="00CA25B2"/>
    <w:rsid w:val="00CA271C"/>
    <w:rsid w:val="00CA2EB1"/>
    <w:rsid w:val="00CA48A2"/>
    <w:rsid w:val="00CA50DA"/>
    <w:rsid w:val="00CA57C9"/>
    <w:rsid w:val="00CA60C2"/>
    <w:rsid w:val="00CA6CC8"/>
    <w:rsid w:val="00CA774F"/>
    <w:rsid w:val="00CA79AC"/>
    <w:rsid w:val="00CB0A23"/>
    <w:rsid w:val="00CB0B1F"/>
    <w:rsid w:val="00CB4930"/>
    <w:rsid w:val="00CB59BB"/>
    <w:rsid w:val="00CB5CFB"/>
    <w:rsid w:val="00CB71CA"/>
    <w:rsid w:val="00CB73DA"/>
    <w:rsid w:val="00CC07C7"/>
    <w:rsid w:val="00CC088A"/>
    <w:rsid w:val="00CC28E0"/>
    <w:rsid w:val="00CC2E7D"/>
    <w:rsid w:val="00CC4392"/>
    <w:rsid w:val="00CC457C"/>
    <w:rsid w:val="00CC5C8B"/>
    <w:rsid w:val="00CC659A"/>
    <w:rsid w:val="00CC6E4B"/>
    <w:rsid w:val="00CC7F6A"/>
    <w:rsid w:val="00CD10A5"/>
    <w:rsid w:val="00CD2076"/>
    <w:rsid w:val="00CD2783"/>
    <w:rsid w:val="00CD2CF0"/>
    <w:rsid w:val="00CD2DB7"/>
    <w:rsid w:val="00CD3C81"/>
    <w:rsid w:val="00CD3EEE"/>
    <w:rsid w:val="00CD4300"/>
    <w:rsid w:val="00CD5722"/>
    <w:rsid w:val="00CD573A"/>
    <w:rsid w:val="00CD646A"/>
    <w:rsid w:val="00CD66CE"/>
    <w:rsid w:val="00CD7F0B"/>
    <w:rsid w:val="00CE53B8"/>
    <w:rsid w:val="00CE5647"/>
    <w:rsid w:val="00CE670B"/>
    <w:rsid w:val="00CE702A"/>
    <w:rsid w:val="00CF2CEE"/>
    <w:rsid w:val="00CF40B5"/>
    <w:rsid w:val="00CF51EC"/>
    <w:rsid w:val="00CF73AE"/>
    <w:rsid w:val="00CF75B1"/>
    <w:rsid w:val="00CF797C"/>
    <w:rsid w:val="00D0041C"/>
    <w:rsid w:val="00D02FB3"/>
    <w:rsid w:val="00D040DD"/>
    <w:rsid w:val="00D04EC2"/>
    <w:rsid w:val="00D0614E"/>
    <w:rsid w:val="00D06983"/>
    <w:rsid w:val="00D06F01"/>
    <w:rsid w:val="00D11B8B"/>
    <w:rsid w:val="00D13986"/>
    <w:rsid w:val="00D15AAE"/>
    <w:rsid w:val="00D17A90"/>
    <w:rsid w:val="00D20CD3"/>
    <w:rsid w:val="00D2121A"/>
    <w:rsid w:val="00D21E88"/>
    <w:rsid w:val="00D235B7"/>
    <w:rsid w:val="00D2462F"/>
    <w:rsid w:val="00D24A11"/>
    <w:rsid w:val="00D251E2"/>
    <w:rsid w:val="00D25F28"/>
    <w:rsid w:val="00D27973"/>
    <w:rsid w:val="00D27E2C"/>
    <w:rsid w:val="00D303A2"/>
    <w:rsid w:val="00D30E0E"/>
    <w:rsid w:val="00D326DC"/>
    <w:rsid w:val="00D338CD"/>
    <w:rsid w:val="00D348CD"/>
    <w:rsid w:val="00D371DA"/>
    <w:rsid w:val="00D3720A"/>
    <w:rsid w:val="00D378EB"/>
    <w:rsid w:val="00D420A5"/>
    <w:rsid w:val="00D4237F"/>
    <w:rsid w:val="00D4240E"/>
    <w:rsid w:val="00D43819"/>
    <w:rsid w:val="00D44D76"/>
    <w:rsid w:val="00D44D86"/>
    <w:rsid w:val="00D46337"/>
    <w:rsid w:val="00D47982"/>
    <w:rsid w:val="00D50F46"/>
    <w:rsid w:val="00D52642"/>
    <w:rsid w:val="00D53D17"/>
    <w:rsid w:val="00D567E1"/>
    <w:rsid w:val="00D606E9"/>
    <w:rsid w:val="00D60C8B"/>
    <w:rsid w:val="00D62C76"/>
    <w:rsid w:val="00D6448B"/>
    <w:rsid w:val="00D64773"/>
    <w:rsid w:val="00D647AC"/>
    <w:rsid w:val="00D650FC"/>
    <w:rsid w:val="00D65482"/>
    <w:rsid w:val="00D6573C"/>
    <w:rsid w:val="00D65865"/>
    <w:rsid w:val="00D66223"/>
    <w:rsid w:val="00D664F9"/>
    <w:rsid w:val="00D7051B"/>
    <w:rsid w:val="00D708DB"/>
    <w:rsid w:val="00D72304"/>
    <w:rsid w:val="00D74C16"/>
    <w:rsid w:val="00D76139"/>
    <w:rsid w:val="00D770CA"/>
    <w:rsid w:val="00D8084C"/>
    <w:rsid w:val="00D80917"/>
    <w:rsid w:val="00D82646"/>
    <w:rsid w:val="00D82821"/>
    <w:rsid w:val="00D833BA"/>
    <w:rsid w:val="00D84C36"/>
    <w:rsid w:val="00D86F84"/>
    <w:rsid w:val="00D8720A"/>
    <w:rsid w:val="00D92443"/>
    <w:rsid w:val="00D951D5"/>
    <w:rsid w:val="00D95AD4"/>
    <w:rsid w:val="00D963CC"/>
    <w:rsid w:val="00D97380"/>
    <w:rsid w:val="00D9745B"/>
    <w:rsid w:val="00D97D02"/>
    <w:rsid w:val="00D97F77"/>
    <w:rsid w:val="00DA0A68"/>
    <w:rsid w:val="00DA0DF0"/>
    <w:rsid w:val="00DA15A5"/>
    <w:rsid w:val="00DA2071"/>
    <w:rsid w:val="00DA3391"/>
    <w:rsid w:val="00DA3FFE"/>
    <w:rsid w:val="00DA5612"/>
    <w:rsid w:val="00DA7B0A"/>
    <w:rsid w:val="00DA7C0C"/>
    <w:rsid w:val="00DB1B98"/>
    <w:rsid w:val="00DB2EC8"/>
    <w:rsid w:val="00DB4336"/>
    <w:rsid w:val="00DB4496"/>
    <w:rsid w:val="00DB44CC"/>
    <w:rsid w:val="00DB5444"/>
    <w:rsid w:val="00DB6726"/>
    <w:rsid w:val="00DB67FD"/>
    <w:rsid w:val="00DC159D"/>
    <w:rsid w:val="00DC235B"/>
    <w:rsid w:val="00DC4F91"/>
    <w:rsid w:val="00DC5A5F"/>
    <w:rsid w:val="00DC5B3B"/>
    <w:rsid w:val="00DC6DD3"/>
    <w:rsid w:val="00DD04C2"/>
    <w:rsid w:val="00DD07A3"/>
    <w:rsid w:val="00DD0D6F"/>
    <w:rsid w:val="00DD129F"/>
    <w:rsid w:val="00DD3730"/>
    <w:rsid w:val="00DD6112"/>
    <w:rsid w:val="00DD72DE"/>
    <w:rsid w:val="00DD7AA0"/>
    <w:rsid w:val="00DE096E"/>
    <w:rsid w:val="00DE1FCF"/>
    <w:rsid w:val="00DE244A"/>
    <w:rsid w:val="00DE28AE"/>
    <w:rsid w:val="00DE2A88"/>
    <w:rsid w:val="00DE2D5D"/>
    <w:rsid w:val="00DE3224"/>
    <w:rsid w:val="00DE3A0F"/>
    <w:rsid w:val="00DE4294"/>
    <w:rsid w:val="00DE4B39"/>
    <w:rsid w:val="00DE5B4C"/>
    <w:rsid w:val="00DE5D47"/>
    <w:rsid w:val="00DE6447"/>
    <w:rsid w:val="00DE6702"/>
    <w:rsid w:val="00DE701E"/>
    <w:rsid w:val="00DF07F3"/>
    <w:rsid w:val="00DF08CD"/>
    <w:rsid w:val="00DF0F74"/>
    <w:rsid w:val="00DF24E1"/>
    <w:rsid w:val="00DF42FF"/>
    <w:rsid w:val="00DF4A21"/>
    <w:rsid w:val="00DF5B85"/>
    <w:rsid w:val="00DF5FAC"/>
    <w:rsid w:val="00DF6019"/>
    <w:rsid w:val="00DF6103"/>
    <w:rsid w:val="00DF6A22"/>
    <w:rsid w:val="00E00C80"/>
    <w:rsid w:val="00E00D1A"/>
    <w:rsid w:val="00E01C0E"/>
    <w:rsid w:val="00E02B4A"/>
    <w:rsid w:val="00E03F9A"/>
    <w:rsid w:val="00E0424E"/>
    <w:rsid w:val="00E04694"/>
    <w:rsid w:val="00E04833"/>
    <w:rsid w:val="00E065C6"/>
    <w:rsid w:val="00E06DE4"/>
    <w:rsid w:val="00E06E04"/>
    <w:rsid w:val="00E119FC"/>
    <w:rsid w:val="00E12B1E"/>
    <w:rsid w:val="00E17262"/>
    <w:rsid w:val="00E20908"/>
    <w:rsid w:val="00E2338D"/>
    <w:rsid w:val="00E2346D"/>
    <w:rsid w:val="00E23DF6"/>
    <w:rsid w:val="00E2420F"/>
    <w:rsid w:val="00E253A2"/>
    <w:rsid w:val="00E25DC1"/>
    <w:rsid w:val="00E25EE7"/>
    <w:rsid w:val="00E2797D"/>
    <w:rsid w:val="00E304B8"/>
    <w:rsid w:val="00E3162B"/>
    <w:rsid w:val="00E31A21"/>
    <w:rsid w:val="00E3309D"/>
    <w:rsid w:val="00E347B9"/>
    <w:rsid w:val="00E34C83"/>
    <w:rsid w:val="00E35DB6"/>
    <w:rsid w:val="00E365EF"/>
    <w:rsid w:val="00E3682C"/>
    <w:rsid w:val="00E37668"/>
    <w:rsid w:val="00E377DA"/>
    <w:rsid w:val="00E4543C"/>
    <w:rsid w:val="00E460E2"/>
    <w:rsid w:val="00E476DF"/>
    <w:rsid w:val="00E50156"/>
    <w:rsid w:val="00E5050F"/>
    <w:rsid w:val="00E50B5D"/>
    <w:rsid w:val="00E51B4F"/>
    <w:rsid w:val="00E53470"/>
    <w:rsid w:val="00E539F6"/>
    <w:rsid w:val="00E53F32"/>
    <w:rsid w:val="00E543DC"/>
    <w:rsid w:val="00E54519"/>
    <w:rsid w:val="00E54C98"/>
    <w:rsid w:val="00E555EA"/>
    <w:rsid w:val="00E57EBE"/>
    <w:rsid w:val="00E61425"/>
    <w:rsid w:val="00E6186A"/>
    <w:rsid w:val="00E62416"/>
    <w:rsid w:val="00E63F61"/>
    <w:rsid w:val="00E63F94"/>
    <w:rsid w:val="00E6403A"/>
    <w:rsid w:val="00E6519D"/>
    <w:rsid w:val="00E655F4"/>
    <w:rsid w:val="00E65730"/>
    <w:rsid w:val="00E67611"/>
    <w:rsid w:val="00E67696"/>
    <w:rsid w:val="00E679B0"/>
    <w:rsid w:val="00E704B3"/>
    <w:rsid w:val="00E7195D"/>
    <w:rsid w:val="00E71A58"/>
    <w:rsid w:val="00E7263C"/>
    <w:rsid w:val="00E72A7A"/>
    <w:rsid w:val="00E730E1"/>
    <w:rsid w:val="00E73E6C"/>
    <w:rsid w:val="00E745AE"/>
    <w:rsid w:val="00E7552F"/>
    <w:rsid w:val="00E75C94"/>
    <w:rsid w:val="00E7699C"/>
    <w:rsid w:val="00E76D7A"/>
    <w:rsid w:val="00E77EE7"/>
    <w:rsid w:val="00E800A2"/>
    <w:rsid w:val="00E806B8"/>
    <w:rsid w:val="00E814CF"/>
    <w:rsid w:val="00E835E4"/>
    <w:rsid w:val="00E8731A"/>
    <w:rsid w:val="00E87F02"/>
    <w:rsid w:val="00E9007A"/>
    <w:rsid w:val="00E91461"/>
    <w:rsid w:val="00E91BAF"/>
    <w:rsid w:val="00E92827"/>
    <w:rsid w:val="00E93820"/>
    <w:rsid w:val="00E948CC"/>
    <w:rsid w:val="00E95883"/>
    <w:rsid w:val="00E9671F"/>
    <w:rsid w:val="00E96A41"/>
    <w:rsid w:val="00EA09A4"/>
    <w:rsid w:val="00EA0C68"/>
    <w:rsid w:val="00EA0DC0"/>
    <w:rsid w:val="00EA0F16"/>
    <w:rsid w:val="00EA1AC5"/>
    <w:rsid w:val="00EA217A"/>
    <w:rsid w:val="00EA29E7"/>
    <w:rsid w:val="00EA32BC"/>
    <w:rsid w:val="00EA35D8"/>
    <w:rsid w:val="00EA3B4C"/>
    <w:rsid w:val="00EA53EA"/>
    <w:rsid w:val="00EA7587"/>
    <w:rsid w:val="00EB32B8"/>
    <w:rsid w:val="00EB35FF"/>
    <w:rsid w:val="00EB4511"/>
    <w:rsid w:val="00EB4A1C"/>
    <w:rsid w:val="00EB4E1E"/>
    <w:rsid w:val="00EB515A"/>
    <w:rsid w:val="00EC03D7"/>
    <w:rsid w:val="00EC1220"/>
    <w:rsid w:val="00EC14DF"/>
    <w:rsid w:val="00EC277B"/>
    <w:rsid w:val="00EC4E6F"/>
    <w:rsid w:val="00EC666B"/>
    <w:rsid w:val="00ED2C99"/>
    <w:rsid w:val="00ED62C6"/>
    <w:rsid w:val="00ED64C1"/>
    <w:rsid w:val="00ED6D0C"/>
    <w:rsid w:val="00ED79AF"/>
    <w:rsid w:val="00EE09C9"/>
    <w:rsid w:val="00EE22A4"/>
    <w:rsid w:val="00EE32DC"/>
    <w:rsid w:val="00EE3446"/>
    <w:rsid w:val="00EE3E78"/>
    <w:rsid w:val="00EE4B1B"/>
    <w:rsid w:val="00EE6CB8"/>
    <w:rsid w:val="00EF1455"/>
    <w:rsid w:val="00EF150D"/>
    <w:rsid w:val="00EF1F5A"/>
    <w:rsid w:val="00EF38A1"/>
    <w:rsid w:val="00EF47BF"/>
    <w:rsid w:val="00EF49FE"/>
    <w:rsid w:val="00EF56F0"/>
    <w:rsid w:val="00EF5F06"/>
    <w:rsid w:val="00EF6746"/>
    <w:rsid w:val="00EF6CC6"/>
    <w:rsid w:val="00F00C8A"/>
    <w:rsid w:val="00F018FD"/>
    <w:rsid w:val="00F01ECB"/>
    <w:rsid w:val="00F0211D"/>
    <w:rsid w:val="00F02CDA"/>
    <w:rsid w:val="00F02CF5"/>
    <w:rsid w:val="00F03713"/>
    <w:rsid w:val="00F04285"/>
    <w:rsid w:val="00F04811"/>
    <w:rsid w:val="00F0488C"/>
    <w:rsid w:val="00F05F5E"/>
    <w:rsid w:val="00F06F3B"/>
    <w:rsid w:val="00F07CCC"/>
    <w:rsid w:val="00F1053F"/>
    <w:rsid w:val="00F10F11"/>
    <w:rsid w:val="00F113D5"/>
    <w:rsid w:val="00F11480"/>
    <w:rsid w:val="00F12F00"/>
    <w:rsid w:val="00F14D4C"/>
    <w:rsid w:val="00F156BE"/>
    <w:rsid w:val="00F15AAA"/>
    <w:rsid w:val="00F15BEF"/>
    <w:rsid w:val="00F17588"/>
    <w:rsid w:val="00F176F7"/>
    <w:rsid w:val="00F20251"/>
    <w:rsid w:val="00F20986"/>
    <w:rsid w:val="00F23DB0"/>
    <w:rsid w:val="00F24407"/>
    <w:rsid w:val="00F24FAA"/>
    <w:rsid w:val="00F25D37"/>
    <w:rsid w:val="00F269BC"/>
    <w:rsid w:val="00F273D0"/>
    <w:rsid w:val="00F311A7"/>
    <w:rsid w:val="00F323A3"/>
    <w:rsid w:val="00F327AA"/>
    <w:rsid w:val="00F32DE9"/>
    <w:rsid w:val="00F3364D"/>
    <w:rsid w:val="00F35DBA"/>
    <w:rsid w:val="00F362B9"/>
    <w:rsid w:val="00F368B6"/>
    <w:rsid w:val="00F40594"/>
    <w:rsid w:val="00F40DD1"/>
    <w:rsid w:val="00F41279"/>
    <w:rsid w:val="00F42E31"/>
    <w:rsid w:val="00F4325A"/>
    <w:rsid w:val="00F4341D"/>
    <w:rsid w:val="00F437CC"/>
    <w:rsid w:val="00F449CD"/>
    <w:rsid w:val="00F45472"/>
    <w:rsid w:val="00F45C1D"/>
    <w:rsid w:val="00F46792"/>
    <w:rsid w:val="00F46EA8"/>
    <w:rsid w:val="00F47067"/>
    <w:rsid w:val="00F5018B"/>
    <w:rsid w:val="00F501A6"/>
    <w:rsid w:val="00F515CB"/>
    <w:rsid w:val="00F516B1"/>
    <w:rsid w:val="00F51EC0"/>
    <w:rsid w:val="00F5251A"/>
    <w:rsid w:val="00F525EB"/>
    <w:rsid w:val="00F527BD"/>
    <w:rsid w:val="00F52952"/>
    <w:rsid w:val="00F53BD9"/>
    <w:rsid w:val="00F540C6"/>
    <w:rsid w:val="00F5640A"/>
    <w:rsid w:val="00F56A79"/>
    <w:rsid w:val="00F5749E"/>
    <w:rsid w:val="00F57A27"/>
    <w:rsid w:val="00F60985"/>
    <w:rsid w:val="00F6109F"/>
    <w:rsid w:val="00F6133A"/>
    <w:rsid w:val="00F61DF1"/>
    <w:rsid w:val="00F6238A"/>
    <w:rsid w:val="00F62AD8"/>
    <w:rsid w:val="00F63DDE"/>
    <w:rsid w:val="00F63FB7"/>
    <w:rsid w:val="00F649B5"/>
    <w:rsid w:val="00F649D2"/>
    <w:rsid w:val="00F64B87"/>
    <w:rsid w:val="00F64E97"/>
    <w:rsid w:val="00F6505B"/>
    <w:rsid w:val="00F65853"/>
    <w:rsid w:val="00F659EB"/>
    <w:rsid w:val="00F65F09"/>
    <w:rsid w:val="00F6602B"/>
    <w:rsid w:val="00F7045B"/>
    <w:rsid w:val="00F715BF"/>
    <w:rsid w:val="00F7260E"/>
    <w:rsid w:val="00F72B45"/>
    <w:rsid w:val="00F72B48"/>
    <w:rsid w:val="00F737C3"/>
    <w:rsid w:val="00F739D7"/>
    <w:rsid w:val="00F73A0C"/>
    <w:rsid w:val="00F73A5D"/>
    <w:rsid w:val="00F74551"/>
    <w:rsid w:val="00F748EF"/>
    <w:rsid w:val="00F756DB"/>
    <w:rsid w:val="00F77E3B"/>
    <w:rsid w:val="00F80A26"/>
    <w:rsid w:val="00F81888"/>
    <w:rsid w:val="00F826BA"/>
    <w:rsid w:val="00F8293A"/>
    <w:rsid w:val="00F8297C"/>
    <w:rsid w:val="00F85066"/>
    <w:rsid w:val="00F8597B"/>
    <w:rsid w:val="00F878C2"/>
    <w:rsid w:val="00F87D7B"/>
    <w:rsid w:val="00F906E8"/>
    <w:rsid w:val="00F9071A"/>
    <w:rsid w:val="00F90B23"/>
    <w:rsid w:val="00F9151E"/>
    <w:rsid w:val="00F92269"/>
    <w:rsid w:val="00F94398"/>
    <w:rsid w:val="00F94436"/>
    <w:rsid w:val="00F95781"/>
    <w:rsid w:val="00F96D4A"/>
    <w:rsid w:val="00F97D0B"/>
    <w:rsid w:val="00F97FFB"/>
    <w:rsid w:val="00FA0483"/>
    <w:rsid w:val="00FA0878"/>
    <w:rsid w:val="00FA1ACA"/>
    <w:rsid w:val="00FA1E74"/>
    <w:rsid w:val="00FA2642"/>
    <w:rsid w:val="00FA2D8E"/>
    <w:rsid w:val="00FA436A"/>
    <w:rsid w:val="00FA5D4D"/>
    <w:rsid w:val="00FA6210"/>
    <w:rsid w:val="00FA6C3F"/>
    <w:rsid w:val="00FA7982"/>
    <w:rsid w:val="00FB09FE"/>
    <w:rsid w:val="00FB0EE2"/>
    <w:rsid w:val="00FB33B0"/>
    <w:rsid w:val="00FB4E48"/>
    <w:rsid w:val="00FB542E"/>
    <w:rsid w:val="00FB5965"/>
    <w:rsid w:val="00FB7EE1"/>
    <w:rsid w:val="00FC09CD"/>
    <w:rsid w:val="00FC0E5F"/>
    <w:rsid w:val="00FC1A95"/>
    <w:rsid w:val="00FC2D9F"/>
    <w:rsid w:val="00FC358D"/>
    <w:rsid w:val="00FC494B"/>
    <w:rsid w:val="00FC4C80"/>
    <w:rsid w:val="00FC56DE"/>
    <w:rsid w:val="00FC684B"/>
    <w:rsid w:val="00FC6D8D"/>
    <w:rsid w:val="00FC7652"/>
    <w:rsid w:val="00FD1136"/>
    <w:rsid w:val="00FD23A9"/>
    <w:rsid w:val="00FD3265"/>
    <w:rsid w:val="00FD3E96"/>
    <w:rsid w:val="00FD6DDD"/>
    <w:rsid w:val="00FD7AEC"/>
    <w:rsid w:val="00FE049D"/>
    <w:rsid w:val="00FE0CF2"/>
    <w:rsid w:val="00FE13BF"/>
    <w:rsid w:val="00FE1E9C"/>
    <w:rsid w:val="00FE2407"/>
    <w:rsid w:val="00FE247E"/>
    <w:rsid w:val="00FE251F"/>
    <w:rsid w:val="00FE26A1"/>
    <w:rsid w:val="00FE2F78"/>
    <w:rsid w:val="00FE31A5"/>
    <w:rsid w:val="00FE3526"/>
    <w:rsid w:val="00FE3BCF"/>
    <w:rsid w:val="00FE4C49"/>
    <w:rsid w:val="00FE5AE6"/>
    <w:rsid w:val="00FF00AC"/>
    <w:rsid w:val="00FF0634"/>
    <w:rsid w:val="00FF1661"/>
    <w:rsid w:val="00FF1901"/>
    <w:rsid w:val="00FF2BDB"/>
    <w:rsid w:val="00FF308E"/>
    <w:rsid w:val="00FF3B8F"/>
    <w:rsid w:val="00FF53D3"/>
    <w:rsid w:val="00FF5E69"/>
    <w:rsid w:val="00FF6F77"/>
    <w:rsid w:val="00FF7B96"/>
    <w:rsid w:val="00FF7F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9328DB"/>
    <w:pPr>
      <w:ind w:left="142"/>
    </w:pPr>
  </w:style>
  <w:style w:type="paragraph" w:styleId="Obsah3">
    <w:name w:val="toc 3"/>
    <w:basedOn w:val="Obsahpoloky"/>
    <w:next w:val="Obsahpoloky"/>
    <w:autoRedefine/>
    <w:uiPriority w:val="39"/>
    <w:unhideWhenUsed/>
    <w:rsid w:val="009328DB"/>
    <w:pPr>
      <w:ind w:left="284"/>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Odkaznakoment">
    <w:name w:val="annotation reference"/>
    <w:basedOn w:val="Standardnpsmoodstavce"/>
    <w:uiPriority w:val="99"/>
    <w:semiHidden/>
    <w:unhideWhenUsed/>
    <w:rsid w:val="0089159B"/>
    <w:rPr>
      <w:sz w:val="16"/>
      <w:szCs w:val="16"/>
    </w:rPr>
  </w:style>
  <w:style w:type="paragraph" w:styleId="Textkomente">
    <w:name w:val="annotation text"/>
    <w:basedOn w:val="Normln"/>
    <w:link w:val="TextkomenteChar"/>
    <w:uiPriority w:val="99"/>
    <w:semiHidden/>
    <w:unhideWhenUsed/>
    <w:rsid w:val="0089159B"/>
    <w:pPr>
      <w:spacing w:line="240" w:lineRule="auto"/>
    </w:pPr>
    <w:rPr>
      <w:szCs w:val="20"/>
    </w:rPr>
  </w:style>
  <w:style w:type="character" w:customStyle="1" w:styleId="TextkomenteChar">
    <w:name w:val="Text komentáře Char"/>
    <w:basedOn w:val="Standardnpsmoodstavce"/>
    <w:link w:val="Textkomente"/>
    <w:uiPriority w:val="99"/>
    <w:semiHidden/>
    <w:rsid w:val="0089159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89159B"/>
    <w:rPr>
      <w:b/>
      <w:bCs/>
    </w:rPr>
  </w:style>
  <w:style w:type="character" w:customStyle="1" w:styleId="PedmtkomenteChar">
    <w:name w:val="Předmět komentáře Char"/>
    <w:basedOn w:val="TextkomenteChar"/>
    <w:link w:val="Pedmtkomente"/>
    <w:uiPriority w:val="99"/>
    <w:semiHidden/>
    <w:rsid w:val="0089159B"/>
    <w:rPr>
      <w:rFonts w:ascii="Arial" w:eastAsia="Times New Roman" w:hAnsi="Arial"/>
      <w:b/>
      <w:bCs/>
      <w:lang w:eastAsia="cs-CZ"/>
    </w:rPr>
  </w:style>
  <w:style w:type="character" w:styleId="Znakapoznpodarou">
    <w:name w:val="footnote reference"/>
    <w:uiPriority w:val="99"/>
    <w:rsid w:val="00A82D93"/>
    <w:rPr>
      <w:vertAlign w:val="superscript"/>
    </w:rPr>
  </w:style>
  <w:style w:type="paragraph" w:styleId="Odstavecseseznamem">
    <w:name w:val="List Paragraph"/>
    <w:basedOn w:val="Normln"/>
    <w:uiPriority w:val="99"/>
    <w:qFormat/>
    <w:rsid w:val="00A82D93"/>
    <w:pPr>
      <w:suppressAutoHyphens/>
      <w:spacing w:before="280" w:after="280" w:line="240" w:lineRule="auto"/>
      <w:ind w:left="720"/>
    </w:pPr>
    <w:rPr>
      <w:rFonts w:ascii="Times New Roman" w:hAnsi="Times New Roman"/>
      <w:sz w:val="24"/>
      <w:lang w:eastAsia="ar-SA"/>
    </w:rPr>
  </w:style>
  <w:style w:type="paragraph" w:styleId="Textpoznpodarou">
    <w:name w:val="footnote text"/>
    <w:basedOn w:val="Normln"/>
    <w:link w:val="TextpoznpodarouChar"/>
    <w:uiPriority w:val="99"/>
    <w:semiHidden/>
    <w:rsid w:val="00A82D93"/>
    <w:pPr>
      <w:spacing w:after="0"/>
    </w:pPr>
    <w:rPr>
      <w:szCs w:val="20"/>
    </w:rPr>
  </w:style>
  <w:style w:type="character" w:customStyle="1" w:styleId="TextpoznpodarouChar">
    <w:name w:val="Text pozn. pod čarou Char"/>
    <w:basedOn w:val="Standardnpsmoodstavce"/>
    <w:link w:val="Textpoznpodarou"/>
    <w:uiPriority w:val="99"/>
    <w:semiHidden/>
    <w:rsid w:val="00A82D93"/>
    <w:rPr>
      <w:rFonts w:ascii="Arial" w:eastAsia="Times New Roman" w:hAnsi="Arial"/>
      <w:lang w:eastAsia="cs-CZ"/>
    </w:rPr>
  </w:style>
  <w:style w:type="character" w:styleId="Sledovanodkaz">
    <w:name w:val="FollowedHyperlink"/>
    <w:basedOn w:val="Standardnpsmoodstavce"/>
    <w:uiPriority w:val="99"/>
    <w:semiHidden/>
    <w:unhideWhenUsed/>
    <w:rsid w:val="00494E37"/>
    <w:rPr>
      <w:color w:val="800080" w:themeColor="followedHyperlink"/>
      <w:u w:val="single"/>
    </w:rPr>
  </w:style>
  <w:style w:type="paragraph" w:styleId="Zkladntextodsazen">
    <w:name w:val="Body Text Indent"/>
    <w:basedOn w:val="Normln"/>
    <w:link w:val="ZkladntextodsazenChar"/>
    <w:uiPriority w:val="99"/>
    <w:rsid w:val="008E657B"/>
    <w:pPr>
      <w:spacing w:after="0" w:line="240" w:lineRule="auto"/>
      <w:ind w:left="360"/>
    </w:pPr>
    <w:rPr>
      <w:szCs w:val="20"/>
    </w:rPr>
  </w:style>
  <w:style w:type="character" w:customStyle="1" w:styleId="ZkladntextodsazenChar">
    <w:name w:val="Základní text odsazený Char"/>
    <w:basedOn w:val="Standardnpsmoodstavce"/>
    <w:link w:val="Zkladntextodsazen"/>
    <w:uiPriority w:val="99"/>
    <w:rsid w:val="008E657B"/>
    <w:rPr>
      <w:rFonts w:ascii="Arial" w:eastAsia="Times New Roman" w:hAnsi="Arial"/>
      <w:lang w:eastAsia="cs-CZ"/>
    </w:rPr>
  </w:style>
  <w:style w:type="paragraph" w:styleId="Normlnweb">
    <w:name w:val="Normal (Web)"/>
    <w:basedOn w:val="Normln"/>
    <w:uiPriority w:val="99"/>
    <w:unhideWhenUsed/>
    <w:rsid w:val="003E2CA0"/>
    <w:pPr>
      <w:spacing w:before="100" w:beforeAutospacing="1" w:after="100" w:afterAutospacing="1" w:line="240" w:lineRule="auto"/>
    </w:pPr>
    <w:rPr>
      <w:rFonts w:ascii="Times New Roman" w:hAnsi="Times New Roman"/>
      <w:sz w:val="24"/>
    </w:rPr>
  </w:style>
  <w:style w:type="character" w:customStyle="1" w:styleId="input-std">
    <w:name w:val="input-std"/>
    <w:basedOn w:val="Standardnpsmoodstavce"/>
    <w:rsid w:val="002F3B4C"/>
  </w:style>
  <w:style w:type="paragraph" w:customStyle="1" w:styleId="Default">
    <w:name w:val="Default"/>
    <w:rsid w:val="001C3015"/>
    <w:pPr>
      <w:autoSpaceDE w:val="0"/>
      <w:autoSpaceDN w:val="0"/>
      <w:adjustRightInd w:val="0"/>
    </w:pPr>
    <w:rPr>
      <w:rFonts w:ascii="Arial" w:hAnsi="Arial" w:cs="Arial"/>
      <w:color w:val="000000"/>
      <w:sz w:val="24"/>
      <w:szCs w:val="24"/>
    </w:rPr>
  </w:style>
  <w:style w:type="paragraph" w:styleId="Revize">
    <w:name w:val="Revision"/>
    <w:hidden/>
    <w:uiPriority w:val="99"/>
    <w:semiHidden/>
    <w:rsid w:val="007E6990"/>
    <w:rPr>
      <w:rFonts w:ascii="Arial" w:eastAsia="Times New Roman" w:hAnsi="Arial"/>
      <w:szCs w:val="24"/>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7314992">
      <w:bodyDiv w:val="1"/>
      <w:marLeft w:val="0"/>
      <w:marRight w:val="0"/>
      <w:marTop w:val="0"/>
      <w:marBottom w:val="0"/>
      <w:divBdr>
        <w:top w:val="none" w:sz="0" w:space="0" w:color="auto"/>
        <w:left w:val="none" w:sz="0" w:space="0" w:color="auto"/>
        <w:bottom w:val="none" w:sz="0" w:space="0" w:color="auto"/>
        <w:right w:val="none" w:sz="0" w:space="0" w:color="auto"/>
      </w:divBdr>
    </w:div>
    <w:div w:id="44918586">
      <w:bodyDiv w:val="1"/>
      <w:marLeft w:val="0"/>
      <w:marRight w:val="0"/>
      <w:marTop w:val="0"/>
      <w:marBottom w:val="0"/>
      <w:divBdr>
        <w:top w:val="none" w:sz="0" w:space="0" w:color="auto"/>
        <w:left w:val="none" w:sz="0" w:space="0" w:color="auto"/>
        <w:bottom w:val="none" w:sz="0" w:space="0" w:color="auto"/>
        <w:right w:val="none" w:sz="0" w:space="0" w:color="auto"/>
      </w:divBdr>
    </w:div>
    <w:div w:id="64838206">
      <w:bodyDiv w:val="1"/>
      <w:marLeft w:val="0"/>
      <w:marRight w:val="0"/>
      <w:marTop w:val="0"/>
      <w:marBottom w:val="0"/>
      <w:divBdr>
        <w:top w:val="none" w:sz="0" w:space="0" w:color="auto"/>
        <w:left w:val="none" w:sz="0" w:space="0" w:color="auto"/>
        <w:bottom w:val="none" w:sz="0" w:space="0" w:color="auto"/>
        <w:right w:val="none" w:sz="0" w:space="0" w:color="auto"/>
      </w:divBdr>
    </w:div>
    <w:div w:id="95562307">
      <w:bodyDiv w:val="1"/>
      <w:marLeft w:val="0"/>
      <w:marRight w:val="0"/>
      <w:marTop w:val="0"/>
      <w:marBottom w:val="0"/>
      <w:divBdr>
        <w:top w:val="none" w:sz="0" w:space="0" w:color="auto"/>
        <w:left w:val="none" w:sz="0" w:space="0" w:color="auto"/>
        <w:bottom w:val="none" w:sz="0" w:space="0" w:color="auto"/>
        <w:right w:val="none" w:sz="0" w:space="0" w:color="auto"/>
      </w:divBdr>
      <w:divsChild>
        <w:div w:id="863444442">
          <w:marLeft w:val="0"/>
          <w:marRight w:val="0"/>
          <w:marTop w:val="0"/>
          <w:marBottom w:val="0"/>
          <w:divBdr>
            <w:top w:val="none" w:sz="0" w:space="0" w:color="auto"/>
            <w:left w:val="none" w:sz="0" w:space="0" w:color="auto"/>
            <w:bottom w:val="none" w:sz="0" w:space="0" w:color="auto"/>
            <w:right w:val="none" w:sz="0" w:space="0" w:color="auto"/>
          </w:divBdr>
        </w:div>
        <w:div w:id="1098452719">
          <w:marLeft w:val="0"/>
          <w:marRight w:val="0"/>
          <w:marTop w:val="0"/>
          <w:marBottom w:val="0"/>
          <w:divBdr>
            <w:top w:val="none" w:sz="0" w:space="0" w:color="auto"/>
            <w:left w:val="none" w:sz="0" w:space="0" w:color="auto"/>
            <w:bottom w:val="none" w:sz="0" w:space="0" w:color="auto"/>
            <w:right w:val="none" w:sz="0" w:space="0" w:color="auto"/>
          </w:divBdr>
        </w:div>
        <w:div w:id="2076663688">
          <w:marLeft w:val="0"/>
          <w:marRight w:val="0"/>
          <w:marTop w:val="0"/>
          <w:marBottom w:val="0"/>
          <w:divBdr>
            <w:top w:val="none" w:sz="0" w:space="0" w:color="auto"/>
            <w:left w:val="none" w:sz="0" w:space="0" w:color="auto"/>
            <w:bottom w:val="none" w:sz="0" w:space="0" w:color="auto"/>
            <w:right w:val="none" w:sz="0" w:space="0" w:color="auto"/>
          </w:divBdr>
        </w:div>
        <w:div w:id="228157269">
          <w:marLeft w:val="0"/>
          <w:marRight w:val="0"/>
          <w:marTop w:val="0"/>
          <w:marBottom w:val="0"/>
          <w:divBdr>
            <w:top w:val="none" w:sz="0" w:space="0" w:color="auto"/>
            <w:left w:val="none" w:sz="0" w:space="0" w:color="auto"/>
            <w:bottom w:val="none" w:sz="0" w:space="0" w:color="auto"/>
            <w:right w:val="none" w:sz="0" w:space="0" w:color="auto"/>
          </w:divBdr>
        </w:div>
        <w:div w:id="1002973247">
          <w:marLeft w:val="0"/>
          <w:marRight w:val="0"/>
          <w:marTop w:val="0"/>
          <w:marBottom w:val="0"/>
          <w:divBdr>
            <w:top w:val="none" w:sz="0" w:space="0" w:color="auto"/>
            <w:left w:val="none" w:sz="0" w:space="0" w:color="auto"/>
            <w:bottom w:val="none" w:sz="0" w:space="0" w:color="auto"/>
            <w:right w:val="none" w:sz="0" w:space="0" w:color="auto"/>
          </w:divBdr>
        </w:div>
        <w:div w:id="492377890">
          <w:marLeft w:val="0"/>
          <w:marRight w:val="0"/>
          <w:marTop w:val="0"/>
          <w:marBottom w:val="0"/>
          <w:divBdr>
            <w:top w:val="none" w:sz="0" w:space="0" w:color="auto"/>
            <w:left w:val="none" w:sz="0" w:space="0" w:color="auto"/>
            <w:bottom w:val="none" w:sz="0" w:space="0" w:color="auto"/>
            <w:right w:val="none" w:sz="0" w:space="0" w:color="auto"/>
          </w:divBdr>
        </w:div>
        <w:div w:id="175119462">
          <w:marLeft w:val="0"/>
          <w:marRight w:val="0"/>
          <w:marTop w:val="0"/>
          <w:marBottom w:val="0"/>
          <w:divBdr>
            <w:top w:val="none" w:sz="0" w:space="0" w:color="auto"/>
            <w:left w:val="none" w:sz="0" w:space="0" w:color="auto"/>
            <w:bottom w:val="none" w:sz="0" w:space="0" w:color="auto"/>
            <w:right w:val="none" w:sz="0" w:space="0" w:color="auto"/>
          </w:divBdr>
        </w:div>
      </w:divsChild>
    </w:div>
    <w:div w:id="161551492">
      <w:bodyDiv w:val="1"/>
      <w:marLeft w:val="0"/>
      <w:marRight w:val="0"/>
      <w:marTop w:val="0"/>
      <w:marBottom w:val="0"/>
      <w:divBdr>
        <w:top w:val="none" w:sz="0" w:space="0" w:color="auto"/>
        <w:left w:val="none" w:sz="0" w:space="0" w:color="auto"/>
        <w:bottom w:val="none" w:sz="0" w:space="0" w:color="auto"/>
        <w:right w:val="none" w:sz="0" w:space="0" w:color="auto"/>
      </w:divBdr>
    </w:div>
    <w:div w:id="170950127">
      <w:bodyDiv w:val="1"/>
      <w:marLeft w:val="0"/>
      <w:marRight w:val="0"/>
      <w:marTop w:val="0"/>
      <w:marBottom w:val="0"/>
      <w:divBdr>
        <w:top w:val="none" w:sz="0" w:space="0" w:color="auto"/>
        <w:left w:val="none" w:sz="0" w:space="0" w:color="auto"/>
        <w:bottom w:val="none" w:sz="0" w:space="0" w:color="auto"/>
        <w:right w:val="none" w:sz="0" w:space="0" w:color="auto"/>
      </w:divBdr>
    </w:div>
    <w:div w:id="23914523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7327012">
      <w:bodyDiv w:val="1"/>
      <w:marLeft w:val="0"/>
      <w:marRight w:val="0"/>
      <w:marTop w:val="0"/>
      <w:marBottom w:val="0"/>
      <w:divBdr>
        <w:top w:val="none" w:sz="0" w:space="0" w:color="auto"/>
        <w:left w:val="none" w:sz="0" w:space="0" w:color="auto"/>
        <w:bottom w:val="none" w:sz="0" w:space="0" w:color="auto"/>
        <w:right w:val="none" w:sz="0" w:space="0" w:color="auto"/>
      </w:divBdr>
    </w:div>
    <w:div w:id="315959004">
      <w:bodyDiv w:val="1"/>
      <w:marLeft w:val="0"/>
      <w:marRight w:val="0"/>
      <w:marTop w:val="0"/>
      <w:marBottom w:val="0"/>
      <w:divBdr>
        <w:top w:val="none" w:sz="0" w:space="0" w:color="auto"/>
        <w:left w:val="none" w:sz="0" w:space="0" w:color="auto"/>
        <w:bottom w:val="none" w:sz="0" w:space="0" w:color="auto"/>
        <w:right w:val="none" w:sz="0" w:space="0" w:color="auto"/>
      </w:divBdr>
    </w:div>
    <w:div w:id="337922816">
      <w:bodyDiv w:val="1"/>
      <w:marLeft w:val="0"/>
      <w:marRight w:val="0"/>
      <w:marTop w:val="0"/>
      <w:marBottom w:val="0"/>
      <w:divBdr>
        <w:top w:val="none" w:sz="0" w:space="0" w:color="auto"/>
        <w:left w:val="none" w:sz="0" w:space="0" w:color="auto"/>
        <w:bottom w:val="none" w:sz="0" w:space="0" w:color="auto"/>
        <w:right w:val="none" w:sz="0" w:space="0" w:color="auto"/>
      </w:divBdr>
      <w:divsChild>
        <w:div w:id="1510213356">
          <w:marLeft w:val="0"/>
          <w:marRight w:val="0"/>
          <w:marTop w:val="0"/>
          <w:marBottom w:val="0"/>
          <w:divBdr>
            <w:top w:val="none" w:sz="0" w:space="0" w:color="auto"/>
            <w:left w:val="none" w:sz="0" w:space="0" w:color="auto"/>
            <w:bottom w:val="none" w:sz="0" w:space="0" w:color="auto"/>
            <w:right w:val="none" w:sz="0" w:space="0" w:color="auto"/>
          </w:divBdr>
        </w:div>
        <w:div w:id="603268121">
          <w:marLeft w:val="0"/>
          <w:marRight w:val="0"/>
          <w:marTop w:val="0"/>
          <w:marBottom w:val="0"/>
          <w:divBdr>
            <w:top w:val="none" w:sz="0" w:space="0" w:color="auto"/>
            <w:left w:val="none" w:sz="0" w:space="0" w:color="auto"/>
            <w:bottom w:val="none" w:sz="0" w:space="0" w:color="auto"/>
            <w:right w:val="none" w:sz="0" w:space="0" w:color="auto"/>
          </w:divBdr>
        </w:div>
        <w:div w:id="1617173120">
          <w:marLeft w:val="0"/>
          <w:marRight w:val="0"/>
          <w:marTop w:val="0"/>
          <w:marBottom w:val="0"/>
          <w:divBdr>
            <w:top w:val="none" w:sz="0" w:space="0" w:color="auto"/>
            <w:left w:val="none" w:sz="0" w:space="0" w:color="auto"/>
            <w:bottom w:val="none" w:sz="0" w:space="0" w:color="auto"/>
            <w:right w:val="none" w:sz="0" w:space="0" w:color="auto"/>
          </w:divBdr>
        </w:div>
        <w:div w:id="651101726">
          <w:marLeft w:val="0"/>
          <w:marRight w:val="0"/>
          <w:marTop w:val="0"/>
          <w:marBottom w:val="0"/>
          <w:divBdr>
            <w:top w:val="none" w:sz="0" w:space="0" w:color="auto"/>
            <w:left w:val="none" w:sz="0" w:space="0" w:color="auto"/>
            <w:bottom w:val="none" w:sz="0" w:space="0" w:color="auto"/>
            <w:right w:val="none" w:sz="0" w:space="0" w:color="auto"/>
          </w:divBdr>
        </w:div>
        <w:div w:id="1013528657">
          <w:marLeft w:val="0"/>
          <w:marRight w:val="0"/>
          <w:marTop w:val="0"/>
          <w:marBottom w:val="0"/>
          <w:divBdr>
            <w:top w:val="none" w:sz="0" w:space="0" w:color="auto"/>
            <w:left w:val="none" w:sz="0" w:space="0" w:color="auto"/>
            <w:bottom w:val="none" w:sz="0" w:space="0" w:color="auto"/>
            <w:right w:val="none" w:sz="0" w:space="0" w:color="auto"/>
          </w:divBdr>
        </w:div>
        <w:div w:id="459305170">
          <w:marLeft w:val="0"/>
          <w:marRight w:val="0"/>
          <w:marTop w:val="0"/>
          <w:marBottom w:val="0"/>
          <w:divBdr>
            <w:top w:val="none" w:sz="0" w:space="0" w:color="auto"/>
            <w:left w:val="none" w:sz="0" w:space="0" w:color="auto"/>
            <w:bottom w:val="none" w:sz="0" w:space="0" w:color="auto"/>
            <w:right w:val="none" w:sz="0" w:space="0" w:color="auto"/>
          </w:divBdr>
        </w:div>
        <w:div w:id="1274435138">
          <w:marLeft w:val="0"/>
          <w:marRight w:val="0"/>
          <w:marTop w:val="0"/>
          <w:marBottom w:val="0"/>
          <w:divBdr>
            <w:top w:val="none" w:sz="0" w:space="0" w:color="auto"/>
            <w:left w:val="none" w:sz="0" w:space="0" w:color="auto"/>
            <w:bottom w:val="none" w:sz="0" w:space="0" w:color="auto"/>
            <w:right w:val="none" w:sz="0" w:space="0" w:color="auto"/>
          </w:divBdr>
        </w:div>
        <w:div w:id="1235355156">
          <w:marLeft w:val="0"/>
          <w:marRight w:val="0"/>
          <w:marTop w:val="0"/>
          <w:marBottom w:val="0"/>
          <w:divBdr>
            <w:top w:val="none" w:sz="0" w:space="0" w:color="auto"/>
            <w:left w:val="none" w:sz="0" w:space="0" w:color="auto"/>
            <w:bottom w:val="none" w:sz="0" w:space="0" w:color="auto"/>
            <w:right w:val="none" w:sz="0" w:space="0" w:color="auto"/>
          </w:divBdr>
        </w:div>
        <w:div w:id="922639230">
          <w:marLeft w:val="0"/>
          <w:marRight w:val="0"/>
          <w:marTop w:val="0"/>
          <w:marBottom w:val="0"/>
          <w:divBdr>
            <w:top w:val="none" w:sz="0" w:space="0" w:color="auto"/>
            <w:left w:val="none" w:sz="0" w:space="0" w:color="auto"/>
            <w:bottom w:val="none" w:sz="0" w:space="0" w:color="auto"/>
            <w:right w:val="none" w:sz="0" w:space="0" w:color="auto"/>
          </w:divBdr>
        </w:div>
        <w:div w:id="494154961">
          <w:marLeft w:val="0"/>
          <w:marRight w:val="0"/>
          <w:marTop w:val="0"/>
          <w:marBottom w:val="0"/>
          <w:divBdr>
            <w:top w:val="none" w:sz="0" w:space="0" w:color="auto"/>
            <w:left w:val="none" w:sz="0" w:space="0" w:color="auto"/>
            <w:bottom w:val="none" w:sz="0" w:space="0" w:color="auto"/>
            <w:right w:val="none" w:sz="0" w:space="0" w:color="auto"/>
          </w:divBdr>
        </w:div>
        <w:div w:id="1180436136">
          <w:marLeft w:val="0"/>
          <w:marRight w:val="0"/>
          <w:marTop w:val="0"/>
          <w:marBottom w:val="0"/>
          <w:divBdr>
            <w:top w:val="none" w:sz="0" w:space="0" w:color="auto"/>
            <w:left w:val="none" w:sz="0" w:space="0" w:color="auto"/>
            <w:bottom w:val="none" w:sz="0" w:space="0" w:color="auto"/>
            <w:right w:val="none" w:sz="0" w:space="0" w:color="auto"/>
          </w:divBdr>
        </w:div>
        <w:div w:id="1913662701">
          <w:marLeft w:val="0"/>
          <w:marRight w:val="0"/>
          <w:marTop w:val="0"/>
          <w:marBottom w:val="0"/>
          <w:divBdr>
            <w:top w:val="none" w:sz="0" w:space="0" w:color="auto"/>
            <w:left w:val="none" w:sz="0" w:space="0" w:color="auto"/>
            <w:bottom w:val="none" w:sz="0" w:space="0" w:color="auto"/>
            <w:right w:val="none" w:sz="0" w:space="0" w:color="auto"/>
          </w:divBdr>
        </w:div>
        <w:div w:id="336277801">
          <w:marLeft w:val="0"/>
          <w:marRight w:val="0"/>
          <w:marTop w:val="0"/>
          <w:marBottom w:val="0"/>
          <w:divBdr>
            <w:top w:val="none" w:sz="0" w:space="0" w:color="auto"/>
            <w:left w:val="none" w:sz="0" w:space="0" w:color="auto"/>
            <w:bottom w:val="none" w:sz="0" w:space="0" w:color="auto"/>
            <w:right w:val="none" w:sz="0" w:space="0" w:color="auto"/>
          </w:divBdr>
        </w:div>
        <w:div w:id="193808912">
          <w:marLeft w:val="0"/>
          <w:marRight w:val="0"/>
          <w:marTop w:val="0"/>
          <w:marBottom w:val="0"/>
          <w:divBdr>
            <w:top w:val="none" w:sz="0" w:space="0" w:color="auto"/>
            <w:left w:val="none" w:sz="0" w:space="0" w:color="auto"/>
            <w:bottom w:val="none" w:sz="0" w:space="0" w:color="auto"/>
            <w:right w:val="none" w:sz="0" w:space="0" w:color="auto"/>
          </w:divBdr>
        </w:div>
        <w:div w:id="1419130565">
          <w:marLeft w:val="0"/>
          <w:marRight w:val="0"/>
          <w:marTop w:val="0"/>
          <w:marBottom w:val="0"/>
          <w:divBdr>
            <w:top w:val="none" w:sz="0" w:space="0" w:color="auto"/>
            <w:left w:val="none" w:sz="0" w:space="0" w:color="auto"/>
            <w:bottom w:val="none" w:sz="0" w:space="0" w:color="auto"/>
            <w:right w:val="none" w:sz="0" w:space="0" w:color="auto"/>
          </w:divBdr>
        </w:div>
        <w:div w:id="1089624056">
          <w:marLeft w:val="0"/>
          <w:marRight w:val="0"/>
          <w:marTop w:val="0"/>
          <w:marBottom w:val="0"/>
          <w:divBdr>
            <w:top w:val="none" w:sz="0" w:space="0" w:color="auto"/>
            <w:left w:val="none" w:sz="0" w:space="0" w:color="auto"/>
            <w:bottom w:val="none" w:sz="0" w:space="0" w:color="auto"/>
            <w:right w:val="none" w:sz="0" w:space="0" w:color="auto"/>
          </w:divBdr>
        </w:div>
        <w:div w:id="1841460128">
          <w:marLeft w:val="0"/>
          <w:marRight w:val="0"/>
          <w:marTop w:val="0"/>
          <w:marBottom w:val="0"/>
          <w:divBdr>
            <w:top w:val="none" w:sz="0" w:space="0" w:color="auto"/>
            <w:left w:val="none" w:sz="0" w:space="0" w:color="auto"/>
            <w:bottom w:val="none" w:sz="0" w:space="0" w:color="auto"/>
            <w:right w:val="none" w:sz="0" w:space="0" w:color="auto"/>
          </w:divBdr>
        </w:div>
        <w:div w:id="1701004991">
          <w:marLeft w:val="0"/>
          <w:marRight w:val="0"/>
          <w:marTop w:val="0"/>
          <w:marBottom w:val="0"/>
          <w:divBdr>
            <w:top w:val="none" w:sz="0" w:space="0" w:color="auto"/>
            <w:left w:val="none" w:sz="0" w:space="0" w:color="auto"/>
            <w:bottom w:val="none" w:sz="0" w:space="0" w:color="auto"/>
            <w:right w:val="none" w:sz="0" w:space="0" w:color="auto"/>
          </w:divBdr>
        </w:div>
        <w:div w:id="397633789">
          <w:marLeft w:val="0"/>
          <w:marRight w:val="0"/>
          <w:marTop w:val="0"/>
          <w:marBottom w:val="0"/>
          <w:divBdr>
            <w:top w:val="none" w:sz="0" w:space="0" w:color="auto"/>
            <w:left w:val="none" w:sz="0" w:space="0" w:color="auto"/>
            <w:bottom w:val="none" w:sz="0" w:space="0" w:color="auto"/>
            <w:right w:val="none" w:sz="0" w:space="0" w:color="auto"/>
          </w:divBdr>
        </w:div>
        <w:div w:id="1736512755">
          <w:marLeft w:val="0"/>
          <w:marRight w:val="0"/>
          <w:marTop w:val="0"/>
          <w:marBottom w:val="0"/>
          <w:divBdr>
            <w:top w:val="none" w:sz="0" w:space="0" w:color="auto"/>
            <w:left w:val="none" w:sz="0" w:space="0" w:color="auto"/>
            <w:bottom w:val="none" w:sz="0" w:space="0" w:color="auto"/>
            <w:right w:val="none" w:sz="0" w:space="0" w:color="auto"/>
          </w:divBdr>
        </w:div>
        <w:div w:id="740257467">
          <w:marLeft w:val="0"/>
          <w:marRight w:val="0"/>
          <w:marTop w:val="0"/>
          <w:marBottom w:val="0"/>
          <w:divBdr>
            <w:top w:val="none" w:sz="0" w:space="0" w:color="auto"/>
            <w:left w:val="none" w:sz="0" w:space="0" w:color="auto"/>
            <w:bottom w:val="none" w:sz="0" w:space="0" w:color="auto"/>
            <w:right w:val="none" w:sz="0" w:space="0" w:color="auto"/>
          </w:divBdr>
        </w:div>
        <w:div w:id="859514466">
          <w:marLeft w:val="0"/>
          <w:marRight w:val="0"/>
          <w:marTop w:val="0"/>
          <w:marBottom w:val="0"/>
          <w:divBdr>
            <w:top w:val="none" w:sz="0" w:space="0" w:color="auto"/>
            <w:left w:val="none" w:sz="0" w:space="0" w:color="auto"/>
            <w:bottom w:val="none" w:sz="0" w:space="0" w:color="auto"/>
            <w:right w:val="none" w:sz="0" w:space="0" w:color="auto"/>
          </w:divBdr>
        </w:div>
        <w:div w:id="282151775">
          <w:marLeft w:val="0"/>
          <w:marRight w:val="0"/>
          <w:marTop w:val="0"/>
          <w:marBottom w:val="0"/>
          <w:divBdr>
            <w:top w:val="none" w:sz="0" w:space="0" w:color="auto"/>
            <w:left w:val="none" w:sz="0" w:space="0" w:color="auto"/>
            <w:bottom w:val="none" w:sz="0" w:space="0" w:color="auto"/>
            <w:right w:val="none" w:sz="0" w:space="0" w:color="auto"/>
          </w:divBdr>
        </w:div>
      </w:divsChild>
    </w:div>
    <w:div w:id="353964847">
      <w:bodyDiv w:val="1"/>
      <w:marLeft w:val="0"/>
      <w:marRight w:val="0"/>
      <w:marTop w:val="0"/>
      <w:marBottom w:val="0"/>
      <w:divBdr>
        <w:top w:val="none" w:sz="0" w:space="0" w:color="auto"/>
        <w:left w:val="none" w:sz="0" w:space="0" w:color="auto"/>
        <w:bottom w:val="none" w:sz="0" w:space="0" w:color="auto"/>
        <w:right w:val="none" w:sz="0" w:space="0" w:color="auto"/>
      </w:divBdr>
    </w:div>
    <w:div w:id="48054224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35773494">
      <w:bodyDiv w:val="1"/>
      <w:marLeft w:val="0"/>
      <w:marRight w:val="0"/>
      <w:marTop w:val="0"/>
      <w:marBottom w:val="0"/>
      <w:divBdr>
        <w:top w:val="none" w:sz="0" w:space="0" w:color="auto"/>
        <w:left w:val="none" w:sz="0" w:space="0" w:color="auto"/>
        <w:bottom w:val="none" w:sz="0" w:space="0" w:color="auto"/>
        <w:right w:val="none" w:sz="0" w:space="0" w:color="auto"/>
      </w:divBdr>
    </w:div>
    <w:div w:id="675688729">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27344916">
      <w:bodyDiv w:val="1"/>
      <w:marLeft w:val="0"/>
      <w:marRight w:val="0"/>
      <w:marTop w:val="0"/>
      <w:marBottom w:val="0"/>
      <w:divBdr>
        <w:top w:val="none" w:sz="0" w:space="0" w:color="auto"/>
        <w:left w:val="none" w:sz="0" w:space="0" w:color="auto"/>
        <w:bottom w:val="none" w:sz="0" w:space="0" w:color="auto"/>
        <w:right w:val="none" w:sz="0" w:space="0" w:color="auto"/>
      </w:divBdr>
    </w:div>
    <w:div w:id="737215018">
      <w:bodyDiv w:val="1"/>
      <w:marLeft w:val="0"/>
      <w:marRight w:val="0"/>
      <w:marTop w:val="0"/>
      <w:marBottom w:val="0"/>
      <w:divBdr>
        <w:top w:val="none" w:sz="0" w:space="0" w:color="auto"/>
        <w:left w:val="none" w:sz="0" w:space="0" w:color="auto"/>
        <w:bottom w:val="none" w:sz="0" w:space="0" w:color="auto"/>
        <w:right w:val="none" w:sz="0" w:space="0" w:color="auto"/>
      </w:divBdr>
    </w:div>
    <w:div w:id="743064053">
      <w:bodyDiv w:val="1"/>
      <w:marLeft w:val="0"/>
      <w:marRight w:val="0"/>
      <w:marTop w:val="0"/>
      <w:marBottom w:val="0"/>
      <w:divBdr>
        <w:top w:val="none" w:sz="0" w:space="0" w:color="auto"/>
        <w:left w:val="none" w:sz="0" w:space="0" w:color="auto"/>
        <w:bottom w:val="none" w:sz="0" w:space="0" w:color="auto"/>
        <w:right w:val="none" w:sz="0" w:space="0" w:color="auto"/>
      </w:divBdr>
    </w:div>
    <w:div w:id="756484825">
      <w:bodyDiv w:val="1"/>
      <w:marLeft w:val="0"/>
      <w:marRight w:val="0"/>
      <w:marTop w:val="0"/>
      <w:marBottom w:val="0"/>
      <w:divBdr>
        <w:top w:val="none" w:sz="0" w:space="0" w:color="auto"/>
        <w:left w:val="none" w:sz="0" w:space="0" w:color="auto"/>
        <w:bottom w:val="none" w:sz="0" w:space="0" w:color="auto"/>
        <w:right w:val="none" w:sz="0" w:space="0" w:color="auto"/>
      </w:divBdr>
    </w:div>
    <w:div w:id="804278233">
      <w:bodyDiv w:val="1"/>
      <w:marLeft w:val="0"/>
      <w:marRight w:val="0"/>
      <w:marTop w:val="0"/>
      <w:marBottom w:val="0"/>
      <w:divBdr>
        <w:top w:val="none" w:sz="0" w:space="0" w:color="auto"/>
        <w:left w:val="none" w:sz="0" w:space="0" w:color="auto"/>
        <w:bottom w:val="none" w:sz="0" w:space="0" w:color="auto"/>
        <w:right w:val="none" w:sz="0" w:space="0" w:color="auto"/>
      </w:divBdr>
    </w:div>
    <w:div w:id="820344037">
      <w:bodyDiv w:val="1"/>
      <w:marLeft w:val="0"/>
      <w:marRight w:val="0"/>
      <w:marTop w:val="0"/>
      <w:marBottom w:val="0"/>
      <w:divBdr>
        <w:top w:val="none" w:sz="0" w:space="0" w:color="auto"/>
        <w:left w:val="none" w:sz="0" w:space="0" w:color="auto"/>
        <w:bottom w:val="none" w:sz="0" w:space="0" w:color="auto"/>
        <w:right w:val="none" w:sz="0" w:space="0" w:color="auto"/>
      </w:divBdr>
    </w:div>
    <w:div w:id="849687133">
      <w:bodyDiv w:val="1"/>
      <w:marLeft w:val="0"/>
      <w:marRight w:val="0"/>
      <w:marTop w:val="0"/>
      <w:marBottom w:val="0"/>
      <w:divBdr>
        <w:top w:val="none" w:sz="0" w:space="0" w:color="auto"/>
        <w:left w:val="none" w:sz="0" w:space="0" w:color="auto"/>
        <w:bottom w:val="none" w:sz="0" w:space="0" w:color="auto"/>
        <w:right w:val="none" w:sz="0" w:space="0" w:color="auto"/>
      </w:divBdr>
    </w:div>
    <w:div w:id="928925745">
      <w:bodyDiv w:val="1"/>
      <w:marLeft w:val="0"/>
      <w:marRight w:val="0"/>
      <w:marTop w:val="0"/>
      <w:marBottom w:val="0"/>
      <w:divBdr>
        <w:top w:val="none" w:sz="0" w:space="0" w:color="auto"/>
        <w:left w:val="none" w:sz="0" w:space="0" w:color="auto"/>
        <w:bottom w:val="none" w:sz="0" w:space="0" w:color="auto"/>
        <w:right w:val="none" w:sz="0" w:space="0" w:color="auto"/>
      </w:divBdr>
    </w:div>
    <w:div w:id="937640537">
      <w:bodyDiv w:val="1"/>
      <w:marLeft w:val="0"/>
      <w:marRight w:val="0"/>
      <w:marTop w:val="0"/>
      <w:marBottom w:val="0"/>
      <w:divBdr>
        <w:top w:val="none" w:sz="0" w:space="0" w:color="auto"/>
        <w:left w:val="none" w:sz="0" w:space="0" w:color="auto"/>
        <w:bottom w:val="none" w:sz="0" w:space="0" w:color="auto"/>
        <w:right w:val="none" w:sz="0" w:space="0" w:color="auto"/>
      </w:divBdr>
    </w:div>
    <w:div w:id="1087772334">
      <w:bodyDiv w:val="1"/>
      <w:marLeft w:val="0"/>
      <w:marRight w:val="0"/>
      <w:marTop w:val="0"/>
      <w:marBottom w:val="0"/>
      <w:divBdr>
        <w:top w:val="none" w:sz="0" w:space="0" w:color="auto"/>
        <w:left w:val="none" w:sz="0" w:space="0" w:color="auto"/>
        <w:bottom w:val="none" w:sz="0" w:space="0" w:color="auto"/>
        <w:right w:val="none" w:sz="0" w:space="0" w:color="auto"/>
      </w:divBdr>
    </w:div>
    <w:div w:id="1150555817">
      <w:bodyDiv w:val="1"/>
      <w:marLeft w:val="0"/>
      <w:marRight w:val="0"/>
      <w:marTop w:val="0"/>
      <w:marBottom w:val="0"/>
      <w:divBdr>
        <w:top w:val="none" w:sz="0" w:space="0" w:color="auto"/>
        <w:left w:val="none" w:sz="0" w:space="0" w:color="auto"/>
        <w:bottom w:val="none" w:sz="0" w:space="0" w:color="auto"/>
        <w:right w:val="none" w:sz="0" w:space="0" w:color="auto"/>
      </w:divBdr>
    </w:div>
    <w:div w:id="1185971857">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64457586">
      <w:bodyDiv w:val="1"/>
      <w:marLeft w:val="0"/>
      <w:marRight w:val="0"/>
      <w:marTop w:val="0"/>
      <w:marBottom w:val="0"/>
      <w:divBdr>
        <w:top w:val="none" w:sz="0" w:space="0" w:color="auto"/>
        <w:left w:val="none" w:sz="0" w:space="0" w:color="auto"/>
        <w:bottom w:val="none" w:sz="0" w:space="0" w:color="auto"/>
        <w:right w:val="none" w:sz="0" w:space="0" w:color="auto"/>
      </w:divBdr>
    </w:div>
    <w:div w:id="1305354354">
      <w:bodyDiv w:val="1"/>
      <w:marLeft w:val="0"/>
      <w:marRight w:val="0"/>
      <w:marTop w:val="0"/>
      <w:marBottom w:val="0"/>
      <w:divBdr>
        <w:top w:val="none" w:sz="0" w:space="0" w:color="auto"/>
        <w:left w:val="none" w:sz="0" w:space="0" w:color="auto"/>
        <w:bottom w:val="none" w:sz="0" w:space="0" w:color="auto"/>
        <w:right w:val="none" w:sz="0" w:space="0" w:color="auto"/>
      </w:divBdr>
    </w:div>
    <w:div w:id="1329362183">
      <w:bodyDiv w:val="1"/>
      <w:marLeft w:val="0"/>
      <w:marRight w:val="0"/>
      <w:marTop w:val="0"/>
      <w:marBottom w:val="0"/>
      <w:divBdr>
        <w:top w:val="none" w:sz="0" w:space="0" w:color="auto"/>
        <w:left w:val="none" w:sz="0" w:space="0" w:color="auto"/>
        <w:bottom w:val="none" w:sz="0" w:space="0" w:color="auto"/>
        <w:right w:val="none" w:sz="0" w:space="0" w:color="auto"/>
      </w:divBdr>
    </w:div>
    <w:div w:id="1348756887">
      <w:bodyDiv w:val="1"/>
      <w:marLeft w:val="0"/>
      <w:marRight w:val="0"/>
      <w:marTop w:val="0"/>
      <w:marBottom w:val="0"/>
      <w:divBdr>
        <w:top w:val="none" w:sz="0" w:space="0" w:color="auto"/>
        <w:left w:val="none" w:sz="0" w:space="0" w:color="auto"/>
        <w:bottom w:val="none" w:sz="0" w:space="0" w:color="auto"/>
        <w:right w:val="none" w:sz="0" w:space="0" w:color="auto"/>
      </w:divBdr>
    </w:div>
    <w:div w:id="1372147565">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53477984">
      <w:bodyDiv w:val="1"/>
      <w:marLeft w:val="0"/>
      <w:marRight w:val="0"/>
      <w:marTop w:val="0"/>
      <w:marBottom w:val="0"/>
      <w:divBdr>
        <w:top w:val="none" w:sz="0" w:space="0" w:color="auto"/>
        <w:left w:val="none" w:sz="0" w:space="0" w:color="auto"/>
        <w:bottom w:val="none" w:sz="0" w:space="0" w:color="auto"/>
        <w:right w:val="none" w:sz="0" w:space="0" w:color="auto"/>
      </w:divBdr>
    </w:div>
    <w:div w:id="1453665743">
      <w:bodyDiv w:val="1"/>
      <w:marLeft w:val="0"/>
      <w:marRight w:val="0"/>
      <w:marTop w:val="0"/>
      <w:marBottom w:val="0"/>
      <w:divBdr>
        <w:top w:val="none" w:sz="0" w:space="0" w:color="auto"/>
        <w:left w:val="none" w:sz="0" w:space="0" w:color="auto"/>
        <w:bottom w:val="none" w:sz="0" w:space="0" w:color="auto"/>
        <w:right w:val="none" w:sz="0" w:space="0" w:color="auto"/>
      </w:divBdr>
    </w:div>
    <w:div w:id="1467700967">
      <w:bodyDiv w:val="1"/>
      <w:marLeft w:val="0"/>
      <w:marRight w:val="0"/>
      <w:marTop w:val="0"/>
      <w:marBottom w:val="0"/>
      <w:divBdr>
        <w:top w:val="none" w:sz="0" w:space="0" w:color="auto"/>
        <w:left w:val="none" w:sz="0" w:space="0" w:color="auto"/>
        <w:bottom w:val="none" w:sz="0" w:space="0" w:color="auto"/>
        <w:right w:val="none" w:sz="0" w:space="0" w:color="auto"/>
      </w:divBdr>
    </w:div>
    <w:div w:id="1485969670">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94686140">
      <w:bodyDiv w:val="1"/>
      <w:marLeft w:val="0"/>
      <w:marRight w:val="0"/>
      <w:marTop w:val="0"/>
      <w:marBottom w:val="0"/>
      <w:divBdr>
        <w:top w:val="none" w:sz="0" w:space="0" w:color="auto"/>
        <w:left w:val="none" w:sz="0" w:space="0" w:color="auto"/>
        <w:bottom w:val="none" w:sz="0" w:space="0" w:color="auto"/>
        <w:right w:val="none" w:sz="0" w:space="0" w:color="auto"/>
      </w:divBdr>
    </w:div>
    <w:div w:id="1521699564">
      <w:bodyDiv w:val="1"/>
      <w:marLeft w:val="0"/>
      <w:marRight w:val="0"/>
      <w:marTop w:val="0"/>
      <w:marBottom w:val="0"/>
      <w:divBdr>
        <w:top w:val="none" w:sz="0" w:space="0" w:color="auto"/>
        <w:left w:val="none" w:sz="0" w:space="0" w:color="auto"/>
        <w:bottom w:val="none" w:sz="0" w:space="0" w:color="auto"/>
        <w:right w:val="none" w:sz="0" w:space="0" w:color="auto"/>
      </w:divBdr>
    </w:div>
    <w:div w:id="1554778138">
      <w:bodyDiv w:val="1"/>
      <w:marLeft w:val="0"/>
      <w:marRight w:val="0"/>
      <w:marTop w:val="0"/>
      <w:marBottom w:val="0"/>
      <w:divBdr>
        <w:top w:val="none" w:sz="0" w:space="0" w:color="auto"/>
        <w:left w:val="none" w:sz="0" w:space="0" w:color="auto"/>
        <w:bottom w:val="none" w:sz="0" w:space="0" w:color="auto"/>
        <w:right w:val="none" w:sz="0" w:space="0" w:color="auto"/>
      </w:divBdr>
    </w:div>
    <w:div w:id="1562322362">
      <w:bodyDiv w:val="1"/>
      <w:marLeft w:val="0"/>
      <w:marRight w:val="0"/>
      <w:marTop w:val="0"/>
      <w:marBottom w:val="0"/>
      <w:divBdr>
        <w:top w:val="none" w:sz="0" w:space="0" w:color="auto"/>
        <w:left w:val="none" w:sz="0" w:space="0" w:color="auto"/>
        <w:bottom w:val="none" w:sz="0" w:space="0" w:color="auto"/>
        <w:right w:val="none" w:sz="0" w:space="0" w:color="auto"/>
      </w:divBdr>
    </w:div>
    <w:div w:id="1607929412">
      <w:bodyDiv w:val="1"/>
      <w:marLeft w:val="0"/>
      <w:marRight w:val="0"/>
      <w:marTop w:val="0"/>
      <w:marBottom w:val="0"/>
      <w:divBdr>
        <w:top w:val="none" w:sz="0" w:space="0" w:color="auto"/>
        <w:left w:val="none" w:sz="0" w:space="0" w:color="auto"/>
        <w:bottom w:val="none" w:sz="0" w:space="0" w:color="auto"/>
        <w:right w:val="none" w:sz="0" w:space="0" w:color="auto"/>
      </w:divBdr>
    </w:div>
    <w:div w:id="1614285093">
      <w:bodyDiv w:val="1"/>
      <w:marLeft w:val="0"/>
      <w:marRight w:val="0"/>
      <w:marTop w:val="0"/>
      <w:marBottom w:val="0"/>
      <w:divBdr>
        <w:top w:val="none" w:sz="0" w:space="0" w:color="auto"/>
        <w:left w:val="none" w:sz="0" w:space="0" w:color="auto"/>
        <w:bottom w:val="none" w:sz="0" w:space="0" w:color="auto"/>
        <w:right w:val="none" w:sz="0" w:space="0" w:color="auto"/>
      </w:divBdr>
    </w:div>
    <w:div w:id="1649245364">
      <w:bodyDiv w:val="1"/>
      <w:marLeft w:val="0"/>
      <w:marRight w:val="0"/>
      <w:marTop w:val="0"/>
      <w:marBottom w:val="0"/>
      <w:divBdr>
        <w:top w:val="none" w:sz="0" w:space="0" w:color="auto"/>
        <w:left w:val="none" w:sz="0" w:space="0" w:color="auto"/>
        <w:bottom w:val="none" w:sz="0" w:space="0" w:color="auto"/>
        <w:right w:val="none" w:sz="0" w:space="0" w:color="auto"/>
      </w:divBdr>
    </w:div>
    <w:div w:id="1709838590">
      <w:bodyDiv w:val="1"/>
      <w:marLeft w:val="0"/>
      <w:marRight w:val="0"/>
      <w:marTop w:val="0"/>
      <w:marBottom w:val="0"/>
      <w:divBdr>
        <w:top w:val="none" w:sz="0" w:space="0" w:color="auto"/>
        <w:left w:val="none" w:sz="0" w:space="0" w:color="auto"/>
        <w:bottom w:val="none" w:sz="0" w:space="0" w:color="auto"/>
        <w:right w:val="none" w:sz="0" w:space="0" w:color="auto"/>
      </w:divBdr>
    </w:div>
    <w:div w:id="1763260647">
      <w:bodyDiv w:val="1"/>
      <w:marLeft w:val="0"/>
      <w:marRight w:val="0"/>
      <w:marTop w:val="0"/>
      <w:marBottom w:val="0"/>
      <w:divBdr>
        <w:top w:val="none" w:sz="0" w:space="0" w:color="auto"/>
        <w:left w:val="none" w:sz="0" w:space="0" w:color="auto"/>
        <w:bottom w:val="none" w:sz="0" w:space="0" w:color="auto"/>
        <w:right w:val="none" w:sz="0" w:space="0" w:color="auto"/>
      </w:divBdr>
    </w:div>
    <w:div w:id="1876964214">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6839824">
      <w:bodyDiv w:val="1"/>
      <w:marLeft w:val="0"/>
      <w:marRight w:val="0"/>
      <w:marTop w:val="0"/>
      <w:marBottom w:val="0"/>
      <w:divBdr>
        <w:top w:val="none" w:sz="0" w:space="0" w:color="auto"/>
        <w:left w:val="none" w:sz="0" w:space="0" w:color="auto"/>
        <w:bottom w:val="none" w:sz="0" w:space="0" w:color="auto"/>
        <w:right w:val="none" w:sz="0" w:space="0" w:color="auto"/>
      </w:divBdr>
    </w:div>
    <w:div w:id="1953437670">
      <w:bodyDiv w:val="1"/>
      <w:marLeft w:val="0"/>
      <w:marRight w:val="0"/>
      <w:marTop w:val="0"/>
      <w:marBottom w:val="0"/>
      <w:divBdr>
        <w:top w:val="none" w:sz="0" w:space="0" w:color="auto"/>
        <w:left w:val="none" w:sz="0" w:space="0" w:color="auto"/>
        <w:bottom w:val="none" w:sz="0" w:space="0" w:color="auto"/>
        <w:right w:val="none" w:sz="0" w:space="0" w:color="auto"/>
      </w:divBdr>
      <w:divsChild>
        <w:div w:id="873805513">
          <w:marLeft w:val="0"/>
          <w:marRight w:val="0"/>
          <w:marTop w:val="0"/>
          <w:marBottom w:val="0"/>
          <w:divBdr>
            <w:top w:val="none" w:sz="0" w:space="0" w:color="auto"/>
            <w:left w:val="none" w:sz="0" w:space="0" w:color="auto"/>
            <w:bottom w:val="none" w:sz="0" w:space="0" w:color="auto"/>
            <w:right w:val="none" w:sz="0" w:space="0" w:color="auto"/>
          </w:divBdr>
        </w:div>
        <w:div w:id="1213230712">
          <w:marLeft w:val="0"/>
          <w:marRight w:val="0"/>
          <w:marTop w:val="0"/>
          <w:marBottom w:val="0"/>
          <w:divBdr>
            <w:top w:val="none" w:sz="0" w:space="0" w:color="auto"/>
            <w:left w:val="none" w:sz="0" w:space="0" w:color="auto"/>
            <w:bottom w:val="none" w:sz="0" w:space="0" w:color="auto"/>
            <w:right w:val="none" w:sz="0" w:space="0" w:color="auto"/>
          </w:divBdr>
        </w:div>
        <w:div w:id="335960360">
          <w:marLeft w:val="0"/>
          <w:marRight w:val="0"/>
          <w:marTop w:val="0"/>
          <w:marBottom w:val="0"/>
          <w:divBdr>
            <w:top w:val="none" w:sz="0" w:space="0" w:color="auto"/>
            <w:left w:val="none" w:sz="0" w:space="0" w:color="auto"/>
            <w:bottom w:val="none" w:sz="0" w:space="0" w:color="auto"/>
            <w:right w:val="none" w:sz="0" w:space="0" w:color="auto"/>
          </w:divBdr>
        </w:div>
        <w:div w:id="1894808074">
          <w:marLeft w:val="0"/>
          <w:marRight w:val="0"/>
          <w:marTop w:val="0"/>
          <w:marBottom w:val="0"/>
          <w:divBdr>
            <w:top w:val="none" w:sz="0" w:space="0" w:color="auto"/>
            <w:left w:val="none" w:sz="0" w:space="0" w:color="auto"/>
            <w:bottom w:val="none" w:sz="0" w:space="0" w:color="auto"/>
            <w:right w:val="none" w:sz="0" w:space="0" w:color="auto"/>
          </w:divBdr>
        </w:div>
      </w:divsChild>
    </w:div>
    <w:div w:id="1970819806">
      <w:bodyDiv w:val="1"/>
      <w:marLeft w:val="0"/>
      <w:marRight w:val="0"/>
      <w:marTop w:val="0"/>
      <w:marBottom w:val="0"/>
      <w:divBdr>
        <w:top w:val="none" w:sz="0" w:space="0" w:color="auto"/>
        <w:left w:val="none" w:sz="0" w:space="0" w:color="auto"/>
        <w:bottom w:val="none" w:sz="0" w:space="0" w:color="auto"/>
        <w:right w:val="none" w:sz="0" w:space="0" w:color="auto"/>
      </w:divBdr>
    </w:div>
    <w:div w:id="1974289017">
      <w:bodyDiv w:val="1"/>
      <w:marLeft w:val="0"/>
      <w:marRight w:val="0"/>
      <w:marTop w:val="0"/>
      <w:marBottom w:val="0"/>
      <w:divBdr>
        <w:top w:val="none" w:sz="0" w:space="0" w:color="auto"/>
        <w:left w:val="none" w:sz="0" w:space="0" w:color="auto"/>
        <w:bottom w:val="none" w:sz="0" w:space="0" w:color="auto"/>
        <w:right w:val="none" w:sz="0" w:space="0" w:color="auto"/>
      </w:divBdr>
    </w:div>
    <w:div w:id="2038432787">
      <w:bodyDiv w:val="1"/>
      <w:marLeft w:val="0"/>
      <w:marRight w:val="0"/>
      <w:marTop w:val="0"/>
      <w:marBottom w:val="0"/>
      <w:divBdr>
        <w:top w:val="none" w:sz="0" w:space="0" w:color="auto"/>
        <w:left w:val="none" w:sz="0" w:space="0" w:color="auto"/>
        <w:bottom w:val="none" w:sz="0" w:space="0" w:color="auto"/>
        <w:right w:val="none" w:sz="0" w:space="0" w:color="auto"/>
      </w:divBdr>
    </w:div>
    <w:div w:id="2071994726">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32433870">
      <w:bodyDiv w:val="1"/>
      <w:marLeft w:val="0"/>
      <w:marRight w:val="0"/>
      <w:marTop w:val="0"/>
      <w:marBottom w:val="0"/>
      <w:divBdr>
        <w:top w:val="none" w:sz="0" w:space="0" w:color="auto"/>
        <w:left w:val="none" w:sz="0" w:space="0" w:color="auto"/>
        <w:bottom w:val="none" w:sz="0" w:space="0" w:color="auto"/>
        <w:right w:val="none" w:sz="0" w:space="0" w:color="auto"/>
      </w:divBdr>
    </w:div>
    <w:div w:id="214330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mpsv.cz/files/clanky/31151/Instrukce_-9_2017-Standardy_delek_DP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Odbor%2063\NEM_UR\tabulky_moje\Publikace%20bar%20CZ_lide%20a%20spolecnos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97347-2BA4-44BF-8F22-DFE3BB68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0</TotalTime>
  <Pages>8</Pages>
  <Words>2710</Words>
  <Characters>15995</Characters>
  <Application>Microsoft Office Word</Application>
  <DocSecurity>0</DocSecurity>
  <Lines>133</Lines>
  <Paragraphs>37</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18668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Hrivíková</dc:creator>
  <cp:lastModifiedBy>hrivikova2924</cp:lastModifiedBy>
  <cp:revision>2</cp:revision>
  <cp:lastPrinted>2018-11-02T09:15:00Z</cp:lastPrinted>
  <dcterms:created xsi:type="dcterms:W3CDTF">2018-11-14T15:44:00Z</dcterms:created>
  <dcterms:modified xsi:type="dcterms:W3CDTF">2018-11-14T15:44:00Z</dcterms:modified>
</cp:coreProperties>
</file>