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F2" w:rsidRPr="00C43CF9" w:rsidRDefault="00C43CF9" w:rsidP="002D0DAD">
      <w:pPr>
        <w:shd w:val="clear" w:color="auto" w:fill="F5F3F7"/>
        <w:tabs>
          <w:tab w:val="left" w:pos="851"/>
          <w:tab w:val="left" w:pos="1418"/>
          <w:tab w:val="left" w:pos="1701"/>
        </w:tabs>
        <w:spacing w:after="40"/>
        <w:jc w:val="both"/>
        <w:rPr>
          <w:rFonts w:ascii="Arial" w:eastAsia="Calibri" w:hAnsi="Arial" w:cs="Arial"/>
          <w:b/>
          <w:color w:val="940094"/>
          <w:sz w:val="20"/>
          <w:szCs w:val="20"/>
          <w:lang w:val="en-GB"/>
        </w:rPr>
      </w:pPr>
      <w:r w:rsidRPr="00C43CF9">
        <w:rPr>
          <w:rFonts w:ascii="Arial" w:eastAsia="Calibri" w:hAnsi="Arial" w:cs="Arial"/>
          <w:b/>
          <w:color w:val="940094"/>
          <w:sz w:val="20"/>
          <w:szCs w:val="20"/>
          <w:lang w:val="en-GB"/>
        </w:rPr>
        <w:t>The development of Czech external trade</w:t>
      </w:r>
    </w:p>
    <w:p w:rsidR="00C923E9" w:rsidRPr="00C43CF9" w:rsidRDefault="00C43CF9" w:rsidP="002D0DAD">
      <w:pPr>
        <w:shd w:val="clear" w:color="auto" w:fill="F5F3F7"/>
        <w:tabs>
          <w:tab w:val="left" w:pos="851"/>
          <w:tab w:val="left" w:pos="1418"/>
          <w:tab w:val="left" w:pos="1701"/>
        </w:tabs>
        <w:jc w:val="both"/>
        <w:rPr>
          <w:rFonts w:ascii="Arial" w:eastAsia="Calibri" w:hAnsi="Arial" w:cs="Arial"/>
          <w:b/>
          <w:color w:val="940094"/>
          <w:sz w:val="20"/>
          <w:szCs w:val="20"/>
          <w:lang w:val="en-GB"/>
        </w:rPr>
      </w:pPr>
      <w:r w:rsidRPr="00C43CF9">
        <w:rPr>
          <w:rFonts w:ascii="Arial" w:eastAsia="Calibri" w:hAnsi="Arial" w:cs="Arial"/>
          <w:b/>
          <w:color w:val="940094"/>
          <w:sz w:val="20"/>
          <w:szCs w:val="20"/>
          <w:lang w:val="en-GB"/>
        </w:rPr>
        <w:t>since its joining the European Union till 2013</w:t>
      </w:r>
    </w:p>
    <w:p w:rsidR="00C43CF9" w:rsidRPr="00C43CF9" w:rsidRDefault="00C43CF9" w:rsidP="00F273D7">
      <w:pPr>
        <w:spacing w:after="120"/>
        <w:jc w:val="both"/>
        <w:rPr>
          <w:rFonts w:ascii="Arial" w:hAnsi="Arial" w:cs="Arial"/>
          <w:sz w:val="18"/>
          <w:szCs w:val="18"/>
          <w:lang w:val="en-GB"/>
        </w:rPr>
      </w:pPr>
      <w:r w:rsidRPr="00C43CF9">
        <w:rPr>
          <w:rFonts w:ascii="Arial" w:hAnsi="Arial" w:cs="Arial"/>
          <w:sz w:val="18"/>
          <w:szCs w:val="18"/>
          <w:lang w:val="en-GB"/>
        </w:rPr>
        <w:t>The presented data set provides Czech external trade data and information about it</w:t>
      </w:r>
      <w:r>
        <w:rPr>
          <w:rFonts w:ascii="Arial" w:hAnsi="Arial" w:cs="Arial"/>
          <w:sz w:val="18"/>
          <w:szCs w:val="18"/>
          <w:lang w:val="en-GB"/>
        </w:rPr>
        <w:t>s development since joining the </w:t>
      </w:r>
      <w:r w:rsidRPr="00C43CF9">
        <w:rPr>
          <w:rFonts w:ascii="Arial" w:hAnsi="Arial" w:cs="Arial"/>
          <w:sz w:val="18"/>
          <w:szCs w:val="18"/>
          <w:lang w:val="en-GB"/>
        </w:rPr>
        <w:t xml:space="preserve">European Union in 2004. Presented figures describe external trade of the Czech Republic </w:t>
      </w:r>
      <w:r w:rsidR="00B71044">
        <w:rPr>
          <w:rFonts w:ascii="Arial" w:hAnsi="Arial" w:cs="Arial"/>
          <w:sz w:val="18"/>
          <w:szCs w:val="18"/>
          <w:lang w:val="en-GB"/>
        </w:rPr>
        <w:t xml:space="preserve">according to the movement </w:t>
      </w:r>
      <w:r w:rsidRPr="00C43CF9">
        <w:rPr>
          <w:rFonts w:ascii="Arial" w:hAnsi="Arial" w:cs="Arial"/>
          <w:sz w:val="18"/>
          <w:szCs w:val="18"/>
          <w:lang w:val="en-GB"/>
        </w:rPr>
        <w:t xml:space="preserve">from numerous viewpoints. According to their topic, they are divided into several parts: </w:t>
      </w:r>
    </w:p>
    <w:p w:rsidR="00BB1EB9" w:rsidRPr="00737CAC" w:rsidRDefault="00C43CF9" w:rsidP="0061614D">
      <w:pPr>
        <w:pStyle w:val="Nadpis1"/>
        <w:numPr>
          <w:ilvl w:val="0"/>
          <w:numId w:val="4"/>
        </w:numPr>
        <w:spacing w:before="0" w:after="80" w:line="240" w:lineRule="auto"/>
        <w:ind w:left="993" w:hanging="426"/>
        <w:jc w:val="both"/>
        <w:rPr>
          <w:rFonts w:ascii="Arial" w:eastAsiaTheme="minorHAnsi" w:hAnsi="Arial" w:cs="Arial"/>
          <w:b w:val="0"/>
          <w:bCs w:val="0"/>
          <w:sz w:val="18"/>
          <w:szCs w:val="18"/>
          <w:lang w:val="en-GB"/>
        </w:rPr>
      </w:pPr>
      <w:r w:rsidRPr="00737CAC">
        <w:rPr>
          <w:rFonts w:ascii="Arial" w:hAnsi="Arial" w:cs="Arial"/>
          <w:b w:val="0"/>
          <w:sz w:val="18"/>
          <w:szCs w:val="18"/>
          <w:lang w:val="en-GB"/>
        </w:rPr>
        <w:t>main indicators of external trade</w:t>
      </w:r>
      <w:r w:rsidR="00BB1EB9" w:rsidRPr="00737CAC">
        <w:rPr>
          <w:rFonts w:ascii="Arial" w:eastAsiaTheme="minorHAnsi" w:hAnsi="Arial" w:cs="Arial"/>
          <w:b w:val="0"/>
          <w:bCs w:val="0"/>
          <w:sz w:val="18"/>
          <w:szCs w:val="18"/>
          <w:lang w:val="en-GB"/>
        </w:rPr>
        <w:t>,</w:t>
      </w:r>
    </w:p>
    <w:p w:rsidR="00BB1EB9" w:rsidRPr="00737CAC" w:rsidRDefault="00737CAC" w:rsidP="0061614D">
      <w:pPr>
        <w:pStyle w:val="Nadpis1"/>
        <w:numPr>
          <w:ilvl w:val="0"/>
          <w:numId w:val="4"/>
        </w:numPr>
        <w:spacing w:before="0" w:after="80" w:line="240" w:lineRule="auto"/>
        <w:ind w:left="993" w:hanging="426"/>
        <w:jc w:val="both"/>
        <w:rPr>
          <w:rFonts w:ascii="Arial" w:eastAsiaTheme="minorHAnsi" w:hAnsi="Arial" w:cs="Arial"/>
          <w:b w:val="0"/>
          <w:bCs w:val="0"/>
          <w:sz w:val="18"/>
          <w:szCs w:val="18"/>
          <w:lang w:val="en-GB"/>
        </w:rPr>
      </w:pPr>
      <w:r w:rsidRPr="00737CAC">
        <w:rPr>
          <w:rFonts w:ascii="Arial" w:hAnsi="Arial" w:cs="Arial"/>
          <w:b w:val="0"/>
          <w:sz w:val="18"/>
          <w:szCs w:val="18"/>
          <w:lang w:val="en-GB"/>
        </w:rPr>
        <w:t>external trade in individual time periods</w:t>
      </w:r>
      <w:r w:rsidR="00BB1EB9" w:rsidRPr="00737CAC">
        <w:rPr>
          <w:rFonts w:ascii="Arial" w:eastAsiaTheme="minorHAnsi" w:hAnsi="Arial" w:cs="Arial"/>
          <w:b w:val="0"/>
          <w:bCs w:val="0"/>
          <w:sz w:val="18"/>
          <w:szCs w:val="18"/>
          <w:lang w:val="en-GB"/>
        </w:rPr>
        <w:t>,</w:t>
      </w:r>
    </w:p>
    <w:p w:rsidR="00BB1EB9" w:rsidRPr="00737CAC" w:rsidRDefault="00737CAC" w:rsidP="0061614D">
      <w:pPr>
        <w:pStyle w:val="Nadpis1"/>
        <w:numPr>
          <w:ilvl w:val="0"/>
          <w:numId w:val="4"/>
        </w:numPr>
        <w:spacing w:before="0" w:after="80" w:line="240" w:lineRule="auto"/>
        <w:ind w:left="993" w:hanging="426"/>
        <w:jc w:val="both"/>
        <w:rPr>
          <w:rFonts w:ascii="Arial" w:eastAsiaTheme="minorHAnsi" w:hAnsi="Arial" w:cs="Arial"/>
          <w:b w:val="0"/>
          <w:bCs w:val="0"/>
          <w:sz w:val="18"/>
          <w:szCs w:val="18"/>
          <w:lang w:val="en-GB"/>
        </w:rPr>
      </w:pPr>
      <w:r w:rsidRPr="00737CAC">
        <w:rPr>
          <w:rFonts w:ascii="Arial" w:hAnsi="Arial" w:cs="Arial"/>
          <w:b w:val="0"/>
          <w:sz w:val="18"/>
          <w:szCs w:val="18"/>
          <w:lang w:val="en-GB"/>
        </w:rPr>
        <w:t>territorial structure of external trade</w:t>
      </w:r>
      <w:r w:rsidR="007049DA" w:rsidRPr="00737CAC">
        <w:rPr>
          <w:rFonts w:ascii="Arial" w:eastAsiaTheme="minorHAnsi" w:hAnsi="Arial" w:cs="Arial"/>
          <w:b w:val="0"/>
          <w:bCs w:val="0"/>
          <w:sz w:val="18"/>
          <w:szCs w:val="18"/>
          <w:lang w:val="en-GB"/>
        </w:rPr>
        <w:t xml:space="preserve">, </w:t>
      </w:r>
    </w:p>
    <w:p w:rsidR="00BB1EB9" w:rsidRPr="00737CAC" w:rsidRDefault="00737CAC" w:rsidP="0061614D">
      <w:pPr>
        <w:pStyle w:val="Nadpis1"/>
        <w:numPr>
          <w:ilvl w:val="0"/>
          <w:numId w:val="4"/>
        </w:numPr>
        <w:spacing w:before="0" w:after="80" w:line="240" w:lineRule="auto"/>
        <w:ind w:left="993" w:hanging="426"/>
        <w:jc w:val="both"/>
        <w:rPr>
          <w:rFonts w:ascii="Arial" w:eastAsiaTheme="minorHAnsi" w:hAnsi="Arial" w:cs="Arial"/>
          <w:b w:val="0"/>
          <w:bCs w:val="0"/>
          <w:sz w:val="18"/>
          <w:szCs w:val="18"/>
          <w:lang w:val="en-GB"/>
        </w:rPr>
      </w:pPr>
      <w:r w:rsidRPr="00737CAC">
        <w:rPr>
          <w:rFonts w:ascii="Arial" w:hAnsi="Arial" w:cs="Arial"/>
          <w:b w:val="0"/>
          <w:sz w:val="18"/>
          <w:szCs w:val="18"/>
          <w:lang w:val="en-GB"/>
        </w:rPr>
        <w:t>main external trade partners</w:t>
      </w:r>
      <w:r w:rsidR="007049DA" w:rsidRPr="00737CAC">
        <w:rPr>
          <w:rFonts w:ascii="Arial" w:eastAsiaTheme="minorHAnsi" w:hAnsi="Arial" w:cs="Arial"/>
          <w:b w:val="0"/>
          <w:bCs w:val="0"/>
          <w:sz w:val="18"/>
          <w:szCs w:val="18"/>
          <w:lang w:val="en-GB"/>
        </w:rPr>
        <w:t>,</w:t>
      </w:r>
    </w:p>
    <w:p w:rsidR="00BB1EB9" w:rsidRPr="00C43CF9" w:rsidRDefault="00737CAC" w:rsidP="0061614D">
      <w:pPr>
        <w:pStyle w:val="Nadpis1"/>
        <w:numPr>
          <w:ilvl w:val="0"/>
          <w:numId w:val="4"/>
        </w:numPr>
        <w:spacing w:before="0" w:after="120" w:line="240" w:lineRule="auto"/>
        <w:ind w:left="993" w:hanging="426"/>
        <w:jc w:val="both"/>
        <w:rPr>
          <w:rFonts w:ascii="Arial" w:eastAsiaTheme="minorHAnsi" w:hAnsi="Arial" w:cs="Arial"/>
          <w:b w:val="0"/>
          <w:bCs w:val="0"/>
          <w:sz w:val="18"/>
          <w:szCs w:val="18"/>
          <w:lang w:val="en-GB"/>
        </w:rPr>
      </w:pPr>
      <w:r w:rsidRPr="00737CAC">
        <w:rPr>
          <w:rFonts w:ascii="Arial" w:hAnsi="Arial" w:cs="Arial"/>
          <w:b w:val="0"/>
          <w:sz w:val="18"/>
          <w:szCs w:val="18"/>
          <w:lang w:val="en-GB"/>
        </w:rPr>
        <w:t>commodity structure of external trade</w:t>
      </w:r>
      <w:r w:rsidR="007049DA" w:rsidRPr="00C43CF9">
        <w:rPr>
          <w:rFonts w:ascii="Arial" w:eastAsiaTheme="minorHAnsi" w:hAnsi="Arial" w:cs="Arial"/>
          <w:b w:val="0"/>
          <w:bCs w:val="0"/>
          <w:sz w:val="18"/>
          <w:szCs w:val="18"/>
          <w:lang w:val="en-GB"/>
        </w:rPr>
        <w:t>.</w:t>
      </w:r>
    </w:p>
    <w:p w:rsidR="00030D32" w:rsidRPr="00C43CF9" w:rsidRDefault="00C43CF9" w:rsidP="00BB1EB9">
      <w:pPr>
        <w:pStyle w:val="Nadpis1"/>
        <w:spacing w:before="0" w:after="120"/>
        <w:jc w:val="both"/>
        <w:rPr>
          <w:rFonts w:ascii="Arial" w:eastAsiaTheme="minorHAnsi" w:hAnsi="Arial" w:cs="Arial"/>
          <w:b w:val="0"/>
          <w:bCs w:val="0"/>
          <w:sz w:val="18"/>
          <w:szCs w:val="18"/>
          <w:lang w:val="en-GB"/>
        </w:rPr>
      </w:pPr>
      <w:r w:rsidRPr="00C43CF9">
        <w:rPr>
          <w:rFonts w:ascii="Arial" w:hAnsi="Arial" w:cs="Arial"/>
          <w:b w:val="0"/>
          <w:sz w:val="18"/>
          <w:szCs w:val="18"/>
          <w:lang w:val="en-GB"/>
        </w:rPr>
        <w:t xml:space="preserve">The data introduced in following figures are </w:t>
      </w:r>
      <w:r w:rsidR="00F273D7">
        <w:rPr>
          <w:rFonts w:ascii="Arial" w:hAnsi="Arial" w:cs="Arial"/>
          <w:b w:val="0"/>
          <w:sz w:val="18"/>
          <w:szCs w:val="18"/>
          <w:lang w:val="en-GB"/>
        </w:rPr>
        <w:t>final</w:t>
      </w:r>
      <w:r w:rsidRPr="00C43CF9">
        <w:rPr>
          <w:rFonts w:ascii="Arial" w:hAnsi="Arial" w:cs="Arial"/>
          <w:b w:val="0"/>
          <w:sz w:val="18"/>
          <w:szCs w:val="18"/>
          <w:lang w:val="en-GB"/>
        </w:rPr>
        <w:t>, all of time intervals in the data set are closed and thus statistical data will not change any more.</w:t>
      </w:r>
    </w:p>
    <w:p w:rsidR="00B918EA" w:rsidRPr="00C43CF9" w:rsidRDefault="00737CAC" w:rsidP="0061614D">
      <w:pPr>
        <w:pStyle w:val="Nadpis1"/>
        <w:numPr>
          <w:ilvl w:val="0"/>
          <w:numId w:val="1"/>
        </w:numPr>
        <w:spacing w:before="240" w:after="120"/>
        <w:ind w:left="567" w:hanging="567"/>
        <w:rPr>
          <w:rFonts w:ascii="Arial" w:eastAsia="Calibri" w:hAnsi="Arial" w:cs="Arial"/>
          <w:bCs w:val="0"/>
          <w:color w:val="940094"/>
          <w:sz w:val="19"/>
          <w:szCs w:val="19"/>
          <w:lang w:val="en-GB"/>
        </w:rPr>
      </w:pPr>
      <w:r w:rsidRPr="00737CAC">
        <w:rPr>
          <w:rFonts w:ascii="Arial" w:eastAsia="Calibri" w:hAnsi="Arial" w:cs="Arial"/>
          <w:bCs w:val="0"/>
          <w:color w:val="940094"/>
          <w:sz w:val="19"/>
          <w:szCs w:val="19"/>
          <w:lang w:val="en-GB"/>
        </w:rPr>
        <w:t>Main indicators of external trade</w:t>
      </w:r>
    </w:p>
    <w:p w:rsidR="00DF1547" w:rsidRPr="00C43CF9" w:rsidRDefault="00DF1547" w:rsidP="008D494F">
      <w:pPr>
        <w:shd w:val="clear" w:color="auto" w:fill="E5E0EC"/>
        <w:jc w:val="center"/>
        <w:rPr>
          <w:rFonts w:ascii="Arial" w:eastAsia="Calibri" w:hAnsi="Arial" w:cs="Arial"/>
          <w:b/>
          <w:color w:val="940094"/>
          <w:sz w:val="18"/>
          <w:szCs w:val="18"/>
          <w:lang w:val="en-GB"/>
        </w:rPr>
      </w:pPr>
      <w:r w:rsidRPr="00C43CF9">
        <w:rPr>
          <w:rFonts w:ascii="Arial" w:eastAsia="Calibri" w:hAnsi="Arial" w:cs="Arial"/>
          <w:b/>
          <w:color w:val="940094"/>
          <w:sz w:val="18"/>
          <w:szCs w:val="18"/>
          <w:lang w:val="en-GB"/>
        </w:rPr>
        <w:t>1993 - 2013</w:t>
      </w:r>
    </w:p>
    <w:p w:rsidR="0086029F" w:rsidRPr="00C43CF9" w:rsidRDefault="00F273D7" w:rsidP="0086029F">
      <w:pPr>
        <w:spacing w:after="120"/>
        <w:jc w:val="both"/>
        <w:rPr>
          <w:rFonts w:ascii="Arial" w:hAnsi="Arial" w:cs="Arial"/>
          <w:sz w:val="18"/>
          <w:szCs w:val="18"/>
          <w:lang w:val="en-GB"/>
        </w:rPr>
      </w:pPr>
      <w:r w:rsidRPr="00F273D7">
        <w:rPr>
          <w:rFonts w:ascii="Arial" w:hAnsi="Arial" w:cs="Arial"/>
          <w:sz w:val="18"/>
          <w:szCs w:val="18"/>
          <w:lang w:val="en-GB"/>
        </w:rPr>
        <w:t xml:space="preserve">The development of external trade between 1993 and 2013 shows the table 1.1. Significant breakpoint is visible forthwith after </w:t>
      </w:r>
      <w:r w:rsidR="007C255F">
        <w:rPr>
          <w:rFonts w:ascii="Arial" w:hAnsi="Arial" w:cs="Arial"/>
          <w:sz w:val="18"/>
          <w:szCs w:val="18"/>
          <w:lang w:val="en-GB"/>
        </w:rPr>
        <w:t xml:space="preserve">the </w:t>
      </w:r>
      <w:r w:rsidRPr="00F273D7">
        <w:rPr>
          <w:rFonts w:ascii="Arial" w:hAnsi="Arial" w:cs="Arial"/>
          <w:sz w:val="18"/>
          <w:szCs w:val="18"/>
          <w:lang w:val="en-GB"/>
        </w:rPr>
        <w:t xml:space="preserve">Czech </w:t>
      </w:r>
      <w:r w:rsidR="007C255F">
        <w:rPr>
          <w:rFonts w:ascii="Arial" w:hAnsi="Arial" w:cs="Arial"/>
          <w:sz w:val="18"/>
          <w:szCs w:val="18"/>
          <w:lang w:val="en-GB"/>
        </w:rPr>
        <w:t xml:space="preserve">Republic </w:t>
      </w:r>
      <w:r w:rsidRPr="00F273D7">
        <w:rPr>
          <w:rFonts w:ascii="Arial" w:hAnsi="Arial" w:cs="Arial"/>
          <w:sz w:val="18"/>
          <w:szCs w:val="18"/>
          <w:lang w:val="en-GB"/>
        </w:rPr>
        <w:t xml:space="preserve">joining the European Union, in 2005, when exports began exceeding </w:t>
      </w:r>
      <w:r w:rsidR="007C255F">
        <w:rPr>
          <w:rFonts w:ascii="Arial" w:hAnsi="Arial" w:cs="Arial"/>
          <w:sz w:val="18"/>
          <w:szCs w:val="18"/>
          <w:lang w:val="en-GB"/>
        </w:rPr>
        <w:t>imports and thereby the </w:t>
      </w:r>
      <w:r w:rsidRPr="00F273D7">
        <w:rPr>
          <w:rFonts w:ascii="Arial" w:hAnsi="Arial" w:cs="Arial"/>
          <w:sz w:val="18"/>
          <w:szCs w:val="18"/>
          <w:lang w:val="en-GB"/>
        </w:rPr>
        <w:t>trade balance has reached its first surplus (CZK 38.6 bn) since the creation of independent Czech Republic. In 2013 achieved the trade balance CZK 351.2 bn.</w:t>
      </w:r>
    </w:p>
    <w:p w:rsidR="00493053" w:rsidRPr="00C43CF9" w:rsidRDefault="00F273D7" w:rsidP="00C553D4">
      <w:pPr>
        <w:jc w:val="both"/>
        <w:rPr>
          <w:rFonts w:ascii="Arial" w:hAnsi="Arial" w:cs="Arial"/>
          <w:sz w:val="18"/>
          <w:szCs w:val="18"/>
          <w:lang w:val="en-GB"/>
        </w:rPr>
      </w:pPr>
      <w:r w:rsidRPr="00F273D7">
        <w:rPr>
          <w:rFonts w:ascii="Arial" w:hAnsi="Arial" w:cs="Arial"/>
          <w:sz w:val="18"/>
          <w:szCs w:val="18"/>
          <w:lang w:val="en-GB"/>
        </w:rPr>
        <w:t>In discussed years the external trade turnover was increasing with the exception of crisi</w:t>
      </w:r>
      <w:r>
        <w:rPr>
          <w:rFonts w:ascii="Arial" w:hAnsi="Arial" w:cs="Arial"/>
          <w:sz w:val="18"/>
          <w:szCs w:val="18"/>
          <w:lang w:val="en-GB"/>
        </w:rPr>
        <w:t>s year 2009. In comparison with </w:t>
      </w:r>
      <w:r w:rsidRPr="00F273D7">
        <w:rPr>
          <w:rFonts w:ascii="Arial" w:hAnsi="Arial" w:cs="Arial"/>
          <w:sz w:val="18"/>
          <w:szCs w:val="18"/>
          <w:lang w:val="en-GB"/>
        </w:rPr>
        <w:t>1993 turnover increased its value in 2013 sevenfold and reached CZK 5 998.2 bn.</w:t>
      </w:r>
    </w:p>
    <w:p w:rsidR="008D494F" w:rsidRPr="00C43CF9" w:rsidRDefault="008D494F" w:rsidP="008D494F">
      <w:pPr>
        <w:shd w:val="clear" w:color="auto" w:fill="E5E0EC"/>
        <w:jc w:val="center"/>
        <w:rPr>
          <w:rFonts w:ascii="Arial" w:eastAsia="Calibri" w:hAnsi="Arial" w:cs="Arial"/>
          <w:b/>
          <w:color w:val="940094"/>
          <w:sz w:val="18"/>
          <w:szCs w:val="18"/>
          <w:lang w:val="en-GB"/>
        </w:rPr>
      </w:pPr>
      <w:r w:rsidRPr="00C43CF9">
        <w:rPr>
          <w:rFonts w:ascii="Arial" w:eastAsia="Calibri" w:hAnsi="Arial" w:cs="Arial"/>
          <w:b/>
          <w:color w:val="940094"/>
          <w:sz w:val="18"/>
          <w:szCs w:val="18"/>
          <w:lang w:val="en-GB"/>
        </w:rPr>
        <w:t>2004 - 2013</w:t>
      </w:r>
    </w:p>
    <w:p w:rsidR="0061614D" w:rsidRPr="00C43CF9" w:rsidRDefault="00F273D7" w:rsidP="00345F1E">
      <w:pPr>
        <w:jc w:val="both"/>
        <w:rPr>
          <w:rFonts w:ascii="Arial" w:hAnsi="Arial" w:cs="Arial"/>
          <w:sz w:val="18"/>
          <w:szCs w:val="18"/>
          <w:lang w:val="en-GB"/>
        </w:rPr>
      </w:pPr>
      <w:r w:rsidRPr="00F273D7">
        <w:rPr>
          <w:rFonts w:ascii="Arial" w:hAnsi="Arial" w:cs="Arial"/>
          <w:sz w:val="18"/>
          <w:szCs w:val="18"/>
          <w:lang w:val="en-GB"/>
        </w:rPr>
        <w:t>It was ten years in May 2014 since the Czech Republic joined the European Union. During these years the Czech Republic on account of free trade area within European Union has maintained significant share of trade with other European countries and further managed to reach long term surplus of external trade balance. Traditionally, neighbouring countries, all European Union members, as well, are for the Czech Republic and its trade very important.</w:t>
      </w:r>
    </w:p>
    <w:p w:rsidR="000F1141" w:rsidRPr="00C43CF9" w:rsidRDefault="000F1141" w:rsidP="00345F1E">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1</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9656E8">
        <w:rPr>
          <w:rFonts w:ascii="Arial" w:hAnsi="Arial" w:cs="Arial"/>
          <w:color w:val="940094"/>
          <w:sz w:val="18"/>
          <w:szCs w:val="18"/>
          <w:lang w:val="en-GB"/>
        </w:rPr>
        <w:t>External trade</w:t>
      </w:r>
      <w:r w:rsidRPr="00C43CF9">
        <w:rPr>
          <w:rFonts w:ascii="Arial" w:hAnsi="Arial" w:cs="Arial"/>
          <w:color w:val="940094"/>
          <w:sz w:val="18"/>
          <w:szCs w:val="18"/>
          <w:lang w:val="en-GB"/>
        </w:rPr>
        <w:t>, 2004 - 2013</w:t>
      </w:r>
    </w:p>
    <w:p w:rsidR="001142E8" w:rsidRPr="00C43CF9" w:rsidRDefault="009F54DD" w:rsidP="00CE2BD1">
      <w:pPr>
        <w:spacing w:after="120"/>
        <w:jc w:val="both"/>
        <w:rPr>
          <w:rFonts w:ascii="Arial" w:hAnsi="Arial" w:cs="Arial"/>
          <w:sz w:val="8"/>
          <w:szCs w:val="8"/>
          <w:lang w:val="en-GB"/>
        </w:rPr>
      </w:pPr>
      <w:r w:rsidRPr="009F54DD">
        <w:rPr>
          <w:rFonts w:ascii="Arial" w:hAnsi="Arial" w:cs="Arial"/>
          <w:sz w:val="18"/>
          <w:szCs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35pt;height:164.4pt">
            <v:imagedata r:id="rId8" o:title=""/>
          </v:shape>
        </w:pict>
      </w:r>
    </w:p>
    <w:p w:rsidR="00F273D7" w:rsidRPr="00F273D7" w:rsidRDefault="00F273D7" w:rsidP="00B95873">
      <w:pPr>
        <w:spacing w:before="120" w:after="0"/>
        <w:jc w:val="both"/>
        <w:rPr>
          <w:rFonts w:ascii="Arial" w:hAnsi="Arial" w:cs="Arial"/>
          <w:sz w:val="18"/>
          <w:szCs w:val="18"/>
          <w:lang w:val="en-GB"/>
        </w:rPr>
      </w:pPr>
      <w:r w:rsidRPr="00F273D7">
        <w:rPr>
          <w:rFonts w:ascii="Arial" w:hAnsi="Arial" w:cs="Arial"/>
          <w:sz w:val="18"/>
          <w:szCs w:val="18"/>
          <w:lang w:val="en-GB"/>
        </w:rPr>
        <w:t xml:space="preserve">Introductory tables 2.1, 2.2 and 2.3 present Czech external trade with EU member states as well as with countries outside </w:t>
      </w:r>
      <w:r w:rsidR="00861831">
        <w:rPr>
          <w:rFonts w:ascii="Arial" w:hAnsi="Arial" w:cs="Arial"/>
          <w:sz w:val="18"/>
          <w:szCs w:val="18"/>
          <w:lang w:val="en-GB"/>
        </w:rPr>
        <w:t xml:space="preserve">the </w:t>
      </w:r>
      <w:r w:rsidRPr="00F273D7">
        <w:rPr>
          <w:rFonts w:ascii="Arial" w:hAnsi="Arial" w:cs="Arial"/>
          <w:sz w:val="18"/>
          <w:szCs w:val="18"/>
          <w:lang w:val="en-GB"/>
        </w:rPr>
        <w:t xml:space="preserve">European Union in CZK, EUR and USD respectively. Since the Czech </w:t>
      </w:r>
      <w:r w:rsidR="00861831">
        <w:rPr>
          <w:rFonts w:ascii="Arial" w:hAnsi="Arial" w:cs="Arial"/>
          <w:sz w:val="18"/>
          <w:szCs w:val="18"/>
          <w:lang w:val="en-GB"/>
        </w:rPr>
        <w:t xml:space="preserve">Republic </w:t>
      </w:r>
      <w:r w:rsidRPr="00F273D7">
        <w:rPr>
          <w:rFonts w:ascii="Arial" w:hAnsi="Arial" w:cs="Arial"/>
          <w:sz w:val="18"/>
          <w:szCs w:val="18"/>
          <w:lang w:val="en-GB"/>
        </w:rPr>
        <w:t xml:space="preserve">joining the EU there have </w:t>
      </w:r>
      <w:r>
        <w:rPr>
          <w:rFonts w:ascii="Arial" w:hAnsi="Arial" w:cs="Arial"/>
          <w:sz w:val="18"/>
          <w:szCs w:val="18"/>
          <w:lang w:val="en-GB"/>
        </w:rPr>
        <w:t>occurred the </w:t>
      </w:r>
      <w:r w:rsidRPr="00F273D7">
        <w:rPr>
          <w:rFonts w:ascii="Arial" w:hAnsi="Arial" w:cs="Arial"/>
          <w:sz w:val="18"/>
          <w:szCs w:val="18"/>
          <w:lang w:val="en-GB"/>
        </w:rPr>
        <w:t>percentage decrease of share of both export and import to the EU in Czec</w:t>
      </w:r>
      <w:r w:rsidR="00861831">
        <w:rPr>
          <w:rFonts w:ascii="Arial" w:hAnsi="Arial" w:cs="Arial"/>
          <w:sz w:val="18"/>
          <w:szCs w:val="18"/>
          <w:lang w:val="en-GB"/>
        </w:rPr>
        <w:t>h external trade statistics and </w:t>
      </w:r>
      <w:r w:rsidRPr="00F273D7">
        <w:rPr>
          <w:rFonts w:ascii="Arial" w:hAnsi="Arial" w:cs="Arial"/>
          <w:sz w:val="18"/>
          <w:szCs w:val="18"/>
          <w:lang w:val="en-GB"/>
        </w:rPr>
        <w:t>thereby similarly decrease of external trade turnover with other EU member states. Whereas the external trade turnover with EU member states amounted to 80.0 % of overall Czech external trade turn</w:t>
      </w:r>
      <w:r w:rsidR="00861831">
        <w:rPr>
          <w:rFonts w:ascii="Arial" w:hAnsi="Arial" w:cs="Arial"/>
          <w:sz w:val="18"/>
          <w:szCs w:val="18"/>
          <w:lang w:val="en-GB"/>
        </w:rPr>
        <w:t>over, in 2013 it was 73.6 %. In </w:t>
      </w:r>
      <w:r w:rsidRPr="00F273D7">
        <w:rPr>
          <w:rFonts w:ascii="Arial" w:hAnsi="Arial" w:cs="Arial"/>
          <w:sz w:val="18"/>
          <w:szCs w:val="18"/>
          <w:lang w:val="en-GB"/>
        </w:rPr>
        <w:t>the ten years run the share has decreased by more than 6 p. p. Adequately to aforementioned decrease t</w:t>
      </w:r>
      <w:r>
        <w:rPr>
          <w:rFonts w:ascii="Arial" w:hAnsi="Arial" w:cs="Arial"/>
          <w:sz w:val="18"/>
          <w:szCs w:val="18"/>
          <w:lang w:val="en-GB"/>
        </w:rPr>
        <w:t>here is visible the increase in </w:t>
      </w:r>
      <w:r w:rsidRPr="00F273D7">
        <w:rPr>
          <w:rFonts w:ascii="Arial" w:hAnsi="Arial" w:cs="Arial"/>
          <w:sz w:val="18"/>
          <w:szCs w:val="18"/>
          <w:lang w:val="en-GB"/>
        </w:rPr>
        <w:t>overall trade with countries outside European Union, where particularly China, Russia and United States rank among the most important trade partners</w:t>
      </w:r>
      <w:r w:rsidR="00861831">
        <w:rPr>
          <w:rFonts w:ascii="Arial" w:hAnsi="Arial" w:cs="Arial"/>
          <w:sz w:val="18"/>
          <w:szCs w:val="18"/>
          <w:lang w:val="en-GB"/>
        </w:rPr>
        <w:t xml:space="preserve"> of the Czech Republic</w:t>
      </w:r>
      <w:r w:rsidRPr="00F273D7">
        <w:rPr>
          <w:rFonts w:ascii="Arial" w:hAnsi="Arial" w:cs="Arial"/>
          <w:sz w:val="18"/>
          <w:szCs w:val="18"/>
          <w:lang w:val="en-GB"/>
        </w:rPr>
        <w:t xml:space="preserve">. Especially trade with China has dynamically increased </w:t>
      </w:r>
      <w:r>
        <w:rPr>
          <w:rFonts w:ascii="Arial" w:hAnsi="Arial" w:cs="Arial"/>
          <w:sz w:val="18"/>
          <w:szCs w:val="18"/>
          <w:lang w:val="en-GB"/>
        </w:rPr>
        <w:t>during the followed 10 </w:t>
      </w:r>
      <w:r w:rsidRPr="00F273D7">
        <w:rPr>
          <w:rFonts w:ascii="Arial" w:hAnsi="Arial" w:cs="Arial"/>
          <w:sz w:val="18"/>
          <w:szCs w:val="18"/>
          <w:lang w:val="en-GB"/>
        </w:rPr>
        <w:t>years</w:t>
      </w:r>
      <w:r>
        <w:rPr>
          <w:rFonts w:ascii="Arial" w:hAnsi="Arial" w:cs="Arial"/>
          <w:sz w:val="18"/>
          <w:szCs w:val="18"/>
          <w:lang w:val="en-GB"/>
        </w:rPr>
        <w:t>.</w:t>
      </w:r>
    </w:p>
    <w:p w:rsidR="00456A8B" w:rsidRPr="00C43CF9" w:rsidRDefault="00A83F48" w:rsidP="00A83F48">
      <w:pPr>
        <w:spacing w:after="120"/>
        <w:jc w:val="both"/>
        <w:rPr>
          <w:rFonts w:ascii="Arial" w:hAnsi="Arial" w:cs="Arial"/>
          <w:sz w:val="18"/>
          <w:szCs w:val="18"/>
          <w:lang w:val="en-GB"/>
        </w:rPr>
      </w:pPr>
      <w:r w:rsidRPr="00A83F48">
        <w:rPr>
          <w:rFonts w:ascii="Arial" w:hAnsi="Arial" w:cs="Arial"/>
          <w:sz w:val="18"/>
          <w:szCs w:val="18"/>
          <w:lang w:val="en-GB"/>
        </w:rPr>
        <w:lastRenderedPageBreak/>
        <w:t>The Czech external trade balance with non-EU countries is typical for its deficit of ext</w:t>
      </w:r>
      <w:r>
        <w:rPr>
          <w:rFonts w:ascii="Arial" w:hAnsi="Arial" w:cs="Arial"/>
          <w:sz w:val="18"/>
          <w:szCs w:val="18"/>
          <w:lang w:val="en-GB"/>
        </w:rPr>
        <w:t>ernal trade balance, unlike the </w:t>
      </w:r>
      <w:r w:rsidRPr="00A83F48">
        <w:rPr>
          <w:rFonts w:ascii="Arial" w:hAnsi="Arial" w:cs="Arial"/>
          <w:sz w:val="18"/>
          <w:szCs w:val="18"/>
          <w:lang w:val="en-GB"/>
        </w:rPr>
        <w:t>balance with EU member states. Imports from these countries (the Czech Republi</w:t>
      </w:r>
      <w:r>
        <w:rPr>
          <w:rFonts w:ascii="Arial" w:hAnsi="Arial" w:cs="Arial"/>
          <w:sz w:val="18"/>
          <w:szCs w:val="18"/>
          <w:lang w:val="en-GB"/>
        </w:rPr>
        <w:t>c imported in 2013 the goods in </w:t>
      </w:r>
      <w:r w:rsidRPr="00A83F48">
        <w:rPr>
          <w:rFonts w:ascii="Arial" w:hAnsi="Arial" w:cs="Arial"/>
          <w:sz w:val="18"/>
          <w:szCs w:val="18"/>
          <w:lang w:val="en-GB"/>
        </w:rPr>
        <w:t>value of CZK 968.4 bn) thus outweigh exports (the Czech Republic exported in 2013 the goods in value of CZK</w:t>
      </w:r>
      <w:r>
        <w:rPr>
          <w:rFonts w:ascii="Arial" w:hAnsi="Arial" w:cs="Arial"/>
          <w:sz w:val="18"/>
          <w:szCs w:val="18"/>
          <w:lang w:val="en-GB"/>
        </w:rPr>
        <w:t> 599.3 </w:t>
      </w:r>
      <w:r w:rsidRPr="00A83F48">
        <w:rPr>
          <w:rFonts w:ascii="Arial" w:hAnsi="Arial" w:cs="Arial"/>
          <w:sz w:val="18"/>
          <w:szCs w:val="18"/>
          <w:lang w:val="en-GB"/>
        </w:rPr>
        <w:t>bn).</w:t>
      </w:r>
      <w:r w:rsidR="00456A8B" w:rsidRPr="00C43CF9">
        <w:rPr>
          <w:rFonts w:ascii="Arial" w:hAnsi="Arial" w:cs="Arial"/>
          <w:sz w:val="18"/>
          <w:szCs w:val="18"/>
          <w:lang w:val="en-GB"/>
        </w:rPr>
        <w:t xml:space="preserve"> </w:t>
      </w:r>
    </w:p>
    <w:p w:rsidR="000F1141" w:rsidRPr="00C43CF9" w:rsidRDefault="000F1141" w:rsidP="00345F1E">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2</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E246A9">
        <w:rPr>
          <w:rFonts w:ascii="Arial" w:hAnsi="Arial" w:cs="Arial"/>
          <w:color w:val="940094"/>
          <w:sz w:val="18"/>
          <w:szCs w:val="18"/>
          <w:lang w:val="en-GB"/>
        </w:rPr>
        <w:t xml:space="preserve">Trade balance </w:t>
      </w:r>
      <w:r w:rsidR="00C82B4C">
        <w:rPr>
          <w:rFonts w:ascii="Arial" w:hAnsi="Arial" w:cs="Arial"/>
          <w:color w:val="940094"/>
          <w:sz w:val="18"/>
          <w:szCs w:val="18"/>
          <w:lang w:val="en-GB"/>
        </w:rPr>
        <w:t>-</w:t>
      </w:r>
      <w:r w:rsidR="00E246A9">
        <w:rPr>
          <w:rFonts w:ascii="Arial" w:hAnsi="Arial" w:cs="Arial"/>
          <w:color w:val="940094"/>
          <w:sz w:val="18"/>
          <w:szCs w:val="18"/>
          <w:lang w:val="en-GB"/>
        </w:rPr>
        <w:t xml:space="preserve"> total, with the EU member states and with non-EU countries</w:t>
      </w:r>
      <w:r w:rsidRPr="00C43CF9">
        <w:rPr>
          <w:rFonts w:ascii="Arial" w:hAnsi="Arial" w:cs="Arial"/>
          <w:color w:val="940094"/>
          <w:sz w:val="18"/>
          <w:szCs w:val="18"/>
          <w:lang w:val="en-GB"/>
        </w:rPr>
        <w:t>, 2004 - 2013</w:t>
      </w:r>
    </w:p>
    <w:p w:rsidR="000F1141" w:rsidRPr="00C43CF9" w:rsidRDefault="004C6982" w:rsidP="000F1141">
      <w:pPr>
        <w:tabs>
          <w:tab w:val="left" w:pos="851"/>
          <w:tab w:val="left" w:pos="1418"/>
          <w:tab w:val="left" w:pos="1701"/>
        </w:tabs>
        <w:spacing w:after="0"/>
        <w:jc w:val="both"/>
        <w:rPr>
          <w:color w:val="940094"/>
          <w:lang w:val="en-GB"/>
        </w:rPr>
      </w:pPr>
      <w:r w:rsidRPr="009F54DD">
        <w:rPr>
          <w:color w:val="940094"/>
          <w:lang w:val="en-GB"/>
        </w:rPr>
        <w:pict>
          <v:shape id="_x0000_i1026" type="#_x0000_t75" style="width:482.25pt;height:148.75pt">
            <v:imagedata r:id="rId9" o:title=""/>
          </v:shape>
        </w:pict>
      </w:r>
    </w:p>
    <w:p w:rsidR="00B918EA" w:rsidRPr="00C43CF9" w:rsidRDefault="00A83F48" w:rsidP="00FF1D07">
      <w:pPr>
        <w:pStyle w:val="Nadpis2"/>
        <w:numPr>
          <w:ilvl w:val="0"/>
          <w:numId w:val="1"/>
        </w:numPr>
        <w:spacing w:before="240" w:after="120"/>
        <w:ind w:left="567" w:hanging="567"/>
        <w:rPr>
          <w:rFonts w:ascii="Arial" w:eastAsia="Calibri" w:hAnsi="Arial" w:cs="Arial"/>
          <w:bCs w:val="0"/>
          <w:color w:val="940094"/>
          <w:sz w:val="19"/>
          <w:szCs w:val="19"/>
          <w:lang w:val="en-GB"/>
        </w:rPr>
      </w:pPr>
      <w:r w:rsidRPr="00A83F48">
        <w:rPr>
          <w:rFonts w:ascii="Arial" w:eastAsia="Calibri" w:hAnsi="Arial" w:cs="Arial"/>
          <w:bCs w:val="0"/>
          <w:color w:val="940094"/>
          <w:sz w:val="19"/>
          <w:szCs w:val="19"/>
          <w:lang w:val="en-GB"/>
        </w:rPr>
        <w:t>External trade in individual time periods</w:t>
      </w:r>
    </w:p>
    <w:p w:rsidR="00CB5411" w:rsidRPr="00C43CF9" w:rsidRDefault="00A83F48" w:rsidP="00A83F48">
      <w:pPr>
        <w:spacing w:after="120"/>
        <w:rPr>
          <w:rFonts w:ascii="Arial" w:hAnsi="Arial" w:cs="Arial"/>
          <w:sz w:val="18"/>
          <w:szCs w:val="18"/>
          <w:lang w:val="en-GB"/>
        </w:rPr>
      </w:pPr>
      <w:r w:rsidRPr="00A83F48">
        <w:rPr>
          <w:rFonts w:ascii="Arial" w:hAnsi="Arial" w:cs="Arial"/>
          <w:sz w:val="18"/>
          <w:szCs w:val="18"/>
          <w:lang w:val="en-GB"/>
        </w:rPr>
        <w:t>The data set contains tables which include:</w:t>
      </w:r>
    </w:p>
    <w:p w:rsidR="0086029F" w:rsidRPr="00C43CF9" w:rsidRDefault="00A747FD" w:rsidP="00A368C9">
      <w:pPr>
        <w:pStyle w:val="Nadpis1"/>
        <w:numPr>
          <w:ilvl w:val="0"/>
          <w:numId w:val="4"/>
        </w:numPr>
        <w:spacing w:before="0" w:after="40" w:line="240" w:lineRule="auto"/>
        <w:ind w:left="993" w:hanging="426"/>
        <w:jc w:val="both"/>
        <w:rPr>
          <w:rFonts w:ascii="Arial" w:eastAsiaTheme="minorHAnsi" w:hAnsi="Arial" w:cs="Arial"/>
          <w:b w:val="0"/>
          <w:bCs w:val="0"/>
          <w:sz w:val="18"/>
          <w:szCs w:val="18"/>
          <w:lang w:val="en-GB"/>
        </w:rPr>
      </w:pPr>
      <w:r w:rsidRPr="00C43CF9">
        <w:rPr>
          <w:rFonts w:ascii="Arial" w:eastAsiaTheme="minorHAnsi" w:hAnsi="Arial" w:cs="Arial"/>
          <w:b w:val="0"/>
          <w:bCs w:val="0"/>
          <w:sz w:val="18"/>
          <w:szCs w:val="18"/>
          <w:lang w:val="en-GB"/>
        </w:rPr>
        <w:t>m</w:t>
      </w:r>
      <w:r w:rsidR="00A83F48">
        <w:rPr>
          <w:rFonts w:ascii="Arial" w:eastAsiaTheme="minorHAnsi" w:hAnsi="Arial" w:cs="Arial"/>
          <w:b w:val="0"/>
          <w:bCs w:val="0"/>
          <w:sz w:val="18"/>
          <w:szCs w:val="18"/>
          <w:lang w:val="en-GB"/>
        </w:rPr>
        <w:t>onthly</w:t>
      </w:r>
      <w:r w:rsidR="0086029F" w:rsidRPr="00C43CF9">
        <w:rPr>
          <w:rFonts w:ascii="Arial" w:eastAsiaTheme="minorHAnsi" w:hAnsi="Arial" w:cs="Arial"/>
          <w:b w:val="0"/>
          <w:bCs w:val="0"/>
          <w:sz w:val="18"/>
          <w:szCs w:val="18"/>
          <w:lang w:val="en-GB"/>
        </w:rPr>
        <w:t>,</w:t>
      </w:r>
    </w:p>
    <w:p w:rsidR="0086029F" w:rsidRPr="00C43CF9" w:rsidRDefault="00A83F48" w:rsidP="00A368C9">
      <w:pPr>
        <w:pStyle w:val="Nadpis1"/>
        <w:numPr>
          <w:ilvl w:val="0"/>
          <w:numId w:val="4"/>
        </w:numPr>
        <w:spacing w:before="0" w:after="40" w:line="240" w:lineRule="auto"/>
        <w:ind w:left="993" w:hanging="426"/>
        <w:jc w:val="both"/>
        <w:rPr>
          <w:rFonts w:ascii="Arial" w:eastAsiaTheme="minorHAnsi" w:hAnsi="Arial" w:cs="Arial"/>
          <w:b w:val="0"/>
          <w:bCs w:val="0"/>
          <w:sz w:val="18"/>
          <w:szCs w:val="18"/>
          <w:lang w:val="en-GB"/>
        </w:rPr>
      </w:pPr>
      <w:r>
        <w:rPr>
          <w:rFonts w:ascii="Arial" w:eastAsiaTheme="minorHAnsi" w:hAnsi="Arial" w:cs="Arial"/>
          <w:b w:val="0"/>
          <w:bCs w:val="0"/>
          <w:sz w:val="18"/>
          <w:szCs w:val="18"/>
          <w:lang w:val="en-GB"/>
        </w:rPr>
        <w:t>quarterly</w:t>
      </w:r>
      <w:r w:rsidR="0086029F" w:rsidRPr="00C43CF9">
        <w:rPr>
          <w:rFonts w:ascii="Arial" w:eastAsiaTheme="minorHAnsi" w:hAnsi="Arial" w:cs="Arial"/>
          <w:b w:val="0"/>
          <w:bCs w:val="0"/>
          <w:sz w:val="18"/>
          <w:szCs w:val="18"/>
          <w:lang w:val="en-GB"/>
        </w:rPr>
        <w:t>,</w:t>
      </w:r>
    </w:p>
    <w:p w:rsidR="0086029F" w:rsidRPr="00C43CF9" w:rsidRDefault="00A83F48" w:rsidP="00CB5411">
      <w:pPr>
        <w:pStyle w:val="Nadpis1"/>
        <w:numPr>
          <w:ilvl w:val="0"/>
          <w:numId w:val="4"/>
        </w:numPr>
        <w:spacing w:before="0" w:after="200" w:line="240" w:lineRule="auto"/>
        <w:ind w:left="993" w:hanging="426"/>
        <w:jc w:val="both"/>
        <w:rPr>
          <w:rFonts w:ascii="Arial" w:eastAsiaTheme="minorHAnsi" w:hAnsi="Arial" w:cs="Arial"/>
          <w:b w:val="0"/>
          <w:bCs w:val="0"/>
          <w:sz w:val="18"/>
          <w:szCs w:val="18"/>
          <w:lang w:val="en-GB"/>
        </w:rPr>
      </w:pPr>
      <w:r>
        <w:rPr>
          <w:rFonts w:ascii="Arial" w:eastAsiaTheme="minorHAnsi" w:hAnsi="Arial" w:cs="Arial"/>
          <w:b w:val="0"/>
          <w:bCs w:val="0"/>
          <w:sz w:val="18"/>
          <w:szCs w:val="18"/>
          <w:lang w:val="en-GB"/>
        </w:rPr>
        <w:t>semi-annual data</w:t>
      </w:r>
      <w:r w:rsidR="00A747FD" w:rsidRPr="00C43CF9">
        <w:rPr>
          <w:rFonts w:ascii="Arial" w:eastAsiaTheme="minorHAnsi" w:hAnsi="Arial" w:cs="Arial"/>
          <w:b w:val="0"/>
          <w:bCs w:val="0"/>
          <w:sz w:val="18"/>
          <w:szCs w:val="18"/>
          <w:lang w:val="en-GB"/>
        </w:rPr>
        <w:t>.</w:t>
      </w:r>
    </w:p>
    <w:p w:rsidR="00B918EA" w:rsidRPr="00C43CF9" w:rsidRDefault="00A83F48" w:rsidP="00A83F48">
      <w:pPr>
        <w:spacing w:after="120"/>
        <w:jc w:val="both"/>
        <w:rPr>
          <w:rFonts w:ascii="Arial" w:hAnsi="Arial" w:cs="Arial"/>
          <w:sz w:val="18"/>
          <w:szCs w:val="18"/>
          <w:lang w:val="en-GB"/>
        </w:rPr>
      </w:pPr>
      <w:r w:rsidRPr="00A83F48">
        <w:rPr>
          <w:rFonts w:ascii="Arial" w:hAnsi="Arial" w:cs="Arial"/>
          <w:sz w:val="18"/>
          <w:szCs w:val="18"/>
          <w:lang w:val="en-GB"/>
        </w:rPr>
        <w:t>The table 3.1 in CZK, EUR a USD shows the development of external trade in individual semi-annuals of discussed years. With the exception of years 2008 and 2012 when export and import reached higher values in the first half year, stronger second half of the year generally predominate in exports, imports and external trade turnover. In the first half year of 2012 exported goods reached  value of CZK 1 556.8 CZK bn while in second half it was CZK 1 515.8 bn</w:t>
      </w:r>
      <w:r w:rsidR="0041085B" w:rsidRPr="00C43CF9">
        <w:rPr>
          <w:rFonts w:ascii="Arial" w:hAnsi="Arial" w:cs="Arial"/>
          <w:sz w:val="18"/>
          <w:szCs w:val="18"/>
          <w:lang w:val="en-GB"/>
        </w:rPr>
        <w:t xml:space="preserve">. </w:t>
      </w:r>
    </w:p>
    <w:p w:rsidR="008828BF" w:rsidRPr="00C43CF9" w:rsidRDefault="008828BF" w:rsidP="008828BF">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3</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A83F48">
        <w:rPr>
          <w:rFonts w:ascii="Arial" w:hAnsi="Arial" w:cs="Arial"/>
          <w:color w:val="940094"/>
          <w:sz w:val="18"/>
          <w:szCs w:val="18"/>
          <w:lang w:val="en-GB"/>
        </w:rPr>
        <w:t>Trade balance</w:t>
      </w:r>
      <w:r w:rsidR="00FD7BB5">
        <w:rPr>
          <w:rFonts w:ascii="Arial" w:hAnsi="Arial" w:cs="Arial"/>
          <w:color w:val="940094"/>
          <w:sz w:val="18"/>
          <w:szCs w:val="18"/>
          <w:lang w:val="en-GB"/>
        </w:rPr>
        <w:t xml:space="preserve"> in respective half-year</w:t>
      </w:r>
      <w:r w:rsidR="000017CF">
        <w:rPr>
          <w:rFonts w:ascii="Arial" w:hAnsi="Arial" w:cs="Arial"/>
          <w:color w:val="940094"/>
          <w:sz w:val="18"/>
          <w:szCs w:val="18"/>
          <w:lang w:val="en-GB"/>
        </w:rPr>
        <w:t>s</w:t>
      </w:r>
      <w:r w:rsidRPr="00C43CF9">
        <w:rPr>
          <w:rFonts w:ascii="Arial" w:hAnsi="Arial" w:cs="Arial"/>
          <w:color w:val="940094"/>
          <w:sz w:val="18"/>
          <w:szCs w:val="18"/>
          <w:lang w:val="en-GB"/>
        </w:rPr>
        <w:t>, 2004 - 2013</w:t>
      </w:r>
    </w:p>
    <w:p w:rsidR="00FF1D07" w:rsidRPr="00C43CF9" w:rsidRDefault="004C6982" w:rsidP="00FF1D07">
      <w:pPr>
        <w:spacing w:after="0"/>
        <w:jc w:val="both"/>
        <w:rPr>
          <w:rFonts w:ascii="Arial" w:hAnsi="Arial" w:cs="Arial"/>
          <w:sz w:val="18"/>
          <w:szCs w:val="18"/>
          <w:lang w:val="en-GB"/>
        </w:rPr>
      </w:pPr>
      <w:r w:rsidRPr="009F54DD">
        <w:rPr>
          <w:rFonts w:ascii="Arial" w:hAnsi="Arial" w:cs="Arial"/>
          <w:sz w:val="18"/>
          <w:szCs w:val="18"/>
          <w:lang w:val="en-GB"/>
        </w:rPr>
        <w:pict>
          <v:shape id="_x0000_i1027" type="#_x0000_t75" style="width:487.7pt;height:141.3pt">
            <v:imagedata r:id="rId10" o:title=""/>
          </v:shape>
        </w:pict>
      </w:r>
    </w:p>
    <w:p w:rsidR="00FF1D07" w:rsidRPr="00C43CF9" w:rsidRDefault="00A83F48" w:rsidP="008F6442">
      <w:pPr>
        <w:spacing w:before="120" w:after="120"/>
        <w:jc w:val="both"/>
        <w:rPr>
          <w:rFonts w:ascii="Arial" w:hAnsi="Arial" w:cs="Arial"/>
          <w:sz w:val="18"/>
          <w:szCs w:val="18"/>
          <w:lang w:val="en-GB"/>
        </w:rPr>
      </w:pPr>
      <w:r w:rsidRPr="00A83F48">
        <w:rPr>
          <w:rFonts w:ascii="Arial" w:hAnsi="Arial" w:cs="Arial"/>
          <w:sz w:val="18"/>
          <w:szCs w:val="18"/>
          <w:lang w:val="en-GB"/>
        </w:rPr>
        <w:t xml:space="preserve">The table 3.2 shows the development of main indicators of external trade in 2004 </w:t>
      </w:r>
      <w:r>
        <w:rPr>
          <w:rFonts w:ascii="Arial" w:hAnsi="Arial" w:cs="Arial"/>
          <w:sz w:val="18"/>
          <w:szCs w:val="18"/>
          <w:lang w:val="en-GB"/>
        </w:rPr>
        <w:t>– 2013 in individual months and </w:t>
      </w:r>
      <w:r w:rsidRPr="00A83F48">
        <w:rPr>
          <w:rFonts w:ascii="Arial" w:hAnsi="Arial" w:cs="Arial"/>
          <w:sz w:val="18"/>
          <w:szCs w:val="18"/>
          <w:lang w:val="en-GB"/>
        </w:rPr>
        <w:t>consequently in quarters. Generally, pre-Christmas months September, October and November months are</w:t>
      </w:r>
      <w:r>
        <w:rPr>
          <w:rFonts w:ascii="Arial" w:hAnsi="Arial" w:cs="Arial"/>
          <w:sz w:val="18"/>
          <w:szCs w:val="18"/>
          <w:lang w:val="en-GB"/>
        </w:rPr>
        <w:t xml:space="preserve"> the </w:t>
      </w:r>
      <w:r w:rsidRPr="00A83F48">
        <w:rPr>
          <w:rFonts w:ascii="Arial" w:hAnsi="Arial" w:cs="Arial"/>
          <w:sz w:val="18"/>
          <w:szCs w:val="18"/>
          <w:lang w:val="en-GB"/>
        </w:rPr>
        <w:t>strongest ones. Conversely, the begging of the year when there is weakening of trade after Christmas as well as summer holiday´s months (July and August) when there are many corporations which have their beforehand planned holidays  are weaker times of a year</w:t>
      </w:r>
      <w:r w:rsidR="00FF1D07" w:rsidRPr="00C43CF9">
        <w:rPr>
          <w:rFonts w:ascii="Arial" w:hAnsi="Arial" w:cs="Arial"/>
          <w:sz w:val="18"/>
          <w:szCs w:val="18"/>
          <w:lang w:val="en-GB"/>
        </w:rPr>
        <w:t xml:space="preserve">. </w:t>
      </w:r>
    </w:p>
    <w:p w:rsidR="00B918EA" w:rsidRPr="00C43CF9" w:rsidRDefault="00A83F48" w:rsidP="00A83F48">
      <w:pPr>
        <w:spacing w:after="120"/>
        <w:jc w:val="both"/>
        <w:rPr>
          <w:rFonts w:ascii="Arial" w:hAnsi="Arial" w:cs="Arial"/>
          <w:sz w:val="18"/>
          <w:szCs w:val="18"/>
          <w:lang w:val="en-GB"/>
        </w:rPr>
      </w:pPr>
      <w:r w:rsidRPr="00A83F48">
        <w:rPr>
          <w:rFonts w:ascii="Arial" w:hAnsi="Arial" w:cs="Arial"/>
          <w:sz w:val="18"/>
          <w:szCs w:val="18"/>
          <w:lang w:val="en-GB"/>
        </w:rPr>
        <w:t>Seasonality affects also the external trade balance, the undermost balance occurs usually in December, in particular years (2004 – 2008) deficit of trade balance in December in statistics occurred. In November 2013 the balance reached CZK 36.0 bn while in December has the balance achieved surplus only in value of CZK 9.2 bn. Generally the balance surplus trend (in recent years there is only surplus in Czech trade balance) differs in last q</w:t>
      </w:r>
      <w:r w:rsidR="007C255F">
        <w:rPr>
          <w:rFonts w:ascii="Arial" w:hAnsi="Arial" w:cs="Arial"/>
          <w:sz w:val="18"/>
          <w:szCs w:val="18"/>
          <w:lang w:val="en-GB"/>
        </w:rPr>
        <w:t>uarters in individual years. In </w:t>
      </w:r>
      <w:r w:rsidRPr="00A83F48">
        <w:rPr>
          <w:rFonts w:ascii="Arial" w:hAnsi="Arial" w:cs="Arial"/>
          <w:sz w:val="18"/>
          <w:szCs w:val="18"/>
          <w:lang w:val="en-GB"/>
        </w:rPr>
        <w:t>2009 the balance reached both in 1st and 4th quarter approximately the same value CZK 34.0 bn, already in 2010 were both figures significantly different when balance in 1st quarter reached  CZK 49.5 bn whereas in l</w:t>
      </w:r>
      <w:r w:rsidR="00374F7E">
        <w:rPr>
          <w:rFonts w:ascii="Arial" w:hAnsi="Arial" w:cs="Arial"/>
          <w:sz w:val="18"/>
          <w:szCs w:val="18"/>
          <w:lang w:val="en-GB"/>
        </w:rPr>
        <w:t>ast quarter of the </w:t>
      </w:r>
      <w:r w:rsidRPr="00A83F48">
        <w:rPr>
          <w:rFonts w:ascii="Arial" w:hAnsi="Arial" w:cs="Arial"/>
          <w:sz w:val="18"/>
          <w:szCs w:val="18"/>
          <w:lang w:val="en-GB"/>
        </w:rPr>
        <w:t>year 23.6 CZK bn. On the contrary, in 2011 the balance recorded the highest surpl</w:t>
      </w:r>
      <w:r w:rsidR="007C255F">
        <w:rPr>
          <w:rFonts w:ascii="Arial" w:hAnsi="Arial" w:cs="Arial"/>
          <w:sz w:val="18"/>
          <w:szCs w:val="18"/>
          <w:lang w:val="en-GB"/>
        </w:rPr>
        <w:t>us of the year, CZK 57.</w:t>
      </w:r>
      <w:r w:rsidR="001E093F">
        <w:rPr>
          <w:rFonts w:ascii="Arial" w:hAnsi="Arial" w:cs="Arial"/>
          <w:sz w:val="18"/>
          <w:szCs w:val="18"/>
          <w:lang w:val="en-GB"/>
        </w:rPr>
        <w:t>7</w:t>
      </w:r>
      <w:r w:rsidR="007C255F">
        <w:rPr>
          <w:rFonts w:ascii="Arial" w:hAnsi="Arial" w:cs="Arial"/>
          <w:sz w:val="18"/>
          <w:szCs w:val="18"/>
          <w:lang w:val="en-GB"/>
        </w:rPr>
        <w:t xml:space="preserve"> bn. In </w:t>
      </w:r>
      <w:r w:rsidRPr="00A83F48">
        <w:rPr>
          <w:rFonts w:ascii="Arial" w:hAnsi="Arial" w:cs="Arial"/>
          <w:sz w:val="18"/>
          <w:szCs w:val="18"/>
          <w:lang w:val="en-GB"/>
        </w:rPr>
        <w:t>following years the aforementioned indicator attained approximately by CZK 20 bn low</w:t>
      </w:r>
      <w:r w:rsidR="007C255F">
        <w:rPr>
          <w:rFonts w:ascii="Arial" w:hAnsi="Arial" w:cs="Arial"/>
          <w:sz w:val="18"/>
          <w:szCs w:val="18"/>
          <w:lang w:val="en-GB"/>
        </w:rPr>
        <w:t>er value in the 4th than in the </w:t>
      </w:r>
      <w:r w:rsidRPr="00A83F48">
        <w:rPr>
          <w:rFonts w:ascii="Arial" w:hAnsi="Arial" w:cs="Arial"/>
          <w:sz w:val="18"/>
          <w:szCs w:val="18"/>
          <w:lang w:val="en-GB"/>
        </w:rPr>
        <w:t>1st quarter of the year</w:t>
      </w:r>
      <w:r w:rsidR="00CB5411" w:rsidRPr="00C43CF9">
        <w:rPr>
          <w:rFonts w:ascii="Arial" w:hAnsi="Arial" w:cs="Arial"/>
          <w:sz w:val="18"/>
          <w:szCs w:val="18"/>
          <w:lang w:val="en-GB"/>
        </w:rPr>
        <w:t>.</w:t>
      </w:r>
    </w:p>
    <w:p w:rsidR="00CB5411" w:rsidRPr="00C43CF9" w:rsidRDefault="006B49AF" w:rsidP="00CB5411">
      <w:pPr>
        <w:pStyle w:val="Nadpis1"/>
        <w:numPr>
          <w:ilvl w:val="0"/>
          <w:numId w:val="1"/>
        </w:numPr>
        <w:spacing w:before="0" w:after="120"/>
        <w:ind w:left="567" w:hanging="567"/>
        <w:rPr>
          <w:rFonts w:ascii="Arial" w:eastAsia="Calibri" w:hAnsi="Arial" w:cs="Arial"/>
          <w:bCs w:val="0"/>
          <w:color w:val="940094"/>
          <w:sz w:val="19"/>
          <w:szCs w:val="19"/>
          <w:lang w:val="en-GB"/>
        </w:rPr>
      </w:pPr>
      <w:r>
        <w:rPr>
          <w:rFonts w:ascii="Arial" w:eastAsia="Calibri" w:hAnsi="Arial" w:cs="Arial"/>
          <w:bCs w:val="0"/>
          <w:color w:val="940094"/>
          <w:sz w:val="19"/>
          <w:szCs w:val="19"/>
          <w:lang w:val="en-GB"/>
        </w:rPr>
        <w:lastRenderedPageBreak/>
        <w:t>Territorial structure</w:t>
      </w:r>
      <w:r w:rsidR="002816C3">
        <w:rPr>
          <w:rFonts w:ascii="Arial" w:eastAsia="Calibri" w:hAnsi="Arial" w:cs="Arial"/>
          <w:bCs w:val="0"/>
          <w:color w:val="940094"/>
          <w:sz w:val="19"/>
          <w:szCs w:val="19"/>
          <w:lang w:val="en-GB"/>
        </w:rPr>
        <w:t xml:space="preserve"> of external trade</w:t>
      </w:r>
      <w:r>
        <w:rPr>
          <w:rFonts w:ascii="Arial" w:eastAsia="Calibri" w:hAnsi="Arial" w:cs="Arial"/>
          <w:bCs w:val="0"/>
          <w:color w:val="940094"/>
          <w:sz w:val="19"/>
          <w:szCs w:val="19"/>
          <w:lang w:val="en-GB"/>
        </w:rPr>
        <w:t xml:space="preserve"> </w:t>
      </w:r>
    </w:p>
    <w:p w:rsidR="00C3100B" w:rsidRPr="00C43CF9" w:rsidRDefault="002816C3" w:rsidP="00C31CA9">
      <w:pPr>
        <w:pStyle w:val="Odstavecseseznamem"/>
        <w:numPr>
          <w:ilvl w:val="1"/>
          <w:numId w:val="1"/>
        </w:numPr>
        <w:spacing w:after="120"/>
        <w:ind w:left="567" w:hanging="567"/>
        <w:rPr>
          <w:rFonts w:ascii="Arial" w:eastAsia="Calibri" w:hAnsi="Arial" w:cs="Arial"/>
          <w:b/>
          <w:color w:val="940094"/>
          <w:sz w:val="18"/>
          <w:szCs w:val="18"/>
          <w:lang w:val="en-GB"/>
        </w:rPr>
      </w:pPr>
      <w:r w:rsidRPr="002816C3">
        <w:rPr>
          <w:rFonts w:ascii="Arial" w:eastAsia="Calibri" w:hAnsi="Arial" w:cs="Arial"/>
          <w:b/>
          <w:color w:val="940094"/>
          <w:sz w:val="18"/>
          <w:szCs w:val="18"/>
          <w:lang w:val="en-GB"/>
        </w:rPr>
        <w:t>Trade with European Union member states</w:t>
      </w:r>
    </w:p>
    <w:p w:rsidR="0093516B" w:rsidRPr="00C43CF9" w:rsidRDefault="002816C3" w:rsidP="0093516B">
      <w:pPr>
        <w:spacing w:after="120"/>
        <w:jc w:val="both"/>
        <w:rPr>
          <w:rFonts w:ascii="Arial" w:hAnsi="Arial" w:cs="Arial"/>
          <w:sz w:val="18"/>
          <w:szCs w:val="18"/>
          <w:lang w:val="en-GB"/>
        </w:rPr>
      </w:pPr>
      <w:r w:rsidRPr="002816C3">
        <w:rPr>
          <w:rFonts w:ascii="Arial" w:hAnsi="Arial" w:cs="Arial"/>
          <w:sz w:val="18"/>
          <w:szCs w:val="18"/>
          <w:lang w:val="en-GB"/>
        </w:rPr>
        <w:t>External trade of the Czech Republic by groups of countries depending upon their joining the European Union is shown in the table 3.3; indicators there are displayed in CZK bn and by index. The aforementioned fact, that the share of trade with EU on total Czech trade is decreasing, is further affirmed in this table</w:t>
      </w:r>
      <w:r w:rsidR="00043A11" w:rsidRPr="00C43CF9">
        <w:rPr>
          <w:rFonts w:ascii="Arial" w:hAnsi="Arial" w:cs="Arial"/>
          <w:sz w:val="18"/>
          <w:szCs w:val="18"/>
          <w:lang w:val="en-GB"/>
        </w:rPr>
        <w:t xml:space="preserve">. </w:t>
      </w:r>
    </w:p>
    <w:p w:rsidR="0093516B" w:rsidRPr="00C43CF9" w:rsidRDefault="002816C3" w:rsidP="007C1FA4">
      <w:pPr>
        <w:spacing w:after="120"/>
        <w:jc w:val="both"/>
        <w:rPr>
          <w:rFonts w:ascii="Arial" w:hAnsi="Arial" w:cs="Arial"/>
          <w:sz w:val="18"/>
          <w:szCs w:val="18"/>
          <w:lang w:val="en-GB"/>
        </w:rPr>
      </w:pPr>
      <w:r w:rsidRPr="002816C3">
        <w:rPr>
          <w:rFonts w:ascii="Arial" w:hAnsi="Arial" w:cs="Arial"/>
          <w:sz w:val="18"/>
          <w:szCs w:val="18"/>
          <w:lang w:val="en-GB"/>
        </w:rPr>
        <w:t>Imports in 2013 were formed by EU 15 countries by 47.5%. Since 2005 (the first wh</w:t>
      </w:r>
      <w:r>
        <w:rPr>
          <w:rFonts w:ascii="Arial" w:hAnsi="Arial" w:cs="Arial"/>
          <w:sz w:val="18"/>
          <w:szCs w:val="18"/>
          <w:lang w:val="en-GB"/>
        </w:rPr>
        <w:t xml:space="preserve">ole year of </w:t>
      </w:r>
      <w:r w:rsidR="00A4601F">
        <w:rPr>
          <w:rFonts w:ascii="Arial" w:hAnsi="Arial" w:cs="Arial"/>
          <w:sz w:val="18"/>
          <w:szCs w:val="18"/>
          <w:lang w:val="en-GB"/>
        </w:rPr>
        <w:t xml:space="preserve">the </w:t>
      </w:r>
      <w:r>
        <w:rPr>
          <w:rFonts w:ascii="Arial" w:hAnsi="Arial" w:cs="Arial"/>
          <w:sz w:val="18"/>
          <w:szCs w:val="18"/>
          <w:lang w:val="en-GB"/>
        </w:rPr>
        <w:t xml:space="preserve">Czech </w:t>
      </w:r>
      <w:r w:rsidR="00A4601F">
        <w:rPr>
          <w:rFonts w:ascii="Arial" w:hAnsi="Arial" w:cs="Arial"/>
          <w:sz w:val="18"/>
          <w:szCs w:val="18"/>
          <w:lang w:val="en-GB"/>
        </w:rPr>
        <w:t xml:space="preserve">Republic </w:t>
      </w:r>
      <w:r>
        <w:rPr>
          <w:rFonts w:ascii="Arial" w:hAnsi="Arial" w:cs="Arial"/>
          <w:sz w:val="18"/>
          <w:szCs w:val="18"/>
          <w:lang w:val="en-GB"/>
        </w:rPr>
        <w:t>membership in the </w:t>
      </w:r>
      <w:r w:rsidRPr="002816C3">
        <w:rPr>
          <w:rFonts w:ascii="Arial" w:hAnsi="Arial" w:cs="Arial"/>
          <w:sz w:val="18"/>
          <w:szCs w:val="18"/>
          <w:lang w:val="en-GB"/>
        </w:rPr>
        <w:t xml:space="preserve">European Union) has the EU15´s share decreased by 10.2 p. p. In 2013 EU25 group of countries </w:t>
      </w:r>
      <w:r>
        <w:rPr>
          <w:rFonts w:ascii="Arial" w:hAnsi="Arial" w:cs="Arial"/>
          <w:sz w:val="18"/>
          <w:szCs w:val="18"/>
          <w:lang w:val="en-GB"/>
        </w:rPr>
        <w:t>created the </w:t>
      </w:r>
      <w:r w:rsidRPr="002816C3">
        <w:rPr>
          <w:rFonts w:ascii="Arial" w:hAnsi="Arial" w:cs="Arial"/>
          <w:sz w:val="18"/>
          <w:szCs w:val="18"/>
          <w:lang w:val="en-GB"/>
        </w:rPr>
        <w:t xml:space="preserve">share of imports which achieved 63.9%. Trade with only EU15 countries which with less than 48% share builds majority of EU25´s imports is obviously included as well. Last two countries </w:t>
      </w:r>
      <w:r w:rsidR="00A4601F">
        <w:rPr>
          <w:rFonts w:ascii="Arial" w:hAnsi="Arial" w:cs="Arial"/>
          <w:sz w:val="18"/>
          <w:szCs w:val="18"/>
          <w:lang w:val="en-GB"/>
        </w:rPr>
        <w:t>Bulgaria and Romania (EU27) and </w:t>
      </w:r>
      <w:r w:rsidRPr="002816C3">
        <w:rPr>
          <w:rFonts w:ascii="Arial" w:hAnsi="Arial" w:cs="Arial"/>
          <w:sz w:val="18"/>
          <w:szCs w:val="18"/>
          <w:lang w:val="en-GB"/>
        </w:rPr>
        <w:t>finally Croatia (EU28) joined the EU after 2004, in 2013, imports from EU27 reached 65.1% of overall imports;</w:t>
      </w:r>
      <w:r>
        <w:rPr>
          <w:rFonts w:ascii="Arial" w:hAnsi="Arial" w:cs="Arial"/>
          <w:sz w:val="18"/>
          <w:szCs w:val="18"/>
          <w:lang w:val="en-GB"/>
        </w:rPr>
        <w:t xml:space="preserve"> compared to </w:t>
      </w:r>
      <w:r w:rsidRPr="002816C3">
        <w:rPr>
          <w:rFonts w:ascii="Arial" w:hAnsi="Arial" w:cs="Arial"/>
          <w:sz w:val="18"/>
          <w:szCs w:val="18"/>
          <w:lang w:val="en-GB"/>
        </w:rPr>
        <w:t>EU25 only increase in share of imports is thus visible</w:t>
      </w:r>
      <w:r w:rsidR="00043A11" w:rsidRPr="00C43CF9">
        <w:rPr>
          <w:rFonts w:ascii="Arial" w:hAnsi="Arial" w:cs="Arial"/>
          <w:sz w:val="18"/>
          <w:szCs w:val="18"/>
          <w:lang w:val="en-GB"/>
        </w:rPr>
        <w:t xml:space="preserve">. </w:t>
      </w:r>
    </w:p>
    <w:p w:rsidR="00F52158" w:rsidRPr="00C43CF9" w:rsidRDefault="00F52158" w:rsidP="00F52158">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4</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D386B">
        <w:rPr>
          <w:rFonts w:ascii="Arial" w:hAnsi="Arial" w:cs="Arial"/>
          <w:color w:val="940094"/>
          <w:sz w:val="18"/>
          <w:szCs w:val="18"/>
          <w:lang w:val="en-GB"/>
        </w:rPr>
        <w:t>Exports and imports by group of countries in 2013 (shares in %)</w:t>
      </w:r>
    </w:p>
    <w:p w:rsidR="00F52158" w:rsidRPr="00C43CF9" w:rsidRDefault="005D386B" w:rsidP="007C1FA4">
      <w:pPr>
        <w:spacing w:after="40"/>
        <w:ind w:left="1416" w:firstLine="708"/>
        <w:jc w:val="both"/>
        <w:rPr>
          <w:rFonts w:ascii="Arial" w:hAnsi="Arial" w:cs="Arial"/>
          <w:color w:val="940094"/>
          <w:sz w:val="18"/>
          <w:szCs w:val="18"/>
          <w:lang w:val="en-GB"/>
        </w:rPr>
      </w:pPr>
      <w:r>
        <w:rPr>
          <w:rFonts w:ascii="Arial" w:hAnsi="Arial" w:cs="Arial"/>
          <w:color w:val="940094"/>
          <w:sz w:val="18"/>
          <w:szCs w:val="18"/>
          <w:lang w:val="en-GB"/>
        </w:rPr>
        <w:t>exports</w:t>
      </w:r>
      <w:r w:rsidR="00F52158" w:rsidRPr="00C43CF9">
        <w:rPr>
          <w:rFonts w:ascii="Arial" w:hAnsi="Arial" w:cs="Arial"/>
          <w:color w:val="940094"/>
          <w:sz w:val="18"/>
          <w:szCs w:val="18"/>
          <w:lang w:val="en-GB"/>
        </w:rPr>
        <w:tab/>
        <w:t xml:space="preserve">                                        </w:t>
      </w:r>
      <w:r w:rsidR="00F52158" w:rsidRPr="00C43CF9">
        <w:rPr>
          <w:rFonts w:ascii="Arial" w:hAnsi="Arial" w:cs="Arial"/>
          <w:color w:val="940094"/>
          <w:sz w:val="18"/>
          <w:szCs w:val="18"/>
          <w:lang w:val="en-GB"/>
        </w:rPr>
        <w:tab/>
      </w:r>
      <w:r w:rsidR="00F52158" w:rsidRPr="00C43CF9">
        <w:rPr>
          <w:rFonts w:ascii="Arial" w:hAnsi="Arial" w:cs="Arial"/>
          <w:color w:val="940094"/>
          <w:sz w:val="18"/>
          <w:szCs w:val="18"/>
          <w:lang w:val="en-GB"/>
        </w:rPr>
        <w:tab/>
      </w:r>
      <w:r w:rsidR="00F52158" w:rsidRPr="00C43CF9">
        <w:rPr>
          <w:rFonts w:ascii="Arial" w:hAnsi="Arial" w:cs="Arial"/>
          <w:color w:val="940094"/>
          <w:sz w:val="18"/>
          <w:szCs w:val="18"/>
          <w:lang w:val="en-GB"/>
        </w:rPr>
        <w:tab/>
      </w:r>
      <w:r w:rsidR="00F52158" w:rsidRPr="00C43CF9">
        <w:rPr>
          <w:rFonts w:ascii="Arial" w:hAnsi="Arial" w:cs="Arial"/>
          <w:color w:val="940094"/>
          <w:sz w:val="18"/>
          <w:szCs w:val="18"/>
          <w:lang w:val="en-GB"/>
        </w:rPr>
        <w:tab/>
      </w:r>
      <w:r>
        <w:rPr>
          <w:rFonts w:ascii="Arial" w:hAnsi="Arial" w:cs="Arial"/>
          <w:color w:val="940094"/>
          <w:sz w:val="18"/>
          <w:szCs w:val="18"/>
          <w:lang w:val="en-GB"/>
        </w:rPr>
        <w:t>imports</w:t>
      </w:r>
    </w:p>
    <w:p w:rsidR="00F52158" w:rsidRPr="00C43CF9" w:rsidRDefault="007C1FA4" w:rsidP="007C1FA4">
      <w:pPr>
        <w:spacing w:after="0"/>
        <w:jc w:val="both"/>
        <w:rPr>
          <w:rFonts w:ascii="Arial" w:hAnsi="Arial" w:cs="Arial"/>
          <w:sz w:val="18"/>
          <w:szCs w:val="18"/>
          <w:lang w:val="en-GB"/>
        </w:rPr>
      </w:pPr>
      <w:r>
        <w:rPr>
          <w:rFonts w:ascii="Arial" w:hAnsi="Arial" w:cs="Arial"/>
          <w:noProof/>
          <w:sz w:val="18"/>
          <w:szCs w:val="18"/>
          <w:lang w:eastAsia="cs-CZ"/>
        </w:rPr>
        <w:t xml:space="preserve">     </w:t>
      </w:r>
      <w:r w:rsidR="006E02AF">
        <w:rPr>
          <w:rFonts w:ascii="Arial" w:hAnsi="Arial" w:cs="Arial"/>
          <w:noProof/>
          <w:sz w:val="18"/>
          <w:szCs w:val="18"/>
          <w:lang w:eastAsia="cs-CZ"/>
        </w:rPr>
        <w:pict>
          <v:shape id="_x0000_i1040" type="#_x0000_t75" style="width:177.3pt;height:130.4pt">
            <v:imagedata r:id="rId11" o:title=""/>
          </v:shape>
        </w:pict>
      </w:r>
      <w:r w:rsidR="004C6982">
        <w:rPr>
          <w:rFonts w:ascii="Arial" w:hAnsi="Arial" w:cs="Arial"/>
          <w:noProof/>
          <w:sz w:val="18"/>
          <w:szCs w:val="18"/>
          <w:lang w:eastAsia="cs-CZ"/>
        </w:rPr>
        <w:t xml:space="preserve">                           </w:t>
      </w:r>
      <w:r w:rsidR="006E02AF">
        <w:rPr>
          <w:rFonts w:ascii="Arial" w:hAnsi="Arial" w:cs="Arial"/>
          <w:noProof/>
          <w:sz w:val="18"/>
          <w:szCs w:val="18"/>
          <w:lang w:eastAsia="cs-CZ"/>
        </w:rPr>
        <w:pict>
          <v:shape id="_x0000_i1039" type="#_x0000_t75" style="width:177.3pt;height:130.4pt">
            <v:imagedata r:id="rId12" o:title=""/>
          </v:shape>
        </w:pict>
      </w:r>
    </w:p>
    <w:p w:rsidR="00F52158" w:rsidRPr="00C43CF9" w:rsidRDefault="002816C3" w:rsidP="007C1FA4">
      <w:pPr>
        <w:spacing w:before="120" w:after="120"/>
        <w:jc w:val="both"/>
        <w:rPr>
          <w:rFonts w:ascii="Arial" w:hAnsi="Arial" w:cs="Arial"/>
          <w:sz w:val="18"/>
          <w:szCs w:val="18"/>
          <w:lang w:val="en-GB"/>
        </w:rPr>
      </w:pPr>
      <w:r w:rsidRPr="002816C3">
        <w:rPr>
          <w:rFonts w:ascii="Arial" w:hAnsi="Arial" w:cs="Arial"/>
          <w:sz w:val="18"/>
          <w:szCs w:val="18"/>
          <w:lang w:val="en-GB"/>
        </w:rPr>
        <w:t>The Czech Republic generally exports to EU higher share of goods than it imports, this trend is influenced by dynamic increase of imports from non-EU countries, especially from Asia, particularly from China. In 2013 exports to EU15 achieved 60.3% of overall Czech exports, in 2005 the same indicator showed 66%, the decrease of exports´ share was therefore lower than in case of imports</w:t>
      </w:r>
      <w:r w:rsidR="00F52158" w:rsidRPr="00C43CF9">
        <w:rPr>
          <w:rFonts w:ascii="Arial" w:hAnsi="Arial" w:cs="Arial"/>
          <w:sz w:val="18"/>
          <w:szCs w:val="18"/>
          <w:lang w:val="en-GB"/>
        </w:rPr>
        <w:t xml:space="preserve">. </w:t>
      </w:r>
    </w:p>
    <w:p w:rsidR="00F52158" w:rsidRPr="00C43CF9" w:rsidRDefault="002816C3" w:rsidP="00F52158">
      <w:pPr>
        <w:spacing w:after="240"/>
        <w:jc w:val="both"/>
        <w:rPr>
          <w:rFonts w:ascii="Arial" w:hAnsi="Arial" w:cs="Arial"/>
          <w:sz w:val="18"/>
          <w:szCs w:val="18"/>
          <w:lang w:val="en-GB"/>
        </w:rPr>
      </w:pPr>
      <w:r w:rsidRPr="002816C3">
        <w:rPr>
          <w:rFonts w:ascii="Arial" w:hAnsi="Arial" w:cs="Arial"/>
          <w:sz w:val="18"/>
          <w:szCs w:val="18"/>
          <w:lang w:val="en-GB"/>
        </w:rPr>
        <w:t>In case of exports to EU25 the difference of EU15 oscillates at 20 p. p. The impacts of economic crisis are clearly visible in part of the table describing indexes, in 2008 and 2009 there is apparent decrease concerning all indicators compared to previous year, regardless the number of EU countries. In following years compared to previous years the indicators obversely increased in fairly rapid rate whereas growth rates were not markedly d</w:t>
      </w:r>
      <w:r>
        <w:rPr>
          <w:rFonts w:ascii="Arial" w:hAnsi="Arial" w:cs="Arial"/>
          <w:sz w:val="18"/>
          <w:szCs w:val="18"/>
          <w:lang w:val="en-GB"/>
        </w:rPr>
        <w:t>iscern after division the EU on </w:t>
      </w:r>
      <w:r w:rsidRPr="002816C3">
        <w:rPr>
          <w:rFonts w:ascii="Arial" w:hAnsi="Arial" w:cs="Arial"/>
          <w:sz w:val="18"/>
          <w:szCs w:val="18"/>
          <w:lang w:val="en-GB"/>
        </w:rPr>
        <w:t xml:space="preserve">individual groups of countries, EU15 registered reasonably slower growth rate </w:t>
      </w:r>
      <w:r w:rsidR="00E50D85">
        <w:rPr>
          <w:rFonts w:ascii="Arial" w:hAnsi="Arial" w:cs="Arial"/>
          <w:sz w:val="18"/>
          <w:szCs w:val="18"/>
          <w:lang w:val="en-GB"/>
        </w:rPr>
        <w:t>in both exports and imports and </w:t>
      </w:r>
      <w:r w:rsidRPr="002816C3">
        <w:rPr>
          <w:rFonts w:ascii="Arial" w:hAnsi="Arial" w:cs="Arial"/>
          <w:sz w:val="18"/>
          <w:szCs w:val="18"/>
          <w:lang w:val="en-GB"/>
        </w:rPr>
        <w:t>thereby also in turnover</w:t>
      </w:r>
      <w:r w:rsidR="00F52158" w:rsidRPr="00C43CF9">
        <w:rPr>
          <w:rFonts w:ascii="Arial" w:hAnsi="Arial" w:cs="Arial"/>
          <w:sz w:val="18"/>
          <w:szCs w:val="18"/>
          <w:lang w:val="en-GB"/>
        </w:rPr>
        <w:t xml:space="preserve">. </w:t>
      </w:r>
    </w:p>
    <w:p w:rsidR="0094002B" w:rsidRPr="00C43CF9" w:rsidRDefault="0094002B" w:rsidP="0094002B">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w:t>
      </w:r>
      <w:r w:rsidR="00F52158" w:rsidRPr="00C43CF9">
        <w:rPr>
          <w:rFonts w:ascii="Arial" w:hAnsi="Arial" w:cs="Arial"/>
          <w:color w:val="940094"/>
          <w:sz w:val="18"/>
          <w:szCs w:val="18"/>
          <w:lang w:val="en-GB"/>
        </w:rPr>
        <w:t>5</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D386B">
        <w:rPr>
          <w:rFonts w:ascii="Arial" w:hAnsi="Arial" w:cs="Arial"/>
          <w:color w:val="940094"/>
          <w:sz w:val="18"/>
          <w:szCs w:val="18"/>
          <w:lang w:val="en-GB"/>
        </w:rPr>
        <w:t>External trade with the EU member states and with non-EU countries (in CZK billion)</w:t>
      </w:r>
      <w:r w:rsidRPr="00C43CF9">
        <w:rPr>
          <w:rFonts w:ascii="Arial" w:hAnsi="Arial" w:cs="Arial"/>
          <w:color w:val="940094"/>
          <w:sz w:val="18"/>
          <w:szCs w:val="18"/>
          <w:lang w:val="en-GB"/>
        </w:rPr>
        <w:t>, 2004 – 2013</w:t>
      </w:r>
    </w:p>
    <w:p w:rsidR="0094002B" w:rsidRPr="00C43CF9" w:rsidRDefault="0094002B" w:rsidP="0094002B">
      <w:pPr>
        <w:tabs>
          <w:tab w:val="left" w:pos="851"/>
          <w:tab w:val="left" w:pos="1418"/>
          <w:tab w:val="left" w:pos="1701"/>
        </w:tabs>
        <w:spacing w:after="40"/>
        <w:jc w:val="both"/>
        <w:rPr>
          <w:rFonts w:ascii="Arial" w:hAnsi="Arial" w:cs="Arial"/>
          <w:color w:val="940094"/>
          <w:sz w:val="18"/>
          <w:szCs w:val="18"/>
          <w:lang w:val="en-GB"/>
        </w:rPr>
      </w:pP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D386B">
        <w:rPr>
          <w:rFonts w:ascii="Arial" w:hAnsi="Arial" w:cs="Arial"/>
          <w:color w:val="940094"/>
          <w:sz w:val="18"/>
          <w:szCs w:val="18"/>
          <w:lang w:val="en-GB"/>
        </w:rPr>
        <w:t>exports</w:t>
      </w:r>
      <w:r w:rsidRPr="00C43CF9">
        <w:rPr>
          <w:rFonts w:ascii="Arial" w:hAnsi="Arial" w:cs="Arial"/>
          <w:color w:val="940094"/>
          <w:sz w:val="18"/>
          <w:szCs w:val="18"/>
          <w:lang w:val="en-GB"/>
        </w:rPr>
        <w:tab/>
        <w:t xml:space="preserve">                                        </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D386B">
        <w:rPr>
          <w:rFonts w:ascii="Arial" w:hAnsi="Arial" w:cs="Arial"/>
          <w:color w:val="940094"/>
          <w:sz w:val="18"/>
          <w:szCs w:val="18"/>
          <w:lang w:val="en-GB"/>
        </w:rPr>
        <w:t>imports</w:t>
      </w:r>
    </w:p>
    <w:p w:rsidR="0094002B" w:rsidRPr="00C43CF9" w:rsidRDefault="0094002B" w:rsidP="0094002B">
      <w:pPr>
        <w:spacing w:after="0"/>
        <w:jc w:val="both"/>
        <w:rPr>
          <w:rFonts w:ascii="Arial" w:hAnsi="Arial" w:cs="Arial"/>
          <w:sz w:val="18"/>
          <w:szCs w:val="18"/>
          <w:lang w:val="en-GB"/>
        </w:rPr>
      </w:pPr>
      <w:r w:rsidRPr="00C43CF9">
        <w:rPr>
          <w:rFonts w:ascii="Arial" w:hAnsi="Arial" w:cs="Arial"/>
          <w:sz w:val="18"/>
          <w:szCs w:val="18"/>
          <w:lang w:val="en-GB"/>
        </w:rPr>
        <w:t xml:space="preserve"> </w:t>
      </w:r>
      <w:r w:rsidR="004C6982" w:rsidRPr="009F54DD">
        <w:rPr>
          <w:rFonts w:ascii="Arial" w:hAnsi="Arial" w:cs="Arial"/>
          <w:sz w:val="18"/>
          <w:szCs w:val="18"/>
          <w:lang w:val="en-GB"/>
        </w:rPr>
        <w:pict>
          <v:shape id="_x0000_i1028" type="#_x0000_t75" style="width:247.9pt;height:157.6pt">
            <v:imagedata r:id="rId13" o:title=""/>
          </v:shape>
        </w:pict>
      </w:r>
      <w:r w:rsidR="009126A7">
        <w:rPr>
          <w:rFonts w:ascii="Arial" w:hAnsi="Arial" w:cs="Arial"/>
          <w:sz w:val="18"/>
          <w:szCs w:val="18"/>
          <w:lang w:val="en-GB"/>
        </w:rPr>
        <w:t xml:space="preserve">  </w:t>
      </w:r>
      <w:r w:rsidR="004C6982" w:rsidRPr="009F54DD">
        <w:rPr>
          <w:rFonts w:ascii="Arial" w:hAnsi="Arial" w:cs="Arial"/>
          <w:sz w:val="18"/>
          <w:szCs w:val="18"/>
          <w:lang w:val="en-GB"/>
        </w:rPr>
        <w:pict>
          <v:shape id="_x0000_i1029" type="#_x0000_t75" style="width:225.5pt;height:157.6pt">
            <v:imagedata r:id="rId14" o:title=""/>
          </v:shape>
        </w:pict>
      </w:r>
    </w:p>
    <w:p w:rsidR="00F52158" w:rsidRPr="00C43CF9" w:rsidRDefault="00F52158" w:rsidP="00F52158">
      <w:pPr>
        <w:spacing w:after="0"/>
        <w:jc w:val="both"/>
        <w:rPr>
          <w:rFonts w:ascii="Arial" w:hAnsi="Arial" w:cs="Arial"/>
          <w:sz w:val="18"/>
          <w:szCs w:val="18"/>
          <w:lang w:val="en-GB"/>
        </w:rPr>
      </w:pPr>
    </w:p>
    <w:p w:rsidR="00043A11" w:rsidRPr="00C43CF9" w:rsidRDefault="002816C3" w:rsidP="007C255F">
      <w:pPr>
        <w:spacing w:after="0"/>
        <w:jc w:val="both"/>
        <w:rPr>
          <w:rFonts w:ascii="Arial" w:hAnsi="Arial" w:cs="Arial"/>
          <w:sz w:val="18"/>
          <w:szCs w:val="18"/>
          <w:lang w:val="en-GB"/>
        </w:rPr>
      </w:pPr>
      <w:r w:rsidRPr="002816C3">
        <w:rPr>
          <w:rFonts w:ascii="Arial" w:hAnsi="Arial" w:cs="Arial"/>
          <w:sz w:val="18"/>
          <w:szCs w:val="18"/>
          <w:lang w:val="en-GB"/>
        </w:rPr>
        <w:t>In last two years (2012 and 2013) the growth rates of Czech external trade decreased and compared to previous years the turnover showed in 2012 y-o-y increment by fewer than 5% and in 2013 by 2.7%. Exports increased more significantly, by 6.7% in 2012 while EU15 contributed to this growth by 2.7%. Total imports increased in 2012 by 3% comparing to 2011, and in 2013 by 2% comparing to 2012</w:t>
      </w:r>
      <w:r w:rsidR="00043A11" w:rsidRPr="00C43CF9">
        <w:rPr>
          <w:rFonts w:ascii="Arial" w:hAnsi="Arial" w:cs="Arial"/>
          <w:sz w:val="18"/>
          <w:szCs w:val="18"/>
          <w:lang w:val="en-GB"/>
        </w:rPr>
        <w:t xml:space="preserve">. </w:t>
      </w:r>
    </w:p>
    <w:p w:rsidR="00C3100B" w:rsidRPr="00C43CF9" w:rsidRDefault="00374F7E" w:rsidP="0094002B">
      <w:pPr>
        <w:pStyle w:val="Odstavecseseznamem"/>
        <w:numPr>
          <w:ilvl w:val="1"/>
          <w:numId w:val="1"/>
        </w:numPr>
        <w:spacing w:after="120"/>
        <w:ind w:left="567" w:hanging="567"/>
        <w:rPr>
          <w:rFonts w:ascii="Arial" w:eastAsia="Calibri" w:hAnsi="Arial" w:cs="Arial"/>
          <w:b/>
          <w:color w:val="940094"/>
          <w:sz w:val="18"/>
          <w:szCs w:val="18"/>
          <w:lang w:val="en-GB"/>
        </w:rPr>
      </w:pPr>
      <w:r w:rsidRPr="00374F7E">
        <w:rPr>
          <w:rFonts w:ascii="Arial" w:eastAsia="Calibri" w:hAnsi="Arial" w:cs="Arial"/>
          <w:b/>
          <w:color w:val="940094"/>
          <w:sz w:val="18"/>
          <w:szCs w:val="18"/>
          <w:lang w:val="en-GB"/>
        </w:rPr>
        <w:lastRenderedPageBreak/>
        <w:t>Trade with Eurozone countries</w:t>
      </w:r>
    </w:p>
    <w:p w:rsidR="00D22CD7" w:rsidRPr="00C43CF9" w:rsidRDefault="00374F7E" w:rsidP="00D22CD7">
      <w:pPr>
        <w:spacing w:after="120"/>
        <w:jc w:val="both"/>
        <w:rPr>
          <w:rFonts w:ascii="Arial" w:hAnsi="Arial" w:cs="Arial"/>
          <w:sz w:val="18"/>
          <w:szCs w:val="18"/>
          <w:lang w:val="en-GB"/>
        </w:rPr>
      </w:pPr>
      <w:r w:rsidRPr="00374F7E">
        <w:rPr>
          <w:rFonts w:ascii="Arial" w:hAnsi="Arial" w:cs="Arial"/>
          <w:sz w:val="18"/>
          <w:szCs w:val="18"/>
          <w:lang w:val="en-GB"/>
        </w:rPr>
        <w:t>The table 3.4 describes the external trade of the Czech Republic with Eurozone countries in CZK million and according to the share in %. The Czech Republic is not the Eurozone member country. Weakening representation Eurozone countries in turnover, imports and exports of the Czech Republic become also here evident</w:t>
      </w:r>
      <w:r w:rsidR="00043A11" w:rsidRPr="00C43CF9">
        <w:rPr>
          <w:rFonts w:ascii="Arial" w:hAnsi="Arial" w:cs="Arial"/>
          <w:sz w:val="18"/>
          <w:szCs w:val="18"/>
          <w:lang w:val="en-GB"/>
        </w:rPr>
        <w:t xml:space="preserve">. </w:t>
      </w:r>
    </w:p>
    <w:p w:rsidR="00FE30CC" w:rsidRPr="00C43CF9" w:rsidRDefault="00374F7E" w:rsidP="00FE30CC">
      <w:pPr>
        <w:jc w:val="both"/>
        <w:rPr>
          <w:rFonts w:ascii="Arial" w:hAnsi="Arial" w:cs="Arial"/>
          <w:sz w:val="18"/>
          <w:szCs w:val="18"/>
          <w:lang w:val="en-GB"/>
        </w:rPr>
      </w:pPr>
      <w:r w:rsidRPr="00374F7E">
        <w:rPr>
          <w:rFonts w:ascii="Arial" w:hAnsi="Arial" w:cs="Arial"/>
          <w:sz w:val="18"/>
          <w:szCs w:val="18"/>
          <w:lang w:val="en-GB"/>
        </w:rPr>
        <w:t>The first 12 Eurozone member states participated in exports of the Czech Republic in 2013 by 53.2% and in</w:t>
      </w:r>
      <w:r>
        <w:rPr>
          <w:rFonts w:ascii="Arial" w:hAnsi="Arial" w:cs="Arial"/>
          <w:sz w:val="18"/>
          <w:szCs w:val="18"/>
          <w:lang w:val="en-GB"/>
        </w:rPr>
        <w:t xml:space="preserve"> imports by </w:t>
      </w:r>
      <w:r w:rsidRPr="00374F7E">
        <w:rPr>
          <w:rFonts w:ascii="Arial" w:hAnsi="Arial" w:cs="Arial"/>
          <w:sz w:val="18"/>
          <w:szCs w:val="18"/>
          <w:lang w:val="en-GB"/>
        </w:rPr>
        <w:t>44.1%. The coverage of imports by exports in 2013 in these countries reached 135.7%. The situation has since 2004 improved because then the indicator achieved 112.5% and in continuance of tracked years</w:t>
      </w:r>
      <w:r>
        <w:rPr>
          <w:rFonts w:ascii="Arial" w:hAnsi="Arial" w:cs="Arial"/>
          <w:sz w:val="18"/>
          <w:szCs w:val="18"/>
          <w:lang w:val="en-GB"/>
        </w:rPr>
        <w:t xml:space="preserve"> the coverage of imports by </w:t>
      </w:r>
      <w:r w:rsidRPr="00374F7E">
        <w:rPr>
          <w:rFonts w:ascii="Arial" w:hAnsi="Arial" w:cs="Arial"/>
          <w:sz w:val="18"/>
          <w:szCs w:val="18"/>
          <w:lang w:val="en-GB"/>
        </w:rPr>
        <w:t>exports showed continuing growth, which in crisis year 2009 overpassed the limit of 130%</w:t>
      </w:r>
      <w:r w:rsidR="00043A11" w:rsidRPr="00C43CF9">
        <w:rPr>
          <w:rFonts w:ascii="Arial" w:hAnsi="Arial" w:cs="Arial"/>
          <w:sz w:val="18"/>
          <w:szCs w:val="18"/>
          <w:lang w:val="en-GB"/>
        </w:rPr>
        <w:t xml:space="preserve">. </w:t>
      </w:r>
    </w:p>
    <w:p w:rsidR="00FE30CC" w:rsidRPr="00C43CF9" w:rsidRDefault="00FE30CC" w:rsidP="00FE30CC">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6</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374F7E">
        <w:rPr>
          <w:rFonts w:ascii="Arial" w:hAnsi="Arial" w:cs="Arial"/>
          <w:color w:val="940094"/>
          <w:sz w:val="18"/>
          <w:szCs w:val="18"/>
          <w:lang w:val="en-GB"/>
        </w:rPr>
        <w:t>Turnover of the Czech Republic with Eurozone countries</w:t>
      </w:r>
    </w:p>
    <w:p w:rsidR="00FE30CC" w:rsidRPr="00C43CF9" w:rsidRDefault="004C6982" w:rsidP="00374F7E">
      <w:pPr>
        <w:spacing w:after="0"/>
        <w:jc w:val="both"/>
        <w:rPr>
          <w:rFonts w:ascii="Arial" w:hAnsi="Arial" w:cs="Arial"/>
          <w:sz w:val="18"/>
          <w:szCs w:val="18"/>
          <w:lang w:val="en-GB"/>
        </w:rPr>
      </w:pPr>
      <w:r w:rsidRPr="009F54DD">
        <w:rPr>
          <w:rFonts w:ascii="Arial" w:hAnsi="Arial" w:cs="Arial"/>
          <w:sz w:val="18"/>
          <w:szCs w:val="18"/>
          <w:lang w:val="en-GB"/>
        </w:rPr>
        <w:pict>
          <v:shape id="_x0000_i1030" type="#_x0000_t75" style="width:487pt;height:151.45pt">
            <v:imagedata r:id="rId15" o:title=""/>
          </v:shape>
        </w:pict>
      </w:r>
    </w:p>
    <w:p w:rsidR="008E20AE" w:rsidRDefault="008E20AE" w:rsidP="008E20AE">
      <w:pPr>
        <w:spacing w:after="0"/>
        <w:jc w:val="both"/>
        <w:rPr>
          <w:rFonts w:ascii="Arial" w:hAnsi="Arial" w:cs="Arial"/>
          <w:sz w:val="18"/>
          <w:szCs w:val="18"/>
          <w:lang w:val="en-GB"/>
        </w:rPr>
      </w:pPr>
    </w:p>
    <w:p w:rsidR="00043A11" w:rsidRPr="00C43CF9" w:rsidRDefault="00374F7E" w:rsidP="00DD4432">
      <w:pPr>
        <w:spacing w:after="240"/>
        <w:jc w:val="both"/>
        <w:rPr>
          <w:rFonts w:ascii="Arial" w:hAnsi="Arial" w:cs="Arial"/>
          <w:sz w:val="18"/>
          <w:szCs w:val="18"/>
          <w:lang w:val="en-GB"/>
        </w:rPr>
      </w:pPr>
      <w:r w:rsidRPr="00374F7E">
        <w:rPr>
          <w:rFonts w:ascii="Arial" w:hAnsi="Arial" w:cs="Arial"/>
          <w:sz w:val="18"/>
          <w:szCs w:val="18"/>
          <w:lang w:val="en-GB"/>
        </w:rPr>
        <w:t>The difference between Eurozone countries 12 and 18 in the share of Czech external trade is not significant. Eurozone 18 countries in 2013 formed 57.0% of turnover whereas Eurozone 12 countries formed 48.9%. In 2004</w:t>
      </w:r>
      <w:r>
        <w:rPr>
          <w:rFonts w:ascii="Arial" w:hAnsi="Arial" w:cs="Arial"/>
          <w:sz w:val="18"/>
          <w:szCs w:val="18"/>
          <w:lang w:val="en-GB"/>
        </w:rPr>
        <w:t xml:space="preserve"> created the </w:t>
      </w:r>
      <w:r w:rsidRPr="00374F7E">
        <w:rPr>
          <w:rFonts w:ascii="Arial" w:hAnsi="Arial" w:cs="Arial"/>
          <w:sz w:val="18"/>
          <w:szCs w:val="18"/>
          <w:lang w:val="en-GB"/>
        </w:rPr>
        <w:t>difference between countries of these groups 7.6 p. p</w:t>
      </w:r>
      <w:r w:rsidR="00043A11" w:rsidRPr="00C43CF9">
        <w:rPr>
          <w:rFonts w:ascii="Arial" w:hAnsi="Arial" w:cs="Arial"/>
          <w:sz w:val="18"/>
          <w:szCs w:val="18"/>
          <w:lang w:val="en-GB"/>
        </w:rPr>
        <w:t xml:space="preserve">. </w:t>
      </w:r>
    </w:p>
    <w:p w:rsidR="00C3100B" w:rsidRPr="00C43CF9" w:rsidRDefault="00374F7E" w:rsidP="00D22CD7">
      <w:pPr>
        <w:pStyle w:val="Odstavecseseznamem"/>
        <w:numPr>
          <w:ilvl w:val="1"/>
          <w:numId w:val="1"/>
        </w:numPr>
        <w:spacing w:after="120"/>
        <w:ind w:left="567" w:hanging="567"/>
        <w:rPr>
          <w:rFonts w:ascii="Arial" w:eastAsia="Calibri" w:hAnsi="Arial" w:cs="Arial"/>
          <w:b/>
          <w:color w:val="940094"/>
          <w:sz w:val="18"/>
          <w:szCs w:val="18"/>
          <w:lang w:val="en-GB"/>
        </w:rPr>
      </w:pPr>
      <w:r w:rsidRPr="00374F7E">
        <w:rPr>
          <w:rFonts w:ascii="Arial" w:eastAsia="Calibri" w:hAnsi="Arial" w:cs="Arial"/>
          <w:b/>
          <w:color w:val="940094"/>
          <w:sz w:val="18"/>
          <w:szCs w:val="18"/>
          <w:lang w:val="en-GB"/>
        </w:rPr>
        <w:t>Trade by continents</w:t>
      </w:r>
    </w:p>
    <w:p w:rsidR="00EC0F6F" w:rsidRPr="00C43CF9" w:rsidRDefault="00374F7E" w:rsidP="00EC0F6F">
      <w:pPr>
        <w:spacing w:after="120"/>
        <w:jc w:val="both"/>
        <w:rPr>
          <w:rFonts w:ascii="Arial" w:hAnsi="Arial" w:cs="Arial"/>
          <w:sz w:val="18"/>
          <w:szCs w:val="18"/>
          <w:lang w:val="en-GB"/>
        </w:rPr>
      </w:pPr>
      <w:r w:rsidRPr="00374F7E">
        <w:rPr>
          <w:rFonts w:ascii="Arial" w:hAnsi="Arial" w:cs="Arial"/>
          <w:sz w:val="18"/>
          <w:szCs w:val="18"/>
          <w:lang w:val="en-GB"/>
        </w:rPr>
        <w:t>The table 3.5 shows external trade by continents in CZK million share in % and by i</w:t>
      </w:r>
      <w:r>
        <w:rPr>
          <w:rFonts w:ascii="Arial" w:hAnsi="Arial" w:cs="Arial"/>
          <w:sz w:val="18"/>
          <w:szCs w:val="18"/>
          <w:lang w:val="en-GB"/>
        </w:rPr>
        <w:t>ndex. By far the most the Czech </w:t>
      </w:r>
      <w:r w:rsidRPr="00374F7E">
        <w:rPr>
          <w:rFonts w:ascii="Arial" w:hAnsi="Arial" w:cs="Arial"/>
          <w:sz w:val="18"/>
          <w:szCs w:val="18"/>
          <w:lang w:val="en-GB"/>
        </w:rPr>
        <w:t>Republic is trading with other European countries, exports to Europe created 90.0</w:t>
      </w:r>
      <w:r>
        <w:rPr>
          <w:rFonts w:ascii="Arial" w:hAnsi="Arial" w:cs="Arial"/>
          <w:sz w:val="18"/>
          <w:szCs w:val="18"/>
          <w:lang w:val="en-GB"/>
        </w:rPr>
        <w:t>% of overall exports and </w:t>
      </w:r>
      <w:r w:rsidRPr="00374F7E">
        <w:rPr>
          <w:rFonts w:ascii="Arial" w:hAnsi="Arial" w:cs="Arial"/>
          <w:sz w:val="18"/>
          <w:szCs w:val="18"/>
          <w:lang w:val="en-GB"/>
        </w:rPr>
        <w:t>75.0% of imports</w:t>
      </w:r>
      <w:r w:rsidR="00043A11" w:rsidRPr="00C43CF9">
        <w:rPr>
          <w:rFonts w:ascii="Arial" w:hAnsi="Arial" w:cs="Arial"/>
          <w:sz w:val="18"/>
          <w:szCs w:val="18"/>
          <w:lang w:val="en-GB"/>
        </w:rPr>
        <w:t xml:space="preserve">. </w:t>
      </w:r>
    </w:p>
    <w:p w:rsidR="00A35436" w:rsidRPr="00C43CF9" w:rsidRDefault="00374F7E" w:rsidP="00EF10BA">
      <w:pPr>
        <w:jc w:val="both"/>
        <w:rPr>
          <w:rFonts w:ascii="Arial" w:hAnsi="Arial" w:cs="Arial"/>
          <w:sz w:val="18"/>
          <w:szCs w:val="18"/>
          <w:lang w:val="en-GB"/>
        </w:rPr>
      </w:pPr>
      <w:r w:rsidRPr="00374F7E">
        <w:rPr>
          <w:rFonts w:ascii="Arial" w:hAnsi="Arial" w:cs="Arial"/>
          <w:sz w:val="18"/>
          <w:szCs w:val="18"/>
          <w:lang w:val="en-GB"/>
        </w:rPr>
        <w:t>Especially imports are influenced by fairly high imports from Asia which in 2013 formed already 20.4% of overall imports while in 2004 it was by 6 p. p. less</w:t>
      </w:r>
      <w:r w:rsidR="00043A11" w:rsidRPr="00C43CF9">
        <w:rPr>
          <w:rFonts w:ascii="Arial" w:hAnsi="Arial" w:cs="Arial"/>
          <w:sz w:val="18"/>
          <w:szCs w:val="18"/>
          <w:lang w:val="en-GB"/>
        </w:rPr>
        <w:t xml:space="preserve">. </w:t>
      </w:r>
    </w:p>
    <w:p w:rsidR="00F93F2A" w:rsidRPr="00C43CF9" w:rsidRDefault="00F93F2A" w:rsidP="00F93F2A">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w:t>
      </w:r>
      <w:r w:rsidR="00FE30CC" w:rsidRPr="00C43CF9">
        <w:rPr>
          <w:rFonts w:ascii="Arial" w:hAnsi="Arial" w:cs="Arial"/>
          <w:color w:val="940094"/>
          <w:sz w:val="18"/>
          <w:szCs w:val="18"/>
          <w:lang w:val="en-GB"/>
        </w:rPr>
        <w:t>7</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D06317">
        <w:rPr>
          <w:rFonts w:ascii="Arial" w:hAnsi="Arial" w:cs="Arial"/>
          <w:color w:val="940094"/>
          <w:sz w:val="18"/>
          <w:szCs w:val="18"/>
          <w:lang w:val="en-GB"/>
        </w:rPr>
        <w:t>Imports to the Czech Republic by continents</w:t>
      </w:r>
    </w:p>
    <w:p w:rsidR="00634748" w:rsidRDefault="004C6982" w:rsidP="00634748">
      <w:pPr>
        <w:spacing w:after="0"/>
        <w:jc w:val="both"/>
        <w:rPr>
          <w:rFonts w:ascii="Arial" w:hAnsi="Arial" w:cs="Arial"/>
          <w:sz w:val="18"/>
          <w:szCs w:val="18"/>
          <w:lang w:val="en-GB"/>
        </w:rPr>
      </w:pPr>
      <w:r w:rsidRPr="009F54DD">
        <w:rPr>
          <w:rFonts w:ascii="Arial" w:hAnsi="Arial" w:cs="Arial"/>
          <w:sz w:val="18"/>
          <w:szCs w:val="18"/>
          <w:lang w:val="en-GB"/>
        </w:rPr>
        <w:pict>
          <v:shape id="_x0000_i1031" type="#_x0000_t75" style="width:487.7pt;height:158.95pt">
            <v:imagedata r:id="rId16" o:title=""/>
          </v:shape>
        </w:pict>
      </w:r>
    </w:p>
    <w:p w:rsidR="00160273" w:rsidRDefault="00160273" w:rsidP="00634748">
      <w:pPr>
        <w:spacing w:after="0"/>
        <w:jc w:val="both"/>
        <w:rPr>
          <w:rFonts w:ascii="Arial" w:hAnsi="Arial" w:cs="Arial"/>
          <w:sz w:val="18"/>
          <w:szCs w:val="18"/>
          <w:lang w:val="en-GB"/>
        </w:rPr>
      </w:pPr>
    </w:p>
    <w:p w:rsidR="00EC0F6F" w:rsidRPr="00C43CF9" w:rsidRDefault="00374F7E" w:rsidP="00634748">
      <w:pPr>
        <w:spacing w:after="0"/>
        <w:jc w:val="both"/>
        <w:rPr>
          <w:rFonts w:ascii="Arial" w:hAnsi="Arial" w:cs="Arial"/>
          <w:sz w:val="18"/>
          <w:szCs w:val="18"/>
          <w:lang w:val="en-GB"/>
        </w:rPr>
      </w:pPr>
      <w:r w:rsidRPr="00374F7E">
        <w:rPr>
          <w:rFonts w:ascii="Arial" w:hAnsi="Arial" w:cs="Arial"/>
          <w:sz w:val="18"/>
          <w:szCs w:val="18"/>
          <w:lang w:val="en-GB"/>
        </w:rPr>
        <w:t xml:space="preserve">In 2009 Czech </w:t>
      </w:r>
      <w:r w:rsidR="00A4601F">
        <w:rPr>
          <w:rFonts w:ascii="Arial" w:hAnsi="Arial" w:cs="Arial"/>
          <w:sz w:val="18"/>
          <w:szCs w:val="18"/>
          <w:lang w:val="en-GB"/>
        </w:rPr>
        <w:t xml:space="preserve">external </w:t>
      </w:r>
      <w:r w:rsidRPr="00374F7E">
        <w:rPr>
          <w:rFonts w:ascii="Arial" w:hAnsi="Arial" w:cs="Arial"/>
          <w:sz w:val="18"/>
          <w:szCs w:val="18"/>
          <w:lang w:val="en-GB"/>
        </w:rPr>
        <w:t>trade with Asia overpassed the border of 20% share in imports, in 2010 grew the share to 23.2% however since following year has the share slightly decreased</w:t>
      </w:r>
      <w:r w:rsidR="00043A11" w:rsidRPr="00C43CF9">
        <w:rPr>
          <w:rFonts w:ascii="Arial" w:hAnsi="Arial" w:cs="Arial"/>
          <w:sz w:val="18"/>
          <w:szCs w:val="18"/>
          <w:lang w:val="en-GB"/>
        </w:rPr>
        <w:t xml:space="preserve">. </w:t>
      </w:r>
    </w:p>
    <w:p w:rsidR="00043A11" w:rsidRPr="00C43CF9" w:rsidRDefault="00374F7E" w:rsidP="00FE30CC">
      <w:pPr>
        <w:spacing w:before="120"/>
        <w:jc w:val="both"/>
        <w:rPr>
          <w:rFonts w:ascii="Arial" w:hAnsi="Arial" w:cs="Arial"/>
          <w:sz w:val="18"/>
          <w:szCs w:val="18"/>
          <w:lang w:val="en-GB"/>
        </w:rPr>
      </w:pPr>
      <w:r w:rsidRPr="00374F7E">
        <w:rPr>
          <w:rFonts w:ascii="Arial" w:hAnsi="Arial" w:cs="Arial"/>
          <w:sz w:val="18"/>
          <w:szCs w:val="18"/>
          <w:lang w:val="en-GB"/>
        </w:rPr>
        <w:t>The share of imports and exports from America moved in both directions of trade above 3 % border in 2013. Nevertheless the share of imports from America has decreased since the Czech Republic joined the EU whereas the share of exports has slightly increased.  We register increase in both indicators and also in all continents since 2010, only imports from Asia have since 2012 decreased in comparison with previous year</w:t>
      </w:r>
      <w:r w:rsidR="00043A11" w:rsidRPr="00C43CF9">
        <w:rPr>
          <w:rFonts w:ascii="Arial" w:hAnsi="Arial" w:cs="Arial"/>
          <w:sz w:val="18"/>
          <w:szCs w:val="18"/>
          <w:lang w:val="en-GB"/>
        </w:rPr>
        <w:t xml:space="preserve">. </w:t>
      </w:r>
    </w:p>
    <w:p w:rsidR="00C3100B" w:rsidRPr="00C43CF9" w:rsidRDefault="00634748" w:rsidP="0060062D">
      <w:pPr>
        <w:pStyle w:val="Odstavecseseznamem"/>
        <w:numPr>
          <w:ilvl w:val="1"/>
          <w:numId w:val="1"/>
        </w:numPr>
        <w:spacing w:after="120"/>
        <w:ind w:left="567" w:hanging="567"/>
        <w:rPr>
          <w:rFonts w:ascii="Arial" w:eastAsia="Calibri" w:hAnsi="Arial" w:cs="Arial"/>
          <w:b/>
          <w:color w:val="940094"/>
          <w:sz w:val="18"/>
          <w:szCs w:val="18"/>
          <w:lang w:val="en-GB"/>
        </w:rPr>
      </w:pPr>
      <w:r w:rsidRPr="00634748">
        <w:rPr>
          <w:rFonts w:ascii="Arial" w:eastAsia="Calibri" w:hAnsi="Arial" w:cs="Arial"/>
          <w:b/>
          <w:color w:val="940094"/>
          <w:sz w:val="18"/>
          <w:szCs w:val="18"/>
          <w:lang w:val="en-GB"/>
        </w:rPr>
        <w:lastRenderedPageBreak/>
        <w:t>Trade with neighbouring countries</w:t>
      </w:r>
    </w:p>
    <w:p w:rsidR="00EF10BA" w:rsidRPr="00C43CF9" w:rsidRDefault="00634748" w:rsidP="00B95873">
      <w:pPr>
        <w:spacing w:after="120"/>
        <w:jc w:val="both"/>
        <w:rPr>
          <w:rFonts w:ascii="Arial" w:hAnsi="Arial" w:cs="Arial"/>
          <w:sz w:val="18"/>
          <w:szCs w:val="18"/>
          <w:lang w:val="en-GB"/>
        </w:rPr>
      </w:pPr>
      <w:r w:rsidRPr="00634748">
        <w:rPr>
          <w:rFonts w:ascii="Arial" w:hAnsi="Arial" w:cs="Arial"/>
          <w:sz w:val="18"/>
          <w:szCs w:val="18"/>
          <w:lang w:val="en-GB"/>
        </w:rPr>
        <w:t xml:space="preserve">Trade with neighbouring countries is important part of overall Czech external trade, in the long term Germany is the most important Czech business partner both in exports and imports. This fact is also confirmed in </w:t>
      </w:r>
      <w:r w:rsidR="00DF654B">
        <w:rPr>
          <w:rFonts w:ascii="Arial" w:hAnsi="Arial" w:cs="Arial"/>
          <w:sz w:val="18"/>
          <w:szCs w:val="18"/>
          <w:lang w:val="en-GB"/>
        </w:rPr>
        <w:t>the table 3.6 </w:t>
      </w:r>
      <w:r w:rsidR="00DF654B">
        <w:rPr>
          <w:rFonts w:ascii="Arial" w:hAnsi="Arial" w:cs="Arial"/>
          <w:sz w:val="18"/>
          <w:szCs w:val="18"/>
          <w:lang w:val="en-GB"/>
        </w:rPr>
        <w:noBreakHyphen/>
        <w:t> </w:t>
      </w:r>
      <w:r w:rsidRPr="00634748">
        <w:rPr>
          <w:rFonts w:ascii="Arial" w:hAnsi="Arial" w:cs="Arial"/>
          <w:sz w:val="18"/>
          <w:szCs w:val="18"/>
          <w:lang w:val="en-GB"/>
        </w:rPr>
        <w:t>external trade of the Czech Republic with neighbouring countries in CZK million and shares in %</w:t>
      </w:r>
      <w:r w:rsidR="00B103D5" w:rsidRPr="00C43CF9">
        <w:rPr>
          <w:rFonts w:ascii="Arial" w:hAnsi="Arial" w:cs="Arial"/>
          <w:sz w:val="18"/>
          <w:szCs w:val="18"/>
          <w:lang w:val="en-GB"/>
        </w:rPr>
        <w:t xml:space="preserve">. </w:t>
      </w:r>
    </w:p>
    <w:p w:rsidR="0060062D" w:rsidRPr="00C43CF9" w:rsidRDefault="0060062D" w:rsidP="0060062D">
      <w:pPr>
        <w:shd w:val="clear" w:color="auto" w:fill="F5F3F7"/>
        <w:tabs>
          <w:tab w:val="left" w:pos="851"/>
          <w:tab w:val="left" w:pos="1418"/>
          <w:tab w:val="left" w:pos="1701"/>
        </w:tabs>
        <w:spacing w:after="8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w:t>
      </w:r>
      <w:r w:rsidR="0079163B" w:rsidRPr="00C43CF9">
        <w:rPr>
          <w:rFonts w:ascii="Arial" w:hAnsi="Arial" w:cs="Arial"/>
          <w:color w:val="940094"/>
          <w:sz w:val="18"/>
          <w:szCs w:val="18"/>
          <w:lang w:val="en-GB"/>
        </w:rPr>
        <w:t>8</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46629">
        <w:rPr>
          <w:rFonts w:ascii="Arial" w:hAnsi="Arial" w:cs="Arial"/>
          <w:color w:val="940094"/>
          <w:sz w:val="18"/>
          <w:szCs w:val="18"/>
          <w:lang w:val="en-GB"/>
        </w:rPr>
        <w:t xml:space="preserve">External trade with neighbouring countries, </w:t>
      </w:r>
      <w:r w:rsidRPr="00C43CF9">
        <w:rPr>
          <w:rFonts w:ascii="Arial" w:hAnsi="Arial" w:cs="Arial"/>
          <w:color w:val="940094"/>
          <w:sz w:val="18"/>
          <w:szCs w:val="18"/>
          <w:lang w:val="en-GB"/>
        </w:rPr>
        <w:t>2013</w:t>
      </w:r>
      <w:r w:rsidR="00546629">
        <w:rPr>
          <w:rFonts w:ascii="Arial" w:hAnsi="Arial" w:cs="Arial"/>
          <w:color w:val="940094"/>
          <w:sz w:val="18"/>
          <w:szCs w:val="18"/>
          <w:lang w:val="en-GB"/>
        </w:rPr>
        <w:t xml:space="preserve"> (shares in %)</w:t>
      </w:r>
    </w:p>
    <w:p w:rsidR="0060062D" w:rsidRPr="00C43CF9" w:rsidRDefault="00546629" w:rsidP="0060062D">
      <w:pPr>
        <w:spacing w:after="0"/>
        <w:ind w:left="1416" w:firstLine="708"/>
        <w:jc w:val="both"/>
        <w:rPr>
          <w:rFonts w:ascii="Arial" w:hAnsi="Arial" w:cs="Arial"/>
          <w:color w:val="940094"/>
          <w:sz w:val="18"/>
          <w:szCs w:val="18"/>
          <w:lang w:val="en-GB"/>
        </w:rPr>
      </w:pPr>
      <w:r>
        <w:rPr>
          <w:rFonts w:ascii="Arial" w:hAnsi="Arial" w:cs="Arial"/>
          <w:color w:val="940094"/>
          <w:sz w:val="18"/>
          <w:szCs w:val="18"/>
          <w:lang w:val="en-GB"/>
        </w:rPr>
        <w:t>exports</w:t>
      </w:r>
      <w:r w:rsidR="0060062D" w:rsidRPr="00C43CF9">
        <w:rPr>
          <w:rFonts w:ascii="Arial" w:hAnsi="Arial" w:cs="Arial"/>
          <w:color w:val="940094"/>
          <w:sz w:val="18"/>
          <w:szCs w:val="18"/>
          <w:lang w:val="en-GB"/>
        </w:rPr>
        <w:tab/>
        <w:t xml:space="preserve">                                        </w:t>
      </w:r>
      <w:r w:rsidR="0060062D" w:rsidRPr="00C43CF9">
        <w:rPr>
          <w:rFonts w:ascii="Arial" w:hAnsi="Arial" w:cs="Arial"/>
          <w:color w:val="940094"/>
          <w:sz w:val="18"/>
          <w:szCs w:val="18"/>
          <w:lang w:val="en-GB"/>
        </w:rPr>
        <w:tab/>
      </w:r>
      <w:r w:rsidR="0060062D" w:rsidRPr="00C43CF9">
        <w:rPr>
          <w:rFonts w:ascii="Arial" w:hAnsi="Arial" w:cs="Arial"/>
          <w:color w:val="940094"/>
          <w:sz w:val="18"/>
          <w:szCs w:val="18"/>
          <w:lang w:val="en-GB"/>
        </w:rPr>
        <w:tab/>
      </w:r>
      <w:r w:rsidR="0060062D" w:rsidRPr="00C43CF9">
        <w:rPr>
          <w:rFonts w:ascii="Arial" w:hAnsi="Arial" w:cs="Arial"/>
          <w:color w:val="940094"/>
          <w:sz w:val="18"/>
          <w:szCs w:val="18"/>
          <w:lang w:val="en-GB"/>
        </w:rPr>
        <w:tab/>
      </w:r>
      <w:r w:rsidR="0060062D" w:rsidRPr="00C43CF9">
        <w:rPr>
          <w:rFonts w:ascii="Arial" w:hAnsi="Arial" w:cs="Arial"/>
          <w:color w:val="940094"/>
          <w:sz w:val="18"/>
          <w:szCs w:val="18"/>
          <w:lang w:val="en-GB"/>
        </w:rPr>
        <w:tab/>
      </w:r>
      <w:r>
        <w:rPr>
          <w:rFonts w:ascii="Arial" w:hAnsi="Arial" w:cs="Arial"/>
          <w:color w:val="940094"/>
          <w:sz w:val="18"/>
          <w:szCs w:val="18"/>
          <w:lang w:val="en-GB"/>
        </w:rPr>
        <w:t>imports</w:t>
      </w:r>
    </w:p>
    <w:p w:rsidR="0060062D" w:rsidRPr="00C43CF9" w:rsidRDefault="006E02AF" w:rsidP="0060062D">
      <w:pPr>
        <w:spacing w:after="0"/>
        <w:jc w:val="both"/>
        <w:rPr>
          <w:rFonts w:ascii="Arial" w:hAnsi="Arial" w:cs="Arial"/>
          <w:sz w:val="18"/>
          <w:szCs w:val="18"/>
          <w:lang w:val="en-GB"/>
        </w:rPr>
      </w:pPr>
      <w:r>
        <w:rPr>
          <w:rFonts w:ascii="Arial" w:hAnsi="Arial" w:cs="Arial"/>
          <w:color w:val="940094"/>
          <w:sz w:val="18"/>
          <w:szCs w:val="18"/>
          <w:lang w:val="en-GB"/>
        </w:rPr>
        <w:t xml:space="preserve"> </w:t>
      </w:r>
      <w:r w:rsidR="0060062D" w:rsidRPr="00C43CF9">
        <w:rPr>
          <w:rFonts w:ascii="Arial" w:hAnsi="Arial" w:cs="Arial"/>
          <w:color w:val="940094"/>
          <w:sz w:val="18"/>
          <w:szCs w:val="18"/>
          <w:lang w:val="en-GB"/>
        </w:rPr>
        <w:t xml:space="preserve">       </w:t>
      </w:r>
      <w:r>
        <w:rPr>
          <w:rFonts w:ascii="Arial" w:hAnsi="Arial" w:cs="Arial"/>
          <w:color w:val="940094"/>
          <w:sz w:val="18"/>
          <w:szCs w:val="18"/>
          <w:lang w:val="en-GB"/>
        </w:rPr>
        <w:t xml:space="preserve"> </w:t>
      </w:r>
      <w:r w:rsidR="00E42016">
        <w:rPr>
          <w:rFonts w:ascii="Arial" w:hAnsi="Arial" w:cs="Arial"/>
          <w:color w:val="940094"/>
          <w:sz w:val="18"/>
          <w:szCs w:val="18"/>
          <w:lang w:val="en-GB"/>
        </w:rPr>
        <w:t xml:space="preserve">      </w:t>
      </w:r>
      <w:r>
        <w:rPr>
          <w:rFonts w:ascii="Arial" w:hAnsi="Arial" w:cs="Arial"/>
          <w:color w:val="940094"/>
          <w:sz w:val="18"/>
          <w:szCs w:val="18"/>
          <w:lang w:val="en-GB"/>
        </w:rPr>
        <w:t xml:space="preserve"> </w:t>
      </w:r>
      <w:r>
        <w:rPr>
          <w:rFonts w:ascii="Arial" w:hAnsi="Arial" w:cs="Arial"/>
          <w:color w:val="940094"/>
          <w:sz w:val="18"/>
          <w:szCs w:val="18"/>
          <w:lang w:val="en-GB"/>
        </w:rPr>
        <w:pict>
          <v:shape id="_x0000_i1038" type="#_x0000_t75" style="width:241.8pt;height:122.95pt">
            <v:imagedata r:id="rId17" o:title=""/>
          </v:shape>
        </w:pict>
      </w:r>
      <w:r>
        <w:rPr>
          <w:rFonts w:ascii="Arial" w:hAnsi="Arial" w:cs="Arial"/>
          <w:color w:val="940094"/>
          <w:sz w:val="18"/>
          <w:szCs w:val="18"/>
          <w:lang w:val="en-GB"/>
        </w:rPr>
        <w:t xml:space="preserve">       </w:t>
      </w:r>
      <w:r>
        <w:rPr>
          <w:rFonts w:ascii="Arial" w:hAnsi="Arial" w:cs="Arial"/>
          <w:color w:val="940094"/>
          <w:sz w:val="18"/>
          <w:szCs w:val="18"/>
          <w:lang w:val="en-GB"/>
        </w:rPr>
        <w:pict>
          <v:shape id="_x0000_i1037" type="#_x0000_t75" style="width:148.1pt;height:122.95pt">
            <v:imagedata r:id="rId18" o:title=""/>
          </v:shape>
        </w:pict>
      </w:r>
    </w:p>
    <w:p w:rsidR="00B103D5" w:rsidRPr="00C43CF9" w:rsidRDefault="00232A01" w:rsidP="001142E8">
      <w:pPr>
        <w:spacing w:before="120"/>
        <w:jc w:val="both"/>
        <w:rPr>
          <w:rFonts w:ascii="Arial" w:hAnsi="Arial" w:cs="Arial"/>
          <w:sz w:val="18"/>
          <w:szCs w:val="18"/>
          <w:lang w:val="en-GB"/>
        </w:rPr>
      </w:pPr>
      <w:r w:rsidRPr="00232A01">
        <w:rPr>
          <w:rFonts w:ascii="Arial" w:hAnsi="Arial" w:cs="Arial"/>
          <w:sz w:val="18"/>
          <w:szCs w:val="18"/>
          <w:lang w:val="en-GB"/>
        </w:rPr>
        <w:t>In the year the Czech Republic joined the EU exports to Germany accounted for 64.7% of exports to neighbouring countries and 36.2% of total exports of the Czech Republic. Imports to Germany in 2004 contained higher share than exports, accounted for 69.2% of imports to neighbouring countries and 31.7% of total imports to the Czech Republic. German share during tracked time period slightly decreased thorough Germany retained the position of the strongest trade partner of the Czech Republic</w:t>
      </w:r>
      <w:r w:rsidRPr="001E093F">
        <w:rPr>
          <w:rFonts w:ascii="Arial" w:hAnsi="Arial" w:cs="Arial"/>
          <w:sz w:val="18"/>
          <w:szCs w:val="18"/>
          <w:vertAlign w:val="superscript"/>
        </w:rPr>
        <w:footnoteReference w:id="1"/>
      </w:r>
      <w:r w:rsidR="001E093F">
        <w:rPr>
          <w:rFonts w:ascii="Arial" w:hAnsi="Arial" w:cs="Arial"/>
          <w:sz w:val="18"/>
          <w:szCs w:val="18"/>
          <w:lang w:val="en-GB"/>
        </w:rPr>
        <w:t>.</w:t>
      </w:r>
      <w:r w:rsidRPr="00232A01">
        <w:rPr>
          <w:rFonts w:ascii="Arial" w:hAnsi="Arial" w:cs="Arial"/>
          <w:sz w:val="18"/>
          <w:szCs w:val="18"/>
          <w:lang w:val="en-GB"/>
        </w:rPr>
        <w:t xml:space="preserve"> From remaining neighbouring countries very impor</w:t>
      </w:r>
      <w:r w:rsidR="00E50D85">
        <w:rPr>
          <w:rFonts w:ascii="Arial" w:hAnsi="Arial" w:cs="Arial"/>
          <w:sz w:val="18"/>
          <w:szCs w:val="18"/>
          <w:lang w:val="en-GB"/>
        </w:rPr>
        <w:t>tant are similarly Slovakia and </w:t>
      </w:r>
      <w:r w:rsidRPr="00232A01">
        <w:rPr>
          <w:rFonts w:ascii="Arial" w:hAnsi="Arial" w:cs="Arial"/>
          <w:sz w:val="18"/>
          <w:szCs w:val="18"/>
          <w:lang w:val="en-GB"/>
        </w:rPr>
        <w:t>Poland whose share both of exports and imports is increasing, mainly share of exports to these countries</w:t>
      </w:r>
      <w:r w:rsidR="00EF318C" w:rsidRPr="00C43CF9">
        <w:rPr>
          <w:rFonts w:ascii="Arial" w:hAnsi="Arial" w:cs="Arial"/>
          <w:sz w:val="18"/>
          <w:szCs w:val="18"/>
          <w:lang w:val="en-GB"/>
        </w:rPr>
        <w:t xml:space="preserve">. </w:t>
      </w:r>
    </w:p>
    <w:p w:rsidR="00EF318C" w:rsidRPr="00C43CF9" w:rsidRDefault="008638DF" w:rsidP="00EC0F6F">
      <w:pPr>
        <w:pStyle w:val="Nadpis1"/>
        <w:numPr>
          <w:ilvl w:val="0"/>
          <w:numId w:val="1"/>
        </w:numPr>
        <w:spacing w:before="120" w:after="120"/>
        <w:ind w:left="567" w:hanging="567"/>
        <w:rPr>
          <w:rFonts w:ascii="Arial" w:eastAsia="Calibri" w:hAnsi="Arial" w:cs="Arial"/>
          <w:bCs w:val="0"/>
          <w:color w:val="940094"/>
          <w:sz w:val="19"/>
          <w:szCs w:val="19"/>
          <w:lang w:val="en-GB"/>
        </w:rPr>
      </w:pPr>
      <w:r w:rsidRPr="008638DF">
        <w:rPr>
          <w:rFonts w:ascii="Arial" w:eastAsia="Calibri" w:hAnsi="Arial" w:cs="Arial"/>
          <w:bCs w:val="0"/>
          <w:color w:val="940094"/>
          <w:sz w:val="19"/>
          <w:szCs w:val="19"/>
          <w:lang w:val="en-GB"/>
        </w:rPr>
        <w:t>Main external trade partners</w:t>
      </w:r>
      <w:r>
        <w:rPr>
          <w:rFonts w:ascii="Arial" w:eastAsia="Calibri" w:hAnsi="Arial" w:cs="Arial"/>
          <w:bCs w:val="0"/>
          <w:color w:val="940094"/>
          <w:sz w:val="19"/>
          <w:szCs w:val="19"/>
          <w:lang w:val="en-GB"/>
        </w:rPr>
        <w:t xml:space="preserve"> of the Czech Republic</w:t>
      </w:r>
    </w:p>
    <w:p w:rsidR="00EC0F6F" w:rsidRPr="00C43CF9" w:rsidRDefault="008638DF" w:rsidP="00EC0F6F">
      <w:pPr>
        <w:spacing w:after="120"/>
        <w:jc w:val="both"/>
        <w:rPr>
          <w:rFonts w:ascii="Arial" w:hAnsi="Arial" w:cs="Arial"/>
          <w:sz w:val="18"/>
          <w:szCs w:val="18"/>
          <w:lang w:val="en-GB"/>
        </w:rPr>
      </w:pPr>
      <w:r w:rsidRPr="008638DF">
        <w:rPr>
          <w:rFonts w:ascii="Arial" w:hAnsi="Arial" w:cs="Arial"/>
          <w:sz w:val="18"/>
          <w:szCs w:val="18"/>
          <w:lang w:val="en-GB"/>
        </w:rPr>
        <w:t>EU member states belong among main external trade partners of the Czech Republic thorough on the leading positions in statistics of important countries for the Czech Republic could be seen also China, Russian Federation, United States or Japan as non-EU countries</w:t>
      </w:r>
      <w:r w:rsidR="00EF318C" w:rsidRPr="00C43CF9">
        <w:rPr>
          <w:rFonts w:ascii="Arial" w:hAnsi="Arial" w:cs="Arial"/>
          <w:sz w:val="18"/>
          <w:szCs w:val="18"/>
          <w:lang w:val="en-GB"/>
        </w:rPr>
        <w:t xml:space="preserve">. </w:t>
      </w:r>
    </w:p>
    <w:p w:rsidR="00EC0F6F" w:rsidRPr="00C43CF9" w:rsidRDefault="008638DF" w:rsidP="00EC0F6F">
      <w:pPr>
        <w:spacing w:after="120"/>
        <w:jc w:val="both"/>
        <w:rPr>
          <w:rFonts w:ascii="Arial" w:hAnsi="Arial" w:cs="Arial"/>
          <w:sz w:val="18"/>
          <w:szCs w:val="18"/>
          <w:lang w:val="en-GB"/>
        </w:rPr>
      </w:pPr>
      <w:r w:rsidRPr="008638DF">
        <w:rPr>
          <w:rFonts w:ascii="Arial" w:hAnsi="Arial" w:cs="Arial"/>
          <w:sz w:val="18"/>
          <w:szCs w:val="18"/>
          <w:lang w:val="en-GB"/>
        </w:rPr>
        <w:t>Tables 4.1</w:t>
      </w:r>
      <w:r>
        <w:rPr>
          <w:rFonts w:ascii="Arial" w:hAnsi="Arial" w:cs="Arial"/>
          <w:sz w:val="18"/>
          <w:szCs w:val="18"/>
          <w:lang w:val="en-GB"/>
        </w:rPr>
        <w:t xml:space="preserve"> </w:t>
      </w:r>
      <w:r w:rsidRPr="008638DF">
        <w:rPr>
          <w:rFonts w:ascii="Arial" w:hAnsi="Arial" w:cs="Arial"/>
          <w:sz w:val="18"/>
          <w:szCs w:val="18"/>
          <w:lang w:val="en-GB"/>
        </w:rPr>
        <w:t>-</w:t>
      </w:r>
      <w:r>
        <w:rPr>
          <w:rFonts w:ascii="Arial" w:hAnsi="Arial" w:cs="Arial"/>
          <w:sz w:val="18"/>
          <w:szCs w:val="18"/>
          <w:lang w:val="en-GB"/>
        </w:rPr>
        <w:t xml:space="preserve"> </w:t>
      </w:r>
      <w:r w:rsidRPr="008638DF">
        <w:rPr>
          <w:rFonts w:ascii="Arial" w:hAnsi="Arial" w:cs="Arial"/>
          <w:sz w:val="18"/>
          <w:szCs w:val="18"/>
          <w:lang w:val="en-GB"/>
        </w:rPr>
        <w:t>4.4 provide summary of main external trade partners of the Czech Republic in 2004, 2007, 2010 and 2013. As was shown in tables above, in aforementioned years, the main trade partner of the Czech Republic</w:t>
      </w:r>
      <w:r>
        <w:rPr>
          <w:rFonts w:ascii="Arial" w:hAnsi="Arial" w:cs="Arial"/>
          <w:sz w:val="18"/>
          <w:szCs w:val="18"/>
          <w:lang w:val="en-GB"/>
        </w:rPr>
        <w:t xml:space="preserve"> was Germany in </w:t>
      </w:r>
      <w:r w:rsidRPr="008638DF">
        <w:rPr>
          <w:rFonts w:ascii="Arial" w:hAnsi="Arial" w:cs="Arial"/>
          <w:sz w:val="18"/>
          <w:szCs w:val="18"/>
          <w:lang w:val="en-GB"/>
        </w:rPr>
        <w:t>exports and imports as well as turnover. In 2004 Slovakia ranked as the second main trade partner</w:t>
      </w:r>
      <w:r>
        <w:rPr>
          <w:rFonts w:ascii="Arial" w:hAnsi="Arial" w:cs="Arial"/>
          <w:sz w:val="18"/>
          <w:szCs w:val="18"/>
          <w:lang w:val="en-GB"/>
        </w:rPr>
        <w:t xml:space="preserve"> in all </w:t>
      </w:r>
      <w:r w:rsidRPr="008638DF">
        <w:rPr>
          <w:rFonts w:ascii="Arial" w:hAnsi="Arial" w:cs="Arial"/>
          <w:sz w:val="18"/>
          <w:szCs w:val="18"/>
          <w:lang w:val="en-GB"/>
        </w:rPr>
        <w:t xml:space="preserve">abovementioned indicators, its share on turnover of the Czech Republic was 6.9%. Already in 2007 China was </w:t>
      </w:r>
      <w:r>
        <w:rPr>
          <w:rFonts w:ascii="Arial" w:hAnsi="Arial" w:cs="Arial"/>
          <w:sz w:val="18"/>
          <w:szCs w:val="18"/>
          <w:lang w:val="en-GB"/>
        </w:rPr>
        <w:t>on </w:t>
      </w:r>
      <w:r w:rsidRPr="008638DF">
        <w:rPr>
          <w:rFonts w:ascii="Arial" w:hAnsi="Arial" w:cs="Arial"/>
          <w:sz w:val="18"/>
          <w:szCs w:val="18"/>
          <w:lang w:val="en-GB"/>
        </w:rPr>
        <w:t>the second position in imports with share 7.8% of overall Czech imports</w:t>
      </w:r>
      <w:r w:rsidR="009E680B" w:rsidRPr="00C43CF9">
        <w:rPr>
          <w:rFonts w:ascii="Arial" w:hAnsi="Arial" w:cs="Arial"/>
          <w:sz w:val="18"/>
          <w:szCs w:val="18"/>
          <w:lang w:val="en-GB"/>
        </w:rPr>
        <w:t xml:space="preserve">. </w:t>
      </w:r>
    </w:p>
    <w:p w:rsidR="00987341" w:rsidRPr="00C43CF9" w:rsidRDefault="00987341" w:rsidP="006B49AF">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Tab</w:t>
      </w:r>
      <w:r w:rsidR="009656E8">
        <w:rPr>
          <w:rFonts w:ascii="Arial" w:hAnsi="Arial" w:cs="Arial"/>
          <w:color w:val="940094"/>
          <w:sz w:val="18"/>
          <w:szCs w:val="18"/>
          <w:lang w:val="en-GB"/>
        </w:rPr>
        <w:t>le</w:t>
      </w:r>
      <w:r w:rsidRPr="00C43CF9">
        <w:rPr>
          <w:rFonts w:ascii="Arial" w:hAnsi="Arial" w:cs="Arial"/>
          <w:color w:val="940094"/>
          <w:sz w:val="18"/>
          <w:szCs w:val="18"/>
          <w:lang w:val="en-GB"/>
        </w:rPr>
        <w:t xml:space="preserve"> 1</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46629">
        <w:rPr>
          <w:rFonts w:ascii="Arial" w:hAnsi="Arial" w:cs="Arial"/>
          <w:color w:val="940094"/>
          <w:sz w:val="18"/>
          <w:szCs w:val="18"/>
          <w:lang w:val="en-GB"/>
        </w:rPr>
        <w:t>Country rankings by Czech exports</w:t>
      </w:r>
    </w:p>
    <w:tbl>
      <w:tblPr>
        <w:tblStyle w:val="Mkatabulky"/>
        <w:tblW w:w="9639" w:type="dxa"/>
        <w:jc w:val="center"/>
        <w:tblBorders>
          <w:left w:val="none" w:sz="0" w:space="0" w:color="auto"/>
          <w:right w:val="none" w:sz="0" w:space="0" w:color="auto"/>
        </w:tblBorders>
        <w:tblLook w:val="04A0"/>
      </w:tblPr>
      <w:tblGrid>
        <w:gridCol w:w="568"/>
        <w:gridCol w:w="1511"/>
        <w:gridCol w:w="1512"/>
        <w:gridCol w:w="1512"/>
        <w:gridCol w:w="1512"/>
        <w:gridCol w:w="1512"/>
        <w:gridCol w:w="1512"/>
      </w:tblGrid>
      <w:tr w:rsidR="00987341" w:rsidRPr="00C43CF9" w:rsidTr="008A5CD4">
        <w:trPr>
          <w:trHeight w:val="369"/>
          <w:jc w:val="center"/>
        </w:trPr>
        <w:tc>
          <w:tcPr>
            <w:tcW w:w="568" w:type="dxa"/>
            <w:tcBorders>
              <w:top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2004</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2006</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2008</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2010</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2012</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2013</w:t>
            </w:r>
          </w:p>
        </w:tc>
      </w:tr>
      <w:tr w:rsidR="00987341" w:rsidRPr="00C43CF9" w:rsidTr="008A5CD4">
        <w:trPr>
          <w:trHeight w:val="283"/>
          <w:jc w:val="center"/>
        </w:trPr>
        <w:tc>
          <w:tcPr>
            <w:tcW w:w="568" w:type="dxa"/>
            <w:tcBorders>
              <w:top w:val="single" w:sz="4" w:space="0" w:color="940094"/>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1.</w:t>
            </w:r>
          </w:p>
        </w:tc>
        <w:tc>
          <w:tcPr>
            <w:tcW w:w="1511"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3.</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Austria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4.</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France</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France</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France</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France</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France</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5.</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546629">
            <w:pPr>
              <w:rPr>
                <w:rFonts w:ascii="Arial" w:hAnsi="Arial" w:cs="Arial"/>
                <w:sz w:val="18"/>
                <w:szCs w:val="18"/>
                <w:lang w:val="en-GB"/>
              </w:rPr>
            </w:pPr>
            <w:r>
              <w:rPr>
                <w:rFonts w:ascii="Arial" w:hAnsi="Arial" w:cs="Arial"/>
                <w:sz w:val="18"/>
                <w:szCs w:val="18"/>
                <w:lang w:val="en-GB"/>
              </w:rPr>
              <w:t>United Kingdom</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Austria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United Kingdom</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United Kingdom</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United Kingdom</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United Kingdom</w:t>
            </w:r>
          </w:p>
        </w:tc>
      </w:tr>
    </w:tbl>
    <w:p w:rsidR="00987341" w:rsidRDefault="00987341" w:rsidP="00160273">
      <w:pPr>
        <w:spacing w:after="0"/>
        <w:jc w:val="both"/>
        <w:rPr>
          <w:rFonts w:ascii="Arial" w:hAnsi="Arial" w:cs="Arial"/>
          <w:sz w:val="18"/>
          <w:szCs w:val="18"/>
          <w:lang w:val="en-GB"/>
        </w:rPr>
      </w:pPr>
    </w:p>
    <w:p w:rsidR="00160273" w:rsidRPr="00C43CF9" w:rsidRDefault="00160273" w:rsidP="00160273">
      <w:pPr>
        <w:spacing w:after="240"/>
        <w:jc w:val="both"/>
        <w:rPr>
          <w:rFonts w:ascii="Arial" w:hAnsi="Arial" w:cs="Arial"/>
          <w:sz w:val="18"/>
          <w:szCs w:val="18"/>
          <w:lang w:val="en-GB"/>
        </w:rPr>
      </w:pPr>
      <w:r w:rsidRPr="008638DF">
        <w:rPr>
          <w:rFonts w:ascii="Arial" w:hAnsi="Arial" w:cs="Arial"/>
          <w:sz w:val="18"/>
          <w:szCs w:val="18"/>
          <w:lang w:val="en-GB"/>
        </w:rPr>
        <w:t>The Czech Republic's trade with China is specific with its markedly negative trade balance; imports from China reached high values while exports in 2007 were ranked on 21</w:t>
      </w:r>
      <w:r w:rsidRPr="00E50D85">
        <w:rPr>
          <w:rFonts w:ascii="Arial" w:hAnsi="Arial" w:cs="Arial"/>
          <w:sz w:val="18"/>
          <w:szCs w:val="18"/>
          <w:vertAlign w:val="superscript"/>
          <w:lang w:val="en-GB"/>
        </w:rPr>
        <w:t>st</w:t>
      </w:r>
      <w:r w:rsidRPr="008638DF">
        <w:rPr>
          <w:rFonts w:ascii="Arial" w:hAnsi="Arial" w:cs="Arial"/>
          <w:sz w:val="18"/>
          <w:szCs w:val="18"/>
          <w:lang w:val="en-GB"/>
        </w:rPr>
        <w:t xml:space="preserve"> position among the most important trade partners´ evaluation. </w:t>
      </w:r>
      <w:r w:rsidRPr="008638DF">
        <w:rPr>
          <w:rFonts w:ascii="Arial" w:hAnsi="Arial" w:cs="Arial"/>
          <w:spacing w:val="-2"/>
          <w:sz w:val="18"/>
          <w:szCs w:val="18"/>
          <w:lang w:val="en-GB"/>
        </w:rPr>
        <w:t>This fact caused that the turnover of trade with Slovakia remained also in 2007 considerably high in value (CZK 342.6 bn)</w:t>
      </w:r>
      <w:r w:rsidRPr="008638DF">
        <w:rPr>
          <w:rFonts w:ascii="Arial" w:hAnsi="Arial" w:cs="Arial"/>
          <w:sz w:val="18"/>
          <w:szCs w:val="18"/>
          <w:lang w:val="en-GB"/>
        </w:rPr>
        <w:t xml:space="preserve"> and continued ranked on the second position with 7% share on overall Czech turnover while China ranked on 7</w:t>
      </w:r>
      <w:r w:rsidRPr="00E50D85">
        <w:rPr>
          <w:rFonts w:ascii="Arial" w:hAnsi="Arial" w:cs="Arial"/>
          <w:sz w:val="18"/>
          <w:szCs w:val="18"/>
          <w:vertAlign w:val="superscript"/>
          <w:lang w:val="en-GB"/>
        </w:rPr>
        <w:t>th</w:t>
      </w:r>
      <w:r w:rsidRPr="008638DF">
        <w:rPr>
          <w:rFonts w:ascii="Arial" w:hAnsi="Arial" w:cs="Arial"/>
          <w:sz w:val="18"/>
          <w:szCs w:val="18"/>
          <w:lang w:val="en-GB"/>
        </w:rPr>
        <w:t xml:space="preserve"> position. Identical representation of countries on the second position continued the same also in following tracked years</w:t>
      </w:r>
      <w:r w:rsidRPr="00C43CF9">
        <w:rPr>
          <w:rFonts w:ascii="Arial" w:hAnsi="Arial" w:cs="Arial"/>
          <w:sz w:val="18"/>
          <w:szCs w:val="18"/>
          <w:lang w:val="en-GB"/>
        </w:rPr>
        <w:t xml:space="preserve">. </w:t>
      </w:r>
    </w:p>
    <w:p w:rsidR="00EC0F6F" w:rsidRPr="00C43CF9" w:rsidRDefault="00E42016" w:rsidP="00EC0F6F">
      <w:pPr>
        <w:spacing w:after="120"/>
        <w:jc w:val="both"/>
        <w:rPr>
          <w:rFonts w:ascii="Arial" w:hAnsi="Arial" w:cs="Arial"/>
          <w:sz w:val="18"/>
          <w:szCs w:val="18"/>
          <w:lang w:val="en-GB"/>
        </w:rPr>
      </w:pPr>
      <w:r w:rsidRPr="00E42016">
        <w:rPr>
          <w:rFonts w:ascii="Arial" w:hAnsi="Arial" w:cs="Arial"/>
          <w:sz w:val="18"/>
          <w:szCs w:val="18"/>
          <w:lang w:val="en-GB"/>
        </w:rPr>
        <w:lastRenderedPageBreak/>
        <w:t>In 2004 Czech exports to Austria accounted for 6.0% of overall exports and also turnover of trade with Austria was significant, it reached CZK 173.8 bn which presented 5% of overall turnover</w:t>
      </w:r>
      <w:r w:rsidR="005D096F" w:rsidRPr="00C43CF9">
        <w:rPr>
          <w:rFonts w:ascii="Arial" w:hAnsi="Arial" w:cs="Arial"/>
          <w:sz w:val="18"/>
          <w:szCs w:val="18"/>
          <w:lang w:val="en-GB"/>
        </w:rPr>
        <w:t xml:space="preserve">. </w:t>
      </w:r>
    </w:p>
    <w:p w:rsidR="00B5659F" w:rsidRPr="00C43CF9" w:rsidRDefault="00E42016" w:rsidP="0040793E">
      <w:pPr>
        <w:jc w:val="both"/>
        <w:rPr>
          <w:rFonts w:ascii="Arial" w:hAnsi="Arial" w:cs="Arial"/>
          <w:sz w:val="18"/>
          <w:szCs w:val="18"/>
          <w:lang w:val="en-GB"/>
        </w:rPr>
      </w:pPr>
      <w:r w:rsidRPr="00E42016">
        <w:rPr>
          <w:rFonts w:ascii="Arial" w:hAnsi="Arial" w:cs="Arial"/>
          <w:sz w:val="18"/>
          <w:szCs w:val="18"/>
          <w:lang w:val="en-GB"/>
        </w:rPr>
        <w:t>Third most important imports´ partner of the Czech Republic was in 2004 Italy with 5.3% share of overall Czech imports. After joining of the Czech Republic to the EU has the trend changed and Poland was gaining continually higher impact on the Czech external trade. In 2007 Poland ranked on the third position in all tracked indicators with less than 6% share of turnover and exports, in imports embodied imports to Poland 5.7% share</w:t>
      </w:r>
      <w:r w:rsidR="005D096F" w:rsidRPr="00C43CF9">
        <w:rPr>
          <w:rFonts w:ascii="Arial" w:hAnsi="Arial" w:cs="Arial"/>
          <w:sz w:val="18"/>
          <w:szCs w:val="18"/>
          <w:lang w:val="en-GB"/>
        </w:rPr>
        <w:t xml:space="preserve">. </w:t>
      </w:r>
    </w:p>
    <w:p w:rsidR="00987341" w:rsidRPr="00C43CF9" w:rsidRDefault="00987341" w:rsidP="00987341">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Tab</w:t>
      </w:r>
      <w:r w:rsidR="009656E8">
        <w:rPr>
          <w:rFonts w:ascii="Arial" w:hAnsi="Arial" w:cs="Arial"/>
          <w:color w:val="940094"/>
          <w:sz w:val="18"/>
          <w:szCs w:val="18"/>
          <w:lang w:val="en-GB"/>
        </w:rPr>
        <w:t xml:space="preserve">le </w:t>
      </w:r>
      <w:r w:rsidRPr="00C43CF9">
        <w:rPr>
          <w:rFonts w:ascii="Arial" w:hAnsi="Arial" w:cs="Arial"/>
          <w:color w:val="940094"/>
          <w:sz w:val="18"/>
          <w:szCs w:val="18"/>
          <w:lang w:val="en-GB"/>
        </w:rPr>
        <w:t>2</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46629">
        <w:rPr>
          <w:rFonts w:ascii="Arial" w:hAnsi="Arial" w:cs="Arial"/>
          <w:color w:val="940094"/>
          <w:sz w:val="18"/>
          <w:szCs w:val="18"/>
          <w:lang w:val="en-GB"/>
        </w:rPr>
        <w:t>Country rankings by Czech imports</w:t>
      </w:r>
    </w:p>
    <w:tbl>
      <w:tblPr>
        <w:tblStyle w:val="Mkatabulky"/>
        <w:tblW w:w="9639" w:type="dxa"/>
        <w:jc w:val="center"/>
        <w:tblBorders>
          <w:left w:val="none" w:sz="0" w:space="0" w:color="auto"/>
          <w:right w:val="none" w:sz="0" w:space="0" w:color="auto"/>
        </w:tblBorders>
        <w:tblLook w:val="04A0"/>
      </w:tblPr>
      <w:tblGrid>
        <w:gridCol w:w="568"/>
        <w:gridCol w:w="1511"/>
        <w:gridCol w:w="1512"/>
        <w:gridCol w:w="1512"/>
        <w:gridCol w:w="1512"/>
        <w:gridCol w:w="1512"/>
        <w:gridCol w:w="1512"/>
      </w:tblGrid>
      <w:tr w:rsidR="00987341" w:rsidRPr="00C43CF9" w:rsidTr="008A5CD4">
        <w:trPr>
          <w:trHeight w:val="369"/>
          <w:jc w:val="center"/>
        </w:trPr>
        <w:tc>
          <w:tcPr>
            <w:tcW w:w="568" w:type="dxa"/>
            <w:tcBorders>
              <w:top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2004</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2006</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2008</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2010</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2012</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5E0EC"/>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2013</w:t>
            </w:r>
          </w:p>
        </w:tc>
      </w:tr>
      <w:tr w:rsidR="00987341" w:rsidRPr="00C43CF9" w:rsidTr="008A5CD4">
        <w:trPr>
          <w:trHeight w:val="283"/>
          <w:jc w:val="center"/>
        </w:trPr>
        <w:tc>
          <w:tcPr>
            <w:tcW w:w="568" w:type="dxa"/>
            <w:tcBorders>
              <w:top w:val="single" w:sz="4" w:space="0" w:color="940094"/>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1.</w:t>
            </w:r>
          </w:p>
        </w:tc>
        <w:tc>
          <w:tcPr>
            <w:tcW w:w="1511"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c>
          <w:tcPr>
            <w:tcW w:w="1512" w:type="dxa"/>
            <w:tcBorders>
              <w:top w:val="single" w:sz="4" w:space="0" w:color="940094"/>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Germany</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2.</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China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China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China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China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China</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3.</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Italy</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Russia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Russia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4.</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China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Russia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r>
      <w:tr w:rsidR="00987341" w:rsidRPr="00C43CF9" w:rsidTr="008A5CD4">
        <w:trPr>
          <w:trHeight w:val="283"/>
          <w:jc w:val="center"/>
        </w:trPr>
        <w:tc>
          <w:tcPr>
            <w:tcW w:w="56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987341" w:rsidP="008A5CD4">
            <w:pPr>
              <w:jc w:val="center"/>
              <w:rPr>
                <w:rFonts w:ascii="Arial" w:hAnsi="Arial" w:cs="Arial"/>
                <w:sz w:val="18"/>
                <w:szCs w:val="18"/>
                <w:lang w:val="en-GB"/>
              </w:rPr>
            </w:pPr>
            <w:r w:rsidRPr="00C43CF9">
              <w:rPr>
                <w:rFonts w:ascii="Arial" w:hAnsi="Arial" w:cs="Arial"/>
                <w:sz w:val="18"/>
                <w:szCs w:val="18"/>
                <w:lang w:val="en-GB"/>
              </w:rPr>
              <w:t>5.</w:t>
            </w:r>
          </w:p>
        </w:tc>
        <w:tc>
          <w:tcPr>
            <w:tcW w:w="1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Poland</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Slovakia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Russia</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987341" w:rsidRPr="00C43CF9" w:rsidRDefault="00546629" w:rsidP="008A5CD4">
            <w:pPr>
              <w:rPr>
                <w:rFonts w:ascii="Arial" w:hAnsi="Arial" w:cs="Arial"/>
                <w:sz w:val="18"/>
                <w:szCs w:val="18"/>
                <w:lang w:val="en-GB"/>
              </w:rPr>
            </w:pPr>
            <w:r>
              <w:rPr>
                <w:rFonts w:ascii="Arial" w:hAnsi="Arial" w:cs="Arial"/>
                <w:sz w:val="18"/>
                <w:szCs w:val="18"/>
                <w:lang w:val="en-GB"/>
              </w:rPr>
              <w:t>Russia</w:t>
            </w:r>
          </w:p>
        </w:tc>
      </w:tr>
    </w:tbl>
    <w:p w:rsidR="00987341" w:rsidRPr="00C43CF9" w:rsidRDefault="00987341" w:rsidP="00CD5272">
      <w:pPr>
        <w:spacing w:after="0"/>
        <w:jc w:val="both"/>
        <w:rPr>
          <w:rFonts w:ascii="Arial" w:hAnsi="Arial" w:cs="Arial"/>
          <w:sz w:val="18"/>
          <w:szCs w:val="18"/>
          <w:lang w:val="en-GB"/>
        </w:rPr>
      </w:pPr>
    </w:p>
    <w:p w:rsidR="00192772" w:rsidRPr="00C43CF9" w:rsidRDefault="00E42016" w:rsidP="00192772">
      <w:pPr>
        <w:spacing w:after="120"/>
        <w:jc w:val="both"/>
        <w:rPr>
          <w:rFonts w:ascii="Arial" w:hAnsi="Arial" w:cs="Arial"/>
          <w:sz w:val="18"/>
          <w:szCs w:val="18"/>
          <w:lang w:val="en-GB"/>
        </w:rPr>
      </w:pPr>
      <w:r w:rsidRPr="00E42016">
        <w:rPr>
          <w:rFonts w:ascii="Arial" w:hAnsi="Arial" w:cs="Arial"/>
          <w:sz w:val="18"/>
          <w:szCs w:val="18"/>
          <w:lang w:val="en-GB"/>
        </w:rPr>
        <w:t>In time period forthwith after economic crisis, in 2010, China ranked on third position in external trade turnover. China's</w:t>
      </w:r>
      <w:r>
        <w:rPr>
          <w:rFonts w:ascii="Arial" w:hAnsi="Arial" w:cs="Arial"/>
          <w:sz w:val="18"/>
          <w:szCs w:val="18"/>
          <w:lang w:val="en-GB"/>
        </w:rPr>
        <w:t> </w:t>
      </w:r>
      <w:r w:rsidRPr="00E42016">
        <w:rPr>
          <w:rFonts w:ascii="Arial" w:hAnsi="Arial" w:cs="Arial"/>
          <w:sz w:val="18"/>
          <w:szCs w:val="18"/>
          <w:lang w:val="en-GB"/>
        </w:rPr>
        <w:t>share in imports to the Czech Republic has nearly doubled since 2007 and despit</w:t>
      </w:r>
      <w:r>
        <w:rPr>
          <w:rFonts w:ascii="Arial" w:hAnsi="Arial" w:cs="Arial"/>
          <w:sz w:val="18"/>
          <w:szCs w:val="18"/>
          <w:lang w:val="en-GB"/>
        </w:rPr>
        <w:t>e the fact that China ranked on </w:t>
      </w:r>
      <w:r w:rsidRPr="00E42016">
        <w:rPr>
          <w:rFonts w:ascii="Arial" w:hAnsi="Arial" w:cs="Arial"/>
          <w:sz w:val="18"/>
          <w:szCs w:val="18"/>
          <w:lang w:val="en-GB"/>
        </w:rPr>
        <w:t>17</w:t>
      </w:r>
      <w:r w:rsidRPr="00E42016">
        <w:rPr>
          <w:rFonts w:ascii="Arial" w:hAnsi="Arial" w:cs="Arial"/>
          <w:sz w:val="18"/>
          <w:szCs w:val="18"/>
          <w:vertAlign w:val="superscript"/>
          <w:lang w:val="en-GB"/>
        </w:rPr>
        <w:t>th</w:t>
      </w:r>
      <w:r w:rsidRPr="00E42016">
        <w:rPr>
          <w:rFonts w:ascii="Arial" w:hAnsi="Arial" w:cs="Arial"/>
          <w:sz w:val="18"/>
          <w:szCs w:val="18"/>
          <w:lang w:val="en-GB"/>
        </w:rPr>
        <w:t xml:space="preserve"> position in overall exports, total turnover with China in 2010 created 6.5% of over</w:t>
      </w:r>
      <w:r>
        <w:rPr>
          <w:rFonts w:ascii="Arial" w:hAnsi="Arial" w:cs="Arial"/>
          <w:sz w:val="18"/>
          <w:szCs w:val="18"/>
          <w:lang w:val="en-GB"/>
        </w:rPr>
        <w:t>all external trade turnover. In </w:t>
      </w:r>
      <w:r w:rsidRPr="00E42016">
        <w:rPr>
          <w:rFonts w:ascii="Arial" w:hAnsi="Arial" w:cs="Arial"/>
          <w:sz w:val="18"/>
          <w:szCs w:val="18"/>
          <w:lang w:val="en-GB"/>
        </w:rPr>
        <w:t>2013 Poland came in front of China once again</w:t>
      </w:r>
      <w:r w:rsidR="00192772" w:rsidRPr="00C43CF9">
        <w:rPr>
          <w:rFonts w:ascii="Arial" w:hAnsi="Arial" w:cs="Arial"/>
          <w:sz w:val="18"/>
          <w:szCs w:val="18"/>
          <w:lang w:val="en-GB"/>
        </w:rPr>
        <w:t xml:space="preserve">. </w:t>
      </w:r>
    </w:p>
    <w:p w:rsidR="00192772" w:rsidRPr="00C43CF9" w:rsidRDefault="00E42016" w:rsidP="00192772">
      <w:pPr>
        <w:spacing w:after="120"/>
        <w:jc w:val="both"/>
        <w:rPr>
          <w:rFonts w:ascii="Arial" w:hAnsi="Arial" w:cs="Arial"/>
          <w:sz w:val="18"/>
          <w:szCs w:val="18"/>
          <w:lang w:val="en-GB"/>
        </w:rPr>
      </w:pPr>
      <w:r w:rsidRPr="00E42016">
        <w:rPr>
          <w:rFonts w:ascii="Arial" w:hAnsi="Arial" w:cs="Arial"/>
          <w:sz w:val="18"/>
          <w:szCs w:val="18"/>
          <w:lang w:val="en-GB"/>
        </w:rPr>
        <w:t>Following table 4.5 complements preceding tables and digestedly shows ranking of individual countries in Czech exports and imports and its share of overall exports and imports respectively, the indicator is expressed as a percentage</w:t>
      </w:r>
      <w:r w:rsidR="00192772" w:rsidRPr="00C43CF9">
        <w:rPr>
          <w:rFonts w:ascii="Arial" w:hAnsi="Arial" w:cs="Arial"/>
          <w:sz w:val="18"/>
          <w:szCs w:val="18"/>
          <w:lang w:val="en-GB"/>
        </w:rPr>
        <w:t xml:space="preserve">. </w:t>
      </w:r>
    </w:p>
    <w:p w:rsidR="003A4319" w:rsidRPr="00C43CF9" w:rsidRDefault="00E42016" w:rsidP="00E42016">
      <w:pPr>
        <w:spacing w:after="120"/>
        <w:jc w:val="both"/>
        <w:rPr>
          <w:rFonts w:ascii="Arial" w:hAnsi="Arial" w:cs="Arial"/>
          <w:sz w:val="18"/>
          <w:szCs w:val="18"/>
          <w:lang w:val="en-GB"/>
        </w:rPr>
      </w:pPr>
      <w:r w:rsidRPr="00E42016">
        <w:rPr>
          <w:rFonts w:ascii="Arial" w:hAnsi="Arial" w:cs="Arial"/>
          <w:sz w:val="18"/>
          <w:szCs w:val="18"/>
          <w:lang w:val="en-GB"/>
        </w:rPr>
        <w:t>Membership in the European Union offers the indication that the Czech external trade concentrates on trade with other member states which is encouraged by existence of free trade area in EU. It is accurate that the most important trade partners of the Czech Republic are likewise member states of EU, but also non-EU countries especially Asian countries are more visible among the most important external trade partners of the Czech Republic in preceding years</w:t>
      </w:r>
      <w:r w:rsidR="003A4319" w:rsidRPr="00C43CF9">
        <w:rPr>
          <w:rFonts w:ascii="Arial" w:hAnsi="Arial" w:cs="Arial"/>
          <w:sz w:val="18"/>
          <w:szCs w:val="18"/>
          <w:lang w:val="en-GB"/>
        </w:rPr>
        <w:t xml:space="preserve">. </w:t>
      </w:r>
    </w:p>
    <w:p w:rsidR="00CD5272" w:rsidRPr="00C43CF9" w:rsidRDefault="00CD5272" w:rsidP="00E50D85">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w:t>
      </w:r>
      <w:r w:rsidR="0079163B" w:rsidRPr="00C43CF9">
        <w:rPr>
          <w:rFonts w:ascii="Arial" w:hAnsi="Arial" w:cs="Arial"/>
          <w:color w:val="940094"/>
          <w:sz w:val="18"/>
          <w:szCs w:val="18"/>
          <w:lang w:val="en-GB"/>
        </w:rPr>
        <w:t>9</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546629">
        <w:rPr>
          <w:rFonts w:ascii="Arial" w:hAnsi="Arial" w:cs="Arial"/>
          <w:color w:val="940094"/>
          <w:sz w:val="18"/>
          <w:szCs w:val="18"/>
          <w:lang w:val="en-GB"/>
        </w:rPr>
        <w:t>The most important trade partners,</w:t>
      </w:r>
      <w:r w:rsidRPr="00C43CF9">
        <w:rPr>
          <w:rFonts w:ascii="Arial" w:hAnsi="Arial" w:cs="Arial"/>
          <w:color w:val="940094"/>
          <w:sz w:val="18"/>
          <w:szCs w:val="18"/>
          <w:lang w:val="en-GB"/>
        </w:rPr>
        <w:t xml:space="preserve"> 2013</w:t>
      </w:r>
    </w:p>
    <w:p w:rsidR="00CD5272" w:rsidRPr="00C43CF9" w:rsidRDefault="0079163B" w:rsidP="00E42016">
      <w:pPr>
        <w:spacing w:after="40"/>
        <w:ind w:left="1416" w:firstLine="708"/>
        <w:jc w:val="both"/>
        <w:rPr>
          <w:rFonts w:ascii="Arial" w:hAnsi="Arial" w:cs="Arial"/>
          <w:color w:val="940094"/>
          <w:sz w:val="18"/>
          <w:szCs w:val="18"/>
          <w:lang w:val="en-GB"/>
        </w:rPr>
      </w:pPr>
      <w:r w:rsidRPr="00C43CF9">
        <w:rPr>
          <w:rFonts w:ascii="Arial" w:hAnsi="Arial" w:cs="Arial"/>
          <w:color w:val="940094"/>
          <w:sz w:val="18"/>
          <w:szCs w:val="18"/>
          <w:lang w:val="en-GB"/>
        </w:rPr>
        <w:t xml:space="preserve">     </w:t>
      </w:r>
      <w:r w:rsidR="00546629">
        <w:rPr>
          <w:rFonts w:ascii="Arial" w:hAnsi="Arial" w:cs="Arial"/>
          <w:color w:val="940094"/>
          <w:sz w:val="18"/>
          <w:szCs w:val="18"/>
          <w:lang w:val="en-GB"/>
        </w:rPr>
        <w:t>exports</w:t>
      </w:r>
      <w:r w:rsidR="00CD5272" w:rsidRPr="00C43CF9">
        <w:rPr>
          <w:rFonts w:ascii="Arial" w:hAnsi="Arial" w:cs="Arial"/>
          <w:color w:val="940094"/>
          <w:sz w:val="18"/>
          <w:szCs w:val="18"/>
          <w:lang w:val="en-GB"/>
        </w:rPr>
        <w:tab/>
        <w:t xml:space="preserve">                                        </w:t>
      </w:r>
      <w:r w:rsidR="00CD5272" w:rsidRPr="00C43CF9">
        <w:rPr>
          <w:rFonts w:ascii="Arial" w:hAnsi="Arial" w:cs="Arial"/>
          <w:color w:val="940094"/>
          <w:sz w:val="18"/>
          <w:szCs w:val="18"/>
          <w:lang w:val="en-GB"/>
        </w:rPr>
        <w:tab/>
      </w:r>
      <w:r w:rsidR="00CD5272" w:rsidRPr="00C43CF9">
        <w:rPr>
          <w:rFonts w:ascii="Arial" w:hAnsi="Arial" w:cs="Arial"/>
          <w:color w:val="940094"/>
          <w:sz w:val="18"/>
          <w:szCs w:val="18"/>
          <w:lang w:val="en-GB"/>
        </w:rPr>
        <w:tab/>
      </w:r>
      <w:r w:rsidR="00CD5272" w:rsidRPr="00C43CF9">
        <w:rPr>
          <w:rFonts w:ascii="Arial" w:hAnsi="Arial" w:cs="Arial"/>
          <w:color w:val="940094"/>
          <w:sz w:val="18"/>
          <w:szCs w:val="18"/>
          <w:lang w:val="en-GB"/>
        </w:rPr>
        <w:tab/>
      </w:r>
      <w:r w:rsidRPr="00C43CF9">
        <w:rPr>
          <w:rFonts w:ascii="Arial" w:hAnsi="Arial" w:cs="Arial"/>
          <w:color w:val="940094"/>
          <w:sz w:val="18"/>
          <w:szCs w:val="18"/>
          <w:lang w:val="en-GB"/>
        </w:rPr>
        <w:t xml:space="preserve">    </w:t>
      </w:r>
      <w:r w:rsidR="00546629">
        <w:rPr>
          <w:rFonts w:ascii="Arial" w:hAnsi="Arial" w:cs="Arial"/>
          <w:color w:val="940094"/>
          <w:sz w:val="18"/>
          <w:szCs w:val="18"/>
          <w:lang w:val="en-GB"/>
        </w:rPr>
        <w:t>imports</w:t>
      </w:r>
    </w:p>
    <w:p w:rsidR="00CD5272" w:rsidRPr="00C43CF9" w:rsidRDefault="004C6982" w:rsidP="00E42016">
      <w:pPr>
        <w:spacing w:after="0"/>
        <w:jc w:val="both"/>
        <w:rPr>
          <w:rFonts w:ascii="Arial" w:hAnsi="Arial" w:cs="Arial"/>
          <w:sz w:val="18"/>
          <w:szCs w:val="18"/>
          <w:lang w:val="en-GB"/>
        </w:rPr>
      </w:pPr>
      <w:r w:rsidRPr="009F54DD">
        <w:rPr>
          <w:rFonts w:ascii="Arial" w:hAnsi="Arial" w:cs="Arial"/>
          <w:sz w:val="18"/>
          <w:szCs w:val="18"/>
          <w:lang w:val="en-GB"/>
        </w:rPr>
        <w:pict>
          <v:shape id="_x0000_i1032" type="#_x0000_t75" style="width:237.05pt;height:197pt">
            <v:imagedata r:id="rId19" o:title=""/>
          </v:shape>
        </w:pict>
      </w:r>
      <w:r w:rsidR="001274DB">
        <w:rPr>
          <w:rFonts w:ascii="Arial" w:hAnsi="Arial" w:cs="Arial"/>
          <w:sz w:val="18"/>
          <w:szCs w:val="18"/>
          <w:lang w:val="en-GB"/>
        </w:rPr>
        <w:t xml:space="preserve">  </w:t>
      </w:r>
      <w:r w:rsidRPr="009F54DD">
        <w:rPr>
          <w:rFonts w:ascii="Arial" w:hAnsi="Arial" w:cs="Arial"/>
          <w:sz w:val="18"/>
          <w:szCs w:val="18"/>
          <w:lang w:val="en-GB"/>
        </w:rPr>
        <w:pict>
          <v:shape id="_x0000_i1033" type="#_x0000_t75" style="width:237.05pt;height:197pt">
            <v:imagedata r:id="rId20" o:title=""/>
          </v:shape>
        </w:pict>
      </w:r>
      <w:r w:rsidR="00CD5272" w:rsidRPr="00C43CF9">
        <w:rPr>
          <w:rFonts w:ascii="Arial" w:hAnsi="Arial" w:cs="Arial"/>
          <w:sz w:val="18"/>
          <w:szCs w:val="18"/>
          <w:lang w:val="en-GB"/>
        </w:rPr>
        <w:t xml:space="preserve"> </w:t>
      </w:r>
      <w:r w:rsidR="0079163B" w:rsidRPr="00C43CF9">
        <w:rPr>
          <w:rFonts w:ascii="Arial" w:hAnsi="Arial" w:cs="Arial"/>
          <w:sz w:val="18"/>
          <w:szCs w:val="18"/>
          <w:lang w:val="en-GB"/>
        </w:rPr>
        <w:t xml:space="preserve">  </w:t>
      </w:r>
    </w:p>
    <w:p w:rsidR="0079163B" w:rsidRPr="00C43CF9" w:rsidRDefault="0079163B" w:rsidP="0079163B">
      <w:pPr>
        <w:spacing w:after="0"/>
        <w:jc w:val="both"/>
        <w:rPr>
          <w:rFonts w:ascii="Arial" w:hAnsi="Arial" w:cs="Arial"/>
          <w:sz w:val="18"/>
          <w:szCs w:val="18"/>
          <w:lang w:val="en-GB"/>
        </w:rPr>
      </w:pPr>
    </w:p>
    <w:p w:rsidR="00FC471C" w:rsidRPr="00C43CF9" w:rsidRDefault="00E42016" w:rsidP="00FC471C">
      <w:pPr>
        <w:spacing w:after="120"/>
        <w:jc w:val="both"/>
        <w:rPr>
          <w:rFonts w:ascii="Arial" w:hAnsi="Arial" w:cs="Arial"/>
          <w:sz w:val="18"/>
          <w:szCs w:val="18"/>
          <w:lang w:val="en-GB"/>
        </w:rPr>
      </w:pPr>
      <w:r w:rsidRPr="00E42016">
        <w:rPr>
          <w:rFonts w:ascii="Arial" w:hAnsi="Arial" w:cs="Arial"/>
          <w:sz w:val="18"/>
          <w:szCs w:val="18"/>
          <w:lang w:val="en-GB"/>
        </w:rPr>
        <w:t>Turnover, exports, imports and the trade balance of the Czech Republic with selected worldwide countries are consecutively presented in tables 5.1 – 5.4. The tables display y-o-y change of particu</w:t>
      </w:r>
      <w:r>
        <w:rPr>
          <w:rFonts w:ascii="Arial" w:hAnsi="Arial" w:cs="Arial"/>
          <w:sz w:val="18"/>
          <w:szCs w:val="18"/>
          <w:lang w:val="en-GB"/>
        </w:rPr>
        <w:t>lar indicator and its change in </w:t>
      </w:r>
      <w:r w:rsidRPr="00E42016">
        <w:rPr>
          <w:rFonts w:ascii="Arial" w:hAnsi="Arial" w:cs="Arial"/>
          <w:sz w:val="18"/>
          <w:szCs w:val="18"/>
          <w:lang w:val="en-GB"/>
        </w:rPr>
        <w:t xml:space="preserve">comparison 2004 in CZK million, moreover y-o-y index and share of chosen indicator of particular country </w:t>
      </w:r>
      <w:r>
        <w:rPr>
          <w:rFonts w:ascii="Arial" w:hAnsi="Arial" w:cs="Arial"/>
          <w:sz w:val="18"/>
          <w:szCs w:val="18"/>
          <w:lang w:val="en-GB"/>
        </w:rPr>
        <w:t>in relation to </w:t>
      </w:r>
      <w:r w:rsidRPr="00E42016">
        <w:rPr>
          <w:rFonts w:ascii="Arial" w:hAnsi="Arial" w:cs="Arial"/>
          <w:sz w:val="18"/>
          <w:szCs w:val="18"/>
          <w:lang w:val="en-GB"/>
        </w:rPr>
        <w:t>value of the total Czech trade</w:t>
      </w:r>
      <w:r w:rsidR="003A4319" w:rsidRPr="00C43CF9">
        <w:rPr>
          <w:rFonts w:ascii="Arial" w:hAnsi="Arial" w:cs="Arial"/>
          <w:sz w:val="18"/>
          <w:szCs w:val="18"/>
          <w:lang w:val="en-GB"/>
        </w:rPr>
        <w:t xml:space="preserve">. </w:t>
      </w:r>
    </w:p>
    <w:p w:rsidR="003A4319" w:rsidRPr="00C43CF9" w:rsidRDefault="00E42016" w:rsidP="0079163B">
      <w:pPr>
        <w:jc w:val="both"/>
        <w:rPr>
          <w:rFonts w:ascii="Arial" w:hAnsi="Arial" w:cs="Arial"/>
          <w:sz w:val="18"/>
          <w:szCs w:val="18"/>
          <w:lang w:val="en-GB"/>
        </w:rPr>
      </w:pPr>
      <w:r w:rsidRPr="00E42016">
        <w:rPr>
          <w:rFonts w:ascii="Arial" w:hAnsi="Arial" w:cs="Arial"/>
          <w:sz w:val="18"/>
          <w:szCs w:val="18"/>
          <w:lang w:val="en-GB"/>
        </w:rPr>
        <w:t>The table 5.5 provides complex summary of aforementioned indicators in CZK million. Th</w:t>
      </w:r>
      <w:r>
        <w:rPr>
          <w:rFonts w:ascii="Arial" w:hAnsi="Arial" w:cs="Arial"/>
          <w:sz w:val="18"/>
          <w:szCs w:val="18"/>
          <w:lang w:val="en-GB"/>
        </w:rPr>
        <w:t>e external trade balance of the </w:t>
      </w:r>
      <w:r w:rsidRPr="00E42016">
        <w:rPr>
          <w:rFonts w:ascii="Arial" w:hAnsi="Arial" w:cs="Arial"/>
          <w:sz w:val="18"/>
          <w:szCs w:val="18"/>
          <w:lang w:val="en-GB"/>
        </w:rPr>
        <w:t>Czech Republic is in overall expression positive, thus exports prevail over imports. However,</w:t>
      </w:r>
      <w:r>
        <w:rPr>
          <w:rFonts w:ascii="Arial" w:hAnsi="Arial" w:cs="Arial"/>
          <w:sz w:val="18"/>
          <w:szCs w:val="18"/>
          <w:lang w:val="en-GB"/>
        </w:rPr>
        <w:t xml:space="preserve"> for trade mostly with </w:t>
      </w:r>
      <w:r w:rsidRPr="00E42016">
        <w:rPr>
          <w:rFonts w:ascii="Arial" w:hAnsi="Arial" w:cs="Arial"/>
          <w:sz w:val="18"/>
          <w:szCs w:val="18"/>
          <w:lang w:val="en-GB"/>
        </w:rPr>
        <w:t>Asian countries a negative Czech external trade balance is rather typical; in 2013 the Czech Republic recorded deficit for example in trade with China (CZK 265.8 bn), Taiwan (CZK 18.8 bn), Thaila</w:t>
      </w:r>
      <w:r>
        <w:rPr>
          <w:rFonts w:ascii="Arial" w:hAnsi="Arial" w:cs="Arial"/>
          <w:sz w:val="18"/>
          <w:szCs w:val="18"/>
          <w:lang w:val="en-GB"/>
        </w:rPr>
        <w:t>nd (CZK 19.1 bn), Malaysia (CZK </w:t>
      </w:r>
      <w:r w:rsidRPr="00E42016">
        <w:rPr>
          <w:rFonts w:ascii="Arial" w:hAnsi="Arial" w:cs="Arial"/>
          <w:sz w:val="18"/>
          <w:szCs w:val="18"/>
          <w:lang w:val="en-GB"/>
        </w:rPr>
        <w:t>12.4 bn), South Korea (CZK 47.4 bn), Japan (CZK 34.9 bn) or Azerbaijan (CZK 23.6 bn)</w:t>
      </w:r>
      <w:r w:rsidR="00164580" w:rsidRPr="00C43CF9">
        <w:rPr>
          <w:rFonts w:ascii="Arial" w:hAnsi="Arial" w:cs="Arial"/>
          <w:sz w:val="18"/>
          <w:szCs w:val="18"/>
          <w:lang w:val="en-GB"/>
        </w:rPr>
        <w:t xml:space="preserve">. </w:t>
      </w:r>
    </w:p>
    <w:p w:rsidR="008A44CD" w:rsidRPr="00C43CF9" w:rsidRDefault="00145412" w:rsidP="004F0369">
      <w:pPr>
        <w:pStyle w:val="Nadpis1"/>
        <w:numPr>
          <w:ilvl w:val="0"/>
          <w:numId w:val="1"/>
        </w:numPr>
        <w:spacing w:before="120" w:after="120"/>
        <w:ind w:left="567" w:hanging="567"/>
        <w:rPr>
          <w:rFonts w:ascii="Arial" w:eastAsia="Calibri" w:hAnsi="Arial" w:cs="Arial"/>
          <w:bCs w:val="0"/>
          <w:color w:val="940094"/>
          <w:sz w:val="19"/>
          <w:szCs w:val="19"/>
          <w:lang w:val="en-GB"/>
        </w:rPr>
      </w:pPr>
      <w:r>
        <w:rPr>
          <w:rFonts w:ascii="Arial" w:eastAsia="Calibri" w:hAnsi="Arial" w:cs="Arial"/>
          <w:bCs w:val="0"/>
          <w:color w:val="940094"/>
          <w:sz w:val="19"/>
          <w:szCs w:val="19"/>
          <w:lang w:val="en-GB"/>
        </w:rPr>
        <w:lastRenderedPageBreak/>
        <w:t>External trade structure of the Czech Republic by commodity</w:t>
      </w:r>
    </w:p>
    <w:p w:rsidR="00CB0BED" w:rsidRPr="00C43CF9" w:rsidRDefault="007237B0" w:rsidP="0079163B">
      <w:pPr>
        <w:spacing w:after="120"/>
        <w:jc w:val="both"/>
        <w:rPr>
          <w:rFonts w:ascii="Arial" w:hAnsi="Arial" w:cs="Arial"/>
          <w:sz w:val="18"/>
          <w:szCs w:val="18"/>
          <w:lang w:val="en-GB"/>
        </w:rPr>
      </w:pPr>
      <w:r w:rsidRPr="007237B0">
        <w:rPr>
          <w:rFonts w:ascii="Arial" w:hAnsi="Arial" w:cs="Arial"/>
          <w:sz w:val="18"/>
          <w:szCs w:val="18"/>
          <w:lang w:val="en-GB"/>
        </w:rPr>
        <w:t>Statistical data are usually from commodity point of view divided according to several different classifications</w:t>
      </w:r>
      <w:r w:rsidR="0079163B" w:rsidRPr="00C43CF9">
        <w:rPr>
          <w:rFonts w:ascii="Arial" w:hAnsi="Arial" w:cs="Arial"/>
          <w:sz w:val="18"/>
          <w:szCs w:val="18"/>
          <w:lang w:val="en-GB"/>
        </w:rPr>
        <w:t xml:space="preserve">. </w:t>
      </w:r>
    </w:p>
    <w:p w:rsidR="0079163B" w:rsidRPr="00C43CF9" w:rsidRDefault="007237B0" w:rsidP="0079163B">
      <w:pPr>
        <w:spacing w:after="120"/>
        <w:jc w:val="both"/>
        <w:rPr>
          <w:rFonts w:ascii="Arial" w:hAnsi="Arial" w:cs="Arial"/>
          <w:sz w:val="18"/>
          <w:szCs w:val="18"/>
          <w:lang w:val="en-GB"/>
        </w:rPr>
      </w:pPr>
      <w:r w:rsidRPr="007237B0">
        <w:rPr>
          <w:rFonts w:ascii="Arial" w:hAnsi="Arial" w:cs="Arial"/>
          <w:sz w:val="18"/>
          <w:szCs w:val="18"/>
          <w:lang w:val="en-GB"/>
        </w:rPr>
        <w:t>Widely internationally used classification is Standard International Trade Classification, SITC, used for example by</w:t>
      </w:r>
      <w:r w:rsidR="00A2233E">
        <w:rPr>
          <w:rFonts w:ascii="Arial" w:hAnsi="Arial" w:cs="Arial"/>
          <w:sz w:val="18"/>
          <w:szCs w:val="18"/>
          <w:lang w:val="en-GB"/>
        </w:rPr>
        <w:t> </w:t>
      </w:r>
      <w:r w:rsidRPr="007237B0">
        <w:rPr>
          <w:rFonts w:ascii="Arial" w:hAnsi="Arial" w:cs="Arial"/>
          <w:sz w:val="18"/>
          <w:szCs w:val="18"/>
          <w:lang w:val="en-GB"/>
        </w:rPr>
        <w:t>the</w:t>
      </w:r>
      <w:r w:rsidR="00A2233E">
        <w:rPr>
          <w:rFonts w:ascii="Arial" w:hAnsi="Arial" w:cs="Arial"/>
          <w:sz w:val="18"/>
          <w:szCs w:val="18"/>
          <w:lang w:val="en-GB"/>
        </w:rPr>
        <w:t> </w:t>
      </w:r>
      <w:r w:rsidRPr="007237B0">
        <w:rPr>
          <w:rFonts w:ascii="Arial" w:hAnsi="Arial" w:cs="Arial"/>
          <w:sz w:val="18"/>
          <w:szCs w:val="18"/>
          <w:lang w:val="en-GB"/>
        </w:rPr>
        <w:t>United Nations; one digit SITC provides basic information about sections of goods entering the international trade movement. Two digits SITC (divisions), likewise used in following tables, provides more detailed description of individual commodities</w:t>
      </w:r>
      <w:r w:rsidR="0079163B" w:rsidRPr="00C43CF9">
        <w:rPr>
          <w:rFonts w:ascii="Arial" w:hAnsi="Arial" w:cs="Arial"/>
          <w:sz w:val="18"/>
          <w:szCs w:val="18"/>
          <w:lang w:val="en-GB"/>
        </w:rPr>
        <w:t xml:space="preserve">. </w:t>
      </w:r>
    </w:p>
    <w:p w:rsidR="0079163B" w:rsidRPr="00C43CF9" w:rsidRDefault="007237B0" w:rsidP="0079163B">
      <w:pPr>
        <w:spacing w:after="120"/>
        <w:jc w:val="both"/>
        <w:rPr>
          <w:rFonts w:ascii="Arial" w:hAnsi="Arial" w:cs="Arial"/>
          <w:sz w:val="18"/>
          <w:szCs w:val="18"/>
          <w:lang w:val="en-GB"/>
        </w:rPr>
      </w:pPr>
      <w:r w:rsidRPr="007237B0">
        <w:rPr>
          <w:rFonts w:ascii="Arial" w:hAnsi="Arial" w:cs="Arial"/>
          <w:sz w:val="18"/>
          <w:szCs w:val="18"/>
          <w:lang w:val="en-GB"/>
        </w:rPr>
        <w:t>In the European Union is widely used Combined Nomenclature, Harmonised System respectively. The Combine Nomenclature consists of eight-digit code and therefore enables most detailed classification of individual types of goods</w:t>
      </w:r>
      <w:r w:rsidR="0079163B" w:rsidRPr="00C43CF9">
        <w:rPr>
          <w:rFonts w:ascii="Arial" w:hAnsi="Arial" w:cs="Arial"/>
          <w:sz w:val="18"/>
          <w:szCs w:val="18"/>
          <w:lang w:val="en-GB"/>
        </w:rPr>
        <w:t xml:space="preserve">. </w:t>
      </w:r>
    </w:p>
    <w:p w:rsidR="00EF5174" w:rsidRPr="00C43CF9" w:rsidRDefault="00145412" w:rsidP="00EF5174">
      <w:pPr>
        <w:pStyle w:val="Odstavecseseznamem"/>
        <w:numPr>
          <w:ilvl w:val="1"/>
          <w:numId w:val="1"/>
        </w:numPr>
        <w:spacing w:after="120"/>
        <w:ind w:left="567" w:hanging="567"/>
        <w:rPr>
          <w:rFonts w:ascii="Arial" w:eastAsia="Calibri" w:hAnsi="Arial" w:cs="Arial"/>
          <w:b/>
          <w:color w:val="940094"/>
          <w:sz w:val="18"/>
          <w:szCs w:val="18"/>
          <w:lang w:val="en-GB"/>
        </w:rPr>
      </w:pPr>
      <w:r>
        <w:rPr>
          <w:rFonts w:ascii="Arial" w:eastAsia="Calibri" w:hAnsi="Arial" w:cs="Arial"/>
          <w:b/>
          <w:color w:val="940094"/>
          <w:sz w:val="18"/>
          <w:szCs w:val="18"/>
          <w:lang w:val="en-GB"/>
        </w:rPr>
        <w:t>External trade by Standard international trade classification</w:t>
      </w:r>
    </w:p>
    <w:p w:rsidR="00FC471C" w:rsidRPr="00C43CF9" w:rsidRDefault="007237B0" w:rsidP="0095696D">
      <w:pPr>
        <w:spacing w:after="120"/>
        <w:jc w:val="both"/>
        <w:rPr>
          <w:rFonts w:ascii="Arial" w:hAnsi="Arial" w:cs="Arial"/>
          <w:sz w:val="18"/>
          <w:szCs w:val="18"/>
          <w:lang w:val="en-GB"/>
        </w:rPr>
      </w:pPr>
      <w:r w:rsidRPr="007237B0">
        <w:rPr>
          <w:rFonts w:ascii="Arial" w:hAnsi="Arial" w:cs="Arial"/>
          <w:sz w:val="18"/>
          <w:szCs w:val="18"/>
          <w:lang w:val="en-GB"/>
        </w:rPr>
        <w:t>External trade according to SITC describes the table 6.1. This table contains the data about turnover, exports</w:t>
      </w:r>
      <w:r>
        <w:rPr>
          <w:rFonts w:ascii="Arial" w:hAnsi="Arial" w:cs="Arial"/>
          <w:sz w:val="18"/>
          <w:szCs w:val="18"/>
          <w:lang w:val="en-GB"/>
        </w:rPr>
        <w:t>,</w:t>
      </w:r>
      <w:r w:rsidRPr="007237B0">
        <w:rPr>
          <w:rFonts w:ascii="Arial" w:hAnsi="Arial" w:cs="Arial"/>
          <w:sz w:val="18"/>
          <w:szCs w:val="18"/>
          <w:lang w:val="en-GB"/>
        </w:rPr>
        <w:t xml:space="preserve"> imports</w:t>
      </w:r>
      <w:r>
        <w:rPr>
          <w:rFonts w:ascii="Arial" w:hAnsi="Arial" w:cs="Arial"/>
          <w:sz w:val="18"/>
          <w:szCs w:val="18"/>
          <w:lang w:val="en-GB"/>
        </w:rPr>
        <w:t xml:space="preserve"> </w:t>
      </w:r>
      <w:r w:rsidRPr="007237B0">
        <w:rPr>
          <w:rFonts w:ascii="Arial" w:hAnsi="Arial" w:cs="Arial"/>
          <w:spacing w:val="-2"/>
          <w:sz w:val="18"/>
          <w:szCs w:val="18"/>
          <w:lang w:val="en-GB"/>
        </w:rPr>
        <w:t>and balance in CZK million, as well as y-o-y index of development given SITC section and share of its representation in %.</w:t>
      </w:r>
    </w:p>
    <w:p w:rsidR="0095696D" w:rsidRPr="00C43CF9" w:rsidRDefault="00A2233E" w:rsidP="0095696D">
      <w:pPr>
        <w:spacing w:before="120"/>
        <w:jc w:val="both"/>
        <w:rPr>
          <w:rFonts w:ascii="Arial" w:hAnsi="Arial" w:cs="Arial"/>
          <w:sz w:val="18"/>
          <w:szCs w:val="18"/>
          <w:lang w:val="en-GB"/>
        </w:rPr>
      </w:pPr>
      <w:r w:rsidRPr="00A2233E">
        <w:rPr>
          <w:rFonts w:ascii="Arial" w:hAnsi="Arial" w:cs="Arial"/>
          <w:sz w:val="18"/>
          <w:szCs w:val="18"/>
          <w:lang w:val="en-GB"/>
        </w:rPr>
        <w:t xml:space="preserve">Generally, 'machinery and transport equipment' which in external trade turnover in 2013 performed nearly 48% share are the most tradable in external trade of the Czech Republic. Similarly this SITC class has strong </w:t>
      </w:r>
      <w:r>
        <w:rPr>
          <w:rFonts w:ascii="Arial" w:hAnsi="Arial" w:cs="Arial"/>
          <w:sz w:val="18"/>
          <w:szCs w:val="18"/>
          <w:lang w:val="en-GB"/>
        </w:rPr>
        <w:t>representation in the </w:t>
      </w:r>
      <w:r w:rsidRPr="00A2233E">
        <w:rPr>
          <w:rFonts w:ascii="Arial" w:hAnsi="Arial" w:cs="Arial"/>
          <w:sz w:val="18"/>
          <w:szCs w:val="18"/>
          <w:lang w:val="en-GB"/>
        </w:rPr>
        <w:t>whole discussed time period</w:t>
      </w:r>
      <w:r w:rsidR="0095696D" w:rsidRPr="00C43CF9">
        <w:rPr>
          <w:rFonts w:ascii="Arial" w:hAnsi="Arial" w:cs="Arial"/>
          <w:sz w:val="18"/>
          <w:szCs w:val="18"/>
          <w:lang w:val="en-GB"/>
        </w:rPr>
        <w:t xml:space="preserve">. </w:t>
      </w:r>
    </w:p>
    <w:p w:rsidR="0079163B" w:rsidRPr="00C43CF9" w:rsidRDefault="0079163B" w:rsidP="00E50D85">
      <w:pPr>
        <w:shd w:val="clear" w:color="auto" w:fill="F5F3F7"/>
        <w:tabs>
          <w:tab w:val="left" w:pos="1418"/>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10</w:t>
      </w:r>
      <w:r w:rsidR="006B49AF">
        <w:rPr>
          <w:rFonts w:ascii="Arial" w:hAnsi="Arial" w:cs="Arial"/>
          <w:color w:val="940094"/>
          <w:sz w:val="18"/>
          <w:szCs w:val="18"/>
          <w:lang w:val="en-GB"/>
        </w:rPr>
        <w:tab/>
      </w:r>
      <w:r w:rsidR="00C25913">
        <w:rPr>
          <w:rFonts w:ascii="Arial" w:hAnsi="Arial" w:cs="Arial"/>
          <w:color w:val="940094"/>
          <w:sz w:val="18"/>
          <w:szCs w:val="18"/>
          <w:lang w:val="en-GB"/>
        </w:rPr>
        <w:t>Commodity structure of external trade, 2013 (shares in %)</w:t>
      </w:r>
    </w:p>
    <w:p w:rsidR="00A2233E" w:rsidRDefault="006E02AF" w:rsidP="00E50D85">
      <w:pPr>
        <w:spacing w:after="0"/>
        <w:jc w:val="center"/>
        <w:rPr>
          <w:rFonts w:ascii="Arial" w:hAnsi="Arial" w:cs="Arial"/>
          <w:sz w:val="18"/>
          <w:szCs w:val="18"/>
          <w:lang w:val="en-GB"/>
        </w:rPr>
      </w:pPr>
      <w:r>
        <w:rPr>
          <w:rFonts w:ascii="Arial" w:hAnsi="Arial" w:cs="Arial"/>
          <w:sz w:val="18"/>
          <w:szCs w:val="18"/>
          <w:lang w:val="en-GB"/>
        </w:rPr>
        <w:pict>
          <v:shape id="_x0000_i1041" type="#_x0000_t75" style="width:485pt;height:271pt">
            <v:imagedata r:id="rId21" o:title=""/>
          </v:shape>
        </w:pict>
      </w:r>
    </w:p>
    <w:p w:rsidR="009F48C9" w:rsidRDefault="009F48C9" w:rsidP="006E02AF">
      <w:pPr>
        <w:spacing w:after="0"/>
        <w:jc w:val="both"/>
        <w:rPr>
          <w:rFonts w:ascii="Arial" w:hAnsi="Arial" w:cs="Arial"/>
          <w:sz w:val="18"/>
          <w:szCs w:val="18"/>
          <w:lang w:val="en-GB"/>
        </w:rPr>
      </w:pPr>
    </w:p>
    <w:p w:rsidR="00EC2E63" w:rsidRPr="00C43CF9" w:rsidRDefault="00A2233E" w:rsidP="00EC2E63">
      <w:pPr>
        <w:spacing w:after="120"/>
        <w:jc w:val="both"/>
        <w:rPr>
          <w:rFonts w:ascii="Arial" w:hAnsi="Arial" w:cs="Arial"/>
          <w:sz w:val="18"/>
          <w:szCs w:val="18"/>
          <w:lang w:val="en-GB"/>
        </w:rPr>
      </w:pPr>
      <w:r w:rsidRPr="00A2233E">
        <w:rPr>
          <w:rFonts w:ascii="Arial" w:hAnsi="Arial" w:cs="Arial"/>
          <w:sz w:val="18"/>
          <w:szCs w:val="18"/>
          <w:lang w:val="en-GB"/>
        </w:rPr>
        <w:t>Similarly, 'manufactured goods classified chiefly by material' (17.6% of overall turnover in 2013), 'miscellaneous manufactured articles' (11.0% of overall turnover in 2013) and 'chemicals and related products' (8.8% of overall turnover in 2013) are also often tradable goods in Czech external trade in the long term</w:t>
      </w:r>
      <w:r w:rsidR="00EC2E63" w:rsidRPr="00C43CF9">
        <w:rPr>
          <w:rFonts w:ascii="Arial" w:hAnsi="Arial" w:cs="Arial"/>
          <w:sz w:val="18"/>
          <w:szCs w:val="18"/>
          <w:lang w:val="en-GB"/>
        </w:rPr>
        <w:t xml:space="preserve">. </w:t>
      </w:r>
    </w:p>
    <w:p w:rsidR="00EC2E63" w:rsidRPr="00C43CF9" w:rsidRDefault="00A2233E" w:rsidP="00EC2E63">
      <w:pPr>
        <w:spacing w:after="120"/>
        <w:jc w:val="both"/>
        <w:rPr>
          <w:rFonts w:ascii="Arial" w:hAnsi="Arial" w:cs="Arial"/>
          <w:sz w:val="18"/>
          <w:szCs w:val="18"/>
          <w:lang w:val="en-GB"/>
        </w:rPr>
      </w:pPr>
      <w:r w:rsidRPr="00A2233E">
        <w:rPr>
          <w:rFonts w:ascii="Arial" w:hAnsi="Arial" w:cs="Arial"/>
          <w:sz w:val="18"/>
          <w:szCs w:val="18"/>
          <w:lang w:val="en-GB"/>
        </w:rPr>
        <w:t xml:space="preserve">Motor cars or computer technology are for example classified in 'machinery and transport equipment'. Section 'manufactured goods classified chiefly by material' contains for example tyres, glass or paper, under 'miscellaneous manufactured articles' is classified furniture, footwear and clothing or toys. These commodities are in the Czech external trade represented by most significant share. Exports are in the long term dominated by 'machinery and transport equipment' whose exports in 2013 represented by nearly 54% of overall exports. Imports of this section </w:t>
      </w:r>
      <w:r>
        <w:rPr>
          <w:rFonts w:ascii="Arial" w:hAnsi="Arial" w:cs="Arial"/>
          <w:sz w:val="18"/>
          <w:szCs w:val="18"/>
          <w:lang w:val="en-GB"/>
        </w:rPr>
        <w:t>expressed in </w:t>
      </w:r>
      <w:r w:rsidRPr="00A2233E">
        <w:rPr>
          <w:rFonts w:ascii="Arial" w:hAnsi="Arial" w:cs="Arial"/>
          <w:sz w:val="18"/>
          <w:szCs w:val="18"/>
          <w:lang w:val="en-GB"/>
        </w:rPr>
        <w:t>percentage dominate also among other commodities, in 2013 its share of total imports of the Czech Republic accounted for 41.0%</w:t>
      </w:r>
      <w:r>
        <w:rPr>
          <w:rFonts w:ascii="Arial" w:hAnsi="Arial" w:cs="Arial"/>
          <w:sz w:val="18"/>
          <w:szCs w:val="18"/>
          <w:lang w:val="en-GB"/>
        </w:rPr>
        <w:t>.</w:t>
      </w:r>
    </w:p>
    <w:p w:rsidR="00FC471C" w:rsidRPr="00C43CF9" w:rsidRDefault="00A2233E" w:rsidP="00FC471C">
      <w:pPr>
        <w:spacing w:before="120" w:after="120"/>
        <w:jc w:val="both"/>
        <w:rPr>
          <w:rFonts w:ascii="Arial" w:hAnsi="Arial" w:cs="Arial"/>
          <w:sz w:val="18"/>
          <w:szCs w:val="18"/>
          <w:lang w:val="en-GB"/>
        </w:rPr>
      </w:pPr>
      <w:r w:rsidRPr="00A2233E">
        <w:rPr>
          <w:rFonts w:ascii="Arial" w:hAnsi="Arial" w:cs="Arial"/>
          <w:sz w:val="18"/>
          <w:szCs w:val="18"/>
          <w:lang w:val="en-GB"/>
        </w:rPr>
        <w:t>Exports and imports of the Czech Republic by the individual divisions of SITC are in</w:t>
      </w:r>
      <w:r>
        <w:rPr>
          <w:rFonts w:ascii="Arial" w:hAnsi="Arial" w:cs="Arial"/>
          <w:sz w:val="18"/>
          <w:szCs w:val="18"/>
          <w:lang w:val="en-GB"/>
        </w:rPr>
        <w:t>dicated in the table 6.2 in CZK </w:t>
      </w:r>
      <w:r w:rsidRPr="00A2233E">
        <w:rPr>
          <w:rFonts w:ascii="Arial" w:hAnsi="Arial" w:cs="Arial"/>
          <w:sz w:val="18"/>
          <w:szCs w:val="18"/>
          <w:lang w:val="en-GB"/>
        </w:rPr>
        <w:t>million. In this table are moreover described individual sections of SITC and the summary of individual divisions of SITC both in Czech exports and imports</w:t>
      </w:r>
      <w:r w:rsidR="00737C39" w:rsidRPr="00C43CF9">
        <w:rPr>
          <w:rFonts w:ascii="Arial" w:hAnsi="Arial" w:cs="Arial"/>
          <w:sz w:val="18"/>
          <w:szCs w:val="18"/>
          <w:lang w:val="en-GB"/>
        </w:rPr>
        <w:t xml:space="preserve">. </w:t>
      </w:r>
    </w:p>
    <w:p w:rsidR="00CB0BED" w:rsidRPr="00C43CF9" w:rsidRDefault="00CB0BED">
      <w:pPr>
        <w:rPr>
          <w:rFonts w:ascii="Arial" w:hAnsi="Arial" w:cs="Arial"/>
          <w:sz w:val="18"/>
          <w:szCs w:val="18"/>
          <w:lang w:val="en-GB"/>
        </w:rPr>
      </w:pPr>
      <w:r w:rsidRPr="00C43CF9">
        <w:rPr>
          <w:rFonts w:ascii="Arial" w:hAnsi="Arial" w:cs="Arial"/>
          <w:sz w:val="18"/>
          <w:szCs w:val="18"/>
          <w:lang w:val="en-GB"/>
        </w:rPr>
        <w:br w:type="page"/>
      </w:r>
    </w:p>
    <w:p w:rsidR="00FC471C" w:rsidRPr="00C43CF9" w:rsidRDefault="009F48C9" w:rsidP="00FC471C">
      <w:pPr>
        <w:spacing w:before="120" w:after="120"/>
        <w:jc w:val="both"/>
        <w:rPr>
          <w:rFonts w:ascii="Arial" w:hAnsi="Arial" w:cs="Arial"/>
          <w:sz w:val="18"/>
          <w:szCs w:val="18"/>
          <w:lang w:val="en-GB"/>
        </w:rPr>
      </w:pPr>
      <w:r w:rsidRPr="009F48C9">
        <w:rPr>
          <w:rFonts w:ascii="Arial" w:hAnsi="Arial" w:cs="Arial"/>
          <w:sz w:val="18"/>
          <w:szCs w:val="18"/>
          <w:lang w:val="en-GB"/>
        </w:rPr>
        <w:lastRenderedPageBreak/>
        <w:t>In 2013 the Czech Republic exported road vehicles in the value of CZK 561.6 bn while</w:t>
      </w:r>
      <w:r>
        <w:rPr>
          <w:rFonts w:ascii="Arial" w:hAnsi="Arial" w:cs="Arial"/>
          <w:sz w:val="18"/>
          <w:szCs w:val="18"/>
          <w:lang w:val="en-GB"/>
        </w:rPr>
        <w:t xml:space="preserve"> in 2004 accounted the value of </w:t>
      </w:r>
      <w:r w:rsidRPr="009F48C9">
        <w:rPr>
          <w:rFonts w:ascii="Arial" w:hAnsi="Arial" w:cs="Arial"/>
          <w:sz w:val="18"/>
          <w:szCs w:val="18"/>
          <w:lang w:val="en-GB"/>
        </w:rPr>
        <w:t>road vehicles for CZK 256.9 bn. Electrical machinery, apparatus and appliances</w:t>
      </w:r>
      <w:r>
        <w:rPr>
          <w:rFonts w:ascii="Arial" w:hAnsi="Arial" w:cs="Arial"/>
          <w:sz w:val="18"/>
          <w:szCs w:val="18"/>
          <w:lang w:val="en-GB"/>
        </w:rPr>
        <w:t xml:space="preserve"> were in 2013 exported in </w:t>
      </w:r>
      <w:r w:rsidRPr="009F48C9">
        <w:rPr>
          <w:rFonts w:ascii="Arial" w:hAnsi="Arial" w:cs="Arial"/>
          <w:sz w:val="18"/>
          <w:szCs w:val="18"/>
          <w:lang w:val="en-GB"/>
        </w:rPr>
        <w:t>value of nearly CZK 310 bn</w:t>
      </w:r>
      <w:r w:rsidR="00DC6124" w:rsidRPr="00C43CF9">
        <w:rPr>
          <w:rFonts w:ascii="Arial" w:hAnsi="Arial" w:cs="Arial"/>
          <w:sz w:val="18"/>
          <w:szCs w:val="18"/>
          <w:lang w:val="en-GB"/>
        </w:rPr>
        <w:t xml:space="preserve">. </w:t>
      </w:r>
    </w:p>
    <w:p w:rsidR="00202001" w:rsidRPr="00C43CF9" w:rsidRDefault="00CB0BED" w:rsidP="00E50D85">
      <w:pPr>
        <w:shd w:val="clear" w:color="auto" w:fill="F5F3F7"/>
        <w:tabs>
          <w:tab w:val="left" w:pos="1418"/>
        </w:tabs>
        <w:spacing w:after="80"/>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11</w:t>
      </w:r>
      <w:r w:rsidR="006B49AF">
        <w:rPr>
          <w:rFonts w:ascii="Arial" w:hAnsi="Arial" w:cs="Arial"/>
          <w:color w:val="940094"/>
          <w:sz w:val="18"/>
          <w:szCs w:val="18"/>
          <w:lang w:val="en-GB"/>
        </w:rPr>
        <w:tab/>
      </w:r>
      <w:r w:rsidR="00145412">
        <w:rPr>
          <w:rFonts w:ascii="Arial" w:hAnsi="Arial" w:cs="Arial"/>
          <w:color w:val="940094"/>
          <w:sz w:val="18"/>
          <w:szCs w:val="18"/>
          <w:lang w:val="en-GB"/>
        </w:rPr>
        <w:t>External trade of motor cars and parts and accessories of the motor vehicles (in CZK billion)</w:t>
      </w:r>
    </w:p>
    <w:p w:rsidR="00CB0BED" w:rsidRPr="00C43CF9" w:rsidRDefault="00145412" w:rsidP="00E50D85">
      <w:pPr>
        <w:spacing w:after="40"/>
        <w:ind w:left="1416" w:firstLine="708"/>
        <w:jc w:val="both"/>
        <w:rPr>
          <w:rFonts w:ascii="Arial" w:hAnsi="Arial" w:cs="Arial"/>
          <w:color w:val="940094"/>
          <w:sz w:val="18"/>
          <w:szCs w:val="18"/>
          <w:lang w:val="en-GB"/>
        </w:rPr>
      </w:pPr>
      <w:r>
        <w:rPr>
          <w:rFonts w:ascii="Arial" w:hAnsi="Arial" w:cs="Arial"/>
          <w:color w:val="940094"/>
          <w:sz w:val="18"/>
          <w:szCs w:val="18"/>
          <w:lang w:val="en-GB"/>
        </w:rPr>
        <w:t>exports</w:t>
      </w:r>
      <w:r w:rsidR="00CB0BED" w:rsidRPr="00C43CF9">
        <w:rPr>
          <w:rFonts w:ascii="Arial" w:hAnsi="Arial" w:cs="Arial"/>
          <w:color w:val="940094"/>
          <w:sz w:val="18"/>
          <w:szCs w:val="18"/>
          <w:lang w:val="en-GB"/>
        </w:rPr>
        <w:tab/>
        <w:t xml:space="preserve">                                        </w:t>
      </w:r>
      <w:r w:rsidR="00CB0BED" w:rsidRPr="00C43CF9">
        <w:rPr>
          <w:rFonts w:ascii="Arial" w:hAnsi="Arial" w:cs="Arial"/>
          <w:color w:val="940094"/>
          <w:sz w:val="18"/>
          <w:szCs w:val="18"/>
          <w:lang w:val="en-GB"/>
        </w:rPr>
        <w:tab/>
      </w:r>
      <w:r w:rsidR="00CB0BED" w:rsidRPr="00C43CF9">
        <w:rPr>
          <w:rFonts w:ascii="Arial" w:hAnsi="Arial" w:cs="Arial"/>
          <w:color w:val="940094"/>
          <w:sz w:val="18"/>
          <w:szCs w:val="18"/>
          <w:lang w:val="en-GB"/>
        </w:rPr>
        <w:tab/>
      </w:r>
      <w:r w:rsidR="00CB0BED" w:rsidRPr="00C43CF9">
        <w:rPr>
          <w:rFonts w:ascii="Arial" w:hAnsi="Arial" w:cs="Arial"/>
          <w:color w:val="940094"/>
          <w:sz w:val="18"/>
          <w:szCs w:val="18"/>
          <w:lang w:val="en-GB"/>
        </w:rPr>
        <w:tab/>
        <w:t xml:space="preserve">    </w:t>
      </w:r>
      <w:r w:rsidR="000F611F" w:rsidRPr="00C43CF9">
        <w:rPr>
          <w:rFonts w:ascii="Arial" w:hAnsi="Arial" w:cs="Arial"/>
          <w:color w:val="940094"/>
          <w:sz w:val="18"/>
          <w:szCs w:val="18"/>
          <w:lang w:val="en-GB"/>
        </w:rPr>
        <w:t xml:space="preserve">          </w:t>
      </w:r>
      <w:r>
        <w:rPr>
          <w:rFonts w:ascii="Arial" w:hAnsi="Arial" w:cs="Arial"/>
          <w:color w:val="940094"/>
          <w:sz w:val="18"/>
          <w:szCs w:val="18"/>
          <w:lang w:val="en-GB"/>
        </w:rPr>
        <w:t>imports</w:t>
      </w:r>
    </w:p>
    <w:p w:rsidR="00CB0BED" w:rsidRPr="00C43CF9" w:rsidRDefault="004C6982" w:rsidP="009F48C9">
      <w:pPr>
        <w:spacing w:after="0"/>
        <w:jc w:val="both"/>
        <w:rPr>
          <w:rFonts w:ascii="Arial" w:hAnsi="Arial" w:cs="Arial"/>
          <w:sz w:val="18"/>
          <w:szCs w:val="18"/>
          <w:lang w:val="en-GB"/>
        </w:rPr>
      </w:pPr>
      <w:r w:rsidRPr="009F54DD">
        <w:rPr>
          <w:rFonts w:ascii="Arial" w:hAnsi="Arial" w:cs="Arial"/>
          <w:noProof/>
          <w:color w:val="FF0000"/>
          <w:sz w:val="18"/>
          <w:szCs w:val="18"/>
          <w:lang w:val="en-GB" w:eastAsia="cs-CZ"/>
        </w:rPr>
        <w:pict>
          <v:shape id="_x0000_i1034" type="#_x0000_t75" style="width:247.9pt;height:171.85pt">
            <v:imagedata r:id="rId22" o:title=""/>
          </v:shape>
        </w:pict>
      </w:r>
      <w:r w:rsidR="00E50D85">
        <w:rPr>
          <w:rFonts w:ascii="Arial" w:hAnsi="Arial" w:cs="Arial"/>
          <w:noProof/>
          <w:color w:val="FF0000"/>
          <w:sz w:val="18"/>
          <w:szCs w:val="18"/>
          <w:lang w:val="en-GB" w:eastAsia="cs-CZ"/>
        </w:rPr>
        <w:t xml:space="preserve"> </w:t>
      </w:r>
      <w:r w:rsidRPr="009F54DD">
        <w:rPr>
          <w:rFonts w:ascii="Arial" w:hAnsi="Arial" w:cs="Arial"/>
          <w:noProof/>
          <w:color w:val="FF0000"/>
          <w:sz w:val="18"/>
          <w:szCs w:val="18"/>
          <w:lang w:val="en-GB" w:eastAsia="cs-CZ"/>
        </w:rPr>
        <w:pict>
          <v:shape id="_x0000_i1035" type="#_x0000_t75" style="width:230.95pt;height:171.85pt">
            <v:imagedata r:id="rId23" o:title=""/>
          </v:shape>
        </w:pict>
      </w:r>
      <w:r w:rsidR="000F611F" w:rsidRPr="00C43CF9">
        <w:rPr>
          <w:rFonts w:ascii="Arial" w:hAnsi="Arial" w:cs="Arial"/>
          <w:noProof/>
          <w:color w:val="FF0000"/>
          <w:sz w:val="18"/>
          <w:szCs w:val="18"/>
          <w:lang w:val="en-GB" w:eastAsia="cs-CZ"/>
        </w:rPr>
        <w:t xml:space="preserve">   </w:t>
      </w:r>
    </w:p>
    <w:p w:rsidR="009F48C9" w:rsidRDefault="009F48C9" w:rsidP="009F48C9">
      <w:pPr>
        <w:spacing w:after="0"/>
        <w:jc w:val="both"/>
        <w:rPr>
          <w:rFonts w:ascii="Arial" w:hAnsi="Arial" w:cs="Arial"/>
          <w:sz w:val="18"/>
          <w:szCs w:val="18"/>
          <w:lang w:val="en-GB"/>
        </w:rPr>
      </w:pPr>
    </w:p>
    <w:p w:rsidR="00737C39" w:rsidRPr="00C43CF9" w:rsidRDefault="009F48C9" w:rsidP="009F48C9">
      <w:pPr>
        <w:spacing w:after="240"/>
        <w:jc w:val="both"/>
        <w:rPr>
          <w:rFonts w:ascii="Arial" w:hAnsi="Arial" w:cs="Arial"/>
          <w:sz w:val="18"/>
          <w:szCs w:val="18"/>
          <w:lang w:val="en-GB"/>
        </w:rPr>
      </w:pPr>
      <w:r w:rsidRPr="009F48C9">
        <w:rPr>
          <w:rFonts w:ascii="Arial" w:hAnsi="Arial" w:cs="Arial"/>
          <w:sz w:val="18"/>
          <w:szCs w:val="18"/>
          <w:lang w:val="en-GB"/>
        </w:rPr>
        <w:t>Value of road vehicles imports in 2013 reached nearly CZK 233 bn and electrical machinery, apparatus and appliances were in 2013 exported in value of CZK 274.3 bn. Another significant commodity in Czech i</w:t>
      </w:r>
      <w:r>
        <w:rPr>
          <w:rFonts w:ascii="Arial" w:hAnsi="Arial" w:cs="Arial"/>
          <w:sz w:val="18"/>
          <w:szCs w:val="18"/>
          <w:lang w:val="en-GB"/>
        </w:rPr>
        <w:t>mports is petroleum (imports in </w:t>
      </w:r>
      <w:r w:rsidRPr="009F48C9">
        <w:rPr>
          <w:rFonts w:ascii="Arial" w:hAnsi="Arial" w:cs="Arial"/>
          <w:sz w:val="18"/>
          <w:szCs w:val="18"/>
          <w:lang w:val="en-GB"/>
        </w:rPr>
        <w:t>2013 reached CZK 163.2 bn), since 2004 has the value of imported petroleum more than doubled</w:t>
      </w:r>
      <w:r w:rsidR="00DC6124" w:rsidRPr="00C43CF9">
        <w:rPr>
          <w:rFonts w:ascii="Arial" w:hAnsi="Arial" w:cs="Arial"/>
          <w:sz w:val="18"/>
          <w:szCs w:val="18"/>
          <w:lang w:val="en-GB"/>
        </w:rPr>
        <w:t xml:space="preserve">. </w:t>
      </w:r>
    </w:p>
    <w:p w:rsidR="00EF5174" w:rsidRPr="00C43CF9" w:rsidRDefault="008A288D" w:rsidP="00EF5174">
      <w:pPr>
        <w:pStyle w:val="Odstavecseseznamem"/>
        <w:numPr>
          <w:ilvl w:val="1"/>
          <w:numId w:val="1"/>
        </w:numPr>
        <w:spacing w:after="120"/>
        <w:ind w:left="567" w:hanging="567"/>
        <w:rPr>
          <w:rFonts w:ascii="Arial" w:eastAsia="Calibri" w:hAnsi="Arial" w:cs="Arial"/>
          <w:b/>
          <w:color w:val="940094"/>
          <w:sz w:val="18"/>
          <w:szCs w:val="18"/>
          <w:lang w:val="en-GB"/>
        </w:rPr>
      </w:pPr>
      <w:r>
        <w:rPr>
          <w:rFonts w:ascii="Arial" w:eastAsia="Calibri" w:hAnsi="Arial" w:cs="Arial"/>
          <w:b/>
          <w:color w:val="940094"/>
          <w:sz w:val="18"/>
          <w:szCs w:val="18"/>
          <w:lang w:val="en-GB"/>
        </w:rPr>
        <w:t>External trade</w:t>
      </w:r>
      <w:r w:rsidR="009F48C9">
        <w:rPr>
          <w:rFonts w:ascii="Arial" w:eastAsia="Calibri" w:hAnsi="Arial" w:cs="Arial"/>
          <w:b/>
          <w:color w:val="940094"/>
          <w:sz w:val="18"/>
          <w:szCs w:val="18"/>
          <w:lang w:val="en-GB"/>
        </w:rPr>
        <w:t xml:space="preserve"> by Harmonised system</w:t>
      </w:r>
      <w:r w:rsidR="00EF5174" w:rsidRPr="00C43CF9">
        <w:rPr>
          <w:rFonts w:ascii="Arial" w:eastAsia="Calibri" w:hAnsi="Arial" w:cs="Arial"/>
          <w:b/>
          <w:color w:val="940094"/>
          <w:sz w:val="18"/>
          <w:szCs w:val="18"/>
          <w:lang w:val="en-GB"/>
        </w:rPr>
        <w:t xml:space="preserve"> </w:t>
      </w:r>
    </w:p>
    <w:p w:rsidR="00CB0BED" w:rsidRPr="00C43CF9" w:rsidRDefault="009F48C9" w:rsidP="0079163B">
      <w:pPr>
        <w:spacing w:after="120"/>
        <w:jc w:val="both"/>
        <w:rPr>
          <w:rFonts w:ascii="Arial" w:hAnsi="Arial" w:cs="Arial"/>
          <w:sz w:val="18"/>
          <w:szCs w:val="18"/>
          <w:lang w:val="en-GB"/>
        </w:rPr>
      </w:pPr>
      <w:r w:rsidRPr="009F48C9">
        <w:rPr>
          <w:rFonts w:ascii="Arial" w:hAnsi="Arial" w:cs="Arial"/>
          <w:sz w:val="18"/>
          <w:szCs w:val="18"/>
          <w:lang w:val="en-GB"/>
        </w:rPr>
        <w:t xml:space="preserve">External trade by the different classification, the Combined Nomenclature classes, is shown in the table 6.3. This table is digestedly structured by turnover, exports, imports and external trade balance in CZK million, further is shown </w:t>
      </w:r>
      <w:r>
        <w:rPr>
          <w:rFonts w:ascii="Arial" w:hAnsi="Arial" w:cs="Arial"/>
          <w:sz w:val="18"/>
          <w:szCs w:val="18"/>
          <w:lang w:val="en-GB"/>
        </w:rPr>
        <w:t>the </w:t>
      </w:r>
      <w:r w:rsidRPr="009F48C9">
        <w:rPr>
          <w:rFonts w:ascii="Arial" w:hAnsi="Arial" w:cs="Arial"/>
          <w:sz w:val="18"/>
          <w:szCs w:val="18"/>
          <w:lang w:val="en-GB"/>
        </w:rPr>
        <w:t>development of aforementioned indicators with the exception of balance expressed also by index and by share in %</w:t>
      </w:r>
      <w:r w:rsidR="003A4319" w:rsidRPr="00C43CF9">
        <w:rPr>
          <w:rFonts w:ascii="Arial" w:hAnsi="Arial" w:cs="Arial"/>
          <w:sz w:val="18"/>
          <w:szCs w:val="18"/>
          <w:lang w:val="en-GB"/>
        </w:rPr>
        <w:t xml:space="preserve">. </w:t>
      </w:r>
    </w:p>
    <w:p w:rsidR="00DC6124" w:rsidRPr="00C43CF9" w:rsidRDefault="009F48C9" w:rsidP="00CB0BED">
      <w:pPr>
        <w:jc w:val="both"/>
        <w:rPr>
          <w:rFonts w:ascii="Arial" w:hAnsi="Arial" w:cs="Arial"/>
          <w:sz w:val="18"/>
          <w:szCs w:val="18"/>
          <w:lang w:val="en-GB"/>
        </w:rPr>
      </w:pPr>
      <w:r w:rsidRPr="009F48C9">
        <w:rPr>
          <w:rFonts w:ascii="Arial" w:hAnsi="Arial" w:cs="Arial"/>
          <w:sz w:val="18"/>
          <w:szCs w:val="18"/>
          <w:lang w:val="en-GB"/>
        </w:rPr>
        <w:t>In following tables there are individually presented selected items of the Combined Nomenclature and, moreover, they show the development of exports, imports and external trade balance of selected items in 2004 – 2013 in CZK million. On the basis of these selective tables thereinafter presented table and graph could be constructed</w:t>
      </w:r>
      <w:r w:rsidR="00CB0BED" w:rsidRPr="00C43CF9">
        <w:rPr>
          <w:rFonts w:ascii="Arial" w:hAnsi="Arial" w:cs="Arial"/>
          <w:sz w:val="18"/>
          <w:szCs w:val="18"/>
          <w:lang w:val="en-GB"/>
        </w:rPr>
        <w:t>.</w:t>
      </w:r>
    </w:p>
    <w:p w:rsidR="006C657D" w:rsidRPr="00C43CF9" w:rsidRDefault="00FC471C" w:rsidP="00202001">
      <w:pPr>
        <w:shd w:val="clear" w:color="auto" w:fill="F5F3F7"/>
        <w:tabs>
          <w:tab w:val="left" w:pos="851"/>
          <w:tab w:val="left" w:pos="1418"/>
          <w:tab w:val="left" w:pos="1701"/>
        </w:tabs>
        <w:spacing w:after="120"/>
        <w:jc w:val="both"/>
        <w:rPr>
          <w:rFonts w:ascii="Arial" w:hAnsi="Arial" w:cs="Arial"/>
          <w:color w:val="940094"/>
          <w:sz w:val="18"/>
          <w:szCs w:val="18"/>
          <w:lang w:val="en-GB"/>
        </w:rPr>
      </w:pPr>
      <w:r w:rsidRPr="00C43CF9">
        <w:rPr>
          <w:rFonts w:ascii="Arial" w:hAnsi="Arial" w:cs="Arial"/>
          <w:color w:val="940094"/>
          <w:sz w:val="18"/>
          <w:szCs w:val="18"/>
          <w:lang w:val="en-GB"/>
        </w:rPr>
        <w:t>Tab</w:t>
      </w:r>
      <w:r w:rsidR="009656E8">
        <w:rPr>
          <w:rFonts w:ascii="Arial" w:hAnsi="Arial" w:cs="Arial"/>
          <w:color w:val="940094"/>
          <w:sz w:val="18"/>
          <w:szCs w:val="18"/>
          <w:lang w:val="en-GB"/>
        </w:rPr>
        <w:t>le</w:t>
      </w:r>
      <w:r w:rsidRPr="00C43CF9">
        <w:rPr>
          <w:rFonts w:ascii="Arial" w:hAnsi="Arial" w:cs="Arial"/>
          <w:color w:val="940094"/>
          <w:sz w:val="18"/>
          <w:szCs w:val="18"/>
          <w:lang w:val="en-GB"/>
        </w:rPr>
        <w:t xml:space="preserve"> </w:t>
      </w:r>
      <w:r w:rsidR="006C657D" w:rsidRPr="00C43CF9">
        <w:rPr>
          <w:rFonts w:ascii="Arial" w:hAnsi="Arial" w:cs="Arial"/>
          <w:color w:val="940094"/>
          <w:sz w:val="18"/>
          <w:szCs w:val="18"/>
          <w:lang w:val="en-GB"/>
        </w:rPr>
        <w:t>3</w:t>
      </w:r>
      <w:r w:rsidRPr="00C43CF9">
        <w:rPr>
          <w:rFonts w:ascii="Arial" w:hAnsi="Arial" w:cs="Arial"/>
          <w:color w:val="940094"/>
          <w:sz w:val="18"/>
          <w:szCs w:val="18"/>
          <w:lang w:val="en-GB"/>
        </w:rPr>
        <w:tab/>
      </w:r>
      <w:r w:rsidRPr="00C43CF9">
        <w:rPr>
          <w:rFonts w:ascii="Arial" w:hAnsi="Arial" w:cs="Arial"/>
          <w:color w:val="940094"/>
          <w:sz w:val="18"/>
          <w:szCs w:val="18"/>
          <w:lang w:val="en-GB"/>
        </w:rPr>
        <w:tab/>
      </w:r>
      <w:r w:rsidR="0040793E">
        <w:rPr>
          <w:rFonts w:ascii="Arial" w:hAnsi="Arial" w:cs="Arial"/>
          <w:color w:val="940094"/>
          <w:sz w:val="18"/>
          <w:szCs w:val="18"/>
          <w:lang w:val="en-GB"/>
        </w:rPr>
        <w:t>Machinery and mechanical appliance; electrical equipment; parts thereof (shares in %</w:t>
      </w:r>
      <w:r w:rsidR="00E50D85">
        <w:rPr>
          <w:rFonts w:ascii="Arial" w:hAnsi="Arial" w:cs="Arial"/>
          <w:color w:val="940094"/>
          <w:sz w:val="18"/>
          <w:szCs w:val="18"/>
          <w:lang w:val="en-GB"/>
        </w:rPr>
        <w:t>)</w:t>
      </w:r>
    </w:p>
    <w:tbl>
      <w:tblPr>
        <w:tblStyle w:val="Mkatabulky"/>
        <w:tblW w:w="9639" w:type="dxa"/>
        <w:jc w:val="center"/>
        <w:tblBorders>
          <w:left w:val="none" w:sz="0" w:space="0" w:color="auto"/>
          <w:right w:val="none" w:sz="0" w:space="0" w:color="auto"/>
        </w:tblBorders>
        <w:tblLook w:val="04A0"/>
      </w:tblPr>
      <w:tblGrid>
        <w:gridCol w:w="1125"/>
        <w:gridCol w:w="865"/>
        <w:gridCol w:w="862"/>
        <w:gridCol w:w="861"/>
        <w:gridCol w:w="862"/>
        <w:gridCol w:w="861"/>
        <w:gridCol w:w="862"/>
        <w:gridCol w:w="826"/>
        <w:gridCol w:w="844"/>
        <w:gridCol w:w="822"/>
        <w:gridCol w:w="849"/>
      </w:tblGrid>
      <w:tr w:rsidR="00FC471C" w:rsidRPr="00C43CF9" w:rsidTr="008A5CD4">
        <w:trPr>
          <w:trHeight w:val="369"/>
          <w:jc w:val="center"/>
        </w:trPr>
        <w:tc>
          <w:tcPr>
            <w:tcW w:w="1125" w:type="dxa"/>
            <w:vMerge w:val="restart"/>
            <w:tcBorders>
              <w:top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6C657D" w:rsidP="008A5CD4">
            <w:pPr>
              <w:jc w:val="center"/>
              <w:rPr>
                <w:rFonts w:ascii="Arial" w:hAnsi="Arial" w:cs="Arial"/>
                <w:sz w:val="18"/>
                <w:szCs w:val="18"/>
                <w:lang w:val="en-GB"/>
              </w:rPr>
            </w:pPr>
            <w:r w:rsidRPr="00C43CF9">
              <w:rPr>
                <w:rFonts w:ascii="Arial" w:hAnsi="Arial" w:cs="Arial"/>
                <w:color w:val="940094"/>
                <w:sz w:val="18"/>
                <w:szCs w:val="18"/>
                <w:lang w:val="en-GB"/>
              </w:rPr>
              <w:t xml:space="preserve">                             </w:t>
            </w:r>
          </w:p>
        </w:tc>
        <w:tc>
          <w:tcPr>
            <w:tcW w:w="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2004</w:t>
            </w:r>
          </w:p>
        </w:tc>
        <w:tc>
          <w:tcPr>
            <w:tcW w:w="8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2005</w:t>
            </w:r>
          </w:p>
        </w:tc>
        <w:tc>
          <w:tcPr>
            <w:tcW w:w="8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2006</w:t>
            </w:r>
          </w:p>
        </w:tc>
        <w:tc>
          <w:tcPr>
            <w:tcW w:w="8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2007</w:t>
            </w:r>
          </w:p>
        </w:tc>
        <w:tc>
          <w:tcPr>
            <w:tcW w:w="8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2008</w:t>
            </w:r>
          </w:p>
        </w:tc>
        <w:tc>
          <w:tcPr>
            <w:tcW w:w="8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2009</w:t>
            </w:r>
          </w:p>
        </w:tc>
        <w:tc>
          <w:tcPr>
            <w:tcW w:w="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2010</w:t>
            </w:r>
          </w:p>
        </w:tc>
        <w:tc>
          <w:tcPr>
            <w:tcW w:w="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2011</w:t>
            </w:r>
          </w:p>
        </w:tc>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2012</w:t>
            </w:r>
          </w:p>
        </w:tc>
        <w:tc>
          <w:tcPr>
            <w:tcW w:w="84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r w:rsidRPr="00C43CF9">
              <w:rPr>
                <w:rFonts w:ascii="Arial" w:hAnsi="Arial" w:cs="Arial"/>
                <w:sz w:val="18"/>
                <w:szCs w:val="18"/>
                <w:lang w:val="en-GB"/>
              </w:rPr>
              <w:t>2013</w:t>
            </w:r>
          </w:p>
        </w:tc>
      </w:tr>
      <w:tr w:rsidR="00FC471C" w:rsidRPr="00C43CF9" w:rsidTr="008A5CD4">
        <w:trPr>
          <w:trHeight w:val="369"/>
          <w:jc w:val="center"/>
        </w:trPr>
        <w:tc>
          <w:tcPr>
            <w:tcW w:w="1125" w:type="dxa"/>
            <w:vMerge/>
            <w:tcBorders>
              <w:bottom w:val="single" w:sz="4" w:space="0" w:color="940094"/>
              <w:right w:val="single" w:sz="4" w:space="0" w:color="808080" w:themeColor="background1" w:themeShade="80"/>
            </w:tcBorders>
            <w:shd w:val="clear" w:color="auto" w:fill="E5E0EC"/>
            <w:vAlign w:val="center"/>
          </w:tcPr>
          <w:p w:rsidR="00FC471C" w:rsidRPr="00C43CF9" w:rsidRDefault="00FC471C" w:rsidP="008A5CD4">
            <w:pPr>
              <w:jc w:val="center"/>
              <w:rPr>
                <w:rFonts w:ascii="Arial" w:hAnsi="Arial" w:cs="Arial"/>
                <w:sz w:val="18"/>
                <w:szCs w:val="18"/>
                <w:lang w:val="en-GB"/>
              </w:rPr>
            </w:pPr>
          </w:p>
        </w:tc>
        <w:tc>
          <w:tcPr>
            <w:tcW w:w="8514" w:type="dxa"/>
            <w:gridSpan w:val="10"/>
            <w:tcBorders>
              <w:top w:val="single" w:sz="4" w:space="0" w:color="808080" w:themeColor="background1" w:themeShade="80"/>
              <w:left w:val="single" w:sz="4" w:space="0" w:color="808080" w:themeColor="background1" w:themeShade="80"/>
              <w:bottom w:val="single" w:sz="4" w:space="0" w:color="940094"/>
            </w:tcBorders>
            <w:shd w:val="clear" w:color="auto" w:fill="E5E0EC"/>
            <w:vAlign w:val="center"/>
          </w:tcPr>
          <w:p w:rsidR="00FC471C" w:rsidRPr="00C43CF9" w:rsidRDefault="0040793E" w:rsidP="0040793E">
            <w:pPr>
              <w:jc w:val="center"/>
              <w:rPr>
                <w:rFonts w:ascii="Arial" w:hAnsi="Arial" w:cs="Arial"/>
                <w:sz w:val="18"/>
                <w:szCs w:val="18"/>
                <w:lang w:val="en-GB"/>
              </w:rPr>
            </w:pPr>
            <w:r>
              <w:rPr>
                <w:rFonts w:ascii="Arial" w:hAnsi="Arial" w:cs="Arial"/>
                <w:sz w:val="18"/>
                <w:szCs w:val="18"/>
                <w:lang w:val="en-GB"/>
              </w:rPr>
              <w:t>share in %</w:t>
            </w:r>
          </w:p>
        </w:tc>
      </w:tr>
      <w:tr w:rsidR="00FC471C" w:rsidRPr="00C43CF9" w:rsidTr="008A5CD4">
        <w:trPr>
          <w:trHeight w:val="283"/>
          <w:jc w:val="center"/>
        </w:trPr>
        <w:tc>
          <w:tcPr>
            <w:tcW w:w="1125" w:type="dxa"/>
            <w:tcBorders>
              <w:top w:val="single" w:sz="4" w:space="0" w:color="940094"/>
              <w:bottom w:val="single" w:sz="4" w:space="0" w:color="808080" w:themeColor="background1" w:themeShade="80"/>
              <w:right w:val="single" w:sz="4" w:space="0" w:color="808080" w:themeColor="background1" w:themeShade="80"/>
            </w:tcBorders>
            <w:vAlign w:val="center"/>
          </w:tcPr>
          <w:p w:rsidR="00FC471C" w:rsidRPr="00C43CF9" w:rsidRDefault="0040793E" w:rsidP="0097225D">
            <w:pPr>
              <w:rPr>
                <w:rFonts w:ascii="Arial" w:hAnsi="Arial" w:cs="Arial"/>
                <w:sz w:val="18"/>
                <w:szCs w:val="18"/>
                <w:lang w:val="en-GB"/>
              </w:rPr>
            </w:pPr>
            <w:r>
              <w:rPr>
                <w:rFonts w:ascii="Arial" w:hAnsi="Arial" w:cs="Arial"/>
                <w:sz w:val="18"/>
                <w:szCs w:val="18"/>
                <w:lang w:val="en-GB"/>
              </w:rPr>
              <w:t>exports</w:t>
            </w:r>
          </w:p>
        </w:tc>
        <w:tc>
          <w:tcPr>
            <w:tcW w:w="865"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35</w:t>
            </w:r>
            <w:r w:rsidR="006E02AF">
              <w:rPr>
                <w:rFonts w:ascii="Arial" w:hAnsi="Arial" w:cs="Arial"/>
                <w:sz w:val="18"/>
                <w:szCs w:val="18"/>
                <w:lang w:val="en-GB"/>
              </w:rPr>
              <w:t>.</w:t>
            </w:r>
            <w:r w:rsidRPr="00C43CF9">
              <w:rPr>
                <w:rFonts w:ascii="Arial" w:hAnsi="Arial" w:cs="Arial"/>
                <w:sz w:val="18"/>
                <w:szCs w:val="18"/>
                <w:lang w:val="en-GB"/>
              </w:rPr>
              <w:t>1</w:t>
            </w:r>
          </w:p>
        </w:tc>
        <w:tc>
          <w:tcPr>
            <w:tcW w:w="86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33</w:t>
            </w:r>
            <w:r w:rsidR="006E02AF">
              <w:rPr>
                <w:rFonts w:ascii="Arial" w:hAnsi="Arial" w:cs="Arial"/>
                <w:sz w:val="18"/>
                <w:szCs w:val="18"/>
                <w:lang w:val="en-GB"/>
              </w:rPr>
              <w:t>.</w:t>
            </w:r>
            <w:r w:rsidRPr="00C43CF9">
              <w:rPr>
                <w:rFonts w:ascii="Arial" w:hAnsi="Arial" w:cs="Arial"/>
                <w:sz w:val="18"/>
                <w:szCs w:val="18"/>
                <w:lang w:val="en-GB"/>
              </w:rPr>
              <w:t>8</w:t>
            </w:r>
          </w:p>
        </w:tc>
        <w:tc>
          <w:tcPr>
            <w:tcW w:w="861"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35</w:t>
            </w:r>
            <w:r w:rsidR="006E02AF">
              <w:rPr>
                <w:rFonts w:ascii="Arial" w:hAnsi="Arial" w:cs="Arial"/>
                <w:sz w:val="18"/>
                <w:szCs w:val="18"/>
                <w:lang w:val="en-GB"/>
              </w:rPr>
              <w:t>.</w:t>
            </w:r>
            <w:r w:rsidRPr="00C43CF9">
              <w:rPr>
                <w:rFonts w:ascii="Arial" w:hAnsi="Arial" w:cs="Arial"/>
                <w:sz w:val="18"/>
                <w:szCs w:val="18"/>
                <w:lang w:val="en-GB"/>
              </w:rPr>
              <w:t>5</w:t>
            </w:r>
          </w:p>
        </w:tc>
        <w:tc>
          <w:tcPr>
            <w:tcW w:w="86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37</w:t>
            </w:r>
            <w:r w:rsidR="006E02AF">
              <w:rPr>
                <w:rFonts w:ascii="Arial" w:hAnsi="Arial" w:cs="Arial"/>
                <w:sz w:val="18"/>
                <w:szCs w:val="18"/>
                <w:lang w:val="en-GB"/>
              </w:rPr>
              <w:t>.</w:t>
            </w:r>
            <w:r w:rsidRPr="00C43CF9">
              <w:rPr>
                <w:rFonts w:ascii="Arial" w:hAnsi="Arial" w:cs="Arial"/>
                <w:sz w:val="18"/>
                <w:szCs w:val="18"/>
                <w:lang w:val="en-GB"/>
              </w:rPr>
              <w:t>1</w:t>
            </w:r>
          </w:p>
        </w:tc>
        <w:tc>
          <w:tcPr>
            <w:tcW w:w="861"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37</w:t>
            </w:r>
            <w:r w:rsidR="006E02AF">
              <w:rPr>
                <w:rFonts w:ascii="Arial" w:hAnsi="Arial" w:cs="Arial"/>
                <w:sz w:val="18"/>
                <w:szCs w:val="18"/>
                <w:lang w:val="en-GB"/>
              </w:rPr>
              <w:t>.</w:t>
            </w:r>
            <w:r w:rsidRPr="00C43CF9">
              <w:rPr>
                <w:rFonts w:ascii="Arial" w:hAnsi="Arial" w:cs="Arial"/>
                <w:sz w:val="18"/>
                <w:szCs w:val="18"/>
                <w:lang w:val="en-GB"/>
              </w:rPr>
              <w:t>7</w:t>
            </w:r>
          </w:p>
        </w:tc>
        <w:tc>
          <w:tcPr>
            <w:tcW w:w="86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36</w:t>
            </w:r>
            <w:r w:rsidR="006E02AF">
              <w:rPr>
                <w:rFonts w:ascii="Arial" w:hAnsi="Arial" w:cs="Arial"/>
                <w:sz w:val="18"/>
                <w:szCs w:val="18"/>
                <w:lang w:val="en-GB"/>
              </w:rPr>
              <w:t>.</w:t>
            </w:r>
            <w:r w:rsidRPr="00C43CF9">
              <w:rPr>
                <w:rFonts w:ascii="Arial" w:hAnsi="Arial" w:cs="Arial"/>
                <w:sz w:val="18"/>
                <w:szCs w:val="18"/>
                <w:lang w:val="en-GB"/>
              </w:rPr>
              <w:t>0</w:t>
            </w:r>
          </w:p>
        </w:tc>
        <w:tc>
          <w:tcPr>
            <w:tcW w:w="826"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37</w:t>
            </w:r>
            <w:r w:rsidR="006E02AF">
              <w:rPr>
                <w:rFonts w:ascii="Arial" w:hAnsi="Arial" w:cs="Arial"/>
                <w:sz w:val="18"/>
                <w:szCs w:val="18"/>
                <w:lang w:val="en-GB"/>
              </w:rPr>
              <w:t>.</w:t>
            </w:r>
            <w:r w:rsidRPr="00C43CF9">
              <w:rPr>
                <w:rFonts w:ascii="Arial" w:hAnsi="Arial" w:cs="Arial"/>
                <w:sz w:val="18"/>
                <w:szCs w:val="18"/>
                <w:lang w:val="en-GB"/>
              </w:rPr>
              <w:t>3</w:t>
            </w:r>
          </w:p>
        </w:tc>
        <w:tc>
          <w:tcPr>
            <w:tcW w:w="844"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37</w:t>
            </w:r>
            <w:r w:rsidR="006E02AF">
              <w:rPr>
                <w:rFonts w:ascii="Arial" w:hAnsi="Arial" w:cs="Arial"/>
                <w:sz w:val="18"/>
                <w:szCs w:val="18"/>
                <w:lang w:val="en-GB"/>
              </w:rPr>
              <w:t>.</w:t>
            </w:r>
            <w:r w:rsidRPr="00C43CF9">
              <w:rPr>
                <w:rFonts w:ascii="Arial" w:hAnsi="Arial" w:cs="Arial"/>
                <w:sz w:val="18"/>
                <w:szCs w:val="18"/>
                <w:lang w:val="en-GB"/>
              </w:rPr>
              <w:t>4</w:t>
            </w:r>
          </w:p>
        </w:tc>
        <w:tc>
          <w:tcPr>
            <w:tcW w:w="822" w:type="dxa"/>
            <w:tcBorders>
              <w:top w:val="single" w:sz="4" w:space="0" w:color="940094"/>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36</w:t>
            </w:r>
            <w:r w:rsidR="006E02AF">
              <w:rPr>
                <w:rFonts w:ascii="Arial" w:hAnsi="Arial" w:cs="Arial"/>
                <w:sz w:val="18"/>
                <w:szCs w:val="18"/>
                <w:lang w:val="en-GB"/>
              </w:rPr>
              <w:t>.</w:t>
            </w:r>
            <w:r w:rsidRPr="00C43CF9">
              <w:rPr>
                <w:rFonts w:ascii="Arial" w:hAnsi="Arial" w:cs="Arial"/>
                <w:sz w:val="18"/>
                <w:szCs w:val="18"/>
                <w:lang w:val="en-GB"/>
              </w:rPr>
              <w:t>7</w:t>
            </w:r>
          </w:p>
        </w:tc>
        <w:tc>
          <w:tcPr>
            <w:tcW w:w="849" w:type="dxa"/>
            <w:tcBorders>
              <w:top w:val="single" w:sz="4" w:space="0" w:color="940094"/>
              <w:left w:val="single" w:sz="4" w:space="0" w:color="808080" w:themeColor="background1" w:themeShade="80"/>
              <w:bottom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35</w:t>
            </w:r>
            <w:r w:rsidR="006E02AF">
              <w:rPr>
                <w:rFonts w:ascii="Arial" w:hAnsi="Arial" w:cs="Arial"/>
                <w:sz w:val="18"/>
                <w:szCs w:val="18"/>
                <w:lang w:val="en-GB"/>
              </w:rPr>
              <w:t>.</w:t>
            </w:r>
            <w:r w:rsidRPr="00C43CF9">
              <w:rPr>
                <w:rFonts w:ascii="Arial" w:hAnsi="Arial" w:cs="Arial"/>
                <w:sz w:val="18"/>
                <w:szCs w:val="18"/>
                <w:lang w:val="en-GB"/>
              </w:rPr>
              <w:t>8</w:t>
            </w:r>
          </w:p>
        </w:tc>
      </w:tr>
      <w:tr w:rsidR="00FC471C" w:rsidRPr="00C43CF9" w:rsidTr="008A5CD4">
        <w:trPr>
          <w:trHeight w:val="283"/>
          <w:jc w:val="center"/>
        </w:trPr>
        <w:tc>
          <w:tcPr>
            <w:tcW w:w="1125"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40793E" w:rsidP="0097225D">
            <w:pPr>
              <w:rPr>
                <w:rFonts w:ascii="Arial" w:hAnsi="Arial" w:cs="Arial"/>
                <w:sz w:val="18"/>
                <w:szCs w:val="18"/>
                <w:lang w:val="en-GB"/>
              </w:rPr>
            </w:pPr>
            <w:r>
              <w:rPr>
                <w:rFonts w:ascii="Arial" w:hAnsi="Arial" w:cs="Arial"/>
                <w:sz w:val="18"/>
                <w:szCs w:val="18"/>
                <w:lang w:val="en-GB"/>
              </w:rPr>
              <w:t>imports</w:t>
            </w:r>
          </w:p>
        </w:tc>
        <w:tc>
          <w:tcPr>
            <w:tcW w:w="8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32</w:t>
            </w:r>
            <w:r w:rsidR="006E02AF">
              <w:rPr>
                <w:rFonts w:ascii="Arial" w:hAnsi="Arial" w:cs="Arial"/>
                <w:sz w:val="18"/>
                <w:szCs w:val="18"/>
                <w:lang w:val="en-GB"/>
              </w:rPr>
              <w:t>.</w:t>
            </w:r>
            <w:r w:rsidRPr="00C43CF9">
              <w:rPr>
                <w:rFonts w:ascii="Arial" w:hAnsi="Arial" w:cs="Arial"/>
                <w:sz w:val="18"/>
                <w:szCs w:val="18"/>
                <w:lang w:val="en-GB"/>
              </w:rPr>
              <w:t>7</w:t>
            </w:r>
          </w:p>
        </w:tc>
        <w:tc>
          <w:tcPr>
            <w:tcW w:w="8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30</w:t>
            </w:r>
            <w:r w:rsidR="006E02AF">
              <w:rPr>
                <w:rFonts w:ascii="Arial" w:hAnsi="Arial" w:cs="Arial"/>
                <w:sz w:val="18"/>
                <w:szCs w:val="18"/>
                <w:lang w:val="en-GB"/>
              </w:rPr>
              <w:t>.</w:t>
            </w:r>
            <w:r w:rsidRPr="00C43CF9">
              <w:rPr>
                <w:rFonts w:ascii="Arial" w:hAnsi="Arial" w:cs="Arial"/>
                <w:sz w:val="18"/>
                <w:szCs w:val="18"/>
                <w:lang w:val="en-GB"/>
              </w:rPr>
              <w:t>5</w:t>
            </w:r>
          </w:p>
        </w:tc>
        <w:tc>
          <w:tcPr>
            <w:tcW w:w="8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32</w:t>
            </w:r>
            <w:r w:rsidR="006E02AF">
              <w:rPr>
                <w:rFonts w:ascii="Arial" w:hAnsi="Arial" w:cs="Arial"/>
                <w:sz w:val="18"/>
                <w:szCs w:val="18"/>
                <w:lang w:val="en-GB"/>
              </w:rPr>
              <w:t>.</w:t>
            </w:r>
            <w:r w:rsidRPr="00C43CF9">
              <w:rPr>
                <w:rFonts w:ascii="Arial" w:hAnsi="Arial" w:cs="Arial"/>
                <w:sz w:val="18"/>
                <w:szCs w:val="18"/>
                <w:lang w:val="en-GB"/>
              </w:rPr>
              <w:t>3</w:t>
            </w:r>
          </w:p>
        </w:tc>
        <w:tc>
          <w:tcPr>
            <w:tcW w:w="8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33</w:t>
            </w:r>
            <w:r w:rsidR="006E02AF">
              <w:rPr>
                <w:rFonts w:ascii="Arial" w:hAnsi="Arial" w:cs="Arial"/>
                <w:sz w:val="18"/>
                <w:szCs w:val="18"/>
                <w:lang w:val="en-GB"/>
              </w:rPr>
              <w:t>.</w:t>
            </w:r>
            <w:r w:rsidRPr="00C43CF9">
              <w:rPr>
                <w:rFonts w:ascii="Arial" w:hAnsi="Arial" w:cs="Arial"/>
                <w:sz w:val="18"/>
                <w:szCs w:val="18"/>
                <w:lang w:val="en-GB"/>
              </w:rPr>
              <w:t>8</w:t>
            </w:r>
          </w:p>
        </w:tc>
        <w:tc>
          <w:tcPr>
            <w:tcW w:w="8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32</w:t>
            </w:r>
            <w:r w:rsidR="006E02AF">
              <w:rPr>
                <w:rFonts w:ascii="Arial" w:hAnsi="Arial" w:cs="Arial"/>
                <w:sz w:val="18"/>
                <w:szCs w:val="18"/>
                <w:lang w:val="en-GB"/>
              </w:rPr>
              <w:t>.</w:t>
            </w:r>
            <w:r w:rsidRPr="00C43CF9">
              <w:rPr>
                <w:rFonts w:ascii="Arial" w:hAnsi="Arial" w:cs="Arial"/>
                <w:sz w:val="18"/>
                <w:szCs w:val="18"/>
                <w:lang w:val="en-GB"/>
              </w:rPr>
              <w:t>8</w:t>
            </w:r>
          </w:p>
        </w:tc>
        <w:tc>
          <w:tcPr>
            <w:tcW w:w="8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33</w:t>
            </w:r>
            <w:r w:rsidR="006E02AF">
              <w:rPr>
                <w:rFonts w:ascii="Arial" w:hAnsi="Arial" w:cs="Arial"/>
                <w:sz w:val="18"/>
                <w:szCs w:val="18"/>
                <w:lang w:val="en-GB"/>
              </w:rPr>
              <w:t>.</w:t>
            </w:r>
            <w:r w:rsidRPr="00C43CF9">
              <w:rPr>
                <w:rFonts w:ascii="Arial" w:hAnsi="Arial" w:cs="Arial"/>
                <w:sz w:val="18"/>
                <w:szCs w:val="18"/>
                <w:lang w:val="en-GB"/>
              </w:rPr>
              <w:t>1</w:t>
            </w:r>
          </w:p>
        </w:tc>
        <w:tc>
          <w:tcPr>
            <w:tcW w:w="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35</w:t>
            </w:r>
            <w:r w:rsidR="006E02AF">
              <w:rPr>
                <w:rFonts w:ascii="Arial" w:hAnsi="Arial" w:cs="Arial"/>
                <w:sz w:val="18"/>
                <w:szCs w:val="18"/>
                <w:lang w:val="en-GB"/>
              </w:rPr>
              <w:t>.</w:t>
            </w:r>
            <w:r w:rsidRPr="00C43CF9">
              <w:rPr>
                <w:rFonts w:ascii="Arial" w:hAnsi="Arial" w:cs="Arial"/>
                <w:sz w:val="18"/>
                <w:szCs w:val="18"/>
                <w:lang w:val="en-GB"/>
              </w:rPr>
              <w:t>4</w:t>
            </w:r>
          </w:p>
        </w:tc>
        <w:tc>
          <w:tcPr>
            <w:tcW w:w="8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34</w:t>
            </w:r>
            <w:r w:rsidR="006E02AF">
              <w:rPr>
                <w:rFonts w:ascii="Arial" w:hAnsi="Arial" w:cs="Arial"/>
                <w:sz w:val="18"/>
                <w:szCs w:val="18"/>
                <w:lang w:val="en-GB"/>
              </w:rPr>
              <w:t>.</w:t>
            </w:r>
            <w:r w:rsidRPr="00C43CF9">
              <w:rPr>
                <w:rFonts w:ascii="Arial" w:hAnsi="Arial" w:cs="Arial"/>
                <w:sz w:val="18"/>
                <w:szCs w:val="18"/>
                <w:lang w:val="en-GB"/>
              </w:rPr>
              <w:t>0</w:t>
            </w:r>
          </w:p>
        </w:tc>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33</w:t>
            </w:r>
            <w:r w:rsidR="006E02AF">
              <w:rPr>
                <w:rFonts w:ascii="Arial" w:hAnsi="Arial" w:cs="Arial"/>
                <w:sz w:val="18"/>
                <w:szCs w:val="18"/>
                <w:lang w:val="en-GB"/>
              </w:rPr>
              <w:t>.</w:t>
            </w:r>
            <w:r w:rsidRPr="00C43CF9">
              <w:rPr>
                <w:rFonts w:ascii="Arial" w:hAnsi="Arial" w:cs="Arial"/>
                <w:sz w:val="18"/>
                <w:szCs w:val="18"/>
                <w:lang w:val="en-GB"/>
              </w:rPr>
              <w:t>0</w:t>
            </w:r>
          </w:p>
        </w:tc>
        <w:tc>
          <w:tcPr>
            <w:tcW w:w="84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FC471C" w:rsidRPr="00C43CF9" w:rsidRDefault="006C657D" w:rsidP="006E02AF">
            <w:pPr>
              <w:jc w:val="right"/>
              <w:rPr>
                <w:rFonts w:ascii="Arial" w:hAnsi="Arial" w:cs="Arial"/>
                <w:sz w:val="18"/>
                <w:szCs w:val="18"/>
                <w:lang w:val="en-GB"/>
              </w:rPr>
            </w:pPr>
            <w:r w:rsidRPr="00C43CF9">
              <w:rPr>
                <w:rFonts w:ascii="Arial" w:hAnsi="Arial" w:cs="Arial"/>
                <w:sz w:val="18"/>
                <w:szCs w:val="18"/>
                <w:lang w:val="en-GB"/>
              </w:rPr>
              <w:t>32</w:t>
            </w:r>
            <w:r w:rsidR="006E02AF">
              <w:rPr>
                <w:rFonts w:ascii="Arial" w:hAnsi="Arial" w:cs="Arial"/>
                <w:sz w:val="18"/>
                <w:szCs w:val="18"/>
                <w:lang w:val="en-GB"/>
              </w:rPr>
              <w:t>.</w:t>
            </w:r>
            <w:r w:rsidRPr="00C43CF9">
              <w:rPr>
                <w:rFonts w:ascii="Arial" w:hAnsi="Arial" w:cs="Arial"/>
                <w:sz w:val="18"/>
                <w:szCs w:val="18"/>
                <w:lang w:val="en-GB"/>
              </w:rPr>
              <w:t>5</w:t>
            </w:r>
          </w:p>
        </w:tc>
      </w:tr>
    </w:tbl>
    <w:p w:rsidR="00EF318C" w:rsidRPr="00C43CF9" w:rsidRDefault="00EF318C" w:rsidP="00BD1D57">
      <w:pPr>
        <w:spacing w:after="0"/>
        <w:rPr>
          <w:rFonts w:ascii="Arial" w:hAnsi="Arial" w:cs="Arial"/>
          <w:sz w:val="18"/>
          <w:szCs w:val="18"/>
          <w:lang w:val="en-GB"/>
        </w:rPr>
      </w:pPr>
    </w:p>
    <w:p w:rsidR="00BD1D57" w:rsidRPr="00C43CF9" w:rsidRDefault="00BD1D57" w:rsidP="00E50D85">
      <w:pPr>
        <w:shd w:val="clear" w:color="auto" w:fill="F5F3F7"/>
        <w:tabs>
          <w:tab w:val="left" w:pos="1418"/>
        </w:tabs>
        <w:spacing w:before="120" w:after="120"/>
        <w:jc w:val="both"/>
        <w:rPr>
          <w:rFonts w:ascii="Arial" w:hAnsi="Arial" w:cs="Arial"/>
          <w:color w:val="940094"/>
          <w:sz w:val="18"/>
          <w:szCs w:val="18"/>
          <w:lang w:val="en-GB"/>
        </w:rPr>
      </w:pPr>
      <w:r w:rsidRPr="00C43CF9">
        <w:rPr>
          <w:rFonts w:ascii="Arial" w:hAnsi="Arial" w:cs="Arial"/>
          <w:color w:val="940094"/>
          <w:sz w:val="18"/>
          <w:szCs w:val="18"/>
          <w:lang w:val="en-GB"/>
        </w:rPr>
        <w:t>Gra</w:t>
      </w:r>
      <w:r w:rsidR="009656E8">
        <w:rPr>
          <w:rFonts w:ascii="Arial" w:hAnsi="Arial" w:cs="Arial"/>
          <w:color w:val="940094"/>
          <w:sz w:val="18"/>
          <w:szCs w:val="18"/>
          <w:lang w:val="en-GB"/>
        </w:rPr>
        <w:t>ph</w:t>
      </w:r>
      <w:r w:rsidRPr="00C43CF9">
        <w:rPr>
          <w:rFonts w:ascii="Arial" w:hAnsi="Arial" w:cs="Arial"/>
          <w:color w:val="940094"/>
          <w:sz w:val="18"/>
          <w:szCs w:val="18"/>
          <w:lang w:val="en-GB"/>
        </w:rPr>
        <w:t xml:space="preserve"> 1</w:t>
      </w:r>
      <w:r w:rsidR="00EC2E63" w:rsidRPr="00C43CF9">
        <w:rPr>
          <w:rFonts w:ascii="Arial" w:hAnsi="Arial" w:cs="Arial"/>
          <w:color w:val="940094"/>
          <w:sz w:val="18"/>
          <w:szCs w:val="18"/>
          <w:lang w:val="en-GB"/>
        </w:rPr>
        <w:t>2</w:t>
      </w:r>
      <w:r w:rsidR="006B49AF">
        <w:rPr>
          <w:rFonts w:ascii="Arial" w:hAnsi="Arial" w:cs="Arial"/>
          <w:color w:val="940094"/>
          <w:sz w:val="18"/>
          <w:szCs w:val="18"/>
          <w:lang w:val="en-GB"/>
        </w:rPr>
        <w:tab/>
      </w:r>
      <w:r w:rsidR="00145412">
        <w:rPr>
          <w:rFonts w:ascii="Arial" w:hAnsi="Arial" w:cs="Arial"/>
          <w:color w:val="940094"/>
          <w:sz w:val="18"/>
          <w:szCs w:val="18"/>
          <w:lang w:val="en-GB"/>
        </w:rPr>
        <w:t>External trade o</w:t>
      </w:r>
      <w:r w:rsidR="008A288D">
        <w:rPr>
          <w:rFonts w:ascii="Arial" w:hAnsi="Arial" w:cs="Arial"/>
          <w:color w:val="940094"/>
          <w:sz w:val="18"/>
          <w:szCs w:val="18"/>
          <w:lang w:val="en-GB"/>
        </w:rPr>
        <w:t>f automatic data-processing machines</w:t>
      </w:r>
      <w:r w:rsidR="00AA6360" w:rsidRPr="00C43CF9">
        <w:rPr>
          <w:rFonts w:ascii="Arial" w:hAnsi="Arial" w:cs="Arial"/>
          <w:color w:val="940094"/>
          <w:sz w:val="18"/>
          <w:szCs w:val="18"/>
          <w:lang w:val="en-GB"/>
        </w:rPr>
        <w:t xml:space="preserve"> (HS 8471)</w:t>
      </w:r>
      <w:r w:rsidR="00202001" w:rsidRPr="00C43CF9">
        <w:rPr>
          <w:rFonts w:ascii="Arial" w:hAnsi="Arial" w:cs="Arial"/>
          <w:color w:val="940094"/>
          <w:sz w:val="18"/>
          <w:szCs w:val="18"/>
          <w:lang w:val="en-GB"/>
        </w:rPr>
        <w:t>, 2004 - 2013</w:t>
      </w:r>
    </w:p>
    <w:p w:rsidR="001076A9" w:rsidRPr="00C43CF9" w:rsidRDefault="004C6982" w:rsidP="00503311">
      <w:pPr>
        <w:rPr>
          <w:rFonts w:ascii="Arial" w:hAnsi="Arial" w:cs="Arial"/>
          <w:sz w:val="18"/>
          <w:szCs w:val="18"/>
          <w:lang w:val="en-GB"/>
        </w:rPr>
      </w:pPr>
      <w:r w:rsidRPr="009F54DD">
        <w:rPr>
          <w:rFonts w:ascii="Arial" w:hAnsi="Arial" w:cs="Arial"/>
          <w:sz w:val="18"/>
          <w:szCs w:val="18"/>
          <w:lang w:val="en-GB"/>
        </w:rPr>
        <w:pict>
          <v:shape id="_x0000_i1036" type="#_x0000_t75" style="width:487pt;height:164.4pt">
            <v:imagedata r:id="rId24" o:title=""/>
          </v:shape>
        </w:pict>
      </w:r>
    </w:p>
    <w:sectPr w:rsidR="001076A9" w:rsidRPr="00C43CF9" w:rsidSect="008F6442">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1AE" w:rsidRDefault="007141AE" w:rsidP="00C553D4">
      <w:pPr>
        <w:spacing w:after="0" w:line="240" w:lineRule="auto"/>
      </w:pPr>
      <w:r>
        <w:separator/>
      </w:r>
    </w:p>
  </w:endnote>
  <w:endnote w:type="continuationSeparator" w:id="0">
    <w:p w:rsidR="007141AE" w:rsidRDefault="007141AE" w:rsidP="00C55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1AE" w:rsidRDefault="007141AE" w:rsidP="00C553D4">
      <w:pPr>
        <w:spacing w:after="0" w:line="240" w:lineRule="auto"/>
      </w:pPr>
      <w:r>
        <w:separator/>
      </w:r>
    </w:p>
  </w:footnote>
  <w:footnote w:type="continuationSeparator" w:id="0">
    <w:p w:rsidR="007141AE" w:rsidRDefault="007141AE" w:rsidP="00C553D4">
      <w:pPr>
        <w:spacing w:after="0" w:line="240" w:lineRule="auto"/>
      </w:pPr>
      <w:r>
        <w:continuationSeparator/>
      </w:r>
    </w:p>
  </w:footnote>
  <w:footnote w:id="1">
    <w:p w:rsidR="00232A01" w:rsidRPr="00232A01" w:rsidRDefault="00232A01" w:rsidP="00E42016">
      <w:pPr>
        <w:pStyle w:val="Textpoznpodarou"/>
        <w:spacing w:before="40" w:after="40"/>
        <w:jc w:val="both"/>
        <w:rPr>
          <w:rFonts w:ascii="Arial" w:hAnsi="Arial" w:cs="Arial"/>
          <w:sz w:val="16"/>
          <w:szCs w:val="16"/>
          <w:lang w:val="en-GB"/>
        </w:rPr>
      </w:pPr>
      <w:r w:rsidRPr="00232A01">
        <w:rPr>
          <w:rStyle w:val="Znakapoznpodarou"/>
          <w:rFonts w:ascii="Arial" w:hAnsi="Arial" w:cs="Arial"/>
          <w:sz w:val="16"/>
          <w:szCs w:val="16"/>
        </w:rPr>
        <w:footnoteRef/>
      </w:r>
      <w:r w:rsidRPr="00232A01">
        <w:rPr>
          <w:rFonts w:ascii="Arial" w:hAnsi="Arial" w:cs="Arial"/>
          <w:sz w:val="16"/>
          <w:szCs w:val="16"/>
        </w:rPr>
        <w:t xml:space="preserve"> </w:t>
      </w:r>
      <w:r w:rsidRPr="00232A01">
        <w:rPr>
          <w:rFonts w:ascii="Arial" w:hAnsi="Arial" w:cs="Arial"/>
          <w:sz w:val="16"/>
          <w:szCs w:val="16"/>
          <w:lang w:val="en-GB"/>
        </w:rPr>
        <w:t xml:space="preserve">The trade with Germany is very important for the Czech Republic, because also mutual trade </w:t>
      </w:r>
      <w:r w:rsidR="00E42016">
        <w:rPr>
          <w:rFonts w:ascii="Arial" w:hAnsi="Arial" w:cs="Arial"/>
          <w:sz w:val="16"/>
          <w:szCs w:val="16"/>
          <w:lang w:val="en-GB"/>
        </w:rPr>
        <w:t>is to some extend influenced by </w:t>
      </w:r>
      <w:r w:rsidRPr="00232A01">
        <w:rPr>
          <w:rFonts w:ascii="Arial" w:hAnsi="Arial" w:cs="Arial"/>
          <w:sz w:val="16"/>
          <w:szCs w:val="16"/>
          <w:lang w:val="en-GB"/>
        </w:rPr>
        <w:t>economic situation in Germany and potential economic problems could be afterwards brought to the Czech Republic due to decrease of trade. Similarly for both countries quality and accuracy of statistical data are important, therefore the annual meeting of statisticians from both countries are held to conduct so called mirror comparison of statistical data. It contributes to</w:t>
      </w:r>
      <w:r w:rsidR="00E42016">
        <w:rPr>
          <w:rFonts w:ascii="Arial" w:hAnsi="Arial" w:cs="Arial"/>
          <w:sz w:val="16"/>
          <w:szCs w:val="16"/>
          <w:lang w:val="en-GB"/>
        </w:rPr>
        <w:t xml:space="preserve"> matching the statistics of the </w:t>
      </w:r>
      <w:r w:rsidRPr="00232A01">
        <w:rPr>
          <w:rFonts w:ascii="Arial" w:hAnsi="Arial" w:cs="Arial"/>
          <w:sz w:val="16"/>
          <w:szCs w:val="16"/>
          <w:lang w:val="en-GB"/>
        </w:rPr>
        <w:t xml:space="preserve">same direction of trade in both countries. </w:t>
      </w:r>
    </w:p>
    <w:p w:rsidR="00232A01" w:rsidRPr="00232A01" w:rsidRDefault="00232A01" w:rsidP="00E42016">
      <w:pPr>
        <w:pStyle w:val="Textpoznpodarou"/>
        <w:jc w:val="both"/>
        <w:rPr>
          <w:rFonts w:ascii="Arial" w:hAnsi="Arial" w:cs="Arial"/>
          <w:sz w:val="16"/>
          <w:szCs w:val="16"/>
          <w:lang w:val="en-GB"/>
        </w:rPr>
      </w:pPr>
      <w:r w:rsidRPr="00232A01">
        <w:rPr>
          <w:rFonts w:ascii="Arial" w:hAnsi="Arial" w:cs="Arial"/>
          <w:sz w:val="16"/>
          <w:szCs w:val="16"/>
          <w:lang w:val="en-GB"/>
        </w:rPr>
        <w:t>The mirror comparison often shows and reveals possible mistakes in statistics (it mainly concerns mistakes by providers of statistical information, discrepant statistical data could be likewise caused by dissimilar methodology of their collection) and therefore it can cause to their abolishment and elimination in the future. Moreover thanks to these meetings and mirror comparisons the quality of statistical data is maintained very high. The Czech Republic regularly conducts mirror comparisons both with Eur</w:t>
      </w:r>
      <w:r w:rsidR="00E42016">
        <w:rPr>
          <w:rFonts w:ascii="Arial" w:hAnsi="Arial" w:cs="Arial"/>
          <w:sz w:val="16"/>
          <w:szCs w:val="16"/>
          <w:lang w:val="en-GB"/>
        </w:rPr>
        <w:t>opean and non-EU countries, its </w:t>
      </w:r>
      <w:r w:rsidRPr="00232A01">
        <w:rPr>
          <w:rFonts w:ascii="Arial" w:hAnsi="Arial" w:cs="Arial"/>
          <w:sz w:val="16"/>
          <w:szCs w:val="16"/>
          <w:lang w:val="en-GB"/>
        </w:rPr>
        <w:t xml:space="preserve">important business partners.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1868"/>
    <w:multiLevelType w:val="hybridMultilevel"/>
    <w:tmpl w:val="0C08067A"/>
    <w:lvl w:ilvl="0" w:tplc="3CB6856E">
      <w:start w:val="1"/>
      <w:numFmt w:val="bullet"/>
      <w:lvlText w:val="-"/>
      <w:lvlJc w:val="left"/>
      <w:pPr>
        <w:ind w:left="720" w:hanging="360"/>
      </w:pPr>
      <w:rPr>
        <w:rFonts w:ascii="Arial" w:hAnsi="Arial" w:hint="default"/>
        <w:b w:val="0"/>
        <w:i w:val="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6CA4D31"/>
    <w:multiLevelType w:val="hybridMultilevel"/>
    <w:tmpl w:val="10365C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654775E"/>
    <w:multiLevelType w:val="hybridMultilevel"/>
    <w:tmpl w:val="3778639A"/>
    <w:lvl w:ilvl="0" w:tplc="04050001">
      <w:start w:val="1"/>
      <w:numFmt w:val="bullet"/>
      <w:lvlText w:val=""/>
      <w:lvlJc w:val="left"/>
      <w:pPr>
        <w:ind w:left="720" w:hanging="360"/>
      </w:pPr>
      <w:rPr>
        <w:rFonts w:ascii="Symbol" w:hAnsi="Symbol" w:hint="default"/>
        <w:b w:val="0"/>
        <w:i w:val="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2F2586E"/>
    <w:multiLevelType w:val="hybridMultilevel"/>
    <w:tmpl w:val="DC146F12"/>
    <w:lvl w:ilvl="0" w:tplc="23583E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3FF297B"/>
    <w:multiLevelType w:val="multilevel"/>
    <w:tmpl w:val="1E4A7E22"/>
    <w:lvl w:ilvl="0">
      <w:start w:val="1"/>
      <w:numFmt w:val="decimal"/>
      <w:lvlText w:val="%1."/>
      <w:lvlJc w:val="left"/>
      <w:pPr>
        <w:ind w:left="720" w:hanging="360"/>
      </w:pPr>
      <w:rPr>
        <w:sz w:val="19"/>
        <w:szCs w:val="1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73D5145"/>
    <w:multiLevelType w:val="hybridMultilevel"/>
    <w:tmpl w:val="6A968E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503311"/>
    <w:rsid w:val="000017CF"/>
    <w:rsid w:val="00030D32"/>
    <w:rsid w:val="00043A11"/>
    <w:rsid w:val="0006669D"/>
    <w:rsid w:val="0007204D"/>
    <w:rsid w:val="000A7DAC"/>
    <w:rsid w:val="000F1141"/>
    <w:rsid w:val="000F611F"/>
    <w:rsid w:val="001076A9"/>
    <w:rsid w:val="001142E8"/>
    <w:rsid w:val="0012335C"/>
    <w:rsid w:val="001274DB"/>
    <w:rsid w:val="00133A85"/>
    <w:rsid w:val="0013766B"/>
    <w:rsid w:val="00145412"/>
    <w:rsid w:val="00160273"/>
    <w:rsid w:val="00164580"/>
    <w:rsid w:val="00192772"/>
    <w:rsid w:val="00196014"/>
    <w:rsid w:val="001B0400"/>
    <w:rsid w:val="001D5E6E"/>
    <w:rsid w:val="001D6512"/>
    <w:rsid w:val="001E093F"/>
    <w:rsid w:val="001E14BD"/>
    <w:rsid w:val="001E2FE0"/>
    <w:rsid w:val="001E7748"/>
    <w:rsid w:val="00202001"/>
    <w:rsid w:val="002115E1"/>
    <w:rsid w:val="002147A2"/>
    <w:rsid w:val="002165EF"/>
    <w:rsid w:val="002214E7"/>
    <w:rsid w:val="002217F1"/>
    <w:rsid w:val="00232A01"/>
    <w:rsid w:val="002640D0"/>
    <w:rsid w:val="002816C3"/>
    <w:rsid w:val="002A729C"/>
    <w:rsid w:val="002B1F8E"/>
    <w:rsid w:val="002C3BA1"/>
    <w:rsid w:val="002D0DAD"/>
    <w:rsid w:val="002D7C85"/>
    <w:rsid w:val="002F4E7F"/>
    <w:rsid w:val="00327875"/>
    <w:rsid w:val="00345F1E"/>
    <w:rsid w:val="00374F7E"/>
    <w:rsid w:val="003A4319"/>
    <w:rsid w:val="003B43CC"/>
    <w:rsid w:val="003C5914"/>
    <w:rsid w:val="003F6196"/>
    <w:rsid w:val="0040793E"/>
    <w:rsid w:val="0041085B"/>
    <w:rsid w:val="00433E59"/>
    <w:rsid w:val="00456A8B"/>
    <w:rsid w:val="00457491"/>
    <w:rsid w:val="004738ED"/>
    <w:rsid w:val="004835D3"/>
    <w:rsid w:val="00493053"/>
    <w:rsid w:val="004A14B2"/>
    <w:rsid w:val="004A47F2"/>
    <w:rsid w:val="004B684B"/>
    <w:rsid w:val="004C2121"/>
    <w:rsid w:val="004C6982"/>
    <w:rsid w:val="004E109D"/>
    <w:rsid w:val="004E53DD"/>
    <w:rsid w:val="004F0369"/>
    <w:rsid w:val="004F4020"/>
    <w:rsid w:val="00503311"/>
    <w:rsid w:val="005065F4"/>
    <w:rsid w:val="0051708A"/>
    <w:rsid w:val="00536168"/>
    <w:rsid w:val="00546629"/>
    <w:rsid w:val="00555C09"/>
    <w:rsid w:val="00560C6F"/>
    <w:rsid w:val="00564F5F"/>
    <w:rsid w:val="005A6FE9"/>
    <w:rsid w:val="005B0C02"/>
    <w:rsid w:val="005C3798"/>
    <w:rsid w:val="005C6FCE"/>
    <w:rsid w:val="005D096F"/>
    <w:rsid w:val="005D386B"/>
    <w:rsid w:val="005E08ED"/>
    <w:rsid w:val="0060062D"/>
    <w:rsid w:val="0061045A"/>
    <w:rsid w:val="0061614D"/>
    <w:rsid w:val="00634748"/>
    <w:rsid w:val="0064643A"/>
    <w:rsid w:val="00646FB1"/>
    <w:rsid w:val="00652FB2"/>
    <w:rsid w:val="00653944"/>
    <w:rsid w:val="006B160A"/>
    <w:rsid w:val="006B2952"/>
    <w:rsid w:val="006B49AF"/>
    <w:rsid w:val="006C5645"/>
    <w:rsid w:val="006C657D"/>
    <w:rsid w:val="006E02AF"/>
    <w:rsid w:val="006E0459"/>
    <w:rsid w:val="006E727C"/>
    <w:rsid w:val="007049DA"/>
    <w:rsid w:val="007072EE"/>
    <w:rsid w:val="00712B3C"/>
    <w:rsid w:val="007141AE"/>
    <w:rsid w:val="007237B0"/>
    <w:rsid w:val="00737C39"/>
    <w:rsid w:val="00737CAC"/>
    <w:rsid w:val="007473AB"/>
    <w:rsid w:val="00790991"/>
    <w:rsid w:val="0079163B"/>
    <w:rsid w:val="007B031C"/>
    <w:rsid w:val="007C1FA4"/>
    <w:rsid w:val="007C255F"/>
    <w:rsid w:val="008170A6"/>
    <w:rsid w:val="0086029F"/>
    <w:rsid w:val="00861831"/>
    <w:rsid w:val="0086213D"/>
    <w:rsid w:val="008638DF"/>
    <w:rsid w:val="00870952"/>
    <w:rsid w:val="008828BF"/>
    <w:rsid w:val="00896C3A"/>
    <w:rsid w:val="008A288D"/>
    <w:rsid w:val="008A44CD"/>
    <w:rsid w:val="008A76A3"/>
    <w:rsid w:val="008D494F"/>
    <w:rsid w:val="008E20AE"/>
    <w:rsid w:val="008F319D"/>
    <w:rsid w:val="008F35DB"/>
    <w:rsid w:val="008F6442"/>
    <w:rsid w:val="009009A8"/>
    <w:rsid w:val="009040FB"/>
    <w:rsid w:val="009126A7"/>
    <w:rsid w:val="009344EB"/>
    <w:rsid w:val="0093516B"/>
    <w:rsid w:val="0094002B"/>
    <w:rsid w:val="0094785A"/>
    <w:rsid w:val="0095696D"/>
    <w:rsid w:val="009656E8"/>
    <w:rsid w:val="009665F2"/>
    <w:rsid w:val="0097032C"/>
    <w:rsid w:val="0097225D"/>
    <w:rsid w:val="00987341"/>
    <w:rsid w:val="009D5385"/>
    <w:rsid w:val="009D7B01"/>
    <w:rsid w:val="009E680B"/>
    <w:rsid w:val="009F48C9"/>
    <w:rsid w:val="009F54DD"/>
    <w:rsid w:val="009F5C2E"/>
    <w:rsid w:val="00A2233E"/>
    <w:rsid w:val="00A26E9E"/>
    <w:rsid w:val="00A35374"/>
    <w:rsid w:val="00A35436"/>
    <w:rsid w:val="00A368C9"/>
    <w:rsid w:val="00A37232"/>
    <w:rsid w:val="00A4601F"/>
    <w:rsid w:val="00A63DAF"/>
    <w:rsid w:val="00A63DD2"/>
    <w:rsid w:val="00A747FD"/>
    <w:rsid w:val="00A77119"/>
    <w:rsid w:val="00A81D33"/>
    <w:rsid w:val="00A83F48"/>
    <w:rsid w:val="00AA4EF9"/>
    <w:rsid w:val="00AA5296"/>
    <w:rsid w:val="00AA6360"/>
    <w:rsid w:val="00AC1469"/>
    <w:rsid w:val="00B06B11"/>
    <w:rsid w:val="00B103D5"/>
    <w:rsid w:val="00B5659F"/>
    <w:rsid w:val="00B71044"/>
    <w:rsid w:val="00B918EA"/>
    <w:rsid w:val="00B9576F"/>
    <w:rsid w:val="00B95873"/>
    <w:rsid w:val="00BB0C4D"/>
    <w:rsid w:val="00BB1EB9"/>
    <w:rsid w:val="00BB3F3F"/>
    <w:rsid w:val="00BD1D57"/>
    <w:rsid w:val="00C25913"/>
    <w:rsid w:val="00C3100B"/>
    <w:rsid w:val="00C31CA9"/>
    <w:rsid w:val="00C3412D"/>
    <w:rsid w:val="00C43CF9"/>
    <w:rsid w:val="00C553D4"/>
    <w:rsid w:val="00C82B4C"/>
    <w:rsid w:val="00CB0BED"/>
    <w:rsid w:val="00CB5411"/>
    <w:rsid w:val="00CD5272"/>
    <w:rsid w:val="00CE2BD1"/>
    <w:rsid w:val="00CE6B92"/>
    <w:rsid w:val="00D029E4"/>
    <w:rsid w:val="00D06317"/>
    <w:rsid w:val="00D13A05"/>
    <w:rsid w:val="00D22CD7"/>
    <w:rsid w:val="00D312AE"/>
    <w:rsid w:val="00D345E2"/>
    <w:rsid w:val="00D45544"/>
    <w:rsid w:val="00D7420F"/>
    <w:rsid w:val="00D82702"/>
    <w:rsid w:val="00D8454F"/>
    <w:rsid w:val="00DB2E57"/>
    <w:rsid w:val="00DC1EE0"/>
    <w:rsid w:val="00DC564C"/>
    <w:rsid w:val="00DC6124"/>
    <w:rsid w:val="00DD4432"/>
    <w:rsid w:val="00DF1547"/>
    <w:rsid w:val="00DF44BF"/>
    <w:rsid w:val="00DF654B"/>
    <w:rsid w:val="00E114CA"/>
    <w:rsid w:val="00E15429"/>
    <w:rsid w:val="00E246A9"/>
    <w:rsid w:val="00E42016"/>
    <w:rsid w:val="00E50D85"/>
    <w:rsid w:val="00E60EC8"/>
    <w:rsid w:val="00E630C7"/>
    <w:rsid w:val="00EA0547"/>
    <w:rsid w:val="00EB3459"/>
    <w:rsid w:val="00EB40CC"/>
    <w:rsid w:val="00EC0F6F"/>
    <w:rsid w:val="00EC2E63"/>
    <w:rsid w:val="00EC3DB0"/>
    <w:rsid w:val="00ED71E9"/>
    <w:rsid w:val="00EE3D6B"/>
    <w:rsid w:val="00EF10BA"/>
    <w:rsid w:val="00EF318C"/>
    <w:rsid w:val="00EF5174"/>
    <w:rsid w:val="00F23EAF"/>
    <w:rsid w:val="00F273D7"/>
    <w:rsid w:val="00F30689"/>
    <w:rsid w:val="00F52158"/>
    <w:rsid w:val="00F93F2A"/>
    <w:rsid w:val="00FA2239"/>
    <w:rsid w:val="00FA28CB"/>
    <w:rsid w:val="00FC471C"/>
    <w:rsid w:val="00FC4C25"/>
    <w:rsid w:val="00FD7BB5"/>
    <w:rsid w:val="00FE30CC"/>
    <w:rsid w:val="00FF1D07"/>
    <w:rsid w:val="00FF7BA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3311"/>
    <w:rPr>
      <w:rFonts w:ascii="Times New Roman" w:hAnsi="Times New Roman"/>
    </w:rPr>
  </w:style>
  <w:style w:type="paragraph" w:styleId="Nadpis1">
    <w:name w:val="heading 1"/>
    <w:basedOn w:val="Normln"/>
    <w:next w:val="Normln"/>
    <w:link w:val="Nadpis1Char"/>
    <w:uiPriority w:val="9"/>
    <w:qFormat/>
    <w:rsid w:val="00503311"/>
    <w:pPr>
      <w:keepNext/>
      <w:keepLines/>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B918EA"/>
    <w:pPr>
      <w:keepNext/>
      <w:keepLines/>
      <w:spacing w:before="200" w:after="0"/>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3311"/>
    <w:rPr>
      <w:rFonts w:ascii="Times New Roman" w:eastAsiaTheme="majorEastAsia" w:hAnsi="Times New Roman" w:cstheme="majorBidi"/>
      <w:b/>
      <w:bCs/>
      <w:sz w:val="28"/>
      <w:szCs w:val="28"/>
    </w:rPr>
  </w:style>
  <w:style w:type="paragraph" w:styleId="Nzev">
    <w:name w:val="Title"/>
    <w:basedOn w:val="Normln"/>
    <w:next w:val="Normln"/>
    <w:link w:val="NzevChar"/>
    <w:uiPriority w:val="10"/>
    <w:qFormat/>
    <w:rsid w:val="00B918EA"/>
    <w:pPr>
      <w:spacing w:after="300" w:line="240" w:lineRule="auto"/>
      <w:contextualSpacing/>
    </w:pPr>
    <w:rPr>
      <w:rFonts w:eastAsiaTheme="majorEastAsia" w:cstheme="majorBidi"/>
      <w:spacing w:val="5"/>
      <w:kern w:val="28"/>
      <w:sz w:val="40"/>
      <w:szCs w:val="52"/>
    </w:rPr>
  </w:style>
  <w:style w:type="character" w:customStyle="1" w:styleId="NzevChar">
    <w:name w:val="Název Char"/>
    <w:basedOn w:val="Standardnpsmoodstavce"/>
    <w:link w:val="Nzev"/>
    <w:uiPriority w:val="10"/>
    <w:rsid w:val="00B918EA"/>
    <w:rPr>
      <w:rFonts w:ascii="Times New Roman" w:eastAsiaTheme="majorEastAsia" w:hAnsi="Times New Roman" w:cstheme="majorBidi"/>
      <w:spacing w:val="5"/>
      <w:kern w:val="28"/>
      <w:sz w:val="40"/>
      <w:szCs w:val="52"/>
    </w:rPr>
  </w:style>
  <w:style w:type="character" w:customStyle="1" w:styleId="Nadpis2Char">
    <w:name w:val="Nadpis 2 Char"/>
    <w:basedOn w:val="Standardnpsmoodstavce"/>
    <w:link w:val="Nadpis2"/>
    <w:uiPriority w:val="9"/>
    <w:rsid w:val="00B918EA"/>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DF1547"/>
    <w:pPr>
      <w:ind w:left="720"/>
      <w:contextualSpacing/>
    </w:pPr>
  </w:style>
  <w:style w:type="paragraph" w:styleId="Textpoznpodarou">
    <w:name w:val="footnote text"/>
    <w:basedOn w:val="Normln"/>
    <w:link w:val="TextpoznpodarouChar"/>
    <w:uiPriority w:val="99"/>
    <w:semiHidden/>
    <w:unhideWhenUsed/>
    <w:rsid w:val="00C553D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53D4"/>
    <w:rPr>
      <w:rFonts w:ascii="Times New Roman" w:hAnsi="Times New Roman"/>
      <w:sz w:val="20"/>
      <w:szCs w:val="20"/>
    </w:rPr>
  </w:style>
  <w:style w:type="character" w:styleId="Znakapoznpodarou">
    <w:name w:val="footnote reference"/>
    <w:basedOn w:val="Standardnpsmoodstavce"/>
    <w:uiPriority w:val="99"/>
    <w:semiHidden/>
    <w:unhideWhenUsed/>
    <w:rsid w:val="00C553D4"/>
    <w:rPr>
      <w:vertAlign w:val="superscript"/>
    </w:rPr>
  </w:style>
  <w:style w:type="table" w:styleId="Mkatabulky">
    <w:name w:val="Table Grid"/>
    <w:basedOn w:val="Normlntabulka"/>
    <w:uiPriority w:val="59"/>
    <w:rsid w:val="0098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3311"/>
    <w:rPr>
      <w:rFonts w:ascii="Times New Roman" w:hAnsi="Times New Roman"/>
    </w:rPr>
  </w:style>
  <w:style w:type="paragraph" w:styleId="Nadpis1">
    <w:name w:val="heading 1"/>
    <w:basedOn w:val="Normln"/>
    <w:next w:val="Normln"/>
    <w:link w:val="Nadpis1Char"/>
    <w:uiPriority w:val="9"/>
    <w:qFormat/>
    <w:rsid w:val="00503311"/>
    <w:pPr>
      <w:keepNext/>
      <w:keepLines/>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B918EA"/>
    <w:pPr>
      <w:keepNext/>
      <w:keepLines/>
      <w:spacing w:before="200" w:after="0"/>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3311"/>
    <w:rPr>
      <w:rFonts w:ascii="Times New Roman" w:eastAsiaTheme="majorEastAsia" w:hAnsi="Times New Roman" w:cstheme="majorBidi"/>
      <w:b/>
      <w:bCs/>
      <w:sz w:val="28"/>
      <w:szCs w:val="28"/>
    </w:rPr>
  </w:style>
  <w:style w:type="paragraph" w:styleId="Nzev">
    <w:name w:val="Title"/>
    <w:basedOn w:val="Normln"/>
    <w:next w:val="Normln"/>
    <w:link w:val="NzevChar"/>
    <w:uiPriority w:val="10"/>
    <w:qFormat/>
    <w:rsid w:val="00B918EA"/>
    <w:pPr>
      <w:spacing w:after="300" w:line="240" w:lineRule="auto"/>
      <w:contextualSpacing/>
    </w:pPr>
    <w:rPr>
      <w:rFonts w:eastAsiaTheme="majorEastAsia" w:cstheme="majorBidi"/>
      <w:spacing w:val="5"/>
      <w:kern w:val="28"/>
      <w:sz w:val="40"/>
      <w:szCs w:val="52"/>
    </w:rPr>
  </w:style>
  <w:style w:type="character" w:customStyle="1" w:styleId="NzevChar">
    <w:name w:val="Název Char"/>
    <w:basedOn w:val="Standardnpsmoodstavce"/>
    <w:link w:val="Nzev"/>
    <w:uiPriority w:val="10"/>
    <w:rsid w:val="00B918EA"/>
    <w:rPr>
      <w:rFonts w:ascii="Times New Roman" w:eastAsiaTheme="majorEastAsia" w:hAnsi="Times New Roman" w:cstheme="majorBidi"/>
      <w:spacing w:val="5"/>
      <w:kern w:val="28"/>
      <w:sz w:val="40"/>
      <w:szCs w:val="52"/>
    </w:rPr>
  </w:style>
  <w:style w:type="character" w:customStyle="1" w:styleId="Nadpis2Char">
    <w:name w:val="Nadpis 2 Char"/>
    <w:basedOn w:val="Standardnpsmoodstavce"/>
    <w:link w:val="Nadpis2"/>
    <w:uiPriority w:val="9"/>
    <w:rsid w:val="00B918EA"/>
    <w:rPr>
      <w:rFonts w:ascii="Times New Roman" w:eastAsiaTheme="majorEastAsia" w:hAnsi="Times New Roman"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B8511-FCA4-4A11-AAD7-4C058F49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3055</Words>
  <Characters>18025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Heczková</dc:creator>
  <cp:lastModifiedBy>bartlova327</cp:lastModifiedBy>
  <cp:revision>46</cp:revision>
  <cp:lastPrinted>2014-10-23T08:20:00Z</cp:lastPrinted>
  <dcterms:created xsi:type="dcterms:W3CDTF">2014-10-23T08:57:00Z</dcterms:created>
  <dcterms:modified xsi:type="dcterms:W3CDTF">2014-10-29T12:20:00Z</dcterms:modified>
</cp:coreProperties>
</file>