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FA" w:rsidRDefault="001450F1" w:rsidP="00361EFA">
      <w:pPr>
        <w:pStyle w:val="Nzev"/>
        <w:pBdr>
          <w:bottom w:val="single" w:sz="6" w:space="1" w:color="auto"/>
        </w:pBdr>
        <w:rPr>
          <w:sz w:val="24"/>
        </w:rPr>
      </w:pPr>
      <w:bookmarkStart w:id="0" w:name="_Toc127174538"/>
      <w:bookmarkStart w:id="1" w:name="_Toc127757310"/>
      <w:bookmarkStart w:id="2" w:name="_Toc127758600"/>
      <w:bookmarkStart w:id="3" w:name="_Toc130184745"/>
      <w:r>
        <w:rPr>
          <w:sz w:val="24"/>
        </w:rPr>
        <w:t>PRACE</w:t>
      </w:r>
      <w:r w:rsidR="00361EFA">
        <w:rPr>
          <w:sz w:val="24"/>
        </w:rPr>
        <w:t>, SOCIÁLNÍ STATISTIK</w:t>
      </w:r>
      <w:r>
        <w:rPr>
          <w:sz w:val="24"/>
        </w:rPr>
        <w:t>Y</w:t>
      </w:r>
    </w:p>
    <w:p w:rsidR="00361EFA" w:rsidRDefault="00361EFA" w:rsidP="00361EFA">
      <w:pPr>
        <w:rPr>
          <w:rFonts w:ascii="Arial" w:hAnsi="Arial"/>
          <w:b/>
        </w:rPr>
      </w:pPr>
    </w:p>
    <w:p w:rsidR="00361EFA" w:rsidRDefault="00361EFA" w:rsidP="00361EFA">
      <w:pPr>
        <w:rPr>
          <w:rFonts w:ascii="Arial" w:hAnsi="Arial"/>
          <w:b/>
        </w:rPr>
      </w:pPr>
    </w:p>
    <w:p w:rsidR="00361EFA" w:rsidRDefault="00361EFA" w:rsidP="00361EFA">
      <w:pPr>
        <w:pStyle w:val="Nadpis4"/>
        <w:rPr>
          <w:b w:val="0"/>
          <w:bCs w:val="0"/>
          <w:sz w:val="22"/>
        </w:rPr>
      </w:pPr>
      <w:r>
        <w:rPr>
          <w:b w:val="0"/>
          <w:bCs w:val="0"/>
          <w:sz w:val="22"/>
        </w:rPr>
        <w:t>Ročník 201</w:t>
      </w:r>
      <w:r w:rsidR="006B1456">
        <w:rPr>
          <w:b w:val="0"/>
          <w:bCs w:val="0"/>
          <w:sz w:val="22"/>
        </w:rPr>
        <w:t>4</w:t>
      </w:r>
    </w:p>
    <w:p w:rsidR="00361EFA" w:rsidRDefault="00361EFA" w:rsidP="00361EFA">
      <w:pPr>
        <w:jc w:val="center"/>
        <w:rPr>
          <w:rFonts w:ascii="Arial" w:hAnsi="Arial"/>
          <w:sz w:val="22"/>
        </w:rPr>
      </w:pPr>
    </w:p>
    <w:p w:rsidR="00361EFA" w:rsidRDefault="00361EFA" w:rsidP="00361EFA">
      <w:pPr>
        <w:jc w:val="center"/>
        <w:rPr>
          <w:rFonts w:ascii="Arial" w:hAnsi="Arial"/>
          <w:sz w:val="22"/>
        </w:rPr>
      </w:pPr>
    </w:p>
    <w:p w:rsidR="00A312B2" w:rsidRDefault="00361EFA" w:rsidP="00361EFA">
      <w:pPr>
        <w:rPr>
          <w:rFonts w:ascii="Arial" w:hAnsi="Arial"/>
          <w:sz w:val="22"/>
        </w:rPr>
      </w:pPr>
      <w:r>
        <w:rPr>
          <w:rFonts w:ascii="Arial" w:hAnsi="Arial"/>
          <w:sz w:val="22"/>
        </w:rPr>
        <w:t>Školství, kultura, zdravotnictví</w:t>
      </w:r>
      <w:r>
        <w:rPr>
          <w:rFonts w:ascii="Arial" w:hAnsi="Arial"/>
          <w:sz w:val="22"/>
        </w:rPr>
        <w:tab/>
      </w:r>
      <w:r>
        <w:rPr>
          <w:rFonts w:ascii="Arial" w:hAnsi="Arial"/>
          <w:sz w:val="22"/>
        </w:rPr>
        <w:tab/>
      </w:r>
      <w:r>
        <w:rPr>
          <w:rFonts w:ascii="Arial" w:hAnsi="Arial"/>
          <w:sz w:val="22"/>
        </w:rPr>
        <w:tab/>
      </w:r>
      <w:r>
        <w:rPr>
          <w:rFonts w:ascii="Arial" w:hAnsi="Arial"/>
          <w:sz w:val="22"/>
        </w:rPr>
        <w:tab/>
        <w:t xml:space="preserve">V Praze dne </w:t>
      </w:r>
      <w:r w:rsidR="006B1456">
        <w:rPr>
          <w:rFonts w:ascii="Arial" w:hAnsi="Arial"/>
          <w:sz w:val="22"/>
        </w:rPr>
        <w:t>1</w:t>
      </w:r>
      <w:r w:rsidRPr="00B74C8F">
        <w:rPr>
          <w:rFonts w:ascii="Arial" w:hAnsi="Arial"/>
          <w:sz w:val="22"/>
        </w:rPr>
        <w:t>.</w:t>
      </w:r>
      <w:r w:rsidR="00A312B2">
        <w:rPr>
          <w:rFonts w:ascii="Arial" w:hAnsi="Arial"/>
          <w:sz w:val="22"/>
        </w:rPr>
        <w:t xml:space="preserve"> dubna 201</w:t>
      </w:r>
      <w:r w:rsidR="006B1456">
        <w:rPr>
          <w:rFonts w:ascii="Arial" w:hAnsi="Arial"/>
          <w:sz w:val="22"/>
        </w:rPr>
        <w:t>4</w:t>
      </w:r>
    </w:p>
    <w:p w:rsidR="00361EFA" w:rsidRPr="006B1456" w:rsidRDefault="00361EFA" w:rsidP="00361EFA">
      <w:pPr>
        <w:rPr>
          <w:rFonts w:ascii="Arial" w:hAnsi="Arial" w:cs="Arial"/>
          <w:color w:val="FF0000"/>
          <w:sz w:val="22"/>
          <w:szCs w:val="22"/>
        </w:rPr>
      </w:pPr>
      <w:r w:rsidRPr="00B74C8F">
        <w:rPr>
          <w:rFonts w:ascii="Arial" w:hAnsi="Arial"/>
          <w:sz w:val="22"/>
        </w:rPr>
        <w:t xml:space="preserve">Kód publikace: </w:t>
      </w:r>
      <w:r w:rsidR="00E77D3F">
        <w:rPr>
          <w:rFonts w:ascii="Arial" w:hAnsi="Arial"/>
          <w:sz w:val="22"/>
        </w:rPr>
        <w:t>260005</w:t>
      </w:r>
      <w:r w:rsidRPr="00B74C8F">
        <w:rPr>
          <w:rFonts w:ascii="Arial" w:hAnsi="Arial"/>
          <w:sz w:val="22"/>
        </w:rPr>
        <w:t xml:space="preserve"> -1</w:t>
      </w:r>
      <w:r w:rsidR="006B1456">
        <w:rPr>
          <w:rFonts w:ascii="Arial" w:hAnsi="Arial"/>
          <w:sz w:val="22"/>
        </w:rPr>
        <w:t>4</w:t>
      </w:r>
      <w:r w:rsidRPr="00B74C8F">
        <w:rPr>
          <w:rFonts w:ascii="Arial" w:hAnsi="Arial"/>
          <w:sz w:val="22"/>
        </w:rPr>
        <w:tab/>
      </w:r>
      <w:r w:rsidRPr="00B74C8F">
        <w:rPr>
          <w:rFonts w:ascii="Arial" w:hAnsi="Arial"/>
          <w:sz w:val="22"/>
        </w:rPr>
        <w:tab/>
      </w:r>
      <w:r w:rsidRPr="00B74C8F">
        <w:rPr>
          <w:rFonts w:ascii="Arial" w:hAnsi="Arial"/>
          <w:sz w:val="22"/>
        </w:rPr>
        <w:tab/>
      </w:r>
      <w:r w:rsidRPr="00B74C8F">
        <w:rPr>
          <w:rFonts w:ascii="Arial" w:hAnsi="Arial"/>
          <w:sz w:val="22"/>
        </w:rPr>
        <w:tab/>
      </w:r>
      <w:r w:rsidRPr="00B74C8F">
        <w:rPr>
          <w:rFonts w:ascii="Arial" w:hAnsi="Arial"/>
          <w:sz w:val="22"/>
        </w:rPr>
        <w:tab/>
        <w:t xml:space="preserve">Č. j.: </w:t>
      </w:r>
      <w:r w:rsidR="00752661" w:rsidRPr="0063760F">
        <w:rPr>
          <w:rFonts w:ascii="Arial" w:hAnsi="Arial" w:cs="Arial"/>
          <w:sz w:val="22"/>
          <w:szCs w:val="22"/>
        </w:rPr>
        <w:t>3</w:t>
      </w:r>
      <w:r w:rsidR="0063760F">
        <w:rPr>
          <w:rFonts w:ascii="Arial" w:hAnsi="Arial" w:cs="Arial"/>
          <w:sz w:val="22"/>
          <w:szCs w:val="22"/>
        </w:rPr>
        <w:t>20</w:t>
      </w:r>
      <w:r w:rsidR="00752661" w:rsidRPr="0063760F">
        <w:rPr>
          <w:rFonts w:ascii="Arial" w:hAnsi="Arial" w:cs="Arial"/>
          <w:sz w:val="22"/>
          <w:szCs w:val="22"/>
        </w:rPr>
        <w:t>/201</w:t>
      </w:r>
      <w:r w:rsidR="0063760F" w:rsidRPr="0063760F">
        <w:rPr>
          <w:rFonts w:ascii="Arial" w:hAnsi="Arial" w:cs="Arial"/>
          <w:sz w:val="22"/>
          <w:szCs w:val="22"/>
        </w:rPr>
        <w:t>4</w:t>
      </w:r>
      <w:r w:rsidR="00752661" w:rsidRPr="0063760F">
        <w:rPr>
          <w:rFonts w:ascii="Arial" w:hAnsi="Arial" w:cs="Arial"/>
          <w:sz w:val="22"/>
          <w:szCs w:val="22"/>
        </w:rPr>
        <w:t> - 63</w:t>
      </w:r>
    </w:p>
    <w:p w:rsidR="00361EFA" w:rsidRDefault="00361EFA" w:rsidP="00361EFA">
      <w:pPr>
        <w:rPr>
          <w:rFonts w:ascii="Arial" w:hAnsi="Arial"/>
        </w:rPr>
      </w:pPr>
    </w:p>
    <w:p w:rsidR="00361EFA" w:rsidRDefault="00361EFA" w:rsidP="00361EFA">
      <w:pPr>
        <w:pStyle w:val="Zpat"/>
        <w:tabs>
          <w:tab w:val="clear" w:pos="4536"/>
          <w:tab w:val="clear" w:pos="9072"/>
        </w:tabs>
        <w:rPr>
          <w:rFonts w:ascii="Arial" w:hAnsi="Arial"/>
        </w:rPr>
      </w:pPr>
    </w:p>
    <w:p w:rsidR="00361EFA" w:rsidRDefault="00361EFA" w:rsidP="00361EFA">
      <w:pPr>
        <w:rPr>
          <w:rFonts w:ascii="Arial" w:hAnsi="Arial"/>
        </w:rPr>
      </w:pPr>
    </w:p>
    <w:p w:rsidR="00361EFA" w:rsidRDefault="00361EFA" w:rsidP="00361EFA">
      <w:pPr>
        <w:rPr>
          <w:rFonts w:ascii="Arial" w:hAnsi="Arial"/>
        </w:rPr>
      </w:pPr>
    </w:p>
    <w:p w:rsidR="00361EFA" w:rsidRDefault="00361EFA" w:rsidP="00361EFA">
      <w:pPr>
        <w:rPr>
          <w:rFonts w:ascii="Arial" w:hAnsi="Arial"/>
        </w:rPr>
      </w:pPr>
    </w:p>
    <w:p w:rsidR="00361EFA" w:rsidRDefault="00361EFA" w:rsidP="00361EFA">
      <w:pPr>
        <w:rPr>
          <w:rFonts w:ascii="Arial" w:hAnsi="Arial"/>
        </w:rPr>
      </w:pPr>
    </w:p>
    <w:p w:rsidR="00361EFA" w:rsidRDefault="00361EFA" w:rsidP="00361EFA">
      <w:pPr>
        <w:rPr>
          <w:rFonts w:ascii="Arial" w:hAnsi="Arial"/>
        </w:rPr>
      </w:pPr>
    </w:p>
    <w:p w:rsidR="00361EFA" w:rsidRDefault="00361EFA" w:rsidP="00361EFA">
      <w:pPr>
        <w:rPr>
          <w:rFonts w:ascii="Arial" w:hAnsi="Arial"/>
        </w:rPr>
      </w:pPr>
    </w:p>
    <w:p w:rsidR="00361EFA" w:rsidRDefault="00361EFA" w:rsidP="00361EFA">
      <w:pPr>
        <w:rPr>
          <w:rFonts w:ascii="Arial" w:hAnsi="Arial"/>
        </w:rPr>
      </w:pPr>
    </w:p>
    <w:p w:rsidR="00361EFA" w:rsidRDefault="00361EFA" w:rsidP="00361EFA">
      <w:pPr>
        <w:rPr>
          <w:rFonts w:ascii="Arial" w:hAnsi="Arial"/>
        </w:rPr>
      </w:pPr>
    </w:p>
    <w:p w:rsidR="00361EFA" w:rsidRDefault="00361EFA" w:rsidP="00361EFA">
      <w:pPr>
        <w:rPr>
          <w:rFonts w:ascii="Arial" w:hAnsi="Arial"/>
        </w:rPr>
      </w:pPr>
    </w:p>
    <w:p w:rsidR="00361EFA" w:rsidRDefault="00361EFA" w:rsidP="00361EFA">
      <w:pPr>
        <w:rPr>
          <w:rFonts w:ascii="Arial" w:hAnsi="Arial"/>
        </w:rPr>
      </w:pPr>
    </w:p>
    <w:p w:rsidR="00361EFA" w:rsidRDefault="00361EFA" w:rsidP="00361EFA">
      <w:pPr>
        <w:rPr>
          <w:rFonts w:ascii="Arial" w:hAnsi="Arial"/>
        </w:rPr>
      </w:pPr>
    </w:p>
    <w:p w:rsidR="00361EFA" w:rsidRDefault="00361EFA" w:rsidP="00361EFA">
      <w:pPr>
        <w:rPr>
          <w:rFonts w:ascii="Arial" w:hAnsi="Arial"/>
        </w:rPr>
      </w:pPr>
    </w:p>
    <w:p w:rsidR="00361EFA" w:rsidRDefault="00361EFA" w:rsidP="00361EFA">
      <w:pPr>
        <w:rPr>
          <w:rFonts w:ascii="Arial" w:hAnsi="Arial"/>
        </w:rPr>
      </w:pPr>
    </w:p>
    <w:p w:rsidR="00361EFA" w:rsidRDefault="00361EFA" w:rsidP="00361EFA">
      <w:pPr>
        <w:pStyle w:val="Nadpis1"/>
        <w:rPr>
          <w:sz w:val="28"/>
        </w:rPr>
      </w:pPr>
      <w:bookmarkStart w:id="4" w:name="OLE_LINK34"/>
      <w:r>
        <w:rPr>
          <w:sz w:val="28"/>
        </w:rPr>
        <w:t xml:space="preserve">Výsledky zdravotnických účtů ČR </w:t>
      </w:r>
    </w:p>
    <w:p w:rsidR="00361EFA" w:rsidRDefault="00361EFA" w:rsidP="00361EFA">
      <w:pPr>
        <w:pStyle w:val="Nadpis1"/>
        <w:rPr>
          <w:b w:val="0"/>
          <w:sz w:val="24"/>
        </w:rPr>
      </w:pPr>
      <w:r>
        <w:rPr>
          <w:sz w:val="24"/>
        </w:rPr>
        <w:t>2000 - 201</w:t>
      </w:r>
      <w:r w:rsidR="006B1456">
        <w:rPr>
          <w:sz w:val="24"/>
        </w:rPr>
        <w:t>2</w:t>
      </w:r>
    </w:p>
    <w:bookmarkEnd w:id="4"/>
    <w:p w:rsidR="00361EFA" w:rsidRDefault="00361EFA" w:rsidP="00361EFA">
      <w:pPr>
        <w:rPr>
          <w:rFonts w:ascii="Arial" w:hAnsi="Arial"/>
          <w:b/>
        </w:rPr>
      </w:pPr>
    </w:p>
    <w:p w:rsidR="00361EFA" w:rsidRDefault="00361EFA" w:rsidP="00361EFA">
      <w:pPr>
        <w:rPr>
          <w:rFonts w:ascii="Arial" w:hAnsi="Arial"/>
          <w:b/>
        </w:rPr>
      </w:pPr>
    </w:p>
    <w:p w:rsidR="00361EFA" w:rsidRDefault="00361EFA" w:rsidP="00361EFA">
      <w:pPr>
        <w:rPr>
          <w:rFonts w:ascii="Arial" w:hAnsi="Arial"/>
          <w:b/>
        </w:rPr>
      </w:pPr>
    </w:p>
    <w:p w:rsidR="00361EFA" w:rsidRDefault="00361EFA" w:rsidP="00361EFA">
      <w:pPr>
        <w:rPr>
          <w:rFonts w:ascii="Arial" w:hAnsi="Arial"/>
          <w:b/>
        </w:rPr>
      </w:pPr>
    </w:p>
    <w:p w:rsidR="00361EFA" w:rsidRDefault="00361EFA" w:rsidP="00361EFA">
      <w:pPr>
        <w:rPr>
          <w:rFonts w:ascii="Arial" w:hAnsi="Arial"/>
          <w:b/>
        </w:rPr>
      </w:pPr>
    </w:p>
    <w:p w:rsidR="00361EFA" w:rsidRDefault="00361EFA" w:rsidP="00361EFA">
      <w:pPr>
        <w:rPr>
          <w:rFonts w:ascii="Arial" w:hAnsi="Arial"/>
          <w:b/>
        </w:rPr>
      </w:pPr>
    </w:p>
    <w:p w:rsidR="00361EFA" w:rsidRDefault="00361EFA" w:rsidP="00361EFA">
      <w:pPr>
        <w:rPr>
          <w:rFonts w:ascii="Arial" w:hAnsi="Arial"/>
          <w:b/>
        </w:rPr>
      </w:pPr>
    </w:p>
    <w:p w:rsidR="00361EFA" w:rsidRDefault="00361EFA" w:rsidP="00361EFA">
      <w:pPr>
        <w:rPr>
          <w:rFonts w:ascii="Arial" w:hAnsi="Arial"/>
          <w:b/>
        </w:rPr>
      </w:pPr>
    </w:p>
    <w:p w:rsidR="00361EFA" w:rsidRDefault="00361EFA" w:rsidP="00361EFA">
      <w:pPr>
        <w:rPr>
          <w:rFonts w:ascii="Arial" w:hAnsi="Arial"/>
          <w:b/>
        </w:rPr>
      </w:pPr>
    </w:p>
    <w:p w:rsidR="00361EFA" w:rsidRDefault="00361EFA" w:rsidP="00361EFA">
      <w:pPr>
        <w:rPr>
          <w:rFonts w:ascii="Arial" w:hAnsi="Arial"/>
          <w:b/>
        </w:rPr>
      </w:pPr>
    </w:p>
    <w:p w:rsidR="00361EFA" w:rsidRDefault="00361EFA" w:rsidP="00361EFA">
      <w:pPr>
        <w:rPr>
          <w:rFonts w:ascii="Arial" w:hAnsi="Arial"/>
          <w:b/>
        </w:rPr>
      </w:pPr>
    </w:p>
    <w:p w:rsidR="00361EFA" w:rsidRDefault="00361EFA" w:rsidP="00361EFA">
      <w:pPr>
        <w:rPr>
          <w:rFonts w:ascii="Arial" w:hAnsi="Arial"/>
          <w:b/>
        </w:rPr>
      </w:pPr>
    </w:p>
    <w:p w:rsidR="00361EFA" w:rsidRDefault="00361EFA" w:rsidP="00361EFA">
      <w:pPr>
        <w:rPr>
          <w:rFonts w:ascii="Arial" w:hAnsi="Arial"/>
          <w:b/>
        </w:rPr>
      </w:pPr>
    </w:p>
    <w:p w:rsidR="00361EFA" w:rsidRDefault="00361EFA" w:rsidP="00361EFA">
      <w:pPr>
        <w:rPr>
          <w:rFonts w:ascii="Arial" w:hAnsi="Arial"/>
          <w:b/>
        </w:rPr>
      </w:pPr>
    </w:p>
    <w:p w:rsidR="00361EFA" w:rsidRDefault="00361EFA" w:rsidP="00361EFA">
      <w:pPr>
        <w:rPr>
          <w:rFonts w:ascii="Arial" w:hAnsi="Arial"/>
          <w:sz w:val="20"/>
        </w:rPr>
      </w:pPr>
      <w:r>
        <w:rPr>
          <w:rFonts w:ascii="Arial" w:hAnsi="Arial"/>
          <w:sz w:val="20"/>
        </w:rPr>
        <w:t>Zpracoval: Odbor statistik rozvoje společnosti</w:t>
      </w:r>
    </w:p>
    <w:p w:rsidR="00361EFA" w:rsidRDefault="00361EFA" w:rsidP="00361EFA">
      <w:pPr>
        <w:jc w:val="both"/>
        <w:rPr>
          <w:rFonts w:ascii="Arial" w:hAnsi="Arial"/>
          <w:sz w:val="20"/>
        </w:rPr>
      </w:pPr>
      <w:r>
        <w:rPr>
          <w:rFonts w:ascii="Arial" w:hAnsi="Arial"/>
          <w:sz w:val="20"/>
        </w:rPr>
        <w:t>Ředitelka odboru: Ing. Jana Spilková, CSc.</w:t>
      </w:r>
    </w:p>
    <w:p w:rsidR="00361EFA" w:rsidRDefault="00361EFA" w:rsidP="00361EFA">
      <w:pPr>
        <w:jc w:val="both"/>
        <w:rPr>
          <w:rFonts w:ascii="Arial" w:hAnsi="Arial"/>
          <w:sz w:val="20"/>
        </w:rPr>
      </w:pPr>
      <w:r>
        <w:rPr>
          <w:rFonts w:ascii="Arial" w:hAnsi="Arial"/>
          <w:sz w:val="20"/>
        </w:rPr>
        <w:t xml:space="preserve">Oddělení informačních služeb: </w:t>
      </w:r>
    </w:p>
    <w:p w:rsidR="00361EFA" w:rsidRDefault="00361EFA" w:rsidP="00361EFA">
      <w:pPr>
        <w:jc w:val="both"/>
        <w:rPr>
          <w:rFonts w:ascii="Arial" w:hAnsi="Arial"/>
          <w:sz w:val="20"/>
        </w:rPr>
      </w:pPr>
      <w:r>
        <w:rPr>
          <w:rFonts w:ascii="Arial" w:hAnsi="Arial"/>
          <w:sz w:val="20"/>
        </w:rPr>
        <w:t>Tel: 274 052 304</w:t>
      </w:r>
    </w:p>
    <w:p w:rsidR="00361EFA" w:rsidRDefault="00361EFA" w:rsidP="00361EFA">
      <w:pPr>
        <w:jc w:val="both"/>
        <w:rPr>
          <w:rFonts w:ascii="Arial" w:hAnsi="Arial"/>
          <w:sz w:val="20"/>
        </w:rPr>
      </w:pPr>
      <w:r>
        <w:rPr>
          <w:rFonts w:ascii="Arial" w:hAnsi="Arial"/>
          <w:sz w:val="20"/>
        </w:rPr>
        <w:t xml:space="preserve">E-mail: </w:t>
      </w:r>
      <w:hyperlink r:id="rId8" w:history="1">
        <w:r>
          <w:rPr>
            <w:rStyle w:val="Hypertextovodkaz"/>
            <w:rFonts w:ascii="Arial" w:hAnsi="Arial"/>
            <w:sz w:val="20"/>
          </w:rPr>
          <w:t>infoservis@czso.cz</w:t>
        </w:r>
      </w:hyperlink>
    </w:p>
    <w:p w:rsidR="00361EFA" w:rsidRDefault="00361EFA" w:rsidP="00361EFA">
      <w:pPr>
        <w:jc w:val="both"/>
        <w:rPr>
          <w:rFonts w:ascii="Arial" w:hAnsi="Arial"/>
        </w:rPr>
      </w:pPr>
      <w:r>
        <w:rPr>
          <w:rFonts w:ascii="Arial" w:hAnsi="Arial"/>
          <w:sz w:val="20"/>
        </w:rPr>
        <w:t>Kontaktní osoba: Mgr. Vladimíra Kalnická</w:t>
      </w:r>
    </w:p>
    <w:p w:rsidR="00361EFA" w:rsidRDefault="00361EFA" w:rsidP="00361EFA">
      <w:pPr>
        <w:jc w:val="both"/>
        <w:rPr>
          <w:rFonts w:ascii="Arial" w:hAnsi="Arial"/>
          <w:sz w:val="20"/>
        </w:rPr>
      </w:pPr>
      <w:r>
        <w:rPr>
          <w:rFonts w:ascii="Arial" w:hAnsi="Arial"/>
          <w:sz w:val="20"/>
        </w:rPr>
        <w:t>Tel.: 274 05 4119</w:t>
      </w:r>
    </w:p>
    <w:p w:rsidR="00361EFA" w:rsidRDefault="00361EFA" w:rsidP="00361EFA">
      <w:pPr>
        <w:jc w:val="both"/>
        <w:rPr>
          <w:rFonts w:ascii="Arial" w:hAnsi="Arial" w:cs="Arial"/>
          <w:sz w:val="20"/>
        </w:rPr>
      </w:pPr>
      <w:r>
        <w:rPr>
          <w:rFonts w:ascii="Arial" w:hAnsi="Arial" w:cs="Arial"/>
          <w:sz w:val="20"/>
        </w:rPr>
        <w:t xml:space="preserve">E-mail: </w:t>
      </w:r>
      <w:hyperlink r:id="rId9" w:history="1">
        <w:r>
          <w:rPr>
            <w:rStyle w:val="Hypertextovodkaz"/>
            <w:rFonts w:ascii="Arial" w:hAnsi="Arial" w:cs="Arial"/>
            <w:sz w:val="20"/>
          </w:rPr>
          <w:t>vladimira.kalnicka@czso.cz</w:t>
        </w:r>
      </w:hyperlink>
    </w:p>
    <w:p w:rsidR="00361EFA" w:rsidRDefault="00361EFA" w:rsidP="00361EFA">
      <w:pPr>
        <w:pBdr>
          <w:bottom w:val="single" w:sz="6" w:space="1" w:color="auto"/>
        </w:pBdr>
        <w:jc w:val="both"/>
        <w:rPr>
          <w:rFonts w:ascii="Arial" w:hAnsi="Arial"/>
        </w:rPr>
      </w:pPr>
    </w:p>
    <w:p w:rsidR="00361EFA" w:rsidRDefault="00361EFA" w:rsidP="00361EFA">
      <w:pPr>
        <w:jc w:val="both"/>
        <w:rPr>
          <w:rFonts w:ascii="Arial" w:hAnsi="Arial"/>
        </w:rPr>
      </w:pPr>
    </w:p>
    <w:p w:rsidR="00361EFA" w:rsidRDefault="00361EFA" w:rsidP="00361EFA">
      <w:pPr>
        <w:jc w:val="center"/>
        <w:rPr>
          <w:rFonts w:ascii="Arial" w:hAnsi="Arial"/>
          <w:sz w:val="20"/>
        </w:rPr>
      </w:pPr>
      <w:r>
        <w:rPr>
          <w:rFonts w:ascii="Arial" w:hAnsi="Arial"/>
          <w:sz w:val="20"/>
        </w:rPr>
        <w:t>Český statistický úřad</w:t>
      </w:r>
    </w:p>
    <w:p w:rsidR="00361EFA" w:rsidRDefault="00361EFA" w:rsidP="00361EFA">
      <w:pPr>
        <w:jc w:val="center"/>
        <w:rPr>
          <w:rFonts w:ascii="Arial" w:hAnsi="Arial"/>
        </w:rPr>
      </w:pPr>
      <w:r>
        <w:rPr>
          <w:rFonts w:ascii="Arial" w:hAnsi="Arial"/>
          <w:sz w:val="20"/>
        </w:rPr>
        <w:t>201</w:t>
      </w:r>
      <w:r w:rsidR="006B1456">
        <w:rPr>
          <w:rFonts w:ascii="Arial" w:hAnsi="Arial"/>
          <w:sz w:val="20"/>
        </w:rPr>
        <w:t>4</w:t>
      </w:r>
    </w:p>
    <w:p w:rsidR="00361EFA" w:rsidRDefault="00361EFA" w:rsidP="00361EFA">
      <w:pPr>
        <w:jc w:val="both"/>
        <w:rPr>
          <w:rFonts w:ascii="Arial" w:hAnsi="Arial" w:cs="Arial"/>
          <w:sz w:val="20"/>
        </w:rPr>
      </w:pPr>
      <w:r>
        <w:rPr>
          <w:rFonts w:ascii="Arial" w:hAnsi="Arial" w:cs="Arial"/>
          <w:sz w:val="20"/>
        </w:rPr>
        <w:lastRenderedPageBreak/>
        <w:t>Zajímají Vás nejnovější údaje o inflaci, HDP, obyvatelstvu, průměrných mzdách a mnohé další najdete  na webových stránkách ČSÚ:</w:t>
      </w:r>
    </w:p>
    <w:p w:rsidR="00361EFA" w:rsidRDefault="00E51351" w:rsidP="00361EFA">
      <w:pPr>
        <w:jc w:val="both"/>
        <w:rPr>
          <w:rFonts w:ascii="Arial" w:hAnsi="Arial" w:cs="Arial"/>
          <w:b/>
          <w:sz w:val="20"/>
        </w:rPr>
      </w:pPr>
      <w:hyperlink r:id="rId10" w:history="1">
        <w:r w:rsidR="00361EFA">
          <w:rPr>
            <w:rStyle w:val="Hypertextovodkaz"/>
            <w:rFonts w:ascii="Arial" w:hAnsi="Arial" w:cs="Arial"/>
            <w:b/>
            <w:sz w:val="20"/>
          </w:rPr>
          <w:t>www.czso.cz</w:t>
        </w:r>
      </w:hyperlink>
      <w:r w:rsidR="00361EFA">
        <w:rPr>
          <w:rFonts w:ascii="Arial" w:hAnsi="Arial" w:cs="Arial"/>
          <w:b/>
          <w:sz w:val="20"/>
        </w:rPr>
        <w:t xml:space="preserve"> </w:t>
      </w:r>
    </w:p>
    <w:p w:rsidR="00361EFA" w:rsidRDefault="00361EFA" w:rsidP="00361EFA">
      <w:pPr>
        <w:jc w:val="both"/>
        <w:rPr>
          <w:rFonts w:ascii="Arial" w:hAnsi="Arial"/>
          <w:b/>
        </w:rPr>
      </w:pPr>
    </w:p>
    <w:p w:rsidR="00361EFA" w:rsidRDefault="00361EFA" w:rsidP="00361EFA">
      <w:pPr>
        <w:jc w:val="both"/>
        <w:rPr>
          <w:rFonts w:ascii="Arial" w:hAnsi="Arial"/>
          <w:b/>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rPr>
      </w:pPr>
    </w:p>
    <w:p w:rsidR="00361EFA" w:rsidRDefault="00361EFA" w:rsidP="00361EFA">
      <w:pPr>
        <w:jc w:val="both"/>
        <w:rPr>
          <w:rFonts w:ascii="Arial" w:hAnsi="Arial"/>
          <w:sz w:val="20"/>
        </w:rPr>
      </w:pPr>
    </w:p>
    <w:p w:rsidR="00361EFA" w:rsidRDefault="00361EFA" w:rsidP="00361EFA">
      <w:pPr>
        <w:jc w:val="both"/>
        <w:rPr>
          <w:rFonts w:ascii="Arial" w:hAnsi="Arial"/>
          <w:sz w:val="20"/>
        </w:rPr>
      </w:pPr>
      <w:r>
        <w:rPr>
          <w:rFonts w:ascii="Arial" w:hAnsi="Arial"/>
          <w:sz w:val="20"/>
        </w:rPr>
        <w:t>© Český statistický úřad, Praha 201</w:t>
      </w:r>
      <w:r w:rsidR="006B1456">
        <w:rPr>
          <w:rFonts w:ascii="Arial" w:hAnsi="Arial"/>
          <w:sz w:val="20"/>
        </w:rPr>
        <w:t>4</w:t>
      </w:r>
    </w:p>
    <w:p w:rsidR="00361EFA" w:rsidRDefault="00361EFA" w:rsidP="00361EFA">
      <w:pPr>
        <w:pStyle w:val="Nadpisvlastn1"/>
      </w:pPr>
      <w:bookmarkStart w:id="5" w:name="_Toc256065128"/>
      <w:r>
        <w:lastRenderedPageBreak/>
        <w:t>OBSAH</w:t>
      </w:r>
      <w:bookmarkEnd w:id="5"/>
    </w:p>
    <w:tbl>
      <w:tblPr>
        <w:tblW w:w="9789" w:type="dxa"/>
        <w:tblCellMar>
          <w:left w:w="70" w:type="dxa"/>
          <w:right w:w="70" w:type="dxa"/>
        </w:tblCellMar>
        <w:tblLook w:val="0000"/>
      </w:tblPr>
      <w:tblGrid>
        <w:gridCol w:w="307"/>
        <w:gridCol w:w="9119"/>
        <w:gridCol w:w="363"/>
      </w:tblGrid>
      <w:tr w:rsidR="00361EFA" w:rsidTr="007B2DD4">
        <w:tc>
          <w:tcPr>
            <w:tcW w:w="307" w:type="dxa"/>
          </w:tcPr>
          <w:p w:rsidR="00361EFA" w:rsidRDefault="00361EFA" w:rsidP="007B2DD4">
            <w:pPr>
              <w:spacing w:before="360"/>
              <w:rPr>
                <w:rFonts w:ascii="Arial" w:hAnsi="Arial" w:cs="Arial"/>
                <w:sz w:val="20"/>
              </w:rPr>
            </w:pPr>
            <w:r>
              <w:rPr>
                <w:rFonts w:ascii="Arial" w:hAnsi="Arial" w:cs="Arial"/>
                <w:sz w:val="20"/>
              </w:rPr>
              <w:t xml:space="preserve">1.  </w:t>
            </w:r>
          </w:p>
        </w:tc>
        <w:tc>
          <w:tcPr>
            <w:tcW w:w="9119" w:type="dxa"/>
          </w:tcPr>
          <w:p w:rsidR="00361EFA" w:rsidRDefault="00361EFA" w:rsidP="007B2DD4">
            <w:pPr>
              <w:spacing w:before="360"/>
              <w:rPr>
                <w:rFonts w:ascii="Arial" w:hAnsi="Arial" w:cs="Arial"/>
                <w:sz w:val="20"/>
              </w:rPr>
            </w:pPr>
            <w:r>
              <w:rPr>
                <w:rFonts w:ascii="Arial" w:hAnsi="Arial" w:cs="Arial"/>
                <w:sz w:val="20"/>
              </w:rPr>
              <w:t>Úvod………………………………………………………………………………………………………………..</w:t>
            </w:r>
          </w:p>
        </w:tc>
        <w:tc>
          <w:tcPr>
            <w:tcW w:w="363" w:type="dxa"/>
          </w:tcPr>
          <w:p w:rsidR="00361EFA" w:rsidRDefault="00361EFA" w:rsidP="007B2DD4">
            <w:pPr>
              <w:spacing w:before="360"/>
              <w:jc w:val="right"/>
              <w:rPr>
                <w:rFonts w:ascii="Arial" w:hAnsi="Arial" w:cs="Arial"/>
                <w:sz w:val="20"/>
              </w:rPr>
            </w:pPr>
            <w:r>
              <w:rPr>
                <w:rFonts w:ascii="Arial" w:hAnsi="Arial" w:cs="Arial"/>
                <w:sz w:val="20"/>
              </w:rPr>
              <w:t>4</w:t>
            </w:r>
          </w:p>
        </w:tc>
      </w:tr>
      <w:tr w:rsidR="00361EFA" w:rsidTr="007B2DD4">
        <w:tc>
          <w:tcPr>
            <w:tcW w:w="307" w:type="dxa"/>
          </w:tcPr>
          <w:p w:rsidR="00361EFA" w:rsidRDefault="00361EFA" w:rsidP="007B2DD4">
            <w:pPr>
              <w:spacing w:before="360"/>
              <w:rPr>
                <w:rFonts w:ascii="Arial" w:hAnsi="Arial" w:cs="Arial"/>
                <w:sz w:val="20"/>
              </w:rPr>
            </w:pPr>
          </w:p>
        </w:tc>
        <w:tc>
          <w:tcPr>
            <w:tcW w:w="9119" w:type="dxa"/>
          </w:tcPr>
          <w:p w:rsidR="00361EFA" w:rsidRDefault="00361EFA" w:rsidP="007B2DD4">
            <w:pPr>
              <w:spacing w:before="360"/>
              <w:rPr>
                <w:rFonts w:ascii="Arial" w:hAnsi="Arial" w:cs="Arial"/>
                <w:sz w:val="20"/>
              </w:rPr>
            </w:pPr>
            <w:r>
              <w:rPr>
                <w:rFonts w:ascii="Arial" w:hAnsi="Arial" w:cs="Arial"/>
                <w:sz w:val="20"/>
              </w:rPr>
              <w:t>1.1. Základní principy systému zdravotnických účtů………………………………………………………….</w:t>
            </w:r>
          </w:p>
        </w:tc>
        <w:tc>
          <w:tcPr>
            <w:tcW w:w="363" w:type="dxa"/>
          </w:tcPr>
          <w:p w:rsidR="00361EFA" w:rsidRDefault="00361EFA" w:rsidP="007B2DD4">
            <w:pPr>
              <w:spacing w:before="360"/>
              <w:jc w:val="right"/>
              <w:rPr>
                <w:rFonts w:ascii="Arial" w:hAnsi="Arial" w:cs="Arial"/>
                <w:sz w:val="20"/>
              </w:rPr>
            </w:pPr>
            <w:r>
              <w:rPr>
                <w:rFonts w:ascii="Arial" w:hAnsi="Arial" w:cs="Arial"/>
                <w:sz w:val="20"/>
              </w:rPr>
              <w:t>4</w:t>
            </w:r>
          </w:p>
        </w:tc>
      </w:tr>
      <w:tr w:rsidR="00361EFA" w:rsidTr="007B2DD4">
        <w:tc>
          <w:tcPr>
            <w:tcW w:w="307" w:type="dxa"/>
          </w:tcPr>
          <w:p w:rsidR="00361EFA" w:rsidRDefault="00361EFA" w:rsidP="007B2DD4">
            <w:pPr>
              <w:spacing w:before="360"/>
              <w:rPr>
                <w:rFonts w:ascii="Arial" w:hAnsi="Arial" w:cs="Arial"/>
                <w:sz w:val="20"/>
              </w:rPr>
            </w:pPr>
          </w:p>
        </w:tc>
        <w:tc>
          <w:tcPr>
            <w:tcW w:w="9119" w:type="dxa"/>
          </w:tcPr>
          <w:p w:rsidR="00361EFA" w:rsidRDefault="00361EFA" w:rsidP="007B2DD4">
            <w:pPr>
              <w:pStyle w:val="Textpoznpodarou"/>
              <w:spacing w:before="360"/>
              <w:rPr>
                <w:rFonts w:cs="Arial"/>
                <w:sz w:val="20"/>
                <w:szCs w:val="24"/>
              </w:rPr>
            </w:pPr>
            <w:r>
              <w:rPr>
                <w:rFonts w:cs="Arial"/>
                <w:sz w:val="20"/>
                <w:szCs w:val="24"/>
              </w:rPr>
              <w:t>1.2. Systém zdravotnických účtů v České republice………………………………………………………….</w:t>
            </w:r>
          </w:p>
        </w:tc>
        <w:tc>
          <w:tcPr>
            <w:tcW w:w="363" w:type="dxa"/>
          </w:tcPr>
          <w:p w:rsidR="00361EFA" w:rsidRDefault="00361EFA" w:rsidP="007B2DD4">
            <w:pPr>
              <w:spacing w:before="360"/>
              <w:jc w:val="right"/>
              <w:rPr>
                <w:rFonts w:ascii="Arial" w:hAnsi="Arial" w:cs="Arial"/>
                <w:sz w:val="20"/>
              </w:rPr>
            </w:pPr>
            <w:r>
              <w:rPr>
                <w:rFonts w:ascii="Arial" w:hAnsi="Arial" w:cs="Arial"/>
                <w:sz w:val="20"/>
              </w:rPr>
              <w:t>4</w:t>
            </w:r>
          </w:p>
        </w:tc>
      </w:tr>
      <w:tr w:rsidR="00361EFA" w:rsidTr="007B2DD4">
        <w:tc>
          <w:tcPr>
            <w:tcW w:w="307" w:type="dxa"/>
          </w:tcPr>
          <w:p w:rsidR="00361EFA" w:rsidRDefault="00361EFA" w:rsidP="007B2DD4">
            <w:pPr>
              <w:spacing w:before="360"/>
              <w:rPr>
                <w:rFonts w:ascii="Arial" w:hAnsi="Arial" w:cs="Arial"/>
                <w:sz w:val="20"/>
              </w:rPr>
            </w:pPr>
          </w:p>
        </w:tc>
        <w:tc>
          <w:tcPr>
            <w:tcW w:w="9119" w:type="dxa"/>
          </w:tcPr>
          <w:p w:rsidR="00361EFA" w:rsidRDefault="00361EFA" w:rsidP="007B2DD4">
            <w:pPr>
              <w:pStyle w:val="Textpoznpodarou"/>
              <w:spacing w:before="360"/>
              <w:rPr>
                <w:rFonts w:cs="Arial"/>
                <w:sz w:val="20"/>
                <w:szCs w:val="24"/>
              </w:rPr>
            </w:pPr>
            <w:r>
              <w:rPr>
                <w:rFonts w:cs="Arial"/>
                <w:sz w:val="20"/>
                <w:szCs w:val="24"/>
              </w:rPr>
              <w:t>1.3. Odlišnosti Systému zdravotnických účtů v porovnání s dosavadními statistikami…………………...</w:t>
            </w:r>
          </w:p>
        </w:tc>
        <w:tc>
          <w:tcPr>
            <w:tcW w:w="363" w:type="dxa"/>
          </w:tcPr>
          <w:p w:rsidR="00361EFA" w:rsidRDefault="00361EFA" w:rsidP="007B2DD4">
            <w:pPr>
              <w:spacing w:before="360"/>
              <w:jc w:val="right"/>
              <w:rPr>
                <w:rFonts w:ascii="Arial" w:hAnsi="Arial" w:cs="Arial"/>
                <w:sz w:val="20"/>
              </w:rPr>
            </w:pPr>
            <w:r>
              <w:rPr>
                <w:rFonts w:ascii="Arial" w:hAnsi="Arial" w:cs="Arial"/>
                <w:sz w:val="20"/>
              </w:rPr>
              <w:t>5</w:t>
            </w:r>
          </w:p>
        </w:tc>
      </w:tr>
      <w:tr w:rsidR="00361EFA" w:rsidTr="007B2DD4">
        <w:tc>
          <w:tcPr>
            <w:tcW w:w="307" w:type="dxa"/>
          </w:tcPr>
          <w:p w:rsidR="00361EFA" w:rsidRDefault="00361EFA" w:rsidP="007B2DD4">
            <w:pPr>
              <w:spacing w:before="360"/>
              <w:rPr>
                <w:rFonts w:ascii="Arial" w:hAnsi="Arial" w:cs="Arial"/>
                <w:sz w:val="20"/>
              </w:rPr>
            </w:pPr>
          </w:p>
        </w:tc>
        <w:tc>
          <w:tcPr>
            <w:tcW w:w="9119" w:type="dxa"/>
          </w:tcPr>
          <w:p w:rsidR="00361EFA" w:rsidRDefault="00361EFA" w:rsidP="007B2DD4">
            <w:pPr>
              <w:spacing w:before="360"/>
              <w:rPr>
                <w:rFonts w:ascii="Arial" w:hAnsi="Arial" w:cs="Arial"/>
                <w:sz w:val="20"/>
              </w:rPr>
            </w:pPr>
            <w:r>
              <w:rPr>
                <w:rFonts w:ascii="Arial" w:hAnsi="Arial" w:cs="Arial"/>
                <w:sz w:val="20"/>
              </w:rPr>
              <w:t>1.4. Klasifikace zdrojů financování (ICHA-HF)………………………………………………………………..</w:t>
            </w:r>
          </w:p>
        </w:tc>
        <w:tc>
          <w:tcPr>
            <w:tcW w:w="363" w:type="dxa"/>
          </w:tcPr>
          <w:p w:rsidR="00361EFA" w:rsidRDefault="00361EFA" w:rsidP="007B2DD4">
            <w:pPr>
              <w:spacing w:before="360"/>
              <w:jc w:val="right"/>
              <w:rPr>
                <w:rFonts w:ascii="Arial" w:hAnsi="Arial" w:cs="Arial"/>
                <w:sz w:val="20"/>
              </w:rPr>
            </w:pPr>
            <w:r>
              <w:rPr>
                <w:rFonts w:ascii="Arial" w:hAnsi="Arial" w:cs="Arial"/>
                <w:sz w:val="20"/>
              </w:rPr>
              <w:t>5</w:t>
            </w:r>
          </w:p>
        </w:tc>
      </w:tr>
      <w:tr w:rsidR="00361EFA" w:rsidTr="007B2DD4">
        <w:tc>
          <w:tcPr>
            <w:tcW w:w="307" w:type="dxa"/>
          </w:tcPr>
          <w:p w:rsidR="00361EFA" w:rsidRDefault="00361EFA" w:rsidP="007B2DD4">
            <w:pPr>
              <w:spacing w:before="360"/>
              <w:rPr>
                <w:rFonts w:ascii="Arial" w:hAnsi="Arial" w:cs="Arial"/>
                <w:sz w:val="20"/>
              </w:rPr>
            </w:pPr>
          </w:p>
        </w:tc>
        <w:tc>
          <w:tcPr>
            <w:tcW w:w="9119" w:type="dxa"/>
          </w:tcPr>
          <w:p w:rsidR="00361EFA" w:rsidRDefault="00361EFA" w:rsidP="007B2DD4">
            <w:pPr>
              <w:spacing w:before="360"/>
              <w:jc w:val="both"/>
              <w:rPr>
                <w:rFonts w:ascii="Arial" w:hAnsi="Arial" w:cs="Arial"/>
                <w:sz w:val="20"/>
              </w:rPr>
            </w:pPr>
            <w:r>
              <w:rPr>
                <w:rFonts w:ascii="Arial" w:hAnsi="Arial" w:cs="Arial"/>
                <w:sz w:val="20"/>
              </w:rPr>
              <w:t>1.5. Klasifikace druhů zdravotní péče (ICHA-HC)…………………………………………………………….</w:t>
            </w:r>
          </w:p>
        </w:tc>
        <w:tc>
          <w:tcPr>
            <w:tcW w:w="363" w:type="dxa"/>
          </w:tcPr>
          <w:p w:rsidR="00361EFA" w:rsidRDefault="00361EFA" w:rsidP="007B2DD4">
            <w:pPr>
              <w:spacing w:before="360"/>
              <w:jc w:val="right"/>
              <w:rPr>
                <w:rFonts w:ascii="Arial" w:hAnsi="Arial" w:cs="Arial"/>
                <w:sz w:val="20"/>
              </w:rPr>
            </w:pPr>
            <w:r>
              <w:rPr>
                <w:rFonts w:ascii="Arial" w:hAnsi="Arial" w:cs="Arial"/>
                <w:sz w:val="20"/>
              </w:rPr>
              <w:t>6</w:t>
            </w:r>
          </w:p>
        </w:tc>
      </w:tr>
      <w:tr w:rsidR="00361EFA" w:rsidTr="007B2DD4">
        <w:tc>
          <w:tcPr>
            <w:tcW w:w="307" w:type="dxa"/>
          </w:tcPr>
          <w:p w:rsidR="00361EFA" w:rsidRDefault="00361EFA" w:rsidP="007B2DD4">
            <w:pPr>
              <w:spacing w:before="360"/>
              <w:rPr>
                <w:rFonts w:ascii="Arial" w:hAnsi="Arial" w:cs="Arial"/>
                <w:sz w:val="20"/>
              </w:rPr>
            </w:pPr>
          </w:p>
        </w:tc>
        <w:tc>
          <w:tcPr>
            <w:tcW w:w="9119" w:type="dxa"/>
          </w:tcPr>
          <w:p w:rsidR="00361EFA" w:rsidRDefault="00361EFA" w:rsidP="007B2DD4">
            <w:pPr>
              <w:spacing w:before="360"/>
              <w:jc w:val="both"/>
              <w:rPr>
                <w:rFonts w:ascii="Arial" w:hAnsi="Arial" w:cs="Arial"/>
                <w:sz w:val="20"/>
              </w:rPr>
            </w:pPr>
            <w:r>
              <w:rPr>
                <w:rFonts w:ascii="Arial" w:hAnsi="Arial" w:cs="Arial"/>
                <w:sz w:val="20"/>
              </w:rPr>
              <w:t>1.6. Klasifikace poskytovatelů zdravotní péče (ICHA-HP)…………………………………………………...</w:t>
            </w:r>
          </w:p>
        </w:tc>
        <w:tc>
          <w:tcPr>
            <w:tcW w:w="363" w:type="dxa"/>
          </w:tcPr>
          <w:p w:rsidR="00361EFA" w:rsidRDefault="00361EFA" w:rsidP="007B2DD4">
            <w:pPr>
              <w:spacing w:before="360"/>
              <w:jc w:val="right"/>
              <w:rPr>
                <w:rFonts w:ascii="Arial" w:hAnsi="Arial" w:cs="Arial"/>
                <w:sz w:val="20"/>
              </w:rPr>
            </w:pPr>
            <w:r>
              <w:rPr>
                <w:rFonts w:ascii="Arial" w:hAnsi="Arial" w:cs="Arial"/>
                <w:sz w:val="20"/>
              </w:rPr>
              <w:t>7</w:t>
            </w:r>
          </w:p>
        </w:tc>
      </w:tr>
      <w:tr w:rsidR="00361EFA" w:rsidTr="007B2DD4">
        <w:tc>
          <w:tcPr>
            <w:tcW w:w="307" w:type="dxa"/>
          </w:tcPr>
          <w:p w:rsidR="00361EFA" w:rsidRDefault="00361EFA" w:rsidP="007B2DD4">
            <w:pPr>
              <w:spacing w:before="360"/>
              <w:rPr>
                <w:rFonts w:ascii="Arial" w:hAnsi="Arial" w:cs="Arial"/>
                <w:sz w:val="20"/>
              </w:rPr>
            </w:pPr>
            <w:r>
              <w:rPr>
                <w:rFonts w:ascii="Arial" w:hAnsi="Arial" w:cs="Arial"/>
                <w:sz w:val="20"/>
              </w:rPr>
              <w:t>2.</w:t>
            </w:r>
          </w:p>
        </w:tc>
        <w:tc>
          <w:tcPr>
            <w:tcW w:w="9119" w:type="dxa"/>
          </w:tcPr>
          <w:p w:rsidR="00361EFA" w:rsidRDefault="00361EFA" w:rsidP="007B2DD4">
            <w:pPr>
              <w:spacing w:before="360"/>
              <w:jc w:val="both"/>
              <w:rPr>
                <w:rFonts w:ascii="Arial" w:hAnsi="Arial" w:cs="Arial"/>
                <w:sz w:val="20"/>
              </w:rPr>
            </w:pPr>
            <w:r>
              <w:rPr>
                <w:rFonts w:ascii="Arial" w:hAnsi="Arial" w:cs="Arial"/>
                <w:sz w:val="20"/>
              </w:rPr>
              <w:t>Analýza výdajů na zdravotnictví………………………………………………………………………………...</w:t>
            </w:r>
          </w:p>
        </w:tc>
        <w:tc>
          <w:tcPr>
            <w:tcW w:w="363" w:type="dxa"/>
          </w:tcPr>
          <w:p w:rsidR="00361EFA" w:rsidRDefault="00361EFA" w:rsidP="007B2DD4">
            <w:pPr>
              <w:spacing w:before="360"/>
              <w:jc w:val="right"/>
              <w:rPr>
                <w:rFonts w:ascii="Arial" w:hAnsi="Arial" w:cs="Arial"/>
                <w:sz w:val="20"/>
              </w:rPr>
            </w:pPr>
            <w:r>
              <w:rPr>
                <w:rFonts w:ascii="Arial" w:hAnsi="Arial" w:cs="Arial"/>
                <w:sz w:val="20"/>
              </w:rPr>
              <w:t>9</w:t>
            </w:r>
          </w:p>
        </w:tc>
      </w:tr>
      <w:tr w:rsidR="00361EFA" w:rsidTr="007B2DD4">
        <w:tc>
          <w:tcPr>
            <w:tcW w:w="307" w:type="dxa"/>
          </w:tcPr>
          <w:p w:rsidR="00361EFA" w:rsidRDefault="00361EFA" w:rsidP="007B2DD4">
            <w:pPr>
              <w:spacing w:before="360"/>
              <w:rPr>
                <w:rFonts w:ascii="Arial" w:hAnsi="Arial" w:cs="Arial"/>
                <w:sz w:val="20"/>
              </w:rPr>
            </w:pPr>
          </w:p>
        </w:tc>
        <w:tc>
          <w:tcPr>
            <w:tcW w:w="9119" w:type="dxa"/>
          </w:tcPr>
          <w:p w:rsidR="00361EFA" w:rsidRDefault="00361EFA" w:rsidP="007B2DD4">
            <w:pPr>
              <w:spacing w:before="360"/>
              <w:jc w:val="both"/>
              <w:rPr>
                <w:rFonts w:ascii="Arial" w:hAnsi="Arial" w:cs="Arial"/>
                <w:sz w:val="20"/>
              </w:rPr>
            </w:pPr>
            <w:r>
              <w:rPr>
                <w:rFonts w:ascii="Arial" w:hAnsi="Arial" w:cs="Arial"/>
                <w:sz w:val="20"/>
              </w:rPr>
              <w:t>2.1. Výdaje na zdravotnictví podle zdrojů financování (ICHA-HF)………………………………………….</w:t>
            </w:r>
          </w:p>
        </w:tc>
        <w:tc>
          <w:tcPr>
            <w:tcW w:w="363" w:type="dxa"/>
          </w:tcPr>
          <w:p w:rsidR="00361EFA" w:rsidRDefault="00361EFA" w:rsidP="007B2DD4">
            <w:pPr>
              <w:spacing w:before="360"/>
              <w:jc w:val="right"/>
              <w:rPr>
                <w:rFonts w:ascii="Arial" w:hAnsi="Arial" w:cs="Arial"/>
                <w:sz w:val="20"/>
              </w:rPr>
            </w:pPr>
            <w:r>
              <w:rPr>
                <w:rFonts w:ascii="Arial" w:hAnsi="Arial" w:cs="Arial"/>
                <w:sz w:val="20"/>
              </w:rPr>
              <w:t>9</w:t>
            </w:r>
          </w:p>
        </w:tc>
      </w:tr>
      <w:tr w:rsidR="00361EFA" w:rsidTr="007B2DD4">
        <w:tc>
          <w:tcPr>
            <w:tcW w:w="307" w:type="dxa"/>
          </w:tcPr>
          <w:p w:rsidR="00361EFA" w:rsidRDefault="00361EFA" w:rsidP="007B2DD4">
            <w:pPr>
              <w:spacing w:before="360"/>
              <w:rPr>
                <w:rFonts w:ascii="Arial" w:hAnsi="Arial" w:cs="Arial"/>
                <w:sz w:val="20"/>
              </w:rPr>
            </w:pPr>
          </w:p>
        </w:tc>
        <w:tc>
          <w:tcPr>
            <w:tcW w:w="9119" w:type="dxa"/>
          </w:tcPr>
          <w:p w:rsidR="00361EFA" w:rsidRDefault="00361EFA" w:rsidP="007B2DD4">
            <w:pPr>
              <w:spacing w:before="360"/>
              <w:jc w:val="both"/>
              <w:rPr>
                <w:rFonts w:ascii="Arial" w:hAnsi="Arial" w:cs="Arial"/>
                <w:sz w:val="20"/>
              </w:rPr>
            </w:pPr>
            <w:r>
              <w:rPr>
                <w:rFonts w:ascii="Arial" w:hAnsi="Arial" w:cs="Arial"/>
                <w:sz w:val="20"/>
              </w:rPr>
              <w:t>2.2. Výdaje na zdravotnictví podle druhů péče (ICHA-HC)………………………………………………….</w:t>
            </w:r>
          </w:p>
        </w:tc>
        <w:tc>
          <w:tcPr>
            <w:tcW w:w="363" w:type="dxa"/>
          </w:tcPr>
          <w:p w:rsidR="00361EFA" w:rsidRDefault="00361EFA" w:rsidP="007B2DD4">
            <w:pPr>
              <w:spacing w:before="360"/>
              <w:jc w:val="right"/>
              <w:rPr>
                <w:rFonts w:ascii="Arial" w:hAnsi="Arial" w:cs="Arial"/>
                <w:sz w:val="20"/>
              </w:rPr>
            </w:pPr>
            <w:r>
              <w:rPr>
                <w:rFonts w:ascii="Arial" w:hAnsi="Arial" w:cs="Arial"/>
                <w:sz w:val="20"/>
              </w:rPr>
              <w:t>11</w:t>
            </w:r>
          </w:p>
        </w:tc>
      </w:tr>
      <w:tr w:rsidR="00361EFA" w:rsidTr="007B2DD4">
        <w:tc>
          <w:tcPr>
            <w:tcW w:w="307" w:type="dxa"/>
          </w:tcPr>
          <w:p w:rsidR="00361EFA" w:rsidRDefault="00361EFA" w:rsidP="007B2DD4">
            <w:pPr>
              <w:spacing w:before="360"/>
              <w:rPr>
                <w:rFonts w:ascii="Arial" w:hAnsi="Arial" w:cs="Arial"/>
                <w:sz w:val="20"/>
              </w:rPr>
            </w:pPr>
          </w:p>
        </w:tc>
        <w:tc>
          <w:tcPr>
            <w:tcW w:w="9119" w:type="dxa"/>
          </w:tcPr>
          <w:p w:rsidR="00361EFA" w:rsidRDefault="00361EFA" w:rsidP="0052466F">
            <w:pPr>
              <w:spacing w:before="360"/>
              <w:jc w:val="both"/>
              <w:rPr>
                <w:rFonts w:ascii="Arial" w:hAnsi="Arial" w:cs="Arial"/>
                <w:sz w:val="20"/>
              </w:rPr>
            </w:pPr>
            <w:r>
              <w:rPr>
                <w:rFonts w:ascii="Arial" w:hAnsi="Arial" w:cs="Arial"/>
                <w:sz w:val="20"/>
              </w:rPr>
              <w:t>2.3.</w:t>
            </w:r>
            <w:r w:rsidR="00782420">
              <w:rPr>
                <w:rFonts w:ascii="Arial" w:hAnsi="Arial" w:cs="Arial"/>
                <w:sz w:val="20"/>
              </w:rPr>
              <w:t xml:space="preserve"> C</w:t>
            </w:r>
            <w:r>
              <w:rPr>
                <w:rFonts w:ascii="Arial" w:hAnsi="Arial" w:cs="Arial"/>
                <w:sz w:val="20"/>
              </w:rPr>
              <w:t>elkové výdaje na zdravotnictví podle typu poskytovatele (ICHA-HP)………………………………</w:t>
            </w:r>
          </w:p>
        </w:tc>
        <w:tc>
          <w:tcPr>
            <w:tcW w:w="363" w:type="dxa"/>
          </w:tcPr>
          <w:p w:rsidR="00361EFA" w:rsidRDefault="00361EFA" w:rsidP="007B2DD4">
            <w:pPr>
              <w:spacing w:before="360"/>
              <w:jc w:val="right"/>
              <w:rPr>
                <w:rFonts w:ascii="Arial" w:hAnsi="Arial" w:cs="Arial"/>
                <w:sz w:val="20"/>
              </w:rPr>
            </w:pPr>
            <w:r>
              <w:rPr>
                <w:rFonts w:ascii="Arial" w:hAnsi="Arial" w:cs="Arial"/>
                <w:sz w:val="20"/>
              </w:rPr>
              <w:t>12</w:t>
            </w:r>
          </w:p>
        </w:tc>
      </w:tr>
      <w:tr w:rsidR="00361EFA" w:rsidTr="007B2DD4">
        <w:tc>
          <w:tcPr>
            <w:tcW w:w="307" w:type="dxa"/>
          </w:tcPr>
          <w:p w:rsidR="00361EFA" w:rsidRDefault="00361EFA" w:rsidP="007B2DD4">
            <w:pPr>
              <w:spacing w:before="360"/>
              <w:rPr>
                <w:rFonts w:ascii="Arial" w:hAnsi="Arial" w:cs="Arial"/>
                <w:sz w:val="20"/>
              </w:rPr>
            </w:pPr>
            <w:r>
              <w:rPr>
                <w:rFonts w:ascii="Arial" w:hAnsi="Arial" w:cs="Arial"/>
                <w:sz w:val="20"/>
              </w:rPr>
              <w:t>3.</w:t>
            </w:r>
          </w:p>
        </w:tc>
        <w:tc>
          <w:tcPr>
            <w:tcW w:w="9119" w:type="dxa"/>
          </w:tcPr>
          <w:p w:rsidR="00361EFA" w:rsidRDefault="00361EFA" w:rsidP="007B2DD4">
            <w:pPr>
              <w:spacing w:before="360"/>
              <w:jc w:val="both"/>
              <w:rPr>
                <w:rFonts w:ascii="Arial" w:hAnsi="Arial" w:cs="Arial"/>
                <w:sz w:val="20"/>
              </w:rPr>
            </w:pPr>
            <w:r>
              <w:rPr>
                <w:rFonts w:ascii="Arial" w:hAnsi="Arial" w:cs="Arial"/>
                <w:sz w:val="20"/>
              </w:rPr>
              <w:t>Výdaje zdravotních pojišťoven………………………………………………………………………………….</w:t>
            </w:r>
          </w:p>
        </w:tc>
        <w:tc>
          <w:tcPr>
            <w:tcW w:w="363" w:type="dxa"/>
          </w:tcPr>
          <w:p w:rsidR="00361EFA" w:rsidRDefault="00361EFA" w:rsidP="007B2DD4">
            <w:pPr>
              <w:spacing w:before="360"/>
              <w:jc w:val="right"/>
              <w:rPr>
                <w:rFonts w:ascii="Arial" w:hAnsi="Arial" w:cs="Arial"/>
                <w:sz w:val="20"/>
              </w:rPr>
            </w:pPr>
            <w:r>
              <w:rPr>
                <w:rFonts w:ascii="Arial" w:hAnsi="Arial" w:cs="Arial"/>
                <w:sz w:val="20"/>
              </w:rPr>
              <w:t>14</w:t>
            </w:r>
          </w:p>
        </w:tc>
      </w:tr>
      <w:tr w:rsidR="00361EFA" w:rsidTr="007B2DD4">
        <w:tc>
          <w:tcPr>
            <w:tcW w:w="307" w:type="dxa"/>
          </w:tcPr>
          <w:p w:rsidR="00361EFA" w:rsidRDefault="00361EFA" w:rsidP="007B2DD4">
            <w:pPr>
              <w:spacing w:before="360"/>
              <w:rPr>
                <w:rFonts w:ascii="Arial" w:hAnsi="Arial" w:cs="Arial"/>
                <w:sz w:val="20"/>
              </w:rPr>
            </w:pPr>
          </w:p>
        </w:tc>
        <w:tc>
          <w:tcPr>
            <w:tcW w:w="9119" w:type="dxa"/>
          </w:tcPr>
          <w:p w:rsidR="00361EFA" w:rsidRDefault="00361EFA" w:rsidP="007B2DD4">
            <w:pPr>
              <w:spacing w:before="360"/>
              <w:jc w:val="both"/>
              <w:rPr>
                <w:rFonts w:ascii="Arial" w:hAnsi="Arial" w:cs="Arial"/>
                <w:sz w:val="20"/>
              </w:rPr>
            </w:pPr>
            <w:r>
              <w:rPr>
                <w:rFonts w:ascii="Arial" w:hAnsi="Arial" w:cs="Arial"/>
                <w:sz w:val="20"/>
              </w:rPr>
              <w:t>3.1. Výdaje na zdravotní péči podle hlavních skupin diagnóz MKN-10…………………………………….</w:t>
            </w:r>
          </w:p>
        </w:tc>
        <w:tc>
          <w:tcPr>
            <w:tcW w:w="363" w:type="dxa"/>
          </w:tcPr>
          <w:p w:rsidR="00361EFA" w:rsidRDefault="00361EFA" w:rsidP="007B2DD4">
            <w:pPr>
              <w:spacing w:before="360"/>
              <w:jc w:val="right"/>
              <w:rPr>
                <w:rFonts w:ascii="Arial" w:hAnsi="Arial" w:cs="Arial"/>
                <w:sz w:val="20"/>
              </w:rPr>
            </w:pPr>
            <w:r>
              <w:rPr>
                <w:rFonts w:ascii="Arial" w:hAnsi="Arial" w:cs="Arial"/>
                <w:sz w:val="20"/>
              </w:rPr>
              <w:t>14</w:t>
            </w:r>
          </w:p>
        </w:tc>
      </w:tr>
      <w:tr w:rsidR="00361EFA" w:rsidTr="007B2DD4">
        <w:tc>
          <w:tcPr>
            <w:tcW w:w="307" w:type="dxa"/>
          </w:tcPr>
          <w:p w:rsidR="00361EFA" w:rsidRDefault="00361EFA" w:rsidP="007B2DD4">
            <w:pPr>
              <w:spacing w:before="360"/>
              <w:rPr>
                <w:rFonts w:ascii="Arial" w:hAnsi="Arial" w:cs="Arial"/>
                <w:sz w:val="20"/>
              </w:rPr>
            </w:pPr>
            <w:r>
              <w:rPr>
                <w:rFonts w:ascii="Arial" w:hAnsi="Arial" w:cs="Arial"/>
                <w:sz w:val="20"/>
              </w:rPr>
              <w:t>4.</w:t>
            </w:r>
          </w:p>
        </w:tc>
        <w:tc>
          <w:tcPr>
            <w:tcW w:w="9119" w:type="dxa"/>
          </w:tcPr>
          <w:p w:rsidR="00361EFA" w:rsidRDefault="00361EFA" w:rsidP="007B2DD4">
            <w:pPr>
              <w:spacing w:before="360"/>
              <w:jc w:val="both"/>
              <w:rPr>
                <w:rFonts w:ascii="Arial" w:hAnsi="Arial" w:cs="Arial"/>
                <w:sz w:val="20"/>
              </w:rPr>
            </w:pPr>
            <w:r>
              <w:rPr>
                <w:rFonts w:ascii="Arial" w:hAnsi="Arial" w:cs="Arial"/>
                <w:sz w:val="20"/>
              </w:rPr>
              <w:t>Výdaje domácností na zdravotní péči………………………………………………………………………….</w:t>
            </w:r>
          </w:p>
        </w:tc>
        <w:tc>
          <w:tcPr>
            <w:tcW w:w="363" w:type="dxa"/>
          </w:tcPr>
          <w:p w:rsidR="00361EFA" w:rsidRDefault="00782420" w:rsidP="003A7716">
            <w:pPr>
              <w:spacing w:before="360"/>
              <w:jc w:val="right"/>
              <w:rPr>
                <w:rFonts w:ascii="Arial" w:hAnsi="Arial" w:cs="Arial"/>
                <w:sz w:val="20"/>
              </w:rPr>
            </w:pPr>
            <w:r>
              <w:rPr>
                <w:rFonts w:ascii="Arial" w:hAnsi="Arial" w:cs="Arial"/>
                <w:sz w:val="20"/>
              </w:rPr>
              <w:t>2</w:t>
            </w:r>
            <w:r w:rsidR="003A7716">
              <w:rPr>
                <w:rFonts w:ascii="Arial" w:hAnsi="Arial" w:cs="Arial"/>
                <w:sz w:val="20"/>
              </w:rPr>
              <w:t>1</w:t>
            </w:r>
          </w:p>
        </w:tc>
      </w:tr>
      <w:tr w:rsidR="00361EFA" w:rsidTr="007B2DD4">
        <w:tc>
          <w:tcPr>
            <w:tcW w:w="307" w:type="dxa"/>
          </w:tcPr>
          <w:p w:rsidR="00361EFA" w:rsidRDefault="00361EFA" w:rsidP="007B2DD4">
            <w:pPr>
              <w:spacing w:before="360"/>
              <w:rPr>
                <w:rFonts w:ascii="Arial" w:hAnsi="Arial" w:cs="Arial"/>
                <w:sz w:val="20"/>
              </w:rPr>
            </w:pPr>
          </w:p>
        </w:tc>
        <w:tc>
          <w:tcPr>
            <w:tcW w:w="9119" w:type="dxa"/>
          </w:tcPr>
          <w:p w:rsidR="00361EFA" w:rsidRDefault="00361EFA" w:rsidP="007B2DD4">
            <w:pPr>
              <w:spacing w:before="360"/>
              <w:jc w:val="both"/>
              <w:rPr>
                <w:rFonts w:ascii="Arial" w:hAnsi="Arial" w:cs="Arial"/>
                <w:sz w:val="20"/>
              </w:rPr>
            </w:pPr>
            <w:r>
              <w:rPr>
                <w:rFonts w:ascii="Arial" w:hAnsi="Arial" w:cs="Arial"/>
                <w:sz w:val="20"/>
              </w:rPr>
              <w:t>4.1. Výdaje domácností podle druhu péče (ICHA-HC)……………………………………………………….</w:t>
            </w:r>
          </w:p>
        </w:tc>
        <w:tc>
          <w:tcPr>
            <w:tcW w:w="363" w:type="dxa"/>
          </w:tcPr>
          <w:p w:rsidR="00361EFA" w:rsidRDefault="00782420" w:rsidP="003A7716">
            <w:pPr>
              <w:spacing w:before="360"/>
              <w:jc w:val="right"/>
              <w:rPr>
                <w:rFonts w:ascii="Arial" w:hAnsi="Arial" w:cs="Arial"/>
                <w:sz w:val="20"/>
              </w:rPr>
            </w:pPr>
            <w:r>
              <w:rPr>
                <w:rFonts w:ascii="Arial" w:hAnsi="Arial" w:cs="Arial"/>
                <w:sz w:val="20"/>
              </w:rPr>
              <w:t>2</w:t>
            </w:r>
            <w:r w:rsidR="003A7716">
              <w:rPr>
                <w:rFonts w:ascii="Arial" w:hAnsi="Arial" w:cs="Arial"/>
                <w:sz w:val="20"/>
              </w:rPr>
              <w:t>1</w:t>
            </w:r>
          </w:p>
        </w:tc>
      </w:tr>
      <w:tr w:rsidR="00361EFA" w:rsidTr="007B2DD4">
        <w:tc>
          <w:tcPr>
            <w:tcW w:w="307" w:type="dxa"/>
          </w:tcPr>
          <w:p w:rsidR="00361EFA" w:rsidRDefault="00361EFA" w:rsidP="007B2DD4">
            <w:pPr>
              <w:spacing w:before="360"/>
              <w:rPr>
                <w:rFonts w:ascii="Arial" w:hAnsi="Arial" w:cs="Arial"/>
                <w:sz w:val="20"/>
              </w:rPr>
            </w:pPr>
          </w:p>
        </w:tc>
        <w:tc>
          <w:tcPr>
            <w:tcW w:w="9119" w:type="dxa"/>
          </w:tcPr>
          <w:p w:rsidR="00361EFA" w:rsidRDefault="00361EFA" w:rsidP="007B2DD4">
            <w:pPr>
              <w:spacing w:before="360"/>
              <w:jc w:val="both"/>
              <w:rPr>
                <w:rFonts w:ascii="Arial" w:hAnsi="Arial" w:cs="Arial"/>
                <w:sz w:val="20"/>
              </w:rPr>
            </w:pPr>
            <w:r>
              <w:rPr>
                <w:rFonts w:ascii="Arial" w:hAnsi="Arial" w:cs="Arial"/>
                <w:sz w:val="20"/>
              </w:rPr>
              <w:t>4.2. Výdaje domácností na regulační poplatky ……………………………………………………………….</w:t>
            </w:r>
          </w:p>
        </w:tc>
        <w:tc>
          <w:tcPr>
            <w:tcW w:w="363" w:type="dxa"/>
          </w:tcPr>
          <w:p w:rsidR="00361EFA" w:rsidRDefault="00361EFA" w:rsidP="003A7716">
            <w:pPr>
              <w:spacing w:before="360"/>
              <w:jc w:val="right"/>
              <w:rPr>
                <w:rFonts w:ascii="Arial" w:hAnsi="Arial" w:cs="Arial"/>
                <w:sz w:val="20"/>
              </w:rPr>
            </w:pPr>
            <w:r>
              <w:rPr>
                <w:rFonts w:ascii="Arial" w:hAnsi="Arial" w:cs="Arial"/>
                <w:sz w:val="20"/>
              </w:rPr>
              <w:t>2</w:t>
            </w:r>
            <w:r w:rsidR="003A7716">
              <w:rPr>
                <w:rFonts w:ascii="Arial" w:hAnsi="Arial" w:cs="Arial"/>
                <w:sz w:val="20"/>
              </w:rPr>
              <w:t>2</w:t>
            </w:r>
          </w:p>
        </w:tc>
      </w:tr>
      <w:tr w:rsidR="00361EFA" w:rsidTr="007B2DD4">
        <w:tc>
          <w:tcPr>
            <w:tcW w:w="307" w:type="dxa"/>
          </w:tcPr>
          <w:p w:rsidR="00361EFA" w:rsidRDefault="00361EFA" w:rsidP="007B2DD4">
            <w:pPr>
              <w:spacing w:before="360"/>
              <w:rPr>
                <w:rFonts w:ascii="Arial" w:hAnsi="Arial" w:cs="Arial"/>
                <w:sz w:val="20"/>
              </w:rPr>
            </w:pPr>
            <w:r>
              <w:rPr>
                <w:rFonts w:ascii="Arial" w:hAnsi="Arial" w:cs="Arial"/>
                <w:sz w:val="20"/>
              </w:rPr>
              <w:t>5.</w:t>
            </w:r>
          </w:p>
        </w:tc>
        <w:tc>
          <w:tcPr>
            <w:tcW w:w="9119" w:type="dxa"/>
          </w:tcPr>
          <w:p w:rsidR="00361EFA" w:rsidRDefault="00361EFA" w:rsidP="007B2DD4">
            <w:pPr>
              <w:spacing w:before="360"/>
              <w:jc w:val="both"/>
              <w:rPr>
                <w:rFonts w:ascii="Arial" w:hAnsi="Arial" w:cs="Arial"/>
                <w:sz w:val="20"/>
              </w:rPr>
            </w:pPr>
            <w:r>
              <w:rPr>
                <w:rFonts w:ascii="Arial" w:hAnsi="Arial" w:cs="Arial"/>
                <w:color w:val="000000"/>
                <w:sz w:val="20"/>
              </w:rPr>
              <w:t>Mezinárodní porovnání výdajů na zdravotnictví………………………………………………………………</w:t>
            </w:r>
          </w:p>
        </w:tc>
        <w:tc>
          <w:tcPr>
            <w:tcW w:w="363" w:type="dxa"/>
          </w:tcPr>
          <w:p w:rsidR="00361EFA" w:rsidRDefault="00361EFA" w:rsidP="003A7716">
            <w:pPr>
              <w:spacing w:before="360"/>
              <w:jc w:val="right"/>
              <w:rPr>
                <w:rFonts w:ascii="Arial" w:hAnsi="Arial" w:cs="Arial"/>
                <w:sz w:val="20"/>
              </w:rPr>
            </w:pPr>
            <w:r>
              <w:rPr>
                <w:rFonts w:ascii="Arial" w:hAnsi="Arial" w:cs="Arial"/>
                <w:sz w:val="20"/>
              </w:rPr>
              <w:t>2</w:t>
            </w:r>
            <w:r w:rsidR="003A7716">
              <w:rPr>
                <w:rFonts w:ascii="Arial" w:hAnsi="Arial" w:cs="Arial"/>
                <w:sz w:val="20"/>
              </w:rPr>
              <w:t>5</w:t>
            </w:r>
          </w:p>
        </w:tc>
      </w:tr>
      <w:tr w:rsidR="00361EFA" w:rsidTr="007B2DD4">
        <w:tc>
          <w:tcPr>
            <w:tcW w:w="307" w:type="dxa"/>
          </w:tcPr>
          <w:p w:rsidR="00361EFA" w:rsidRDefault="00361EFA" w:rsidP="007B2DD4">
            <w:pPr>
              <w:spacing w:before="360"/>
              <w:rPr>
                <w:rFonts w:ascii="Arial" w:hAnsi="Arial" w:cs="Arial"/>
                <w:sz w:val="20"/>
              </w:rPr>
            </w:pPr>
          </w:p>
        </w:tc>
        <w:tc>
          <w:tcPr>
            <w:tcW w:w="9119" w:type="dxa"/>
          </w:tcPr>
          <w:p w:rsidR="00361EFA" w:rsidRDefault="00361EFA" w:rsidP="00925EFC">
            <w:pPr>
              <w:spacing w:before="360"/>
              <w:jc w:val="both"/>
              <w:rPr>
                <w:rFonts w:ascii="Arial" w:hAnsi="Arial" w:cs="Arial"/>
                <w:sz w:val="20"/>
              </w:rPr>
            </w:pPr>
            <w:r>
              <w:rPr>
                <w:rFonts w:ascii="Arial" w:hAnsi="Arial" w:cs="Arial"/>
                <w:sz w:val="20"/>
              </w:rPr>
              <w:t xml:space="preserve">5.1. Výdaje na zdravotnictví ve vybraných zemích </w:t>
            </w:r>
            <w:r w:rsidR="00925EFC">
              <w:rPr>
                <w:rFonts w:ascii="Arial" w:hAnsi="Arial" w:cs="Arial"/>
                <w:sz w:val="20"/>
              </w:rPr>
              <w:t>EU</w:t>
            </w:r>
            <w:r>
              <w:rPr>
                <w:rFonts w:ascii="Arial" w:hAnsi="Arial" w:cs="Arial"/>
                <w:sz w:val="20"/>
              </w:rPr>
              <w:t>………………………………………….……...</w:t>
            </w:r>
            <w:r w:rsidR="00925EFC">
              <w:rPr>
                <w:rFonts w:ascii="Arial" w:hAnsi="Arial" w:cs="Arial"/>
                <w:sz w:val="20"/>
              </w:rPr>
              <w:t>......</w:t>
            </w:r>
          </w:p>
        </w:tc>
        <w:tc>
          <w:tcPr>
            <w:tcW w:w="363" w:type="dxa"/>
          </w:tcPr>
          <w:p w:rsidR="00361EFA" w:rsidRDefault="00361EFA" w:rsidP="003A7716">
            <w:pPr>
              <w:spacing w:before="360"/>
              <w:jc w:val="right"/>
              <w:rPr>
                <w:rFonts w:ascii="Arial" w:hAnsi="Arial" w:cs="Arial"/>
                <w:sz w:val="20"/>
              </w:rPr>
            </w:pPr>
            <w:r>
              <w:rPr>
                <w:rFonts w:ascii="Arial" w:hAnsi="Arial" w:cs="Arial"/>
                <w:sz w:val="20"/>
              </w:rPr>
              <w:t>2</w:t>
            </w:r>
            <w:r w:rsidR="003A7716">
              <w:rPr>
                <w:rFonts w:ascii="Arial" w:hAnsi="Arial" w:cs="Arial"/>
                <w:sz w:val="20"/>
              </w:rPr>
              <w:t>5</w:t>
            </w:r>
          </w:p>
        </w:tc>
      </w:tr>
      <w:tr w:rsidR="00361EFA" w:rsidTr="007B2DD4">
        <w:tc>
          <w:tcPr>
            <w:tcW w:w="307" w:type="dxa"/>
          </w:tcPr>
          <w:p w:rsidR="00361EFA" w:rsidRDefault="00361EFA" w:rsidP="007B2DD4">
            <w:pPr>
              <w:spacing w:before="360"/>
              <w:rPr>
                <w:rFonts w:ascii="Arial" w:hAnsi="Arial" w:cs="Arial"/>
                <w:sz w:val="20"/>
              </w:rPr>
            </w:pPr>
          </w:p>
        </w:tc>
        <w:tc>
          <w:tcPr>
            <w:tcW w:w="9119" w:type="dxa"/>
          </w:tcPr>
          <w:p w:rsidR="00361EFA" w:rsidRDefault="00361EFA" w:rsidP="007B2DD4">
            <w:pPr>
              <w:spacing w:before="360"/>
              <w:rPr>
                <w:rFonts w:ascii="Arial" w:hAnsi="Arial" w:cs="Arial"/>
                <w:sz w:val="20"/>
              </w:rPr>
            </w:pPr>
            <w:r>
              <w:rPr>
                <w:rFonts w:ascii="Arial" w:hAnsi="Arial" w:cs="Arial"/>
                <w:sz w:val="20"/>
              </w:rPr>
              <w:t>Použitá literatura………………………………………………………………………………………………….</w:t>
            </w:r>
          </w:p>
        </w:tc>
        <w:tc>
          <w:tcPr>
            <w:tcW w:w="363" w:type="dxa"/>
          </w:tcPr>
          <w:p w:rsidR="00361EFA" w:rsidRDefault="00361EFA" w:rsidP="003A7716">
            <w:pPr>
              <w:spacing w:before="360"/>
              <w:jc w:val="right"/>
              <w:rPr>
                <w:rFonts w:ascii="Arial" w:hAnsi="Arial" w:cs="Arial"/>
                <w:sz w:val="20"/>
              </w:rPr>
            </w:pPr>
            <w:r>
              <w:rPr>
                <w:rFonts w:ascii="Arial" w:hAnsi="Arial" w:cs="Arial"/>
                <w:sz w:val="20"/>
              </w:rPr>
              <w:t>2</w:t>
            </w:r>
            <w:r w:rsidR="003A7716">
              <w:rPr>
                <w:rFonts w:ascii="Arial" w:hAnsi="Arial" w:cs="Arial"/>
                <w:sz w:val="20"/>
              </w:rPr>
              <w:t>8</w:t>
            </w:r>
          </w:p>
        </w:tc>
      </w:tr>
      <w:tr w:rsidR="00361EFA" w:rsidTr="007B2DD4">
        <w:tc>
          <w:tcPr>
            <w:tcW w:w="307" w:type="dxa"/>
          </w:tcPr>
          <w:p w:rsidR="00361EFA" w:rsidRDefault="00361EFA" w:rsidP="007B2DD4">
            <w:pPr>
              <w:spacing w:before="360"/>
              <w:rPr>
                <w:rFonts w:ascii="Arial" w:hAnsi="Arial" w:cs="Arial"/>
                <w:sz w:val="20"/>
              </w:rPr>
            </w:pPr>
          </w:p>
        </w:tc>
        <w:tc>
          <w:tcPr>
            <w:tcW w:w="9119" w:type="dxa"/>
          </w:tcPr>
          <w:p w:rsidR="00361EFA" w:rsidRDefault="00361EFA" w:rsidP="007B2DD4">
            <w:pPr>
              <w:spacing w:before="360"/>
              <w:rPr>
                <w:rFonts w:ascii="Arial" w:hAnsi="Arial" w:cs="Arial"/>
                <w:sz w:val="20"/>
              </w:rPr>
            </w:pPr>
            <w:r>
              <w:rPr>
                <w:rFonts w:ascii="Arial" w:hAnsi="Arial" w:cs="Arial"/>
                <w:sz w:val="20"/>
              </w:rPr>
              <w:t>Přílohy……………………………………………………………………………………………………………..</w:t>
            </w:r>
          </w:p>
        </w:tc>
        <w:tc>
          <w:tcPr>
            <w:tcW w:w="363" w:type="dxa"/>
          </w:tcPr>
          <w:p w:rsidR="00361EFA" w:rsidRDefault="00361EFA" w:rsidP="003A7716">
            <w:pPr>
              <w:spacing w:before="360"/>
              <w:jc w:val="right"/>
              <w:rPr>
                <w:rFonts w:ascii="Arial" w:hAnsi="Arial" w:cs="Arial"/>
                <w:sz w:val="20"/>
              </w:rPr>
            </w:pPr>
            <w:r>
              <w:rPr>
                <w:rFonts w:ascii="Arial" w:hAnsi="Arial" w:cs="Arial"/>
                <w:sz w:val="20"/>
              </w:rPr>
              <w:t>2</w:t>
            </w:r>
            <w:r w:rsidR="003A7716">
              <w:rPr>
                <w:rFonts w:ascii="Arial" w:hAnsi="Arial" w:cs="Arial"/>
                <w:sz w:val="20"/>
              </w:rPr>
              <w:t>9</w:t>
            </w:r>
          </w:p>
        </w:tc>
      </w:tr>
    </w:tbl>
    <w:p w:rsidR="00361EFA" w:rsidRDefault="00361EFA" w:rsidP="00361EFA">
      <w:pPr>
        <w:pStyle w:val="Nadpisvlastn1"/>
        <w:rPr>
          <w:sz w:val="20"/>
        </w:rPr>
      </w:pPr>
    </w:p>
    <w:p w:rsidR="00361EFA" w:rsidRDefault="00361EFA" w:rsidP="00361EFA">
      <w:pPr>
        <w:jc w:val="both"/>
        <w:rPr>
          <w:rFonts w:ascii="Arial" w:hAnsi="Arial"/>
          <w:sz w:val="20"/>
        </w:rPr>
      </w:pPr>
    </w:p>
    <w:p w:rsidR="00361EFA" w:rsidRDefault="00361EFA" w:rsidP="00361EFA">
      <w:pPr>
        <w:jc w:val="both"/>
        <w:rPr>
          <w:rFonts w:ascii="Arial" w:hAnsi="Arial"/>
          <w:sz w:val="20"/>
        </w:rPr>
      </w:pPr>
    </w:p>
    <w:p w:rsidR="00361EFA" w:rsidRDefault="00361EFA" w:rsidP="00361EFA">
      <w:pPr>
        <w:jc w:val="both"/>
        <w:rPr>
          <w:rFonts w:ascii="Arial" w:hAnsi="Arial"/>
          <w:sz w:val="20"/>
        </w:rPr>
      </w:pPr>
    </w:p>
    <w:p w:rsidR="00361EFA" w:rsidRDefault="00361EFA" w:rsidP="00361EFA">
      <w:pPr>
        <w:pStyle w:val="Nadpisvlastn1"/>
        <w:numPr>
          <w:ilvl w:val="0"/>
          <w:numId w:val="1"/>
        </w:numPr>
        <w:tabs>
          <w:tab w:val="clear" w:pos="765"/>
          <w:tab w:val="num" w:pos="720"/>
        </w:tabs>
        <w:ind w:left="720" w:hanging="720"/>
        <w:rPr>
          <w:szCs w:val="35"/>
        </w:rPr>
      </w:pPr>
      <w:bookmarkStart w:id="6" w:name="_Toc256065129"/>
      <w:r>
        <w:rPr>
          <w:szCs w:val="35"/>
        </w:rPr>
        <w:lastRenderedPageBreak/>
        <w:t>Úvod</w:t>
      </w:r>
      <w:bookmarkEnd w:id="0"/>
      <w:bookmarkEnd w:id="1"/>
      <w:bookmarkEnd w:id="2"/>
      <w:bookmarkEnd w:id="3"/>
      <w:bookmarkEnd w:id="6"/>
    </w:p>
    <w:p w:rsidR="00361EFA" w:rsidRDefault="00361EFA" w:rsidP="00361EFA">
      <w:pPr>
        <w:pStyle w:val="Textvlastn"/>
        <w:rPr>
          <w:sz w:val="20"/>
        </w:rPr>
      </w:pPr>
      <w:r>
        <w:rPr>
          <w:sz w:val="20"/>
        </w:rPr>
        <w:t xml:space="preserve">Zdravotnictví se řadí z pohledu členění ekonomických sektorů do oblasti služeb. Svým rozsahem se dotýká každého člena společnosti. Vzhledem k výši částek, které jsou do této oblasti směřovány z veřejných i soukromých zdrojů a v ní dále transformovány a přerozdělovány, se řadí mezi nejvýznamnější odvětví ekonomiky. </w:t>
      </w:r>
    </w:p>
    <w:p w:rsidR="00361EFA" w:rsidRDefault="00361EFA" w:rsidP="00361EFA">
      <w:pPr>
        <w:pStyle w:val="Textvlastn"/>
        <w:rPr>
          <w:sz w:val="20"/>
        </w:rPr>
      </w:pPr>
      <w:r>
        <w:rPr>
          <w:sz w:val="20"/>
        </w:rPr>
        <w:t>Potřeba ekonomických informací o zdravotnictví spojená s tendencí globalizace, relativního zkracování vzdáleností a s rozvojem cestovního ruchu vyvolává potřebu vzájemné mezinárodní výměny srovnatelných informací z oblasti zdravotnictví. Vhodným nástrojem splňujícím tyto požadavky jsou zdravotnické účty (dále také „SHA“</w:t>
      </w:r>
      <w:r>
        <w:rPr>
          <w:rStyle w:val="Znakapoznpodarou"/>
          <w:sz w:val="20"/>
        </w:rPr>
        <w:footnoteReference w:id="2"/>
      </w:r>
      <w:r>
        <w:rPr>
          <w:sz w:val="20"/>
        </w:rPr>
        <w:t xml:space="preserve">), které se </w:t>
      </w:r>
      <w:r w:rsidR="00680868">
        <w:rPr>
          <w:sz w:val="20"/>
        </w:rPr>
        <w:t xml:space="preserve">již sestavují </w:t>
      </w:r>
      <w:r>
        <w:rPr>
          <w:sz w:val="20"/>
        </w:rPr>
        <w:t>v</w:t>
      </w:r>
      <w:r w:rsidR="00680868">
        <w:rPr>
          <w:sz w:val="20"/>
        </w:rPr>
        <w:t xml:space="preserve"> mnoha </w:t>
      </w:r>
      <w:r>
        <w:rPr>
          <w:sz w:val="20"/>
        </w:rPr>
        <w:t>zemích OECD s využitím jednotného manuálu a mezinárodní klasifikace zdravotnických účtů (dále „ICHA“</w:t>
      </w:r>
      <w:r>
        <w:rPr>
          <w:rStyle w:val="Znakapoznpodarou"/>
          <w:sz w:val="20"/>
        </w:rPr>
        <w:footnoteReference w:id="3"/>
      </w:r>
      <w:r>
        <w:rPr>
          <w:sz w:val="20"/>
        </w:rPr>
        <w:t xml:space="preserve">). </w:t>
      </w:r>
    </w:p>
    <w:p w:rsidR="00361EFA" w:rsidRDefault="00361EFA" w:rsidP="00361EFA">
      <w:pPr>
        <w:pStyle w:val="Nadpisvlastn2"/>
        <w:numPr>
          <w:ilvl w:val="1"/>
          <w:numId w:val="3"/>
        </w:numPr>
        <w:rPr>
          <w:szCs w:val="27"/>
        </w:rPr>
      </w:pPr>
      <w:bookmarkStart w:id="7" w:name="_Toc97364139"/>
      <w:bookmarkStart w:id="8" w:name="_Toc127174539"/>
      <w:bookmarkStart w:id="9" w:name="_Toc127757311"/>
      <w:bookmarkStart w:id="10" w:name="_Toc127758601"/>
      <w:bookmarkStart w:id="11" w:name="_Toc130184746"/>
      <w:bookmarkStart w:id="12" w:name="_Toc256065130"/>
      <w:r>
        <w:rPr>
          <w:szCs w:val="27"/>
        </w:rPr>
        <w:t>Základní principy systému zdravotnických účtů</w:t>
      </w:r>
      <w:bookmarkEnd w:id="7"/>
      <w:bookmarkEnd w:id="8"/>
      <w:bookmarkEnd w:id="9"/>
      <w:bookmarkEnd w:id="10"/>
      <w:bookmarkEnd w:id="11"/>
      <w:bookmarkEnd w:id="12"/>
    </w:p>
    <w:p w:rsidR="00361EFA" w:rsidRDefault="00361EFA" w:rsidP="00361EFA">
      <w:pPr>
        <w:pStyle w:val="Textvlastn"/>
        <w:rPr>
          <w:sz w:val="17"/>
          <w:szCs w:val="17"/>
        </w:rPr>
      </w:pPr>
    </w:p>
    <w:p w:rsidR="00361EFA" w:rsidRDefault="00361EFA" w:rsidP="00361EFA">
      <w:pPr>
        <w:pStyle w:val="Textvlastn"/>
        <w:rPr>
          <w:iCs/>
          <w:sz w:val="20"/>
          <w:szCs w:val="17"/>
        </w:rPr>
      </w:pPr>
      <w:r>
        <w:rPr>
          <w:sz w:val="20"/>
          <w:szCs w:val="17"/>
        </w:rPr>
        <w:t>Systém zdravotnických účtů je nástrojem, který slouží ke komplexnímu vyjádření veškerých výdajů</w:t>
      </w:r>
      <w:r>
        <w:rPr>
          <w:rStyle w:val="Znakapoznpodarou"/>
          <w:sz w:val="20"/>
          <w:szCs w:val="17"/>
        </w:rPr>
        <w:footnoteReference w:id="4"/>
      </w:r>
      <w:r>
        <w:rPr>
          <w:sz w:val="20"/>
          <w:szCs w:val="17"/>
        </w:rPr>
        <w:t xml:space="preserve"> na zdravotní péči, resp. na zdravotnictví v širším slova smyslu. Jeho hlavním specifickým rysem je více-rozměrnost členění výdajů. Hlavními rozměry jsou: </w:t>
      </w:r>
    </w:p>
    <w:p w:rsidR="00361EFA" w:rsidRDefault="00361EFA" w:rsidP="00361EFA">
      <w:pPr>
        <w:pStyle w:val="Textvlastn"/>
        <w:numPr>
          <w:ilvl w:val="0"/>
          <w:numId w:val="2"/>
        </w:numPr>
        <w:rPr>
          <w:iCs/>
          <w:sz w:val="20"/>
          <w:szCs w:val="17"/>
        </w:rPr>
      </w:pPr>
      <w:r>
        <w:rPr>
          <w:iCs/>
          <w:sz w:val="20"/>
          <w:szCs w:val="17"/>
        </w:rPr>
        <w:t>funkce (druh) poskytované zdravotní péče (ICHA – HC</w:t>
      </w:r>
      <w:r>
        <w:rPr>
          <w:rStyle w:val="Znakapoznpodarou"/>
          <w:iCs/>
          <w:sz w:val="20"/>
          <w:szCs w:val="17"/>
        </w:rPr>
        <w:footnoteReference w:id="5"/>
      </w:r>
      <w:r>
        <w:rPr>
          <w:iCs/>
          <w:sz w:val="20"/>
          <w:szCs w:val="17"/>
        </w:rPr>
        <w:t xml:space="preserve">, viz příloha, dále jen HC),  </w:t>
      </w:r>
    </w:p>
    <w:p w:rsidR="00361EFA" w:rsidRDefault="00361EFA" w:rsidP="00361EFA">
      <w:pPr>
        <w:pStyle w:val="Textvlastn"/>
        <w:numPr>
          <w:ilvl w:val="0"/>
          <w:numId w:val="2"/>
        </w:numPr>
        <w:rPr>
          <w:iCs/>
          <w:sz w:val="20"/>
          <w:szCs w:val="17"/>
        </w:rPr>
      </w:pPr>
      <w:r>
        <w:rPr>
          <w:iCs/>
          <w:sz w:val="20"/>
          <w:szCs w:val="17"/>
        </w:rPr>
        <w:t>typ poskytovatele (ICHA – HP</w:t>
      </w:r>
      <w:r>
        <w:rPr>
          <w:rStyle w:val="Znakapoznpodarou"/>
          <w:iCs/>
          <w:sz w:val="20"/>
          <w:szCs w:val="17"/>
        </w:rPr>
        <w:footnoteReference w:id="6"/>
      </w:r>
      <w:r>
        <w:rPr>
          <w:iCs/>
          <w:sz w:val="20"/>
          <w:szCs w:val="17"/>
        </w:rPr>
        <w:t xml:space="preserve">, viz příloha, dále jen HP), </w:t>
      </w:r>
    </w:p>
    <w:p w:rsidR="00361EFA" w:rsidRDefault="00361EFA" w:rsidP="00361EFA">
      <w:pPr>
        <w:pStyle w:val="Textvlastn"/>
        <w:numPr>
          <w:ilvl w:val="0"/>
          <w:numId w:val="2"/>
        </w:numPr>
        <w:rPr>
          <w:iCs/>
          <w:sz w:val="20"/>
          <w:szCs w:val="17"/>
        </w:rPr>
      </w:pPr>
      <w:r>
        <w:rPr>
          <w:iCs/>
          <w:sz w:val="20"/>
          <w:szCs w:val="17"/>
        </w:rPr>
        <w:t>konečný zdroj financování (ICHA – HF</w:t>
      </w:r>
      <w:r>
        <w:rPr>
          <w:rStyle w:val="Znakapoznpodarou"/>
          <w:iCs/>
          <w:sz w:val="20"/>
          <w:szCs w:val="17"/>
        </w:rPr>
        <w:footnoteReference w:id="7"/>
      </w:r>
      <w:r>
        <w:rPr>
          <w:iCs/>
          <w:sz w:val="20"/>
          <w:szCs w:val="17"/>
        </w:rPr>
        <w:t xml:space="preserve">, viz příloha, dále jen HF). </w:t>
      </w:r>
    </w:p>
    <w:p w:rsidR="00361EFA" w:rsidRDefault="00361EFA" w:rsidP="00361EFA">
      <w:pPr>
        <w:pStyle w:val="Textvlastn"/>
        <w:rPr>
          <w:sz w:val="20"/>
          <w:szCs w:val="17"/>
        </w:rPr>
      </w:pPr>
      <w:r>
        <w:rPr>
          <w:sz w:val="20"/>
          <w:szCs w:val="17"/>
        </w:rPr>
        <w:t>Tyto tři základní rozměry se libovolně kombinují, čímž dostáváme maticově uspořádané tabulky zdravotnických výdajů, které jsou hlavním výstupem zdravotnických účtů:</w:t>
      </w:r>
    </w:p>
    <w:p w:rsidR="00361EFA" w:rsidRDefault="00361EFA" w:rsidP="00361EFA">
      <w:pPr>
        <w:pStyle w:val="Textvlastn"/>
        <w:numPr>
          <w:ilvl w:val="1"/>
          <w:numId w:val="1"/>
        </w:numPr>
        <w:rPr>
          <w:sz w:val="20"/>
          <w:szCs w:val="17"/>
        </w:rPr>
      </w:pPr>
      <w:r>
        <w:rPr>
          <w:sz w:val="20"/>
          <w:szCs w:val="17"/>
        </w:rPr>
        <w:t>výdaje na zdravotní péči podle druhu péče a zdroje financování (HC x HF)</w:t>
      </w:r>
    </w:p>
    <w:p w:rsidR="00361EFA" w:rsidRDefault="00361EFA" w:rsidP="00361EFA">
      <w:pPr>
        <w:pStyle w:val="Textvlastn"/>
        <w:numPr>
          <w:ilvl w:val="1"/>
          <w:numId w:val="1"/>
        </w:numPr>
        <w:rPr>
          <w:sz w:val="20"/>
          <w:szCs w:val="17"/>
        </w:rPr>
      </w:pPr>
      <w:r>
        <w:rPr>
          <w:sz w:val="20"/>
          <w:szCs w:val="17"/>
        </w:rPr>
        <w:t>výdaje na zdravotní péči podle druhu péče a typu poskytovatele (HC x HP)</w:t>
      </w:r>
    </w:p>
    <w:p w:rsidR="00361EFA" w:rsidRDefault="00361EFA" w:rsidP="00361EFA">
      <w:pPr>
        <w:pStyle w:val="Textvlastn"/>
        <w:numPr>
          <w:ilvl w:val="1"/>
          <w:numId w:val="1"/>
        </w:numPr>
        <w:rPr>
          <w:sz w:val="20"/>
          <w:szCs w:val="17"/>
        </w:rPr>
      </w:pPr>
      <w:r>
        <w:rPr>
          <w:sz w:val="20"/>
          <w:szCs w:val="17"/>
        </w:rPr>
        <w:t>výdaje na zdravotní péči podle typu poskytovatele a zdroje financování (HP x HF)</w:t>
      </w:r>
    </w:p>
    <w:p w:rsidR="00361EFA" w:rsidRDefault="00361EFA" w:rsidP="00361EFA">
      <w:pPr>
        <w:pStyle w:val="Textvlastn"/>
        <w:rPr>
          <w:sz w:val="20"/>
          <w:szCs w:val="17"/>
        </w:rPr>
      </w:pPr>
      <w:bookmarkStart w:id="13" w:name="OLE_LINK109"/>
      <w:r>
        <w:rPr>
          <w:sz w:val="20"/>
          <w:szCs w:val="17"/>
        </w:rPr>
        <w:t>Vícerozměrné členění poskytuje uživatelům těchto informací podstatně propracovanější a detailnější pohled na zdravotnické výdaje (užitečná je zejména informace o zastoupení a podílu jednotlivých sektorů při financování zdravotní péče), nicméně je také z pochopitelných důvodů náročnější na získávání a úpravu požadovaných dat. Další výraznou komplikací je použití mezinárodní klasifikace ICHA</w:t>
      </w:r>
      <w:r>
        <w:rPr>
          <w:rStyle w:val="Znakapoznpodarou"/>
          <w:sz w:val="20"/>
          <w:szCs w:val="17"/>
        </w:rPr>
        <w:footnoteReference w:id="8"/>
      </w:r>
      <w:r>
        <w:rPr>
          <w:sz w:val="20"/>
          <w:szCs w:val="17"/>
        </w:rPr>
        <w:t>, jejíž druhové členění zdaleka neodpovídá vymezení zdravotní péče či zdravotnických zařízení v naší zdravotnické praxi.</w:t>
      </w:r>
    </w:p>
    <w:p w:rsidR="00361EFA" w:rsidRDefault="00361EFA" w:rsidP="00361EFA">
      <w:pPr>
        <w:pStyle w:val="Nadpisvlastn2"/>
        <w:numPr>
          <w:ilvl w:val="1"/>
          <w:numId w:val="3"/>
        </w:numPr>
        <w:rPr>
          <w:szCs w:val="27"/>
        </w:rPr>
      </w:pPr>
      <w:bookmarkStart w:id="14" w:name="_Toc127174540"/>
      <w:bookmarkStart w:id="15" w:name="_Toc127757312"/>
      <w:bookmarkStart w:id="16" w:name="_Toc127758602"/>
      <w:bookmarkStart w:id="17" w:name="_Toc130184747"/>
      <w:bookmarkStart w:id="18" w:name="_Toc256065131"/>
      <w:bookmarkEnd w:id="13"/>
      <w:r>
        <w:rPr>
          <w:szCs w:val="27"/>
        </w:rPr>
        <w:t>Systém zdravotnických účtů v České republice</w:t>
      </w:r>
      <w:bookmarkEnd w:id="14"/>
      <w:bookmarkEnd w:id="15"/>
      <w:bookmarkEnd w:id="16"/>
      <w:bookmarkEnd w:id="17"/>
      <w:bookmarkEnd w:id="18"/>
    </w:p>
    <w:p w:rsidR="00361EFA" w:rsidRDefault="00361EFA" w:rsidP="00361EFA">
      <w:pPr>
        <w:pStyle w:val="Textvlastn"/>
        <w:rPr>
          <w:sz w:val="17"/>
          <w:szCs w:val="17"/>
        </w:rPr>
      </w:pPr>
    </w:p>
    <w:p w:rsidR="00361EFA" w:rsidRDefault="00361EFA" w:rsidP="00361EFA">
      <w:pPr>
        <w:pStyle w:val="Textvlastn"/>
        <w:rPr>
          <w:sz w:val="20"/>
          <w:szCs w:val="17"/>
        </w:rPr>
      </w:pPr>
      <w:r>
        <w:rPr>
          <w:sz w:val="20"/>
          <w:szCs w:val="17"/>
        </w:rPr>
        <w:t>Postup implementace zdravotnických účtů v České republice se zaměřil převážně na vyhledávání administrativních záznamů přímo u hlavních zdrojů financování zdravotní péče, které se v našich podmínkách jeví jako efektivnější, přesnější a současně méně nákladné. V ČR existují tři hlavní zdroje financování zdravotní péče:</w:t>
      </w:r>
    </w:p>
    <w:p w:rsidR="00361EFA" w:rsidRDefault="00361EFA" w:rsidP="00361EFA">
      <w:pPr>
        <w:pStyle w:val="Textvlastn"/>
        <w:numPr>
          <w:ilvl w:val="1"/>
          <w:numId w:val="1"/>
        </w:numPr>
        <w:rPr>
          <w:sz w:val="20"/>
          <w:szCs w:val="17"/>
        </w:rPr>
      </w:pPr>
      <w:r>
        <w:rPr>
          <w:sz w:val="20"/>
          <w:szCs w:val="17"/>
        </w:rPr>
        <w:t>zdravotní pojišťovny (veřejné zdravotní pojištění),</w:t>
      </w:r>
    </w:p>
    <w:p w:rsidR="00361EFA" w:rsidRDefault="00361EFA" w:rsidP="00361EFA">
      <w:pPr>
        <w:pStyle w:val="Textvlastn"/>
        <w:numPr>
          <w:ilvl w:val="1"/>
          <w:numId w:val="1"/>
        </w:numPr>
        <w:rPr>
          <w:sz w:val="20"/>
          <w:szCs w:val="17"/>
        </w:rPr>
      </w:pPr>
      <w:r>
        <w:rPr>
          <w:sz w:val="20"/>
          <w:szCs w:val="17"/>
        </w:rPr>
        <w:t>veřejné rozpočty (státní rozpočet, místní rozpočty),</w:t>
      </w:r>
    </w:p>
    <w:p w:rsidR="00361EFA" w:rsidRDefault="00361EFA" w:rsidP="00361EFA">
      <w:pPr>
        <w:pStyle w:val="Textvlastn"/>
        <w:numPr>
          <w:ilvl w:val="1"/>
          <w:numId w:val="1"/>
        </w:numPr>
        <w:rPr>
          <w:sz w:val="20"/>
          <w:szCs w:val="17"/>
        </w:rPr>
      </w:pPr>
      <w:r>
        <w:rPr>
          <w:sz w:val="20"/>
          <w:szCs w:val="17"/>
        </w:rPr>
        <w:t>domácnosti.</w:t>
      </w:r>
    </w:p>
    <w:p w:rsidR="00361EFA" w:rsidRDefault="00361EFA" w:rsidP="00361EFA">
      <w:pPr>
        <w:pStyle w:val="Textvlastn"/>
        <w:rPr>
          <w:sz w:val="20"/>
          <w:szCs w:val="17"/>
        </w:rPr>
      </w:pPr>
      <w:r>
        <w:rPr>
          <w:sz w:val="20"/>
          <w:szCs w:val="17"/>
        </w:rPr>
        <w:lastRenderedPageBreak/>
        <w:t xml:space="preserve">Největší zdroj tvoří zdravotní pojišťovny, které pokrývají </w:t>
      </w:r>
      <w:r w:rsidR="00A01274" w:rsidRPr="00E85C1E">
        <w:rPr>
          <w:sz w:val="20"/>
          <w:szCs w:val="17"/>
        </w:rPr>
        <w:t>77%</w:t>
      </w:r>
      <w:r>
        <w:rPr>
          <w:sz w:val="20"/>
          <w:szCs w:val="17"/>
        </w:rPr>
        <w:t xml:space="preserve"> veškerých zdravotnických výdajů. Dalším zdrojem financování zdravotnictví jsou veřejné rozpočty (asi </w:t>
      </w:r>
      <w:r w:rsidR="00680868" w:rsidRPr="00680868">
        <w:rPr>
          <w:sz w:val="20"/>
          <w:szCs w:val="17"/>
        </w:rPr>
        <w:t>7</w:t>
      </w:r>
      <w:r w:rsidRPr="00680868">
        <w:rPr>
          <w:sz w:val="20"/>
          <w:szCs w:val="17"/>
        </w:rPr>
        <w:t>%</w:t>
      </w:r>
      <w:r>
        <w:rPr>
          <w:sz w:val="20"/>
          <w:szCs w:val="17"/>
        </w:rPr>
        <w:t xml:space="preserve"> </w:t>
      </w:r>
      <w:r w:rsidR="00767C66">
        <w:rPr>
          <w:sz w:val="20"/>
          <w:szCs w:val="17"/>
        </w:rPr>
        <w:t>celkových</w:t>
      </w:r>
      <w:r>
        <w:rPr>
          <w:sz w:val="20"/>
          <w:szCs w:val="17"/>
        </w:rPr>
        <w:t xml:space="preserve"> zdravotnických výdajů). Úloha veřejných rozpočtů spočívá ve financování specifických činností, které nejsou hrazeny z veřejného zdravotního pojištění jako jsou výdaje na vědu, vzdělávání zdravotnických pracovníků, preventivní programy, činnost hygienických stanic, ale také na provoz institucí státní (zdravotní) správy. </w:t>
      </w:r>
      <w:r w:rsidR="00A01274">
        <w:rPr>
          <w:sz w:val="20"/>
          <w:szCs w:val="17"/>
        </w:rPr>
        <w:t xml:space="preserve">Z veřejného </w:t>
      </w:r>
      <w:r w:rsidR="006E2065">
        <w:rPr>
          <w:sz w:val="20"/>
          <w:szCs w:val="17"/>
        </w:rPr>
        <w:t xml:space="preserve">rozpočtu je především financováno pojistné za veřejné zdravotní pojištění za neproduktivní skupiny obyvatel. </w:t>
      </w:r>
      <w:r>
        <w:rPr>
          <w:sz w:val="20"/>
          <w:szCs w:val="17"/>
        </w:rPr>
        <w:t xml:space="preserve">Přímé výdaje domácností jsou třetím zdrojem financování zdravotní péče (téměř </w:t>
      </w:r>
      <w:r w:rsidRPr="00680868">
        <w:rPr>
          <w:sz w:val="20"/>
          <w:szCs w:val="17"/>
        </w:rPr>
        <w:t>15%</w:t>
      </w:r>
      <w:r>
        <w:rPr>
          <w:sz w:val="20"/>
          <w:szCs w:val="17"/>
        </w:rPr>
        <w:t xml:space="preserve"> veškerých zdravotnických výdajů). V převážné většině si domácnosti platí léky, nadstandardní služby u </w:t>
      </w:r>
      <w:r w:rsidR="00B121F4">
        <w:rPr>
          <w:sz w:val="20"/>
          <w:szCs w:val="17"/>
        </w:rPr>
        <w:t xml:space="preserve">lékařů zejména u </w:t>
      </w:r>
      <w:r>
        <w:rPr>
          <w:sz w:val="20"/>
          <w:szCs w:val="17"/>
        </w:rPr>
        <w:t>stomatologů a lázeňské pobyty.</w:t>
      </w:r>
    </w:p>
    <w:p w:rsidR="00361EFA" w:rsidRDefault="00361EFA" w:rsidP="00361EFA">
      <w:pPr>
        <w:pStyle w:val="Textvlastn"/>
        <w:rPr>
          <w:sz w:val="20"/>
          <w:szCs w:val="17"/>
        </w:rPr>
      </w:pPr>
      <w:r>
        <w:rPr>
          <w:sz w:val="20"/>
          <w:szCs w:val="17"/>
        </w:rPr>
        <w:t xml:space="preserve">Kromě těchto tří základních pilířů zde existují i další (vedlejší) zdroje financování, které však mají momentálně zanedbatelný význam a v souhrnu tvoří </w:t>
      </w:r>
      <w:r w:rsidR="00680868">
        <w:rPr>
          <w:sz w:val="20"/>
          <w:szCs w:val="17"/>
        </w:rPr>
        <w:t>1</w:t>
      </w:r>
      <w:r w:rsidRPr="00680868">
        <w:rPr>
          <w:sz w:val="20"/>
          <w:szCs w:val="17"/>
        </w:rPr>
        <w:t>%</w:t>
      </w:r>
      <w:r>
        <w:rPr>
          <w:sz w:val="20"/>
          <w:szCs w:val="17"/>
        </w:rPr>
        <w:t xml:space="preserve"> celkových výdajů na zdravotnictví. Těmito zdroji jsou: cestovní zdravotní připojištění, podniky (v případě, že část závodně-preventivní péče hradí samy), neziskové organizace (Červený kříž apod.).</w:t>
      </w:r>
    </w:p>
    <w:p w:rsidR="00361EFA" w:rsidRDefault="00361EFA" w:rsidP="00361EFA">
      <w:pPr>
        <w:pStyle w:val="Textvlastn"/>
        <w:rPr>
          <w:sz w:val="20"/>
          <w:szCs w:val="17"/>
        </w:rPr>
      </w:pPr>
      <w:r>
        <w:rPr>
          <w:sz w:val="20"/>
          <w:szCs w:val="17"/>
        </w:rPr>
        <w:t>Výchozím obdobím systému zdravotnických účtů byl rok 2000. V současné době máme zpracovaná data za roky 2000 - 201</w:t>
      </w:r>
      <w:r w:rsidR="006B1456">
        <w:rPr>
          <w:sz w:val="20"/>
          <w:szCs w:val="17"/>
        </w:rPr>
        <w:t>2</w:t>
      </w:r>
      <w:r>
        <w:rPr>
          <w:sz w:val="20"/>
          <w:szCs w:val="17"/>
        </w:rPr>
        <w:t xml:space="preserve"> podle mezinárodní klasifikace ICHA, přičemž jsme získali asi 99% informací o výdajích na zdravotní péči a zbylé 1% procento se snažíme postupně doplnit. </w:t>
      </w:r>
    </w:p>
    <w:p w:rsidR="00361EFA" w:rsidRDefault="00361EFA" w:rsidP="00361EFA">
      <w:pPr>
        <w:pStyle w:val="Textvlastn"/>
        <w:rPr>
          <w:szCs w:val="17"/>
        </w:rPr>
      </w:pPr>
      <w:r>
        <w:rPr>
          <w:sz w:val="20"/>
          <w:szCs w:val="17"/>
        </w:rPr>
        <w:t>Hlavní překážkou při sestavování zdravotnických účtů byla zejména jiná struktura domácí klasifikace a její převedení do mezinárodní klasifikace ICHA</w:t>
      </w:r>
      <w:r>
        <w:rPr>
          <w:rStyle w:val="Znakapoznpodarou"/>
          <w:sz w:val="20"/>
          <w:szCs w:val="17"/>
        </w:rPr>
        <w:footnoteReference w:id="9"/>
      </w:r>
      <w:r>
        <w:rPr>
          <w:sz w:val="20"/>
          <w:szCs w:val="17"/>
        </w:rPr>
        <w:t>. V některých případech však bylo dokonce zapotřebí od základů přebudovat strukturu a podrobnost získávaných údajů.</w:t>
      </w:r>
    </w:p>
    <w:p w:rsidR="00361EFA" w:rsidRDefault="00361EFA" w:rsidP="00361EFA">
      <w:pPr>
        <w:pStyle w:val="Nadpisvlastn2"/>
        <w:numPr>
          <w:ilvl w:val="1"/>
          <w:numId w:val="3"/>
        </w:numPr>
        <w:rPr>
          <w:szCs w:val="27"/>
        </w:rPr>
      </w:pPr>
      <w:bookmarkStart w:id="19" w:name="_Toc127174541"/>
      <w:bookmarkStart w:id="20" w:name="_Toc127757313"/>
      <w:bookmarkStart w:id="21" w:name="_Toc127758603"/>
      <w:bookmarkStart w:id="22" w:name="_Toc130184748"/>
      <w:bookmarkStart w:id="23" w:name="_Toc256065132"/>
      <w:r>
        <w:rPr>
          <w:szCs w:val="27"/>
        </w:rPr>
        <w:t>Odlišnosti Systému zdravotnických účtů v porovnání s dosavadními statistikami</w:t>
      </w:r>
      <w:bookmarkEnd w:id="19"/>
      <w:bookmarkEnd w:id="20"/>
      <w:bookmarkEnd w:id="21"/>
      <w:bookmarkEnd w:id="22"/>
      <w:bookmarkEnd w:id="23"/>
    </w:p>
    <w:p w:rsidR="00361EFA" w:rsidRDefault="00361EFA" w:rsidP="00361EFA">
      <w:pPr>
        <w:pStyle w:val="Textvlastn"/>
        <w:rPr>
          <w:sz w:val="17"/>
          <w:szCs w:val="17"/>
        </w:rPr>
      </w:pPr>
    </w:p>
    <w:p w:rsidR="00361EFA" w:rsidRDefault="00361EFA" w:rsidP="00361EFA">
      <w:pPr>
        <w:pStyle w:val="Textvlastn"/>
        <w:rPr>
          <w:sz w:val="20"/>
          <w:szCs w:val="17"/>
        </w:rPr>
      </w:pPr>
      <w:r>
        <w:rPr>
          <w:sz w:val="20"/>
          <w:szCs w:val="17"/>
        </w:rPr>
        <w:t>Zásadní rozdíl oproti předchozímu vykazování zdravotnických výdajů spočívá v  odlišném vymezení samotného předmětu sledování. Výdaje na zdravotnictví jsou v základní filozofii zdravotnických účtů pojímány daleko komplexněji než tomu u nás bývalo a stále je zvykem. Například část dlouhodobé ošetřovatelské péče poskytované v zařízeních sociální péče je též považována za zdravotní péči (byť nejméně intenzivní) a proto se do výdajů na zdravotnictví zahrnují platy zdravotnického personálu zaměstnaného v sociálních zařízeních (bez ohledu na to, že u nás tato péče není hrazena z veřejného zdravotního pojištění). Údaje, zpracované podle manuálu OECD, jsou mezinárodně srovnatelné.</w:t>
      </w:r>
    </w:p>
    <w:p w:rsidR="00361EFA" w:rsidRDefault="00361EFA" w:rsidP="00361EFA">
      <w:pPr>
        <w:pStyle w:val="Textvlastn"/>
        <w:rPr>
          <w:sz w:val="20"/>
          <w:szCs w:val="17"/>
        </w:rPr>
      </w:pPr>
      <w:r>
        <w:rPr>
          <w:sz w:val="20"/>
          <w:szCs w:val="17"/>
        </w:rPr>
        <w:t>Dalšími příklady širšího vymezení může být: závodní preventivní péče (pracovně preventivní prohlídky), osvětové kampaně s preventivním zaměřením, sociální dávky poskytované při ošetřování nemocného člena rodiny či správní činnost řídících institucí jako jsou MZ ČR nebo zdravotní pojišťovny. Okruh sledovaných výdajů je tedy skutečně širší a komplexnější - tím spíše je však třeba dávat pozor na to, aby nedošlo k mylné interpretaci při porovnávání s minulými údaji, které pocházejí z jiných zdro</w:t>
      </w:r>
      <w:bookmarkStart w:id="24" w:name="_Toc66264171"/>
      <w:r>
        <w:rPr>
          <w:sz w:val="20"/>
          <w:szCs w:val="17"/>
        </w:rPr>
        <w:t xml:space="preserve">jů než jsou zdravotnické účty. </w:t>
      </w:r>
    </w:p>
    <w:p w:rsidR="00361EFA" w:rsidRDefault="00361EFA" w:rsidP="00361EFA">
      <w:pPr>
        <w:pStyle w:val="Nadpisvlastn2"/>
        <w:numPr>
          <w:ilvl w:val="1"/>
          <w:numId w:val="3"/>
        </w:numPr>
        <w:rPr>
          <w:sz w:val="27"/>
          <w:szCs w:val="27"/>
        </w:rPr>
      </w:pPr>
      <w:bookmarkStart w:id="25" w:name="_Toc127174542"/>
      <w:bookmarkStart w:id="26" w:name="_Toc127757314"/>
      <w:bookmarkStart w:id="27" w:name="_Toc127758604"/>
      <w:bookmarkStart w:id="28" w:name="_Toc130184749"/>
      <w:bookmarkStart w:id="29" w:name="_Toc256065133"/>
      <w:r>
        <w:rPr>
          <w:szCs w:val="27"/>
        </w:rPr>
        <w:t>Klasifikace zdrojů financování (ICHA-HF)</w:t>
      </w:r>
      <w:bookmarkEnd w:id="25"/>
      <w:bookmarkEnd w:id="26"/>
      <w:bookmarkEnd w:id="27"/>
      <w:bookmarkEnd w:id="28"/>
      <w:bookmarkEnd w:id="29"/>
    </w:p>
    <w:p w:rsidR="00361EFA" w:rsidRDefault="00361EFA" w:rsidP="00361EFA">
      <w:pPr>
        <w:pStyle w:val="Textvlastn"/>
        <w:rPr>
          <w:sz w:val="17"/>
          <w:szCs w:val="17"/>
        </w:rPr>
      </w:pPr>
    </w:p>
    <w:p w:rsidR="00361EFA" w:rsidRDefault="00361EFA" w:rsidP="00361EFA">
      <w:pPr>
        <w:pStyle w:val="Textvlastn"/>
        <w:rPr>
          <w:sz w:val="20"/>
          <w:szCs w:val="17"/>
        </w:rPr>
      </w:pPr>
      <w:bookmarkStart w:id="30" w:name="OLE_LINK110"/>
      <w:r>
        <w:rPr>
          <w:sz w:val="20"/>
          <w:szCs w:val="17"/>
        </w:rPr>
        <w:t xml:space="preserve">Základním rozměrem zdravotnických účtů je rozměr </w:t>
      </w:r>
      <w:r>
        <w:rPr>
          <w:b/>
          <w:bCs/>
          <w:sz w:val="20"/>
          <w:szCs w:val="17"/>
        </w:rPr>
        <w:t>zdroj financování</w:t>
      </w:r>
      <w:r>
        <w:rPr>
          <w:sz w:val="20"/>
          <w:szCs w:val="17"/>
        </w:rPr>
        <w:t xml:space="preserve"> zdravotní péče. Jednotlivé země se mohou výrazně lišit v zastoupení jednotlivých složek financování, což je způsobeno jinou organizační strukturou financování zdravotnictví. </w:t>
      </w:r>
    </w:p>
    <w:p w:rsidR="00361EFA" w:rsidRDefault="00361EFA" w:rsidP="00361EFA">
      <w:pPr>
        <w:pStyle w:val="Textvlastn"/>
        <w:rPr>
          <w:sz w:val="20"/>
          <w:szCs w:val="17"/>
        </w:rPr>
      </w:pPr>
      <w:r>
        <w:rPr>
          <w:sz w:val="20"/>
          <w:szCs w:val="17"/>
        </w:rPr>
        <w:t xml:space="preserve">Každý ze zdrojů financování má svoji specifickou úlohu. V České republice mají klíčové postavení </w:t>
      </w:r>
      <w:r>
        <w:rPr>
          <w:b/>
          <w:bCs/>
          <w:sz w:val="20"/>
          <w:szCs w:val="17"/>
        </w:rPr>
        <w:t>zdravotní pojišťovny</w:t>
      </w:r>
      <w:r>
        <w:rPr>
          <w:sz w:val="20"/>
          <w:szCs w:val="17"/>
        </w:rPr>
        <w:t>, jejichž příjmy plynou z veřejného zdravotního pojištění, kterého je povinně účastna každá osoba s trvalým pobytem v České republice. Hlavní zásadou veřejného zdravotního pojištění je solidarita a rovnost přístupu ke zdravotní péči. Veřejné zdravotní pojištění financuje veškerou zdravotní péči garantovanou zákonem č. 48/1997 Sb. o veřejném zdravotním pojištění (v platném znění). V zásadě lze říci, že zdravotní pojišťovny kryjí většinu výdajů na zdravotní péči, ostatní zdroje financování mají pak spíše doplňkovou úlohu.</w:t>
      </w:r>
    </w:p>
    <w:p w:rsidR="00361EFA" w:rsidRDefault="00361EFA" w:rsidP="00361EFA">
      <w:pPr>
        <w:pStyle w:val="Textvlastn"/>
        <w:rPr>
          <w:sz w:val="20"/>
          <w:szCs w:val="17"/>
        </w:rPr>
      </w:pPr>
      <w:r>
        <w:rPr>
          <w:b/>
          <w:bCs/>
          <w:sz w:val="20"/>
          <w:szCs w:val="17"/>
        </w:rPr>
        <w:t>Veřejné rozpočty</w:t>
      </w:r>
      <w:r>
        <w:rPr>
          <w:sz w:val="20"/>
          <w:szCs w:val="17"/>
        </w:rPr>
        <w:t xml:space="preserve"> se dělí na centrální a místní rozpočty. Do centrálních rozpočtů řadíme státní rozpočet a okresní rozpočty</w:t>
      </w:r>
      <w:r>
        <w:rPr>
          <w:rStyle w:val="Znakapoznpodarou"/>
          <w:sz w:val="20"/>
          <w:szCs w:val="17"/>
        </w:rPr>
        <w:footnoteReference w:id="10"/>
      </w:r>
      <w:r>
        <w:rPr>
          <w:sz w:val="20"/>
          <w:szCs w:val="17"/>
        </w:rPr>
        <w:t xml:space="preserve"> jako speciální kapitolu státního rozpočtu. Úloha veřejných rozpočtů </w:t>
      </w:r>
      <w:bookmarkEnd w:id="30"/>
      <w:r>
        <w:rPr>
          <w:sz w:val="20"/>
          <w:szCs w:val="17"/>
        </w:rPr>
        <w:lastRenderedPageBreak/>
        <w:t>spočívá především ve financování specifických činností, které nejsou hrazeny z veřejného zdravotního pojištění. Jedná se především o výdaje na vědu a výzkum související se zdravotnictvím, vzdělávání zdravotnických pracovníků, preventivní programy a kampaně, činnost hygienických stanic a částečně výdaje na investiční projekty. Veřejné rozpočty vystupují též jako zdroj financování v tom směru, že se z nich hradí provoz institucí státní (zdravotní) správy</w:t>
      </w:r>
      <w:r>
        <w:rPr>
          <w:rStyle w:val="Znakapoznpodarou"/>
          <w:sz w:val="20"/>
          <w:szCs w:val="17"/>
        </w:rPr>
        <w:footnoteReference w:id="11"/>
      </w:r>
      <w:r>
        <w:rPr>
          <w:sz w:val="20"/>
          <w:szCs w:val="17"/>
        </w:rPr>
        <w:t>: Ministerstva zdravotnictví ČR, Státního zdravotního ústavu, Státního ústavu pro kontrolu léčiv a Ústavu zdravotnických informací a statistiky ČR (dále také „ÚZIS“).</w:t>
      </w:r>
    </w:p>
    <w:p w:rsidR="00361EFA" w:rsidRDefault="00361EFA" w:rsidP="00361EFA">
      <w:pPr>
        <w:pStyle w:val="Textvlastn"/>
        <w:rPr>
          <w:sz w:val="20"/>
          <w:szCs w:val="17"/>
        </w:rPr>
      </w:pPr>
      <w:r>
        <w:rPr>
          <w:b/>
          <w:bCs/>
          <w:sz w:val="20"/>
          <w:szCs w:val="17"/>
        </w:rPr>
        <w:t>Přímé výdaje domácností</w:t>
      </w:r>
      <w:r>
        <w:rPr>
          <w:sz w:val="20"/>
          <w:szCs w:val="17"/>
        </w:rPr>
        <w:t xml:space="preserve"> jsou též doplňkovým zdrojem financování, jejich význam však postupně roste. V převážné většině případů si domácnosti platí léky (ať už se jedná o doplatky u předepsaných léčiv či platby plných cen u volně prodejných léků) a PZT (prostředky zdravotnické techniky). Významný podíl výdajů domácností představují též platby za nadstandardní služby u stomatologů. Další byť méně významné jsou platby za lázně, nadstandardně vybavené pokoje v nemocnicích a platby za různá potvrzení především u praktických lékařů. Od roku 2008 také přibyly regulační poplatky za ošetření u lékařů, za pobyt v nemocnici, za recepty lékárnách či návštěvu pohotovosti.</w:t>
      </w:r>
    </w:p>
    <w:p w:rsidR="00361EFA" w:rsidRDefault="00361EFA" w:rsidP="00361EFA">
      <w:pPr>
        <w:pStyle w:val="Textvlastn"/>
        <w:rPr>
          <w:sz w:val="20"/>
          <w:szCs w:val="17"/>
        </w:rPr>
      </w:pPr>
      <w:r>
        <w:rPr>
          <w:sz w:val="20"/>
          <w:szCs w:val="17"/>
        </w:rPr>
        <w:t xml:space="preserve">Kromě těchto tří základních zdrojů financování existují v ČR ještě další zdroje, které však nemají takový význam (viz výše) . </w:t>
      </w:r>
    </w:p>
    <w:p w:rsidR="00361EFA" w:rsidRDefault="00361EFA" w:rsidP="00361EFA">
      <w:pPr>
        <w:pStyle w:val="Textvlastn"/>
        <w:rPr>
          <w:sz w:val="20"/>
          <w:szCs w:val="17"/>
        </w:rPr>
      </w:pPr>
      <w:r>
        <w:rPr>
          <w:sz w:val="20"/>
          <w:szCs w:val="17"/>
        </w:rPr>
        <w:t>Podrobná struktura klasifikace zdrojů financování je uvedena v tabulce 1 v příloze.</w:t>
      </w:r>
    </w:p>
    <w:p w:rsidR="00361EFA" w:rsidRDefault="00361EFA" w:rsidP="00361EFA">
      <w:pPr>
        <w:pStyle w:val="Nadpisvlastn2"/>
        <w:numPr>
          <w:ilvl w:val="1"/>
          <w:numId w:val="3"/>
        </w:numPr>
        <w:spacing w:before="240"/>
        <w:rPr>
          <w:szCs w:val="27"/>
        </w:rPr>
      </w:pPr>
      <w:bookmarkStart w:id="31" w:name="_Toc127174543"/>
      <w:bookmarkStart w:id="32" w:name="_Toc127757315"/>
      <w:bookmarkStart w:id="33" w:name="_Toc127758605"/>
      <w:bookmarkStart w:id="34" w:name="_Toc130184750"/>
      <w:bookmarkStart w:id="35" w:name="_Toc256065134"/>
      <w:r>
        <w:rPr>
          <w:szCs w:val="27"/>
        </w:rPr>
        <w:t xml:space="preserve">Klasifikace </w:t>
      </w:r>
      <w:bookmarkEnd w:id="24"/>
      <w:r>
        <w:rPr>
          <w:szCs w:val="27"/>
        </w:rPr>
        <w:t>druhů zdravotní péče (ICHA-HC)</w:t>
      </w:r>
      <w:bookmarkEnd w:id="31"/>
      <w:bookmarkEnd w:id="32"/>
      <w:bookmarkEnd w:id="33"/>
      <w:bookmarkEnd w:id="34"/>
      <w:bookmarkEnd w:id="35"/>
    </w:p>
    <w:p w:rsidR="00361EFA" w:rsidRDefault="00361EFA" w:rsidP="00361EFA">
      <w:pPr>
        <w:pStyle w:val="Textvlastn"/>
        <w:tabs>
          <w:tab w:val="left" w:pos="360"/>
        </w:tabs>
        <w:rPr>
          <w:b/>
          <w:sz w:val="17"/>
          <w:szCs w:val="17"/>
        </w:rPr>
      </w:pPr>
    </w:p>
    <w:p w:rsidR="00361EFA" w:rsidRDefault="00361EFA" w:rsidP="00361EFA">
      <w:pPr>
        <w:pStyle w:val="Textvlastn"/>
        <w:rPr>
          <w:sz w:val="20"/>
          <w:szCs w:val="17"/>
        </w:rPr>
      </w:pPr>
      <w:r>
        <w:rPr>
          <w:sz w:val="20"/>
          <w:szCs w:val="17"/>
        </w:rPr>
        <w:t>Klasifikace samotné zdravotní péče určuje hranice, od nichž se dále odvíjí i vymezení celého předmětu sledování výdajů na zdravotnictví. V této souvislosti je důležitá definice zdravotní péče uvedená v následujícím textu:</w:t>
      </w:r>
    </w:p>
    <w:p w:rsidR="00361EFA" w:rsidRPr="008D5A77" w:rsidRDefault="00361EFA" w:rsidP="00361EFA">
      <w:pPr>
        <w:pStyle w:val="Textvlastn"/>
        <w:rPr>
          <w:b/>
          <w:sz w:val="20"/>
          <w:szCs w:val="17"/>
        </w:rPr>
      </w:pPr>
      <w:r w:rsidRPr="008D5A77">
        <w:rPr>
          <w:b/>
          <w:sz w:val="20"/>
          <w:szCs w:val="17"/>
        </w:rPr>
        <w:t>V systému zdravotnických účtů se zdravotní péčí rozumí péče prováděná akreditovanými institucemi nebo jednotlivci, kteří využívají lékařských, zdravotnických a ošetřovatelských znalostí a technologií s cílem:</w:t>
      </w:r>
    </w:p>
    <w:p w:rsidR="00361EFA" w:rsidRDefault="00361EFA" w:rsidP="00361EFA">
      <w:pPr>
        <w:pStyle w:val="Textvlastn"/>
        <w:numPr>
          <w:ilvl w:val="0"/>
          <w:numId w:val="4"/>
        </w:numPr>
        <w:jc w:val="left"/>
        <w:rPr>
          <w:sz w:val="20"/>
          <w:szCs w:val="17"/>
        </w:rPr>
      </w:pPr>
      <w:r>
        <w:rPr>
          <w:sz w:val="20"/>
          <w:szCs w:val="17"/>
        </w:rPr>
        <w:t xml:space="preserve">podpory zdraví a prevence onemocnění; </w:t>
      </w:r>
    </w:p>
    <w:p w:rsidR="00361EFA" w:rsidRDefault="00361EFA" w:rsidP="00361EFA">
      <w:pPr>
        <w:pStyle w:val="Textvlastn"/>
        <w:numPr>
          <w:ilvl w:val="0"/>
          <w:numId w:val="4"/>
        </w:numPr>
        <w:spacing w:before="0"/>
        <w:jc w:val="left"/>
        <w:rPr>
          <w:sz w:val="20"/>
          <w:szCs w:val="17"/>
        </w:rPr>
      </w:pPr>
      <w:r>
        <w:rPr>
          <w:sz w:val="20"/>
          <w:szCs w:val="17"/>
        </w:rPr>
        <w:t>léčení nemocí a snižování předčasné úmrtnosti;</w:t>
      </w:r>
    </w:p>
    <w:p w:rsidR="00361EFA" w:rsidRDefault="00361EFA" w:rsidP="00361EFA">
      <w:pPr>
        <w:pStyle w:val="Textvlastn"/>
        <w:numPr>
          <w:ilvl w:val="0"/>
          <w:numId w:val="4"/>
        </w:numPr>
        <w:spacing w:before="0"/>
        <w:jc w:val="left"/>
        <w:rPr>
          <w:sz w:val="20"/>
          <w:szCs w:val="17"/>
        </w:rPr>
      </w:pPr>
      <w:r>
        <w:rPr>
          <w:sz w:val="20"/>
          <w:szCs w:val="17"/>
        </w:rPr>
        <w:t>péče o osoby s chronickými nemocemi, které potřebují ošetřovatelskou péči;</w:t>
      </w:r>
    </w:p>
    <w:p w:rsidR="00361EFA" w:rsidRDefault="00361EFA" w:rsidP="00361EFA">
      <w:pPr>
        <w:pStyle w:val="Textvlastn"/>
        <w:numPr>
          <w:ilvl w:val="0"/>
          <w:numId w:val="4"/>
        </w:numPr>
        <w:spacing w:before="0"/>
        <w:jc w:val="left"/>
        <w:rPr>
          <w:sz w:val="20"/>
          <w:szCs w:val="17"/>
        </w:rPr>
      </w:pPr>
      <w:r>
        <w:rPr>
          <w:sz w:val="20"/>
          <w:szCs w:val="17"/>
        </w:rPr>
        <w:t>péče o osoby se zdravotním postižením, invalidy a handicapované, kteří potřebují ošetřovatelskou péči;</w:t>
      </w:r>
    </w:p>
    <w:p w:rsidR="00361EFA" w:rsidRDefault="00361EFA" w:rsidP="00361EFA">
      <w:pPr>
        <w:pStyle w:val="Textvlastn"/>
        <w:numPr>
          <w:ilvl w:val="0"/>
          <w:numId w:val="4"/>
        </w:numPr>
        <w:spacing w:before="0"/>
        <w:jc w:val="left"/>
        <w:rPr>
          <w:sz w:val="20"/>
          <w:szCs w:val="17"/>
        </w:rPr>
      </w:pPr>
      <w:r>
        <w:rPr>
          <w:sz w:val="20"/>
          <w:szCs w:val="17"/>
        </w:rPr>
        <w:t>asistence pacientům při důstojném umírání;</w:t>
      </w:r>
    </w:p>
    <w:p w:rsidR="00361EFA" w:rsidRDefault="00361EFA" w:rsidP="00361EFA">
      <w:pPr>
        <w:pStyle w:val="Textvlastn"/>
        <w:numPr>
          <w:ilvl w:val="0"/>
          <w:numId w:val="4"/>
        </w:numPr>
        <w:spacing w:before="0"/>
        <w:jc w:val="left"/>
        <w:rPr>
          <w:sz w:val="20"/>
          <w:szCs w:val="17"/>
        </w:rPr>
      </w:pPr>
      <w:r>
        <w:rPr>
          <w:sz w:val="20"/>
          <w:szCs w:val="17"/>
        </w:rPr>
        <w:t>zabezpečování a řízení veřejného zdravotnictví;</w:t>
      </w:r>
    </w:p>
    <w:p w:rsidR="00361EFA" w:rsidRDefault="00361EFA" w:rsidP="00361EFA">
      <w:pPr>
        <w:pStyle w:val="Textvlastn"/>
        <w:numPr>
          <w:ilvl w:val="0"/>
          <w:numId w:val="4"/>
        </w:numPr>
        <w:spacing w:before="0"/>
        <w:jc w:val="left"/>
        <w:rPr>
          <w:sz w:val="20"/>
          <w:szCs w:val="17"/>
        </w:rPr>
      </w:pPr>
      <w:r>
        <w:rPr>
          <w:sz w:val="20"/>
          <w:szCs w:val="17"/>
        </w:rPr>
        <w:t>zabezpečování a řízení zdravotnických programů, zdravotního pojištění a jiných opatření finanční povahy.</w:t>
      </w:r>
    </w:p>
    <w:p w:rsidR="00361EFA" w:rsidRDefault="00361EFA" w:rsidP="00361EFA">
      <w:pPr>
        <w:pStyle w:val="Textvlastn"/>
        <w:rPr>
          <w:sz w:val="20"/>
          <w:szCs w:val="17"/>
        </w:rPr>
      </w:pPr>
      <w:r>
        <w:rPr>
          <w:sz w:val="20"/>
          <w:szCs w:val="17"/>
        </w:rPr>
        <w:t>Z tohoto pohledu není např. plastická operace za účelem zkrášlení zdravotní péčí, stejně tak jako jí nejsou služby léčitelů, protože se nejedná o akreditované osoby se zdravotnickým vzděláním.</w:t>
      </w:r>
    </w:p>
    <w:p w:rsidR="00361EFA" w:rsidRDefault="00361EFA" w:rsidP="00361EFA">
      <w:pPr>
        <w:pStyle w:val="Textvlastn"/>
        <w:rPr>
          <w:sz w:val="20"/>
          <w:szCs w:val="17"/>
        </w:rPr>
      </w:pPr>
      <w:r>
        <w:rPr>
          <w:sz w:val="20"/>
          <w:szCs w:val="17"/>
        </w:rPr>
        <w:t xml:space="preserve">V základním schématu zdravotnických účtů se zdravotní péče dělí na </w:t>
      </w:r>
      <w:r>
        <w:rPr>
          <w:b/>
          <w:sz w:val="20"/>
          <w:szCs w:val="17"/>
        </w:rPr>
        <w:t>osobní služby</w:t>
      </w:r>
      <w:r>
        <w:rPr>
          <w:sz w:val="20"/>
          <w:szCs w:val="17"/>
        </w:rPr>
        <w:t xml:space="preserve"> zdravotní péče (péče jako taková, která je poskytována jednotlivým pacientům; odpovídá oddílům 1 až 5) a </w:t>
      </w:r>
      <w:r>
        <w:rPr>
          <w:b/>
          <w:sz w:val="20"/>
          <w:szCs w:val="17"/>
        </w:rPr>
        <w:t>kolektivní (veřejné) služby</w:t>
      </w:r>
      <w:r>
        <w:rPr>
          <w:sz w:val="20"/>
          <w:szCs w:val="17"/>
        </w:rPr>
        <w:t xml:space="preserve"> zdravotní péče (prevence a správní činnost řídících orgánů; odpovídá oddílům 6 a 7). Zahrnutím kolektivních služeb se podstatně rozšiřuje okruh výdajů. </w:t>
      </w:r>
    </w:p>
    <w:p w:rsidR="00361EFA" w:rsidRDefault="00361EFA" w:rsidP="00361EFA">
      <w:pPr>
        <w:pStyle w:val="Textvlastn"/>
        <w:rPr>
          <w:sz w:val="20"/>
          <w:szCs w:val="17"/>
        </w:rPr>
      </w:pPr>
      <w:r>
        <w:rPr>
          <w:sz w:val="20"/>
          <w:szCs w:val="17"/>
        </w:rPr>
        <w:t xml:space="preserve">Dalším specifikem je definice samostatného oddílu: </w:t>
      </w:r>
      <w:r>
        <w:rPr>
          <w:b/>
          <w:sz w:val="20"/>
          <w:szCs w:val="17"/>
        </w:rPr>
        <w:t>činnosti související se zdravotnictvím</w:t>
      </w:r>
      <w:r>
        <w:rPr>
          <w:sz w:val="20"/>
          <w:szCs w:val="17"/>
        </w:rPr>
        <w:t xml:space="preserve"> (oddíly R.1 až R.7), kam patří příbuzné činnosti, které souvisejí s poskytováním zdravotní péče. Jedná se např. o tvorbu hrubého fixního kapitálu (investice), vědu a výzkum, vzdělávání zdravotnického personálu a činnost hygienických pracovišť.</w:t>
      </w:r>
    </w:p>
    <w:p w:rsidR="00361EFA" w:rsidRDefault="00361EFA" w:rsidP="00361EFA">
      <w:pPr>
        <w:pStyle w:val="Textvlastn"/>
        <w:rPr>
          <w:sz w:val="20"/>
          <w:szCs w:val="17"/>
        </w:rPr>
      </w:pPr>
      <w:r>
        <w:rPr>
          <w:sz w:val="20"/>
          <w:szCs w:val="17"/>
        </w:rPr>
        <w:t xml:space="preserve">Služby zdravotní péče, tzn. léčebná, dlouhodobá a rehabilitační péče, se dále dělí na lůžkovou, denní, ambulantní a domácí péči. Podpůrné služby zdravotní péče zahrnují laboratoře, diagnostické zobrazování, dopravu a záchrannou službu (dále jen „ZZS“). Zdravotnické výrobky vydávané ambulantním pacientům jsou zejména léčiva na předpis a prostředky zdravotnické techniky (dále jen „PZT“) na poukaz. </w:t>
      </w:r>
    </w:p>
    <w:p w:rsidR="00361EFA" w:rsidRDefault="00361EFA" w:rsidP="00361EFA">
      <w:pPr>
        <w:pStyle w:val="Textvlastn"/>
        <w:rPr>
          <w:sz w:val="20"/>
          <w:szCs w:val="17"/>
        </w:rPr>
      </w:pPr>
      <w:r>
        <w:rPr>
          <w:sz w:val="20"/>
          <w:szCs w:val="17"/>
        </w:rPr>
        <w:lastRenderedPageBreak/>
        <w:t xml:space="preserve">Za zmínku stojí samostatné sledování </w:t>
      </w:r>
      <w:r>
        <w:rPr>
          <w:b/>
          <w:bCs/>
          <w:sz w:val="20"/>
          <w:szCs w:val="17"/>
        </w:rPr>
        <w:t>domácí péče</w:t>
      </w:r>
      <w:r>
        <w:rPr>
          <w:sz w:val="20"/>
          <w:szCs w:val="17"/>
        </w:rPr>
        <w:t xml:space="preserve"> (jakákoliv péče poskytnutá v domácnosti pacienta) a </w:t>
      </w:r>
      <w:r>
        <w:rPr>
          <w:b/>
          <w:bCs/>
          <w:sz w:val="20"/>
          <w:szCs w:val="17"/>
        </w:rPr>
        <w:t>denní péče</w:t>
      </w:r>
      <w:r>
        <w:rPr>
          <w:rStyle w:val="Znakapoznpodarou"/>
          <w:sz w:val="20"/>
          <w:szCs w:val="17"/>
        </w:rPr>
        <w:footnoteReference w:id="12"/>
      </w:r>
      <w:r>
        <w:rPr>
          <w:sz w:val="20"/>
          <w:szCs w:val="17"/>
        </w:rPr>
        <w:t xml:space="preserve"> (pacient je formálně přijat do zařízení, avšak nepřespává zde). </w:t>
      </w:r>
    </w:p>
    <w:p w:rsidR="00361EFA" w:rsidRDefault="00361EFA" w:rsidP="00361EFA">
      <w:pPr>
        <w:pStyle w:val="Textvlastn"/>
        <w:rPr>
          <w:sz w:val="20"/>
          <w:szCs w:val="17"/>
        </w:rPr>
      </w:pPr>
      <w:r>
        <w:rPr>
          <w:sz w:val="20"/>
          <w:szCs w:val="17"/>
        </w:rPr>
        <w:t xml:space="preserve">Dalším specifickým rysem je vyčlenění </w:t>
      </w:r>
      <w:r>
        <w:rPr>
          <w:b/>
          <w:bCs/>
          <w:sz w:val="20"/>
          <w:szCs w:val="17"/>
        </w:rPr>
        <w:t>podpůrných</w:t>
      </w:r>
      <w:r>
        <w:rPr>
          <w:sz w:val="20"/>
          <w:szCs w:val="17"/>
        </w:rPr>
        <w:t xml:space="preserve"> </w:t>
      </w:r>
      <w:r>
        <w:rPr>
          <w:b/>
          <w:bCs/>
          <w:sz w:val="20"/>
          <w:szCs w:val="17"/>
        </w:rPr>
        <w:t xml:space="preserve">služeb </w:t>
      </w:r>
      <w:r>
        <w:rPr>
          <w:sz w:val="20"/>
          <w:szCs w:val="17"/>
        </w:rPr>
        <w:t xml:space="preserve">(oddíl 4) a </w:t>
      </w:r>
      <w:r>
        <w:rPr>
          <w:b/>
          <w:bCs/>
          <w:sz w:val="20"/>
          <w:szCs w:val="17"/>
        </w:rPr>
        <w:t>prevence</w:t>
      </w:r>
      <w:r>
        <w:rPr>
          <w:sz w:val="20"/>
          <w:szCs w:val="17"/>
        </w:rPr>
        <w:t xml:space="preserve"> (resp. preventivních prohlídek a očkování) oddíl 6 z ambulantní péče. To je pochopitelně další zdroj nesouladu s dřívějšími statistikami, jelikož jednotlivé pojmy (jako v tomto případě ambulantní péče) mají odlišnou náplň resp. vymezení.</w:t>
      </w:r>
    </w:p>
    <w:p w:rsidR="00361EFA" w:rsidRDefault="00361EFA" w:rsidP="00361EFA">
      <w:pPr>
        <w:pStyle w:val="Textvlastn"/>
        <w:rPr>
          <w:sz w:val="20"/>
          <w:szCs w:val="17"/>
        </w:rPr>
      </w:pPr>
      <w:r>
        <w:rPr>
          <w:sz w:val="20"/>
          <w:szCs w:val="17"/>
        </w:rPr>
        <w:t xml:space="preserve">Pro účely systému zdravotnických účtů v České republice bylo nutné zavést termín </w:t>
      </w:r>
      <w:r>
        <w:rPr>
          <w:b/>
          <w:bCs/>
          <w:sz w:val="20"/>
          <w:szCs w:val="17"/>
        </w:rPr>
        <w:t>neznámá péče</w:t>
      </w:r>
      <w:r>
        <w:rPr>
          <w:sz w:val="20"/>
          <w:szCs w:val="17"/>
        </w:rPr>
        <w:t xml:space="preserve">. Do této položky se umísťují všechny výdaje na zdravotnictví,  u kterých zatím nejsme schopni určit konkrétní druh péče. </w:t>
      </w:r>
    </w:p>
    <w:p w:rsidR="00361EFA" w:rsidRDefault="00361EFA" w:rsidP="00361EFA">
      <w:pPr>
        <w:pStyle w:val="Textvlastn"/>
        <w:rPr>
          <w:sz w:val="20"/>
          <w:szCs w:val="17"/>
        </w:rPr>
      </w:pPr>
      <w:r>
        <w:rPr>
          <w:sz w:val="20"/>
          <w:szCs w:val="17"/>
        </w:rPr>
        <w:t xml:space="preserve">Zřejmě nejzávažnější nesoulad vyplývá z toho, že </w:t>
      </w:r>
      <w:r w:rsidRPr="008D5A77">
        <w:rPr>
          <w:b/>
          <w:sz w:val="20"/>
          <w:szCs w:val="17"/>
        </w:rPr>
        <w:t>zdravotnické účty uvažují druh péče a poskytovatele péče jako dva naprosto nezávislé rozměry</w:t>
      </w:r>
      <w:r>
        <w:rPr>
          <w:sz w:val="20"/>
          <w:szCs w:val="17"/>
        </w:rPr>
        <w:t>, zatímco dosavadní statistiky nikoliv. Prolínáním obou rozměrů dříve vznikal nepřehledný komplex. Docházelo ke kuriózní situaci, kdy např. do výdajů na ústavní péči byla zařazována veškerá péče poskytovaná v zařízeních ústavní péče (tedy i ambulantní péče, služby komplementu či doprava). Druhy péče tak ve skutečnosti spíše odpovídaly poskytovatelům péče resp. úhradovým segmentům.</w:t>
      </w:r>
    </w:p>
    <w:p w:rsidR="00361EFA" w:rsidRDefault="00361EFA" w:rsidP="00361EFA">
      <w:pPr>
        <w:pStyle w:val="Textvlastn"/>
        <w:rPr>
          <w:sz w:val="20"/>
          <w:szCs w:val="17"/>
        </w:rPr>
      </w:pPr>
      <w:r>
        <w:rPr>
          <w:sz w:val="20"/>
          <w:szCs w:val="17"/>
        </w:rPr>
        <w:t>Důsledným oddělováním obou rozměrů přinášejí zdravotnické účty velice cenný náhled na strukturu zdravotní péče poskytovanou jednotlivými typy zdravotnických zařízení (to platí především pro nemocnice).</w:t>
      </w:r>
    </w:p>
    <w:p w:rsidR="00361EFA" w:rsidRDefault="00361EFA" w:rsidP="00361EFA">
      <w:pPr>
        <w:pStyle w:val="Textvlastn"/>
        <w:rPr>
          <w:sz w:val="20"/>
          <w:szCs w:val="17"/>
        </w:rPr>
      </w:pPr>
      <w:r>
        <w:rPr>
          <w:sz w:val="20"/>
          <w:szCs w:val="17"/>
        </w:rPr>
        <w:t>Klasifikace zdravotní péče je uvedena v tabulce 2 v příloze.</w:t>
      </w:r>
    </w:p>
    <w:p w:rsidR="00361EFA" w:rsidRDefault="00361EFA" w:rsidP="00361EFA">
      <w:pPr>
        <w:pStyle w:val="Nadpisvlastn2"/>
        <w:numPr>
          <w:ilvl w:val="1"/>
          <w:numId w:val="3"/>
        </w:numPr>
        <w:rPr>
          <w:szCs w:val="27"/>
        </w:rPr>
      </w:pPr>
      <w:bookmarkStart w:id="36" w:name="_Toc127174544"/>
      <w:bookmarkStart w:id="37" w:name="_Toc127757316"/>
      <w:bookmarkStart w:id="38" w:name="_Toc127758606"/>
      <w:bookmarkStart w:id="39" w:name="_Toc130184751"/>
      <w:bookmarkStart w:id="40" w:name="_Toc256065135"/>
      <w:r>
        <w:rPr>
          <w:szCs w:val="27"/>
        </w:rPr>
        <w:t>Klasifikace poskytovatelů zdravotní péče (ICHA-HP)</w:t>
      </w:r>
      <w:bookmarkEnd w:id="36"/>
      <w:bookmarkEnd w:id="37"/>
      <w:bookmarkEnd w:id="38"/>
      <w:bookmarkEnd w:id="39"/>
      <w:bookmarkEnd w:id="40"/>
    </w:p>
    <w:p w:rsidR="00361EFA" w:rsidRDefault="00361EFA" w:rsidP="00361EFA">
      <w:pPr>
        <w:pStyle w:val="Textvlastn"/>
        <w:rPr>
          <w:sz w:val="17"/>
          <w:szCs w:val="17"/>
        </w:rPr>
      </w:pPr>
    </w:p>
    <w:p w:rsidR="00361EFA" w:rsidRDefault="00361EFA" w:rsidP="00361EFA">
      <w:pPr>
        <w:pStyle w:val="Textvlastn"/>
        <w:rPr>
          <w:sz w:val="20"/>
          <w:szCs w:val="17"/>
        </w:rPr>
      </w:pPr>
      <w:r>
        <w:rPr>
          <w:sz w:val="20"/>
          <w:szCs w:val="17"/>
        </w:rPr>
        <w:t xml:space="preserve">Klasifikace poskytovatelů zdravotní péče pokrývá jak </w:t>
      </w:r>
      <w:r>
        <w:rPr>
          <w:b/>
          <w:sz w:val="20"/>
          <w:szCs w:val="17"/>
        </w:rPr>
        <w:t>primární</w:t>
      </w:r>
      <w:r>
        <w:rPr>
          <w:sz w:val="20"/>
          <w:szCs w:val="17"/>
        </w:rPr>
        <w:t xml:space="preserve">, tak </w:t>
      </w:r>
      <w:r>
        <w:rPr>
          <w:b/>
          <w:sz w:val="20"/>
          <w:szCs w:val="17"/>
        </w:rPr>
        <w:t>sekundární producenty</w:t>
      </w:r>
      <w:r>
        <w:rPr>
          <w:sz w:val="20"/>
          <w:szCs w:val="17"/>
        </w:rPr>
        <w:t xml:space="preserve"> zdravotní péče. Hlavní činností primárních producentů je poskytování služeb zdravotní péče. Primární producenty můžeme v naší praxi ztotožnit s pojmem zdravotnická zařízení</w:t>
      </w:r>
      <w:r>
        <w:rPr>
          <w:rStyle w:val="Znakapoznpodarou"/>
          <w:sz w:val="20"/>
          <w:szCs w:val="17"/>
        </w:rPr>
        <w:footnoteReference w:id="13"/>
      </w:r>
      <w:r>
        <w:rPr>
          <w:sz w:val="20"/>
          <w:szCs w:val="17"/>
        </w:rPr>
        <w:t>. Sekundární producenti zdravotní péče poskytují služby zdravotní péče jako vedlejší (sekundární) činnost, kterou vykonávají vedle své hlavní činnosti. Příkladem jsou zařízení sociální péče, která poskytují především služby sociální péče, nicméně velice často v kombinaci se službami ošetřovatelské zdravotní péče.</w:t>
      </w:r>
    </w:p>
    <w:p w:rsidR="00361EFA" w:rsidRDefault="00361EFA" w:rsidP="00361EFA">
      <w:pPr>
        <w:pStyle w:val="Textvlastn"/>
        <w:rPr>
          <w:sz w:val="20"/>
          <w:szCs w:val="17"/>
        </w:rPr>
      </w:pPr>
      <w:r>
        <w:rPr>
          <w:sz w:val="20"/>
          <w:szCs w:val="17"/>
        </w:rPr>
        <w:t>Jako samostatný poskytovatel zdravotní péče se uvažuje nezávislý právní subjekt (1 poskytovatel = 1 identifikační číslo). V případě primárních poskytovatelů byla klasifikace naplněna z údajů registru zdravotnických zařízení ÚZIS. V případě sekundárních poskytovatelů bylo použito více způsobů, jak přiřadit typ poskytovatele – za pomoci registrů smluvních zařízení zdravotních pojišťoven, za pomoci odvětví činnosti (OKEČ) příslušejícího danému právnímu subjektu (převodník IČO na OKEČ) nebo v ojedinělých případech přímým určením na základě obsahu činnosti daného subjektu.</w:t>
      </w:r>
    </w:p>
    <w:p w:rsidR="00361EFA" w:rsidRDefault="00361EFA" w:rsidP="00361EFA">
      <w:pPr>
        <w:pStyle w:val="Textvlastn"/>
        <w:rPr>
          <w:sz w:val="20"/>
          <w:szCs w:val="17"/>
        </w:rPr>
      </w:pPr>
      <w:r>
        <w:rPr>
          <w:sz w:val="20"/>
          <w:szCs w:val="17"/>
        </w:rPr>
        <w:t xml:space="preserve">Z důvodu komplexnějšího vymezení pojmu zdravotní péče se v klasifikaci objevují i nezdravotnická zařízení jako jsou např. </w:t>
      </w:r>
      <w:r>
        <w:rPr>
          <w:b/>
          <w:bCs/>
          <w:sz w:val="20"/>
          <w:szCs w:val="17"/>
        </w:rPr>
        <w:t>zařízení sociální péče</w:t>
      </w:r>
      <w:r>
        <w:rPr>
          <w:sz w:val="20"/>
          <w:szCs w:val="17"/>
        </w:rPr>
        <w:t xml:space="preserve"> (oddíl 2) či </w:t>
      </w:r>
      <w:r>
        <w:rPr>
          <w:b/>
          <w:bCs/>
          <w:sz w:val="20"/>
          <w:szCs w:val="17"/>
        </w:rPr>
        <w:t>instituce státní správy</w:t>
      </w:r>
      <w:r>
        <w:rPr>
          <w:sz w:val="20"/>
          <w:szCs w:val="17"/>
        </w:rPr>
        <w:t xml:space="preserve"> a </w:t>
      </w:r>
      <w:r>
        <w:rPr>
          <w:b/>
          <w:bCs/>
          <w:sz w:val="20"/>
          <w:szCs w:val="17"/>
        </w:rPr>
        <w:t>zdravotní pojišťovny</w:t>
      </w:r>
      <w:r>
        <w:rPr>
          <w:sz w:val="20"/>
          <w:szCs w:val="17"/>
        </w:rPr>
        <w:t xml:space="preserve"> (oddíl 6). Za zmínku též stojí zařazení očních optik (HP.4.2) mezi poskytovatele zdravotní péče, třebaže v naší praxi nejsou oční optiky považovány za zdravotnická zařízení.</w:t>
      </w:r>
    </w:p>
    <w:p w:rsidR="00361EFA" w:rsidRDefault="00361EFA" w:rsidP="00361EFA">
      <w:pPr>
        <w:pStyle w:val="Textvlastn"/>
        <w:rPr>
          <w:sz w:val="20"/>
          <w:szCs w:val="17"/>
        </w:rPr>
      </w:pPr>
      <w:r>
        <w:rPr>
          <w:sz w:val="20"/>
          <w:szCs w:val="17"/>
        </w:rPr>
        <w:t xml:space="preserve">Specifickým případem je zařazení </w:t>
      </w:r>
      <w:r>
        <w:rPr>
          <w:b/>
          <w:bCs/>
          <w:sz w:val="20"/>
          <w:szCs w:val="17"/>
        </w:rPr>
        <w:t>podniků</w:t>
      </w:r>
      <w:r>
        <w:rPr>
          <w:sz w:val="20"/>
          <w:szCs w:val="17"/>
        </w:rPr>
        <w:t xml:space="preserve"> a </w:t>
      </w:r>
      <w:r>
        <w:rPr>
          <w:b/>
          <w:bCs/>
          <w:sz w:val="20"/>
          <w:szCs w:val="17"/>
        </w:rPr>
        <w:t>domácností</w:t>
      </w:r>
      <w:r>
        <w:rPr>
          <w:sz w:val="20"/>
          <w:szCs w:val="17"/>
        </w:rPr>
        <w:t xml:space="preserve"> mezi poskytovatele zdravotní péče. Podniky mohou poskytovat závodně preventivní péči prostřednictvím lékařů, kteří jsou přímými zaměstnanci podniku</w:t>
      </w:r>
      <w:r>
        <w:rPr>
          <w:rStyle w:val="Znakapoznpodarou"/>
          <w:sz w:val="20"/>
          <w:szCs w:val="17"/>
        </w:rPr>
        <w:footnoteReference w:id="14"/>
      </w:r>
      <w:r>
        <w:rPr>
          <w:sz w:val="20"/>
          <w:szCs w:val="17"/>
        </w:rPr>
        <w:t>. Domácnosti považujeme za poskytovatele zdravotní péče tehdy, jestliže je kterýmkoliv z členů domácnosti poskytována ošetřovatelská péče jinému členu domácnosti. Tato péče je pak ohodnocena výší transferu, který domácnost pro tento účel obdržela</w:t>
      </w:r>
      <w:r>
        <w:rPr>
          <w:rStyle w:val="Znakapoznpodarou"/>
          <w:sz w:val="20"/>
          <w:szCs w:val="17"/>
        </w:rPr>
        <w:footnoteReference w:id="15"/>
      </w:r>
      <w:r>
        <w:rPr>
          <w:sz w:val="20"/>
          <w:szCs w:val="17"/>
        </w:rPr>
        <w:t>.</w:t>
      </w:r>
    </w:p>
    <w:p w:rsidR="00361EFA" w:rsidRDefault="00361EFA" w:rsidP="00361EFA">
      <w:pPr>
        <w:pStyle w:val="Textvlastn"/>
        <w:rPr>
          <w:sz w:val="20"/>
          <w:szCs w:val="17"/>
        </w:rPr>
      </w:pPr>
      <w:r>
        <w:rPr>
          <w:sz w:val="20"/>
          <w:szCs w:val="17"/>
        </w:rPr>
        <w:lastRenderedPageBreak/>
        <w:t>Jestliže je více různorodých zařízení začleněných pod jedním právním subjektem, pak všechna tato zařízení automaticky přejímají typ poskytovatele nadřazeného právního subjektu. Typickým případem jsou nemocnice, kde vedle samotné nemocnice existuje i zařízení LDN a doprava, popřípadě ještě nemocniční lékárna. Všechny podřízené subjekty budou v tomto případě zahrnuty do kategorie nemocnice a nevyčleňují se zvlášť. Výdaje ve zmíněné nemocnici lze pak dále členit podle rozměru druh péče, který nám dává přehled o struktuře vykonávané péče v rámci příslušného poskytovatele.</w:t>
      </w:r>
    </w:p>
    <w:p w:rsidR="00361EFA" w:rsidRDefault="00361EFA" w:rsidP="00361EFA">
      <w:pPr>
        <w:pStyle w:val="Textvlastn"/>
        <w:rPr>
          <w:sz w:val="20"/>
          <w:szCs w:val="17"/>
        </w:rPr>
      </w:pPr>
      <w:r>
        <w:rPr>
          <w:sz w:val="20"/>
          <w:szCs w:val="17"/>
        </w:rPr>
        <w:t xml:space="preserve">Obdobný problém nastává při definici </w:t>
      </w:r>
      <w:r>
        <w:rPr>
          <w:b/>
          <w:bCs/>
          <w:sz w:val="20"/>
          <w:szCs w:val="17"/>
        </w:rPr>
        <w:t>sdružených ambulantních zařízení</w:t>
      </w:r>
      <w:r>
        <w:rPr>
          <w:sz w:val="20"/>
          <w:szCs w:val="17"/>
        </w:rPr>
        <w:t>. V zásadě lze říci, že o sdružené ambulantní zařízení se jedná pouze tehdy, jsou-li zde pracující lékaři přímými zaměstnanci tohoto zařízení. Pokud však lékaři pracují na vlastní účet pod vlastním identifikačním číslem (IČO), pak se jedná o případ samostatných ordinací lékařů, které spojuje pouze práce v jedné budově.</w:t>
      </w:r>
    </w:p>
    <w:p w:rsidR="00361EFA" w:rsidRDefault="00361EFA" w:rsidP="00361EFA">
      <w:pPr>
        <w:pStyle w:val="Textvlastn"/>
        <w:rPr>
          <w:sz w:val="20"/>
          <w:szCs w:val="17"/>
        </w:rPr>
      </w:pPr>
      <w:r>
        <w:rPr>
          <w:sz w:val="20"/>
          <w:szCs w:val="17"/>
        </w:rPr>
        <w:t xml:space="preserve">Podobně jako u klasifikace druhů péče bylo nutné zavést do klasifikace poskytovatelů zdravotní péče také termín </w:t>
      </w:r>
      <w:r>
        <w:rPr>
          <w:b/>
          <w:bCs/>
          <w:sz w:val="20"/>
          <w:szCs w:val="17"/>
        </w:rPr>
        <w:t>neznámý poskytovatel</w:t>
      </w:r>
      <w:r>
        <w:rPr>
          <w:sz w:val="20"/>
          <w:szCs w:val="17"/>
        </w:rPr>
        <w:t xml:space="preserve">. Opět se do této položky umísťují všechny výdaje na zdravotnictví, u kterých zatím nejsme schopni určit konkrétní typ poskytovatele. </w:t>
      </w:r>
    </w:p>
    <w:p w:rsidR="00361EFA" w:rsidRDefault="00361EFA" w:rsidP="00361EFA">
      <w:pPr>
        <w:pStyle w:val="Textvlastn"/>
        <w:rPr>
          <w:sz w:val="20"/>
          <w:szCs w:val="17"/>
        </w:rPr>
      </w:pPr>
      <w:r>
        <w:rPr>
          <w:sz w:val="20"/>
          <w:szCs w:val="17"/>
        </w:rPr>
        <w:t>Klasifikace poskytovatelů zdravotní péče je uvedena v tabulce 3 v příloze.</w:t>
      </w:r>
    </w:p>
    <w:p w:rsidR="00361EFA" w:rsidRDefault="00361EFA"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p w:rsidR="0014544D" w:rsidRDefault="0014544D" w:rsidP="00361EFA">
      <w:pPr>
        <w:pStyle w:val="Textvlastn"/>
        <w:rPr>
          <w:sz w:val="17"/>
          <w:szCs w:val="17"/>
        </w:rPr>
      </w:pPr>
    </w:p>
    <w:sectPr w:rsidR="0014544D" w:rsidSect="001450F1">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866" w:rsidRDefault="00D75866" w:rsidP="00361EFA">
      <w:r>
        <w:separator/>
      </w:r>
    </w:p>
  </w:endnote>
  <w:endnote w:type="continuationSeparator" w:id="1">
    <w:p w:rsidR="00D75866" w:rsidRDefault="00D75866" w:rsidP="00361E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77204"/>
      <w:docPartObj>
        <w:docPartGallery w:val="Page Numbers (Bottom of Page)"/>
        <w:docPartUnique/>
      </w:docPartObj>
    </w:sdtPr>
    <w:sdtEndPr>
      <w:rPr>
        <w:rFonts w:ascii="Arial" w:hAnsi="Arial" w:cs="Arial"/>
        <w:sz w:val="18"/>
        <w:szCs w:val="18"/>
      </w:rPr>
    </w:sdtEndPr>
    <w:sdtContent>
      <w:p w:rsidR="00782420" w:rsidRDefault="00E51351">
        <w:pPr>
          <w:pStyle w:val="Zpat"/>
          <w:jc w:val="center"/>
        </w:pPr>
        <w:r w:rsidRPr="001450F1">
          <w:rPr>
            <w:rFonts w:ascii="Arial" w:hAnsi="Arial" w:cs="Arial"/>
            <w:sz w:val="18"/>
            <w:szCs w:val="18"/>
          </w:rPr>
          <w:fldChar w:fldCharType="begin"/>
        </w:r>
        <w:r w:rsidR="00782420" w:rsidRPr="001450F1">
          <w:rPr>
            <w:rFonts w:ascii="Arial" w:hAnsi="Arial" w:cs="Arial"/>
            <w:sz w:val="18"/>
            <w:szCs w:val="18"/>
          </w:rPr>
          <w:instrText xml:space="preserve"> PAGE   \* MERGEFORMAT </w:instrText>
        </w:r>
        <w:r w:rsidRPr="001450F1">
          <w:rPr>
            <w:rFonts w:ascii="Arial" w:hAnsi="Arial" w:cs="Arial"/>
            <w:sz w:val="18"/>
            <w:szCs w:val="18"/>
          </w:rPr>
          <w:fldChar w:fldCharType="separate"/>
        </w:r>
        <w:r w:rsidR="003A7716">
          <w:rPr>
            <w:rFonts w:ascii="Arial" w:hAnsi="Arial" w:cs="Arial"/>
            <w:noProof/>
            <w:sz w:val="18"/>
            <w:szCs w:val="18"/>
          </w:rPr>
          <w:t>3</w:t>
        </w:r>
        <w:r w:rsidRPr="001450F1">
          <w:rPr>
            <w:rFonts w:ascii="Arial" w:hAnsi="Arial" w:cs="Arial"/>
            <w:sz w:val="18"/>
            <w:szCs w:val="18"/>
          </w:rPr>
          <w:fldChar w:fldCharType="end"/>
        </w:r>
      </w:p>
    </w:sdtContent>
  </w:sdt>
  <w:p w:rsidR="00782420" w:rsidRDefault="0078242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866" w:rsidRDefault="00D75866" w:rsidP="00361EFA">
      <w:r>
        <w:separator/>
      </w:r>
    </w:p>
  </w:footnote>
  <w:footnote w:type="continuationSeparator" w:id="1">
    <w:p w:rsidR="00D75866" w:rsidRDefault="00D75866" w:rsidP="00361EFA">
      <w:r>
        <w:continuationSeparator/>
      </w:r>
    </w:p>
  </w:footnote>
  <w:footnote w:id="2">
    <w:p w:rsidR="00782420" w:rsidRDefault="00782420" w:rsidP="00361EFA">
      <w:pPr>
        <w:pStyle w:val="Textpoznpodarou"/>
      </w:pPr>
      <w:r>
        <w:rPr>
          <w:rStyle w:val="Znakapoznpodarou"/>
        </w:rPr>
        <w:footnoteRef/>
      </w:r>
      <w:r>
        <w:t xml:space="preserve"> System of Health Accounts</w:t>
      </w:r>
    </w:p>
  </w:footnote>
  <w:footnote w:id="3">
    <w:p w:rsidR="00782420" w:rsidRDefault="00782420" w:rsidP="00361EFA">
      <w:pPr>
        <w:pStyle w:val="Textpoznpodarou"/>
      </w:pPr>
      <w:r>
        <w:rPr>
          <w:rStyle w:val="Znakapoznpodarou"/>
        </w:rPr>
        <w:footnoteRef/>
      </w:r>
      <w:r>
        <w:t xml:space="preserve"> International Classification for Health Accounts</w:t>
      </w:r>
    </w:p>
  </w:footnote>
  <w:footnote w:id="4">
    <w:p w:rsidR="00782420" w:rsidRDefault="00782420" w:rsidP="00361EFA">
      <w:pPr>
        <w:pStyle w:val="Textpoznpodarou"/>
        <w:rPr>
          <w:szCs w:val="15"/>
        </w:rPr>
      </w:pPr>
      <w:r>
        <w:rPr>
          <w:rStyle w:val="Znakapoznpodarou"/>
          <w:szCs w:val="15"/>
        </w:rPr>
        <w:footnoteRef/>
      </w:r>
      <w:r>
        <w:rPr>
          <w:szCs w:val="15"/>
        </w:rPr>
        <w:t xml:space="preserve"> Přestože existuje věcný rozdíl mezi pojmy výdaj a náklad spočívající v odlišném časovém rozlišení, budou se v celém  následujícím textu oba pojmy zaměňovat a používat ve shodném smyslu jako náklady.</w:t>
      </w:r>
    </w:p>
  </w:footnote>
  <w:footnote w:id="5">
    <w:p w:rsidR="00782420" w:rsidRDefault="00782420" w:rsidP="00361EFA">
      <w:pPr>
        <w:pStyle w:val="Textpoznpodarou"/>
        <w:rPr>
          <w:szCs w:val="15"/>
          <w:lang w:val="en-US"/>
        </w:rPr>
      </w:pPr>
      <w:r>
        <w:rPr>
          <w:rStyle w:val="Znakapoznpodarou"/>
          <w:szCs w:val="15"/>
          <w:lang w:val="en-US"/>
        </w:rPr>
        <w:footnoteRef/>
      </w:r>
      <w:r>
        <w:rPr>
          <w:szCs w:val="15"/>
          <w:lang w:val="en-US"/>
        </w:rPr>
        <w:t xml:space="preserve"> International Classification for Health Accounts – Health Care Functions, </w:t>
      </w:r>
    </w:p>
  </w:footnote>
  <w:footnote w:id="6">
    <w:p w:rsidR="00782420" w:rsidRDefault="00782420" w:rsidP="00361EFA">
      <w:pPr>
        <w:pStyle w:val="Textpoznpodarou"/>
        <w:rPr>
          <w:szCs w:val="15"/>
          <w:lang w:val="en-US"/>
        </w:rPr>
      </w:pPr>
      <w:r>
        <w:rPr>
          <w:rStyle w:val="Znakapoznpodarou"/>
          <w:szCs w:val="15"/>
          <w:lang w:val="en-US"/>
        </w:rPr>
        <w:footnoteRef/>
      </w:r>
      <w:r>
        <w:rPr>
          <w:szCs w:val="15"/>
          <w:lang w:val="en-US"/>
        </w:rPr>
        <w:t xml:space="preserve"> International Classification for Health Accounts – Health Care Providers</w:t>
      </w:r>
    </w:p>
  </w:footnote>
  <w:footnote w:id="7">
    <w:p w:rsidR="00782420" w:rsidRDefault="00782420" w:rsidP="00361EFA">
      <w:pPr>
        <w:pStyle w:val="Textpoznpodarou"/>
        <w:rPr>
          <w:szCs w:val="15"/>
        </w:rPr>
      </w:pPr>
      <w:r>
        <w:rPr>
          <w:rStyle w:val="Znakapoznpodarou"/>
          <w:szCs w:val="15"/>
          <w:lang w:val="en-US"/>
        </w:rPr>
        <w:footnoteRef/>
      </w:r>
      <w:r>
        <w:rPr>
          <w:szCs w:val="15"/>
          <w:lang w:val="en-US"/>
        </w:rPr>
        <w:t xml:space="preserve"> International Classification for Health Accounts – Health Care Sources of Funding</w:t>
      </w:r>
    </w:p>
  </w:footnote>
  <w:footnote w:id="8">
    <w:p w:rsidR="00782420" w:rsidRDefault="00782420" w:rsidP="00361EFA">
      <w:pPr>
        <w:pStyle w:val="Textpoznpodarou"/>
        <w:rPr>
          <w:szCs w:val="15"/>
        </w:rPr>
      </w:pPr>
      <w:r>
        <w:rPr>
          <w:rStyle w:val="Znakapoznpodarou"/>
          <w:szCs w:val="15"/>
        </w:rPr>
        <w:footnoteRef/>
      </w:r>
      <w:r>
        <w:rPr>
          <w:szCs w:val="15"/>
        </w:rPr>
        <w:t xml:space="preserve"> </w:t>
      </w:r>
      <w:r>
        <w:rPr>
          <w:szCs w:val="15"/>
          <w:lang w:val="en-US"/>
        </w:rPr>
        <w:t>International Classification for Health Accounts</w:t>
      </w:r>
    </w:p>
  </w:footnote>
  <w:footnote w:id="9">
    <w:p w:rsidR="00782420" w:rsidRDefault="00782420" w:rsidP="00361EFA">
      <w:pPr>
        <w:pStyle w:val="Textpoznpodarou"/>
        <w:rPr>
          <w:szCs w:val="15"/>
        </w:rPr>
      </w:pPr>
      <w:r>
        <w:rPr>
          <w:rStyle w:val="Znakapoznpodarou"/>
          <w:szCs w:val="15"/>
        </w:rPr>
        <w:footnoteRef/>
      </w:r>
      <w:r>
        <w:rPr>
          <w:szCs w:val="15"/>
        </w:rPr>
        <w:t xml:space="preserve"> </w:t>
      </w:r>
      <w:r>
        <w:rPr>
          <w:szCs w:val="15"/>
          <w:lang w:val="en-US"/>
        </w:rPr>
        <w:t>International Classification of Health Accounts</w:t>
      </w:r>
    </w:p>
  </w:footnote>
  <w:footnote w:id="10">
    <w:p w:rsidR="00782420" w:rsidRDefault="00782420" w:rsidP="00361EFA">
      <w:pPr>
        <w:pStyle w:val="Textpoznpodarou"/>
        <w:rPr>
          <w:szCs w:val="15"/>
        </w:rPr>
      </w:pPr>
      <w:r>
        <w:rPr>
          <w:rStyle w:val="Znakapoznpodarou"/>
          <w:sz w:val="15"/>
          <w:szCs w:val="15"/>
        </w:rPr>
        <w:footnoteRef/>
      </w:r>
      <w:r>
        <w:rPr>
          <w:szCs w:val="15"/>
        </w:rPr>
        <w:t xml:space="preserve"> V souvislosti se změnou státoprávního uspořádání a zánikem okresů zaniká i tento zdroj financování a těžiště se více přesouvá na místní rozpočty (města, obce, kraje).</w:t>
      </w:r>
    </w:p>
  </w:footnote>
  <w:footnote w:id="11">
    <w:p w:rsidR="00782420" w:rsidRDefault="00782420" w:rsidP="00361EFA">
      <w:pPr>
        <w:pStyle w:val="Textpoznpodarou"/>
        <w:rPr>
          <w:szCs w:val="15"/>
        </w:rPr>
      </w:pPr>
      <w:r>
        <w:rPr>
          <w:rStyle w:val="Znakapoznpodarou"/>
          <w:szCs w:val="15"/>
        </w:rPr>
        <w:footnoteRef/>
      </w:r>
      <w:r>
        <w:rPr>
          <w:szCs w:val="15"/>
        </w:rPr>
        <w:tab/>
        <w:t>Už dříve jsme uvedli, že činnost institucí státní (zdravotní) správy považujeme za kolektivní služby zdravotní péče. Financování provozu těchto institucí tudíž považujeme za financování zdravotní péče (zdravotnictví).</w:t>
      </w:r>
    </w:p>
  </w:footnote>
  <w:footnote w:id="12">
    <w:p w:rsidR="00782420" w:rsidRDefault="00782420" w:rsidP="00361EFA">
      <w:pPr>
        <w:pStyle w:val="Textpoznpodarou"/>
        <w:rPr>
          <w:szCs w:val="15"/>
        </w:rPr>
      </w:pPr>
      <w:r>
        <w:rPr>
          <w:rStyle w:val="Znakapoznpodarou"/>
          <w:sz w:val="15"/>
          <w:szCs w:val="15"/>
        </w:rPr>
        <w:footnoteRef/>
      </w:r>
      <w:r>
        <w:rPr>
          <w:sz w:val="15"/>
          <w:szCs w:val="15"/>
        </w:rPr>
        <w:tab/>
      </w:r>
      <w:r>
        <w:rPr>
          <w:szCs w:val="15"/>
        </w:rPr>
        <w:t>Ve vyspělejších zdravotnických systémech se pozornost stále více soustředí na alternativní formy poskytování zdravotní péče, kdy buď velká a nebo celá část léčebného/doléčovacího procesu se přesouvá mimo zdravotnické zařízení, z čehož plynou určité pozitivní efekty. Typickým příkladem je domácí léčba chronicky nemocných, jednodenní chirurgické zákroky a následné doléčování doma apod.</w:t>
      </w:r>
    </w:p>
  </w:footnote>
  <w:footnote w:id="13">
    <w:p w:rsidR="00782420" w:rsidRDefault="00782420" w:rsidP="00361EFA">
      <w:pPr>
        <w:pStyle w:val="Textpoznpodarou"/>
        <w:rPr>
          <w:szCs w:val="15"/>
        </w:rPr>
      </w:pPr>
      <w:r>
        <w:rPr>
          <w:rStyle w:val="Znakapoznpodarou"/>
          <w:szCs w:val="15"/>
        </w:rPr>
        <w:footnoteRef/>
      </w:r>
      <w:r>
        <w:rPr>
          <w:szCs w:val="15"/>
        </w:rPr>
        <w:tab/>
        <w:t>Jeden z důvodů, proč se upřednostňuje termín poskytovatel zdravotní péče je, že se jedná o širší vymezení, do kterého se kromě zdravotnických zařízení řadí např. řídící instituce či zařízení sociální péče (obecně jakékoliv subjekty, které alespoň částečně zajišťují jakoukoliv funkci zdravotní péče vymezenou v předešlém případě).</w:t>
      </w:r>
    </w:p>
  </w:footnote>
  <w:footnote w:id="14">
    <w:p w:rsidR="00782420" w:rsidRDefault="00782420" w:rsidP="00361EFA">
      <w:pPr>
        <w:pStyle w:val="Textpoznpodarou"/>
        <w:rPr>
          <w:szCs w:val="15"/>
        </w:rPr>
      </w:pPr>
      <w:r>
        <w:rPr>
          <w:rStyle w:val="Znakapoznpodarou"/>
          <w:sz w:val="15"/>
          <w:szCs w:val="15"/>
        </w:rPr>
        <w:footnoteRef/>
      </w:r>
      <w:r>
        <w:rPr>
          <w:sz w:val="15"/>
          <w:szCs w:val="15"/>
        </w:rPr>
        <w:tab/>
      </w:r>
      <w:r>
        <w:rPr>
          <w:szCs w:val="15"/>
        </w:rPr>
        <w:t>V našich podmínkách je daleko běžnější, že závodně preventivní péči poskytují samostatně ordinující lékaři (HP.3.1), kteří jsou daným podnikem nasmlouváni k poskytnutí příslušné péče.</w:t>
      </w:r>
    </w:p>
  </w:footnote>
  <w:footnote w:id="15">
    <w:p w:rsidR="00782420" w:rsidRDefault="00782420" w:rsidP="00361EFA">
      <w:pPr>
        <w:pStyle w:val="Textpoznpodarou"/>
        <w:rPr>
          <w:szCs w:val="15"/>
        </w:rPr>
      </w:pPr>
      <w:r>
        <w:rPr>
          <w:rStyle w:val="Znakapoznpodarou"/>
          <w:szCs w:val="15"/>
        </w:rPr>
        <w:footnoteRef/>
      </w:r>
      <w:r>
        <w:rPr>
          <w:szCs w:val="15"/>
        </w:rPr>
        <w:tab/>
        <w:t>V případě ČR existuje speciální druh sociální dávky: podpora při ošetřování nemocného člena rodiny. Výše těchto dávek je pak použita k ocenění domácí péče poskytované samotnými domácnostmi.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A67960"/>
    <w:lvl w:ilvl="0">
      <w:start w:val="1"/>
      <w:numFmt w:val="decimal"/>
      <w:lvlText w:val="%1."/>
      <w:lvlJc w:val="left"/>
      <w:pPr>
        <w:tabs>
          <w:tab w:val="num" w:pos="1492"/>
        </w:tabs>
        <w:ind w:left="1492" w:hanging="360"/>
      </w:pPr>
    </w:lvl>
  </w:abstractNum>
  <w:abstractNum w:abstractNumId="1">
    <w:nsid w:val="FFFFFF7D"/>
    <w:multiLevelType w:val="singleLevel"/>
    <w:tmpl w:val="872289BC"/>
    <w:lvl w:ilvl="0">
      <w:start w:val="1"/>
      <w:numFmt w:val="decimal"/>
      <w:lvlText w:val="%1."/>
      <w:lvlJc w:val="left"/>
      <w:pPr>
        <w:tabs>
          <w:tab w:val="num" w:pos="1209"/>
        </w:tabs>
        <w:ind w:left="1209" w:hanging="360"/>
      </w:pPr>
    </w:lvl>
  </w:abstractNum>
  <w:abstractNum w:abstractNumId="2">
    <w:nsid w:val="FFFFFF7E"/>
    <w:multiLevelType w:val="singleLevel"/>
    <w:tmpl w:val="69A8BBEE"/>
    <w:lvl w:ilvl="0">
      <w:start w:val="1"/>
      <w:numFmt w:val="decimal"/>
      <w:lvlText w:val="%1."/>
      <w:lvlJc w:val="left"/>
      <w:pPr>
        <w:tabs>
          <w:tab w:val="num" w:pos="926"/>
        </w:tabs>
        <w:ind w:left="926" w:hanging="360"/>
      </w:pPr>
    </w:lvl>
  </w:abstractNum>
  <w:abstractNum w:abstractNumId="3">
    <w:nsid w:val="FFFFFF7F"/>
    <w:multiLevelType w:val="singleLevel"/>
    <w:tmpl w:val="C2FCF640"/>
    <w:lvl w:ilvl="0">
      <w:start w:val="1"/>
      <w:numFmt w:val="decimal"/>
      <w:lvlText w:val="%1."/>
      <w:lvlJc w:val="left"/>
      <w:pPr>
        <w:tabs>
          <w:tab w:val="num" w:pos="643"/>
        </w:tabs>
        <w:ind w:left="643" w:hanging="360"/>
      </w:pPr>
    </w:lvl>
  </w:abstractNum>
  <w:abstractNum w:abstractNumId="4">
    <w:nsid w:val="FFFFFF80"/>
    <w:multiLevelType w:val="singleLevel"/>
    <w:tmpl w:val="C0F404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2E0D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8CCE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E680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725790"/>
    <w:lvl w:ilvl="0">
      <w:start w:val="1"/>
      <w:numFmt w:val="decimal"/>
      <w:lvlText w:val="%1."/>
      <w:lvlJc w:val="left"/>
      <w:pPr>
        <w:tabs>
          <w:tab w:val="num" w:pos="360"/>
        </w:tabs>
        <w:ind w:left="360" w:hanging="360"/>
      </w:pPr>
    </w:lvl>
  </w:abstractNum>
  <w:abstractNum w:abstractNumId="9">
    <w:nsid w:val="FFFFFF89"/>
    <w:multiLevelType w:val="singleLevel"/>
    <w:tmpl w:val="488A66A4"/>
    <w:lvl w:ilvl="0">
      <w:start w:val="1"/>
      <w:numFmt w:val="bullet"/>
      <w:lvlText w:val=""/>
      <w:lvlJc w:val="left"/>
      <w:pPr>
        <w:tabs>
          <w:tab w:val="num" w:pos="360"/>
        </w:tabs>
        <w:ind w:left="360" w:hanging="360"/>
      </w:pPr>
      <w:rPr>
        <w:rFonts w:ascii="Symbol" w:hAnsi="Symbol" w:hint="default"/>
      </w:rPr>
    </w:lvl>
  </w:abstractNum>
  <w:abstractNum w:abstractNumId="10">
    <w:nsid w:val="007B1DC9"/>
    <w:multiLevelType w:val="hybridMultilevel"/>
    <w:tmpl w:val="67FA68B4"/>
    <w:lvl w:ilvl="0" w:tplc="2C0AD92C">
      <w:start w:val="6"/>
      <w:numFmt w:val="decimal"/>
      <w:lvlText w:val="%1."/>
      <w:lvlJc w:val="left"/>
      <w:pPr>
        <w:tabs>
          <w:tab w:val="num" w:pos="720"/>
        </w:tabs>
        <w:ind w:left="720" w:hanging="360"/>
      </w:pPr>
      <w:rPr>
        <w:rFonts w:hint="default"/>
      </w:rPr>
    </w:lvl>
    <w:lvl w:ilvl="1" w:tplc="240E8A7C">
      <w:numFmt w:val="none"/>
      <w:lvlText w:val=""/>
      <w:lvlJc w:val="left"/>
      <w:pPr>
        <w:tabs>
          <w:tab w:val="num" w:pos="360"/>
        </w:tabs>
      </w:pPr>
    </w:lvl>
    <w:lvl w:ilvl="2" w:tplc="2690D6EA">
      <w:numFmt w:val="none"/>
      <w:lvlText w:val=""/>
      <w:lvlJc w:val="left"/>
      <w:pPr>
        <w:tabs>
          <w:tab w:val="num" w:pos="360"/>
        </w:tabs>
      </w:pPr>
    </w:lvl>
    <w:lvl w:ilvl="3" w:tplc="8AC4E8AC">
      <w:numFmt w:val="none"/>
      <w:lvlText w:val=""/>
      <w:lvlJc w:val="left"/>
      <w:pPr>
        <w:tabs>
          <w:tab w:val="num" w:pos="360"/>
        </w:tabs>
      </w:pPr>
    </w:lvl>
    <w:lvl w:ilvl="4" w:tplc="CEAAF480">
      <w:numFmt w:val="none"/>
      <w:lvlText w:val=""/>
      <w:lvlJc w:val="left"/>
      <w:pPr>
        <w:tabs>
          <w:tab w:val="num" w:pos="360"/>
        </w:tabs>
      </w:pPr>
    </w:lvl>
    <w:lvl w:ilvl="5" w:tplc="55F2C0D4">
      <w:numFmt w:val="none"/>
      <w:lvlText w:val=""/>
      <w:lvlJc w:val="left"/>
      <w:pPr>
        <w:tabs>
          <w:tab w:val="num" w:pos="360"/>
        </w:tabs>
      </w:pPr>
    </w:lvl>
    <w:lvl w:ilvl="6" w:tplc="356E4E62">
      <w:numFmt w:val="none"/>
      <w:lvlText w:val=""/>
      <w:lvlJc w:val="left"/>
      <w:pPr>
        <w:tabs>
          <w:tab w:val="num" w:pos="360"/>
        </w:tabs>
      </w:pPr>
    </w:lvl>
    <w:lvl w:ilvl="7" w:tplc="6220DC1A">
      <w:numFmt w:val="none"/>
      <w:lvlText w:val=""/>
      <w:lvlJc w:val="left"/>
      <w:pPr>
        <w:tabs>
          <w:tab w:val="num" w:pos="360"/>
        </w:tabs>
      </w:pPr>
    </w:lvl>
    <w:lvl w:ilvl="8" w:tplc="81E223CA">
      <w:numFmt w:val="none"/>
      <w:lvlText w:val=""/>
      <w:lvlJc w:val="left"/>
      <w:pPr>
        <w:tabs>
          <w:tab w:val="num" w:pos="360"/>
        </w:tabs>
      </w:pPr>
    </w:lvl>
  </w:abstractNum>
  <w:abstractNum w:abstractNumId="11">
    <w:nsid w:val="0476467C"/>
    <w:multiLevelType w:val="hybridMultilevel"/>
    <w:tmpl w:val="385C84B4"/>
    <w:lvl w:ilvl="0" w:tplc="49BC048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076C5C28"/>
    <w:multiLevelType w:val="multilevel"/>
    <w:tmpl w:val="775803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099267FE"/>
    <w:multiLevelType w:val="hybridMultilevel"/>
    <w:tmpl w:val="60E49746"/>
    <w:lvl w:ilvl="0" w:tplc="0405000F">
      <w:start w:val="4"/>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0C0955AE"/>
    <w:multiLevelType w:val="hybridMultilevel"/>
    <w:tmpl w:val="6B3C60E0"/>
    <w:lvl w:ilvl="0" w:tplc="0F545BCC">
      <w:start w:val="7"/>
      <w:numFmt w:val="decimal"/>
      <w:lvlText w:val="%1."/>
      <w:lvlJc w:val="left"/>
      <w:pPr>
        <w:tabs>
          <w:tab w:val="num" w:pos="720"/>
        </w:tabs>
        <w:ind w:left="720" w:hanging="360"/>
      </w:pPr>
      <w:rPr>
        <w:rFonts w:hint="default"/>
      </w:rPr>
    </w:lvl>
    <w:lvl w:ilvl="1" w:tplc="3320CC3C">
      <w:numFmt w:val="none"/>
      <w:lvlText w:val=""/>
      <w:lvlJc w:val="left"/>
      <w:pPr>
        <w:tabs>
          <w:tab w:val="num" w:pos="360"/>
        </w:tabs>
      </w:pPr>
    </w:lvl>
    <w:lvl w:ilvl="2" w:tplc="BA16928E">
      <w:numFmt w:val="none"/>
      <w:lvlText w:val=""/>
      <w:lvlJc w:val="left"/>
      <w:pPr>
        <w:tabs>
          <w:tab w:val="num" w:pos="360"/>
        </w:tabs>
      </w:pPr>
    </w:lvl>
    <w:lvl w:ilvl="3" w:tplc="F4363D4E">
      <w:numFmt w:val="none"/>
      <w:lvlText w:val=""/>
      <w:lvlJc w:val="left"/>
      <w:pPr>
        <w:tabs>
          <w:tab w:val="num" w:pos="360"/>
        </w:tabs>
      </w:pPr>
    </w:lvl>
    <w:lvl w:ilvl="4" w:tplc="6E4CC74A">
      <w:numFmt w:val="none"/>
      <w:lvlText w:val=""/>
      <w:lvlJc w:val="left"/>
      <w:pPr>
        <w:tabs>
          <w:tab w:val="num" w:pos="360"/>
        </w:tabs>
      </w:pPr>
    </w:lvl>
    <w:lvl w:ilvl="5" w:tplc="EAA2EA30">
      <w:numFmt w:val="none"/>
      <w:lvlText w:val=""/>
      <w:lvlJc w:val="left"/>
      <w:pPr>
        <w:tabs>
          <w:tab w:val="num" w:pos="360"/>
        </w:tabs>
      </w:pPr>
    </w:lvl>
    <w:lvl w:ilvl="6" w:tplc="D4A2E606">
      <w:numFmt w:val="none"/>
      <w:lvlText w:val=""/>
      <w:lvlJc w:val="left"/>
      <w:pPr>
        <w:tabs>
          <w:tab w:val="num" w:pos="360"/>
        </w:tabs>
      </w:pPr>
    </w:lvl>
    <w:lvl w:ilvl="7" w:tplc="155A7A5E">
      <w:numFmt w:val="none"/>
      <w:lvlText w:val=""/>
      <w:lvlJc w:val="left"/>
      <w:pPr>
        <w:tabs>
          <w:tab w:val="num" w:pos="360"/>
        </w:tabs>
      </w:pPr>
    </w:lvl>
    <w:lvl w:ilvl="8" w:tplc="F3023A64">
      <w:numFmt w:val="none"/>
      <w:lvlText w:val=""/>
      <w:lvlJc w:val="left"/>
      <w:pPr>
        <w:tabs>
          <w:tab w:val="num" w:pos="360"/>
        </w:tabs>
      </w:pPr>
    </w:lvl>
  </w:abstractNum>
  <w:abstractNum w:abstractNumId="15">
    <w:nsid w:val="0E767CCE"/>
    <w:multiLevelType w:val="multilevel"/>
    <w:tmpl w:val="BBB82A0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0F7167E"/>
    <w:multiLevelType w:val="hybridMultilevel"/>
    <w:tmpl w:val="61C64A2E"/>
    <w:lvl w:ilvl="0" w:tplc="4DA65BE8">
      <w:start w:val="6"/>
      <w:numFmt w:val="decimal"/>
      <w:lvlText w:val="%1."/>
      <w:lvlJc w:val="left"/>
      <w:pPr>
        <w:tabs>
          <w:tab w:val="num" w:pos="720"/>
        </w:tabs>
        <w:ind w:left="720" w:hanging="360"/>
      </w:pPr>
      <w:rPr>
        <w:rFonts w:hint="default"/>
        <w:sz w:val="36"/>
      </w:rPr>
    </w:lvl>
    <w:lvl w:ilvl="1" w:tplc="57827550">
      <w:numFmt w:val="none"/>
      <w:lvlText w:val=""/>
      <w:lvlJc w:val="left"/>
      <w:pPr>
        <w:tabs>
          <w:tab w:val="num" w:pos="360"/>
        </w:tabs>
      </w:pPr>
    </w:lvl>
    <w:lvl w:ilvl="2" w:tplc="D99264F4">
      <w:numFmt w:val="none"/>
      <w:lvlText w:val=""/>
      <w:lvlJc w:val="left"/>
      <w:pPr>
        <w:tabs>
          <w:tab w:val="num" w:pos="360"/>
        </w:tabs>
      </w:pPr>
    </w:lvl>
    <w:lvl w:ilvl="3" w:tplc="80BC1474">
      <w:numFmt w:val="none"/>
      <w:lvlText w:val=""/>
      <w:lvlJc w:val="left"/>
      <w:pPr>
        <w:tabs>
          <w:tab w:val="num" w:pos="360"/>
        </w:tabs>
      </w:pPr>
    </w:lvl>
    <w:lvl w:ilvl="4" w:tplc="0BA64C98">
      <w:numFmt w:val="none"/>
      <w:lvlText w:val=""/>
      <w:lvlJc w:val="left"/>
      <w:pPr>
        <w:tabs>
          <w:tab w:val="num" w:pos="360"/>
        </w:tabs>
      </w:pPr>
    </w:lvl>
    <w:lvl w:ilvl="5" w:tplc="D54A0AA6">
      <w:numFmt w:val="none"/>
      <w:lvlText w:val=""/>
      <w:lvlJc w:val="left"/>
      <w:pPr>
        <w:tabs>
          <w:tab w:val="num" w:pos="360"/>
        </w:tabs>
      </w:pPr>
    </w:lvl>
    <w:lvl w:ilvl="6" w:tplc="CE8430E2">
      <w:numFmt w:val="none"/>
      <w:lvlText w:val=""/>
      <w:lvlJc w:val="left"/>
      <w:pPr>
        <w:tabs>
          <w:tab w:val="num" w:pos="360"/>
        </w:tabs>
      </w:pPr>
    </w:lvl>
    <w:lvl w:ilvl="7" w:tplc="9426ED52">
      <w:numFmt w:val="none"/>
      <w:lvlText w:val=""/>
      <w:lvlJc w:val="left"/>
      <w:pPr>
        <w:tabs>
          <w:tab w:val="num" w:pos="360"/>
        </w:tabs>
      </w:pPr>
    </w:lvl>
    <w:lvl w:ilvl="8" w:tplc="03226C48">
      <w:numFmt w:val="none"/>
      <w:lvlText w:val=""/>
      <w:lvlJc w:val="left"/>
      <w:pPr>
        <w:tabs>
          <w:tab w:val="num" w:pos="360"/>
        </w:tabs>
      </w:pPr>
    </w:lvl>
  </w:abstractNum>
  <w:abstractNum w:abstractNumId="17">
    <w:nsid w:val="18342B79"/>
    <w:multiLevelType w:val="hybridMultilevel"/>
    <w:tmpl w:val="57FE17DA"/>
    <w:lvl w:ilvl="0" w:tplc="16728D6E">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1BE7221D"/>
    <w:multiLevelType w:val="multilevel"/>
    <w:tmpl w:val="00D8D1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20710B0"/>
    <w:multiLevelType w:val="multilevel"/>
    <w:tmpl w:val="EB06067C"/>
    <w:lvl w:ilvl="0">
      <w:start w:val="1"/>
      <w:numFmt w:val="decimal"/>
      <w:lvlText w:val="%1."/>
      <w:lvlJc w:val="left"/>
      <w:pPr>
        <w:tabs>
          <w:tab w:val="num" w:pos="360"/>
        </w:tabs>
        <w:ind w:left="360" w:hanging="360"/>
      </w:pPr>
      <w:rPr>
        <w:rFonts w:ascii="Arial" w:hAnsi="Arial" w:hint="default"/>
        <w:b/>
        <w:i w:val="0"/>
        <w:sz w:val="36"/>
      </w:rPr>
    </w:lvl>
    <w:lvl w:ilvl="1">
      <w:start w:val="1"/>
      <w:numFmt w:val="decimal"/>
      <w:lvlText w:val="%1.%2."/>
      <w:lvlJc w:val="left"/>
      <w:pPr>
        <w:tabs>
          <w:tab w:val="num" w:pos="1080"/>
        </w:tabs>
        <w:ind w:left="792" w:hanging="432"/>
      </w:pPr>
      <w:rPr>
        <w:rFonts w:ascii="Arial" w:hAnsi="Arial" w:hint="default"/>
        <w:b/>
        <w:i w:val="0"/>
        <w:sz w:val="28"/>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22A13180"/>
    <w:multiLevelType w:val="multilevel"/>
    <w:tmpl w:val="3C54E47A"/>
    <w:lvl w:ilvl="0">
      <w:start w:val="5"/>
      <w:numFmt w:val="decimal"/>
      <w:lvlText w:val="%1."/>
      <w:lvlJc w:val="left"/>
      <w:pPr>
        <w:tabs>
          <w:tab w:val="num" w:pos="360"/>
        </w:tabs>
        <w:ind w:left="360" w:hanging="360"/>
      </w:pPr>
      <w:rPr>
        <w:rFonts w:hint="default"/>
        <w:sz w:val="36"/>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22FC50B9"/>
    <w:multiLevelType w:val="multilevel"/>
    <w:tmpl w:val="A3428F94"/>
    <w:lvl w:ilvl="0">
      <w:start w:val="1"/>
      <w:numFmt w:val="lowerLetter"/>
      <w:lvlText w:val="%1)"/>
      <w:lvlJc w:val="left"/>
      <w:pPr>
        <w:tabs>
          <w:tab w:val="num" w:pos="720"/>
        </w:tabs>
        <w:ind w:left="720" w:hanging="360"/>
      </w:pPr>
    </w:lvl>
    <w:lvl w:ilvl="1">
      <w:start w:val="1"/>
      <w:numFmt w:val="upperRoman"/>
      <w:lvlText w:val="%2."/>
      <w:lvlJc w:val="right"/>
      <w:pPr>
        <w:tabs>
          <w:tab w:val="num" w:pos="180"/>
        </w:tabs>
        <w:ind w:left="18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5253DCF"/>
    <w:multiLevelType w:val="hybridMultilevel"/>
    <w:tmpl w:val="C7360314"/>
    <w:lvl w:ilvl="0" w:tplc="267E35CE">
      <w:start w:val="1"/>
      <w:numFmt w:val="decimal"/>
      <w:lvlText w:val="(%1)"/>
      <w:lvlJc w:val="left"/>
      <w:pPr>
        <w:tabs>
          <w:tab w:val="num" w:pos="720"/>
        </w:tabs>
        <w:ind w:left="720" w:hanging="360"/>
      </w:pPr>
      <w:rPr>
        <w:rFonts w:hint="default"/>
        <w:b/>
        <w:i/>
      </w:rPr>
    </w:lvl>
    <w:lvl w:ilvl="1" w:tplc="681C8B72">
      <w:start w:val="1"/>
      <w:numFmt w:val="decimal"/>
      <w:lvlText w:val="%2."/>
      <w:lvlJc w:val="left"/>
      <w:pPr>
        <w:tabs>
          <w:tab w:val="num" w:pos="1440"/>
        </w:tabs>
        <w:ind w:left="1440" w:hanging="360"/>
      </w:pPr>
      <w:rPr>
        <w:rFonts w:hint="default"/>
      </w:rPr>
    </w:lvl>
    <w:lvl w:ilvl="2" w:tplc="8ACE6780">
      <w:start w:val="3"/>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3046265"/>
    <w:multiLevelType w:val="multilevel"/>
    <w:tmpl w:val="74B4999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36DE16D3"/>
    <w:multiLevelType w:val="multilevel"/>
    <w:tmpl w:val="B97C7A7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36EB02A6"/>
    <w:multiLevelType w:val="multilevel"/>
    <w:tmpl w:val="D6760CEC"/>
    <w:lvl w:ilvl="0">
      <w:start w:val="1"/>
      <w:numFmt w:val="decimal"/>
      <w:lvlText w:val="%1."/>
      <w:lvlJc w:val="left"/>
      <w:pPr>
        <w:tabs>
          <w:tab w:val="num" w:pos="360"/>
        </w:tabs>
        <w:ind w:left="360" w:hanging="360"/>
      </w:pPr>
      <w:rPr>
        <w:rFonts w:ascii="Arial" w:hAnsi="Arial" w:hint="default"/>
        <w:b/>
        <w:i w:val="0"/>
        <w:sz w:val="36"/>
      </w:rPr>
    </w:lvl>
    <w:lvl w:ilvl="1">
      <w:start w:val="1"/>
      <w:numFmt w:val="decimal"/>
      <w:lvlText w:val="%1.%2."/>
      <w:lvlJc w:val="left"/>
      <w:pPr>
        <w:tabs>
          <w:tab w:val="num" w:pos="1080"/>
        </w:tabs>
        <w:ind w:left="792" w:hanging="432"/>
      </w:pPr>
      <w:rPr>
        <w:rFonts w:ascii="Arial" w:hAnsi="Arial" w:hint="default"/>
        <w:b/>
        <w:i w:val="0"/>
        <w:sz w:val="28"/>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9E4207C"/>
    <w:multiLevelType w:val="hybridMultilevel"/>
    <w:tmpl w:val="E37231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CEE31F7"/>
    <w:multiLevelType w:val="multilevel"/>
    <w:tmpl w:val="1DF0E336"/>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2322D3E"/>
    <w:multiLevelType w:val="hybridMultilevel"/>
    <w:tmpl w:val="5C98965E"/>
    <w:lvl w:ilvl="0" w:tplc="1A907962">
      <w:start w:val="1"/>
      <w:numFmt w:val="decimal"/>
      <w:lvlText w:val="%1."/>
      <w:lvlJc w:val="left"/>
      <w:pPr>
        <w:tabs>
          <w:tab w:val="num" w:pos="765"/>
        </w:tabs>
        <w:ind w:left="765" w:hanging="405"/>
      </w:pPr>
      <w:rPr>
        <w:rFonts w:hint="default"/>
      </w:rPr>
    </w:lvl>
    <w:lvl w:ilvl="1" w:tplc="F938899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3455F2D"/>
    <w:multiLevelType w:val="hybridMultilevel"/>
    <w:tmpl w:val="0F3A8274"/>
    <w:lvl w:ilvl="0" w:tplc="FFFFFFFF">
      <w:start w:val="1"/>
      <w:numFmt w:val="lowerLetter"/>
      <w:lvlText w:val="%1)"/>
      <w:lvlJc w:val="left"/>
      <w:pPr>
        <w:tabs>
          <w:tab w:val="num" w:pos="720"/>
        </w:tabs>
        <w:ind w:left="720" w:hanging="360"/>
      </w:pPr>
    </w:lvl>
    <w:lvl w:ilvl="1" w:tplc="FFFFFFFF">
      <w:start w:val="1"/>
      <w:numFmt w:val="upperRoman"/>
      <w:lvlText w:val="%2."/>
      <w:lvlJc w:val="left"/>
      <w:pPr>
        <w:tabs>
          <w:tab w:val="num" w:pos="180"/>
        </w:tabs>
        <w:ind w:left="180" w:hanging="18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B374F00"/>
    <w:multiLevelType w:val="multilevel"/>
    <w:tmpl w:val="F91EB52E"/>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21120B8"/>
    <w:multiLevelType w:val="hybridMultilevel"/>
    <w:tmpl w:val="507027CE"/>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74716A1"/>
    <w:multiLevelType w:val="hybridMultilevel"/>
    <w:tmpl w:val="9CBC517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5C77050D"/>
    <w:multiLevelType w:val="hybridMultilevel"/>
    <w:tmpl w:val="A798EF88"/>
    <w:lvl w:ilvl="0" w:tplc="DC1E12E8">
      <w:start w:val="2"/>
      <w:numFmt w:val="decimal"/>
      <w:lvlText w:val="%1."/>
      <w:lvlJc w:val="left"/>
      <w:pPr>
        <w:tabs>
          <w:tab w:val="num" w:pos="720"/>
        </w:tabs>
        <w:ind w:left="720" w:hanging="360"/>
      </w:pPr>
      <w:rPr>
        <w:rFonts w:hint="default"/>
      </w:rPr>
    </w:lvl>
    <w:lvl w:ilvl="1" w:tplc="B478E3EA">
      <w:numFmt w:val="none"/>
      <w:lvlText w:val=""/>
      <w:lvlJc w:val="left"/>
      <w:pPr>
        <w:tabs>
          <w:tab w:val="num" w:pos="360"/>
        </w:tabs>
      </w:pPr>
    </w:lvl>
    <w:lvl w:ilvl="2" w:tplc="25D6CB34">
      <w:numFmt w:val="none"/>
      <w:lvlText w:val=""/>
      <w:lvlJc w:val="left"/>
      <w:pPr>
        <w:tabs>
          <w:tab w:val="num" w:pos="360"/>
        </w:tabs>
      </w:pPr>
    </w:lvl>
    <w:lvl w:ilvl="3" w:tplc="05D4DBAC">
      <w:numFmt w:val="none"/>
      <w:lvlText w:val=""/>
      <w:lvlJc w:val="left"/>
      <w:pPr>
        <w:tabs>
          <w:tab w:val="num" w:pos="360"/>
        </w:tabs>
      </w:pPr>
    </w:lvl>
    <w:lvl w:ilvl="4" w:tplc="FC062514">
      <w:numFmt w:val="none"/>
      <w:lvlText w:val=""/>
      <w:lvlJc w:val="left"/>
      <w:pPr>
        <w:tabs>
          <w:tab w:val="num" w:pos="360"/>
        </w:tabs>
      </w:pPr>
    </w:lvl>
    <w:lvl w:ilvl="5" w:tplc="F2C6200C">
      <w:numFmt w:val="none"/>
      <w:lvlText w:val=""/>
      <w:lvlJc w:val="left"/>
      <w:pPr>
        <w:tabs>
          <w:tab w:val="num" w:pos="360"/>
        </w:tabs>
      </w:pPr>
    </w:lvl>
    <w:lvl w:ilvl="6" w:tplc="B4C45714">
      <w:numFmt w:val="none"/>
      <w:lvlText w:val=""/>
      <w:lvlJc w:val="left"/>
      <w:pPr>
        <w:tabs>
          <w:tab w:val="num" w:pos="360"/>
        </w:tabs>
      </w:pPr>
    </w:lvl>
    <w:lvl w:ilvl="7" w:tplc="1CCC3900">
      <w:numFmt w:val="none"/>
      <w:lvlText w:val=""/>
      <w:lvlJc w:val="left"/>
      <w:pPr>
        <w:tabs>
          <w:tab w:val="num" w:pos="360"/>
        </w:tabs>
      </w:pPr>
    </w:lvl>
    <w:lvl w:ilvl="8" w:tplc="3064CBE2">
      <w:numFmt w:val="none"/>
      <w:lvlText w:val=""/>
      <w:lvlJc w:val="left"/>
      <w:pPr>
        <w:tabs>
          <w:tab w:val="num" w:pos="360"/>
        </w:tabs>
      </w:pPr>
    </w:lvl>
  </w:abstractNum>
  <w:abstractNum w:abstractNumId="35">
    <w:nsid w:val="5E9831AB"/>
    <w:multiLevelType w:val="multilevel"/>
    <w:tmpl w:val="FED60EF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1471D22"/>
    <w:multiLevelType w:val="hybridMultilevel"/>
    <w:tmpl w:val="96CA3A9E"/>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278541B"/>
    <w:multiLevelType w:val="hybridMultilevel"/>
    <w:tmpl w:val="CAC0AC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2BD3C99"/>
    <w:multiLevelType w:val="hybridMultilevel"/>
    <w:tmpl w:val="E500EEC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1785B94"/>
    <w:multiLevelType w:val="hybridMultilevel"/>
    <w:tmpl w:val="E320C51C"/>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6B841B2"/>
    <w:multiLevelType w:val="multilevel"/>
    <w:tmpl w:val="F3B40882"/>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A9B68A7"/>
    <w:multiLevelType w:val="multilevel"/>
    <w:tmpl w:val="5B3A29BA"/>
    <w:lvl w:ilvl="0">
      <w:start w:val="4"/>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D1438C3"/>
    <w:multiLevelType w:val="hybridMultilevel"/>
    <w:tmpl w:val="A128E44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DC12D09"/>
    <w:multiLevelType w:val="multilevel"/>
    <w:tmpl w:val="E37231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DC54CAD"/>
    <w:multiLevelType w:val="hybridMultilevel"/>
    <w:tmpl w:val="9A541C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25"/>
  </w:num>
  <w:num w:numId="4">
    <w:abstractNumId w:val="38"/>
  </w:num>
  <w:num w:numId="5">
    <w:abstractNumId w:val="34"/>
  </w:num>
  <w:num w:numId="6">
    <w:abstractNumId w:val="14"/>
  </w:num>
  <w:num w:numId="7">
    <w:abstractNumId w:val="34"/>
    <w:lvlOverride w:ilvl="0">
      <w:startOverride w:val="2"/>
    </w:lvlOverride>
  </w:num>
  <w:num w:numId="8">
    <w:abstractNumId w:val="32"/>
  </w:num>
  <w:num w:numId="9">
    <w:abstractNumId w:val="39"/>
  </w:num>
  <w:num w:numId="10">
    <w:abstractNumId w:val="30"/>
  </w:num>
  <w:num w:numId="11">
    <w:abstractNumId w:val="18"/>
  </w:num>
  <w:num w:numId="12">
    <w:abstractNumId w:val="15"/>
  </w:num>
  <w:num w:numId="13">
    <w:abstractNumId w:val="22"/>
  </w:num>
  <w:num w:numId="14">
    <w:abstractNumId w:val="27"/>
  </w:num>
  <w:num w:numId="15">
    <w:abstractNumId w:val="44"/>
  </w:num>
  <w:num w:numId="16">
    <w:abstractNumId w:val="45"/>
  </w:num>
  <w:num w:numId="17">
    <w:abstractNumId w:val="33"/>
  </w:num>
  <w:num w:numId="18">
    <w:abstractNumId w:val="43"/>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12"/>
  </w:num>
  <w:num w:numId="30">
    <w:abstractNumId w:val="31"/>
  </w:num>
  <w:num w:numId="31">
    <w:abstractNumId w:val="26"/>
  </w:num>
  <w:num w:numId="32">
    <w:abstractNumId w:val="20"/>
  </w:num>
  <w:num w:numId="33">
    <w:abstractNumId w:val="10"/>
  </w:num>
  <w:num w:numId="34">
    <w:abstractNumId w:val="13"/>
  </w:num>
  <w:num w:numId="35">
    <w:abstractNumId w:val="41"/>
  </w:num>
  <w:num w:numId="36">
    <w:abstractNumId w:val="28"/>
  </w:num>
  <w:num w:numId="37">
    <w:abstractNumId w:val="35"/>
  </w:num>
  <w:num w:numId="38">
    <w:abstractNumId w:val="17"/>
  </w:num>
  <w:num w:numId="39">
    <w:abstractNumId w:val="11"/>
  </w:num>
  <w:num w:numId="40">
    <w:abstractNumId w:val="36"/>
  </w:num>
  <w:num w:numId="41">
    <w:abstractNumId w:val="16"/>
  </w:num>
  <w:num w:numId="42">
    <w:abstractNumId w:val="40"/>
  </w:num>
  <w:num w:numId="43">
    <w:abstractNumId w:val="19"/>
  </w:num>
  <w:num w:numId="44">
    <w:abstractNumId w:val="42"/>
  </w:num>
  <w:num w:numId="45">
    <w:abstractNumId w:val="37"/>
  </w:num>
  <w:num w:numId="46">
    <w:abstractNumId w:val="24"/>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61EFA"/>
    <w:rsid w:val="000C1F6E"/>
    <w:rsid w:val="000D2688"/>
    <w:rsid w:val="0011512C"/>
    <w:rsid w:val="001251E3"/>
    <w:rsid w:val="001450F1"/>
    <w:rsid w:val="0014544D"/>
    <w:rsid w:val="001C3586"/>
    <w:rsid w:val="001E6F8F"/>
    <w:rsid w:val="001F06E7"/>
    <w:rsid w:val="0022271E"/>
    <w:rsid w:val="002849CA"/>
    <w:rsid w:val="002E006C"/>
    <w:rsid w:val="00361EFA"/>
    <w:rsid w:val="003A7716"/>
    <w:rsid w:val="003B44BF"/>
    <w:rsid w:val="003D7EB4"/>
    <w:rsid w:val="003F441C"/>
    <w:rsid w:val="00496BD2"/>
    <w:rsid w:val="0052466F"/>
    <w:rsid w:val="00542129"/>
    <w:rsid w:val="0054764C"/>
    <w:rsid w:val="00547B95"/>
    <w:rsid w:val="005C65C2"/>
    <w:rsid w:val="00606DED"/>
    <w:rsid w:val="00623F8D"/>
    <w:rsid w:val="00632D08"/>
    <w:rsid w:val="0063760F"/>
    <w:rsid w:val="0064284D"/>
    <w:rsid w:val="00680868"/>
    <w:rsid w:val="006B1456"/>
    <w:rsid w:val="006B314E"/>
    <w:rsid w:val="006E2065"/>
    <w:rsid w:val="00752661"/>
    <w:rsid w:val="0076071A"/>
    <w:rsid w:val="00767C66"/>
    <w:rsid w:val="007774BD"/>
    <w:rsid w:val="00782420"/>
    <w:rsid w:val="007B2DD4"/>
    <w:rsid w:val="007B7EAD"/>
    <w:rsid w:val="00862E84"/>
    <w:rsid w:val="00887505"/>
    <w:rsid w:val="008D5A77"/>
    <w:rsid w:val="0092138F"/>
    <w:rsid w:val="00925EFC"/>
    <w:rsid w:val="009426EC"/>
    <w:rsid w:val="00A01274"/>
    <w:rsid w:val="00A03377"/>
    <w:rsid w:val="00A202DD"/>
    <w:rsid w:val="00A312B2"/>
    <w:rsid w:val="00A97F1A"/>
    <w:rsid w:val="00AB1436"/>
    <w:rsid w:val="00B121F4"/>
    <w:rsid w:val="00BA23A6"/>
    <w:rsid w:val="00C07559"/>
    <w:rsid w:val="00C338D5"/>
    <w:rsid w:val="00CF05BB"/>
    <w:rsid w:val="00D35EBA"/>
    <w:rsid w:val="00D75866"/>
    <w:rsid w:val="00E51351"/>
    <w:rsid w:val="00E56F74"/>
    <w:rsid w:val="00E77D3F"/>
    <w:rsid w:val="00E85C1E"/>
    <w:rsid w:val="00F30EF6"/>
    <w:rsid w:val="00F66D9A"/>
    <w:rsid w:val="00F745DB"/>
    <w:rsid w:val="00FA03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1EF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1EFA"/>
    <w:pPr>
      <w:keepNext/>
      <w:jc w:val="center"/>
      <w:outlineLvl w:val="0"/>
    </w:pPr>
    <w:rPr>
      <w:rFonts w:ascii="Arial" w:hAnsi="Arial"/>
      <w:b/>
      <w:bCs/>
      <w:sz w:val="16"/>
      <w:szCs w:val="15"/>
    </w:rPr>
  </w:style>
  <w:style w:type="paragraph" w:styleId="Nadpis2">
    <w:name w:val="heading 2"/>
    <w:basedOn w:val="Normln"/>
    <w:next w:val="Normln"/>
    <w:link w:val="Nadpis2Char"/>
    <w:qFormat/>
    <w:rsid w:val="0014544D"/>
    <w:pPr>
      <w:keepNext/>
      <w:jc w:val="right"/>
      <w:outlineLvl w:val="1"/>
    </w:pPr>
    <w:rPr>
      <w:rFonts w:ascii="Arial" w:hAnsi="Arial" w:cs="Arial"/>
      <w:b/>
      <w:bCs/>
      <w:sz w:val="16"/>
      <w:szCs w:val="16"/>
    </w:rPr>
  </w:style>
  <w:style w:type="paragraph" w:styleId="Nadpis3">
    <w:name w:val="heading 3"/>
    <w:basedOn w:val="Normln"/>
    <w:next w:val="Normln"/>
    <w:link w:val="Nadpis3Char"/>
    <w:qFormat/>
    <w:rsid w:val="0014544D"/>
    <w:pPr>
      <w:keepNext/>
      <w:spacing w:before="240" w:after="60"/>
      <w:jc w:val="both"/>
      <w:outlineLvl w:val="2"/>
    </w:pPr>
    <w:rPr>
      <w:rFonts w:ascii="Arial" w:hAnsi="Arial" w:cs="Arial"/>
      <w:b/>
      <w:bCs/>
      <w:sz w:val="20"/>
      <w:szCs w:val="26"/>
    </w:rPr>
  </w:style>
  <w:style w:type="paragraph" w:styleId="Nadpis4">
    <w:name w:val="heading 4"/>
    <w:basedOn w:val="Normln"/>
    <w:next w:val="Normln"/>
    <w:link w:val="Nadpis4Char"/>
    <w:qFormat/>
    <w:rsid w:val="00361EFA"/>
    <w:pPr>
      <w:keepNext/>
      <w:jc w:val="center"/>
      <w:outlineLvl w:val="3"/>
    </w:pPr>
    <w:rPr>
      <w:rFonts w:ascii="Arial" w:hAnsi="Arial" w:cs="Arial"/>
      <w:b/>
      <w:bCs/>
      <w:color w:val="000000"/>
      <w:sz w:val="16"/>
      <w:szCs w:val="16"/>
    </w:rPr>
  </w:style>
  <w:style w:type="paragraph" w:styleId="Nadpis5">
    <w:name w:val="heading 5"/>
    <w:basedOn w:val="Normln"/>
    <w:next w:val="Normln"/>
    <w:link w:val="Nadpis5Char"/>
    <w:qFormat/>
    <w:rsid w:val="0014544D"/>
    <w:pPr>
      <w:keepNext/>
      <w:jc w:val="center"/>
      <w:outlineLvl w:val="4"/>
    </w:pPr>
    <w:rPr>
      <w:rFonts w:ascii="Arial" w:hAnsi="Arial"/>
      <w:b/>
      <w:bCs/>
      <w:sz w:val="16"/>
      <w:szCs w:val="16"/>
    </w:rPr>
  </w:style>
  <w:style w:type="paragraph" w:styleId="Nadpis6">
    <w:name w:val="heading 6"/>
    <w:basedOn w:val="Normln"/>
    <w:next w:val="Normln"/>
    <w:link w:val="Nadpis6Char"/>
    <w:qFormat/>
    <w:rsid w:val="0014544D"/>
    <w:pPr>
      <w:keepNext/>
      <w:outlineLvl w:val="5"/>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61EFA"/>
    <w:rPr>
      <w:rFonts w:ascii="Arial" w:eastAsia="Times New Roman" w:hAnsi="Arial" w:cs="Times New Roman"/>
      <w:b/>
      <w:bCs/>
      <w:sz w:val="16"/>
      <w:szCs w:val="15"/>
      <w:lang w:eastAsia="cs-CZ"/>
    </w:rPr>
  </w:style>
  <w:style w:type="character" w:customStyle="1" w:styleId="Nadpis2Char">
    <w:name w:val="Nadpis 2 Char"/>
    <w:basedOn w:val="Standardnpsmoodstavce"/>
    <w:link w:val="Nadpis2"/>
    <w:rsid w:val="0014544D"/>
    <w:rPr>
      <w:rFonts w:ascii="Arial" w:eastAsia="Times New Roman" w:hAnsi="Arial" w:cs="Arial"/>
      <w:b/>
      <w:bCs/>
      <w:sz w:val="16"/>
      <w:szCs w:val="16"/>
      <w:lang w:eastAsia="cs-CZ"/>
    </w:rPr>
  </w:style>
  <w:style w:type="character" w:customStyle="1" w:styleId="Nadpis3Char">
    <w:name w:val="Nadpis 3 Char"/>
    <w:basedOn w:val="Standardnpsmoodstavce"/>
    <w:link w:val="Nadpis3"/>
    <w:rsid w:val="0014544D"/>
    <w:rPr>
      <w:rFonts w:ascii="Arial" w:eastAsia="Times New Roman" w:hAnsi="Arial" w:cs="Arial"/>
      <w:b/>
      <w:bCs/>
      <w:sz w:val="20"/>
      <w:szCs w:val="26"/>
      <w:lang w:eastAsia="cs-CZ"/>
    </w:rPr>
  </w:style>
  <w:style w:type="character" w:customStyle="1" w:styleId="Nadpis4Char">
    <w:name w:val="Nadpis 4 Char"/>
    <w:basedOn w:val="Standardnpsmoodstavce"/>
    <w:link w:val="Nadpis4"/>
    <w:rsid w:val="00361EFA"/>
    <w:rPr>
      <w:rFonts w:ascii="Arial" w:eastAsia="Times New Roman" w:hAnsi="Arial" w:cs="Arial"/>
      <w:b/>
      <w:bCs/>
      <w:color w:val="000000"/>
      <w:sz w:val="16"/>
      <w:szCs w:val="16"/>
      <w:lang w:eastAsia="cs-CZ"/>
    </w:rPr>
  </w:style>
  <w:style w:type="character" w:customStyle="1" w:styleId="Nadpis5Char">
    <w:name w:val="Nadpis 5 Char"/>
    <w:basedOn w:val="Standardnpsmoodstavce"/>
    <w:link w:val="Nadpis5"/>
    <w:rsid w:val="0014544D"/>
    <w:rPr>
      <w:rFonts w:ascii="Arial" w:eastAsia="Times New Roman" w:hAnsi="Arial" w:cs="Times New Roman"/>
      <w:b/>
      <w:bCs/>
      <w:sz w:val="16"/>
      <w:szCs w:val="16"/>
      <w:lang w:eastAsia="cs-CZ"/>
    </w:rPr>
  </w:style>
  <w:style w:type="character" w:customStyle="1" w:styleId="Nadpis6Char">
    <w:name w:val="Nadpis 6 Char"/>
    <w:basedOn w:val="Standardnpsmoodstavce"/>
    <w:link w:val="Nadpis6"/>
    <w:rsid w:val="0014544D"/>
    <w:rPr>
      <w:rFonts w:ascii="Times New Roman" w:eastAsia="Times New Roman" w:hAnsi="Times New Roman" w:cs="Times New Roman"/>
      <w:b/>
      <w:bCs/>
      <w:sz w:val="16"/>
      <w:szCs w:val="24"/>
      <w:lang w:eastAsia="cs-CZ"/>
    </w:rPr>
  </w:style>
  <w:style w:type="paragraph" w:customStyle="1" w:styleId="Nadpisvlastn1">
    <w:name w:val="Nadpis vlastní 1"/>
    <w:basedOn w:val="Normln"/>
    <w:rsid w:val="00361EFA"/>
    <w:pPr>
      <w:spacing w:after="360"/>
      <w:jc w:val="both"/>
    </w:pPr>
    <w:rPr>
      <w:rFonts w:ascii="Arial" w:hAnsi="Arial"/>
      <w:b/>
      <w:bCs/>
      <w:shadow/>
      <w:sz w:val="36"/>
      <w:szCs w:val="20"/>
    </w:rPr>
  </w:style>
  <w:style w:type="character" w:styleId="Znakapoznpodarou">
    <w:name w:val="footnote reference"/>
    <w:basedOn w:val="Standardnpsmoodstavce"/>
    <w:semiHidden/>
    <w:rsid w:val="00361EFA"/>
    <w:rPr>
      <w:vertAlign w:val="superscript"/>
    </w:rPr>
  </w:style>
  <w:style w:type="paragraph" w:customStyle="1" w:styleId="Textvlastn">
    <w:name w:val="Text vlastní"/>
    <w:basedOn w:val="Normln"/>
    <w:rsid w:val="00361EFA"/>
    <w:pPr>
      <w:spacing w:before="120"/>
      <w:jc w:val="both"/>
    </w:pPr>
    <w:rPr>
      <w:rFonts w:ascii="Arial" w:hAnsi="Arial"/>
      <w:sz w:val="18"/>
      <w:szCs w:val="20"/>
    </w:rPr>
  </w:style>
  <w:style w:type="paragraph" w:customStyle="1" w:styleId="Nadpisvlastn2">
    <w:name w:val="Nadpis vlastní 2"/>
    <w:basedOn w:val="Nadpisvlastn1"/>
    <w:rsid w:val="00361EFA"/>
    <w:pPr>
      <w:spacing w:before="360" w:after="120"/>
    </w:pPr>
    <w:rPr>
      <w:sz w:val="28"/>
    </w:rPr>
  </w:style>
  <w:style w:type="paragraph" w:styleId="Textpoznpodarou">
    <w:name w:val="footnote text"/>
    <w:basedOn w:val="Normln"/>
    <w:link w:val="TextpoznpodarouChar"/>
    <w:semiHidden/>
    <w:rsid w:val="00361EFA"/>
    <w:pPr>
      <w:jc w:val="both"/>
    </w:pPr>
    <w:rPr>
      <w:rFonts w:ascii="Arial" w:hAnsi="Arial"/>
      <w:sz w:val="16"/>
      <w:szCs w:val="20"/>
    </w:rPr>
  </w:style>
  <w:style w:type="character" w:customStyle="1" w:styleId="TextpoznpodarouChar">
    <w:name w:val="Text pozn. pod čarou Char"/>
    <w:basedOn w:val="Standardnpsmoodstavce"/>
    <w:link w:val="Textpoznpodarou"/>
    <w:semiHidden/>
    <w:rsid w:val="00361EFA"/>
    <w:rPr>
      <w:rFonts w:ascii="Arial" w:eastAsia="Times New Roman" w:hAnsi="Arial" w:cs="Times New Roman"/>
      <w:sz w:val="16"/>
      <w:szCs w:val="20"/>
      <w:lang w:eastAsia="cs-CZ"/>
    </w:rPr>
  </w:style>
  <w:style w:type="character" w:styleId="Hypertextovodkaz">
    <w:name w:val="Hyperlink"/>
    <w:basedOn w:val="Standardnpsmoodstavce"/>
    <w:semiHidden/>
    <w:rsid w:val="00361EFA"/>
    <w:rPr>
      <w:color w:val="0000FF"/>
      <w:u w:val="single"/>
    </w:rPr>
  </w:style>
  <w:style w:type="paragraph" w:styleId="Zpat">
    <w:name w:val="footer"/>
    <w:basedOn w:val="Normln"/>
    <w:link w:val="ZpatChar"/>
    <w:uiPriority w:val="99"/>
    <w:rsid w:val="00361EFA"/>
    <w:pPr>
      <w:tabs>
        <w:tab w:val="center" w:pos="4536"/>
        <w:tab w:val="right" w:pos="9072"/>
      </w:tabs>
    </w:pPr>
  </w:style>
  <w:style w:type="character" w:customStyle="1" w:styleId="ZpatChar">
    <w:name w:val="Zápatí Char"/>
    <w:basedOn w:val="Standardnpsmoodstavce"/>
    <w:link w:val="Zpat"/>
    <w:uiPriority w:val="99"/>
    <w:rsid w:val="00361EFA"/>
    <w:rPr>
      <w:rFonts w:ascii="Times New Roman" w:eastAsia="Times New Roman" w:hAnsi="Times New Roman" w:cs="Times New Roman"/>
      <w:sz w:val="24"/>
      <w:szCs w:val="24"/>
      <w:lang w:eastAsia="cs-CZ"/>
    </w:rPr>
  </w:style>
  <w:style w:type="paragraph" w:styleId="Nzev">
    <w:name w:val="Title"/>
    <w:basedOn w:val="Normln"/>
    <w:link w:val="NzevChar"/>
    <w:qFormat/>
    <w:rsid w:val="00361EFA"/>
    <w:pPr>
      <w:jc w:val="center"/>
    </w:pPr>
    <w:rPr>
      <w:rFonts w:ascii="Arial" w:hAnsi="Arial"/>
      <w:b/>
      <w:sz w:val="20"/>
      <w:szCs w:val="20"/>
    </w:rPr>
  </w:style>
  <w:style w:type="character" w:customStyle="1" w:styleId="NzevChar">
    <w:name w:val="Název Char"/>
    <w:basedOn w:val="Standardnpsmoodstavce"/>
    <w:link w:val="Nzev"/>
    <w:rsid w:val="00361EFA"/>
    <w:rPr>
      <w:rFonts w:ascii="Arial" w:eastAsia="Times New Roman" w:hAnsi="Arial" w:cs="Times New Roman"/>
      <w:b/>
      <w:sz w:val="20"/>
      <w:szCs w:val="20"/>
      <w:lang w:eastAsia="cs-CZ"/>
    </w:rPr>
  </w:style>
  <w:style w:type="paragraph" w:styleId="Zkladntextodsazen">
    <w:name w:val="Body Text Indent"/>
    <w:basedOn w:val="Normln"/>
    <w:link w:val="ZkladntextodsazenChar"/>
    <w:semiHidden/>
    <w:rsid w:val="0014544D"/>
    <w:pPr>
      <w:ind w:firstLine="720"/>
      <w:jc w:val="both"/>
    </w:pPr>
  </w:style>
  <w:style w:type="character" w:customStyle="1" w:styleId="ZkladntextodsazenChar">
    <w:name w:val="Základní text odsazený Char"/>
    <w:basedOn w:val="Standardnpsmoodstavce"/>
    <w:link w:val="Zkladntextodsazen"/>
    <w:semiHidden/>
    <w:rsid w:val="0014544D"/>
    <w:rPr>
      <w:rFonts w:ascii="Times New Roman" w:eastAsia="Times New Roman" w:hAnsi="Times New Roman" w:cs="Times New Roman"/>
      <w:sz w:val="24"/>
      <w:szCs w:val="24"/>
      <w:lang w:eastAsia="cs-CZ"/>
    </w:rPr>
  </w:style>
  <w:style w:type="paragraph" w:customStyle="1" w:styleId="xl25">
    <w:name w:val="xl25"/>
    <w:basedOn w:val="Normln"/>
    <w:rsid w:val="001454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6">
    <w:name w:val="xl26"/>
    <w:basedOn w:val="Normln"/>
    <w:rsid w:val="00145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7">
    <w:name w:val="xl27"/>
    <w:basedOn w:val="Normln"/>
    <w:rsid w:val="0014544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28">
    <w:name w:val="xl28"/>
    <w:basedOn w:val="Normln"/>
    <w:rsid w:val="001454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9">
    <w:name w:val="xl29"/>
    <w:basedOn w:val="Normln"/>
    <w:rsid w:val="001454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16"/>
      <w:szCs w:val="16"/>
    </w:rPr>
  </w:style>
  <w:style w:type="paragraph" w:customStyle="1" w:styleId="xl30">
    <w:name w:val="xl30"/>
    <w:basedOn w:val="Normln"/>
    <w:rsid w:val="0014544D"/>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pPr>
    <w:rPr>
      <w:rFonts w:ascii="Arial" w:hAnsi="Arial" w:cs="Arial"/>
      <w:sz w:val="16"/>
      <w:szCs w:val="16"/>
    </w:rPr>
  </w:style>
  <w:style w:type="paragraph" w:customStyle="1" w:styleId="xl31">
    <w:name w:val="xl31"/>
    <w:basedOn w:val="Normln"/>
    <w:rsid w:val="001454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16"/>
      <w:szCs w:val="16"/>
    </w:rPr>
  </w:style>
  <w:style w:type="paragraph" w:customStyle="1" w:styleId="xl32">
    <w:name w:val="xl32"/>
    <w:basedOn w:val="Normln"/>
    <w:rsid w:val="0014544D"/>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pPr>
    <w:rPr>
      <w:rFonts w:ascii="Arial" w:hAnsi="Arial" w:cs="Arial"/>
      <w:sz w:val="16"/>
      <w:szCs w:val="16"/>
    </w:rPr>
  </w:style>
  <w:style w:type="paragraph" w:customStyle="1" w:styleId="xl33">
    <w:name w:val="xl33"/>
    <w:basedOn w:val="Normln"/>
    <w:rsid w:val="001454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4">
    <w:name w:val="xl34"/>
    <w:basedOn w:val="Normln"/>
    <w:rsid w:val="0014544D"/>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5">
    <w:name w:val="xl35"/>
    <w:basedOn w:val="Normln"/>
    <w:rsid w:val="0014544D"/>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pPr>
    <w:rPr>
      <w:rFonts w:ascii="Arial" w:hAnsi="Arial" w:cs="Arial"/>
      <w:b/>
      <w:bCs/>
      <w:sz w:val="16"/>
      <w:szCs w:val="16"/>
    </w:rPr>
  </w:style>
  <w:style w:type="paragraph" w:customStyle="1" w:styleId="xl24">
    <w:name w:val="xl24"/>
    <w:basedOn w:val="Normln"/>
    <w:rsid w:val="0014544D"/>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6">
    <w:name w:val="xl36"/>
    <w:basedOn w:val="Normln"/>
    <w:rsid w:val="001454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7">
    <w:name w:val="xl37"/>
    <w:basedOn w:val="Normln"/>
    <w:rsid w:val="0014544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8">
    <w:name w:val="xl38"/>
    <w:basedOn w:val="Normln"/>
    <w:rsid w:val="001454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ln"/>
    <w:rsid w:val="0014544D"/>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16"/>
      <w:szCs w:val="16"/>
    </w:rPr>
  </w:style>
  <w:style w:type="paragraph" w:customStyle="1" w:styleId="xl40">
    <w:name w:val="xl40"/>
    <w:basedOn w:val="Normln"/>
    <w:rsid w:val="0014544D"/>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pPr>
    <w:rPr>
      <w:rFonts w:ascii="Arial Unicode MS" w:eastAsia="Arial Unicode MS" w:hAnsi="Arial Unicode MS" w:cs="Arial Unicode MS"/>
      <w:sz w:val="16"/>
      <w:szCs w:val="16"/>
    </w:rPr>
  </w:style>
  <w:style w:type="paragraph" w:customStyle="1" w:styleId="xl41">
    <w:name w:val="xl41"/>
    <w:basedOn w:val="Normln"/>
    <w:rsid w:val="00145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2">
    <w:name w:val="xl42"/>
    <w:basedOn w:val="Normln"/>
    <w:rsid w:val="00145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3">
    <w:name w:val="xl43"/>
    <w:basedOn w:val="Normln"/>
    <w:rsid w:val="001454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4">
    <w:name w:val="xl44"/>
    <w:basedOn w:val="Normln"/>
    <w:rsid w:val="0014544D"/>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16"/>
      <w:szCs w:val="16"/>
    </w:rPr>
  </w:style>
  <w:style w:type="paragraph" w:customStyle="1" w:styleId="xl45">
    <w:name w:val="xl45"/>
    <w:basedOn w:val="Normln"/>
    <w:rsid w:val="00145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46">
    <w:name w:val="xl46"/>
    <w:basedOn w:val="Normln"/>
    <w:rsid w:val="001454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47">
    <w:name w:val="xl47"/>
    <w:basedOn w:val="Normln"/>
    <w:rsid w:val="0014544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Unicode MS"/>
      <w:sz w:val="16"/>
      <w:szCs w:val="16"/>
    </w:rPr>
  </w:style>
  <w:style w:type="paragraph" w:customStyle="1" w:styleId="xl48">
    <w:name w:val="xl48"/>
    <w:basedOn w:val="Normln"/>
    <w:rsid w:val="0014544D"/>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pPr>
    <w:rPr>
      <w:rFonts w:ascii="Arial" w:eastAsia="Arial Unicode MS" w:hAnsi="Arial" w:cs="Arial"/>
      <w:b/>
      <w:bCs/>
      <w:color w:val="000000"/>
      <w:sz w:val="16"/>
      <w:szCs w:val="16"/>
    </w:rPr>
  </w:style>
  <w:style w:type="paragraph" w:customStyle="1" w:styleId="xl49">
    <w:name w:val="xl49"/>
    <w:basedOn w:val="Normln"/>
    <w:rsid w:val="001454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Unicode MS"/>
      <w:sz w:val="16"/>
      <w:szCs w:val="16"/>
    </w:rPr>
  </w:style>
  <w:style w:type="paragraph" w:customStyle="1" w:styleId="xl50">
    <w:name w:val="xl50"/>
    <w:basedOn w:val="Normln"/>
    <w:rsid w:val="001454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16"/>
      <w:szCs w:val="16"/>
    </w:rPr>
  </w:style>
  <w:style w:type="paragraph" w:customStyle="1" w:styleId="xl51">
    <w:name w:val="xl51"/>
    <w:basedOn w:val="Normln"/>
    <w:rsid w:val="0014544D"/>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Unicode MS"/>
      <w:b/>
      <w:bCs/>
      <w:sz w:val="16"/>
      <w:szCs w:val="16"/>
    </w:rPr>
  </w:style>
  <w:style w:type="paragraph" w:customStyle="1" w:styleId="xl52">
    <w:name w:val="xl52"/>
    <w:basedOn w:val="Normln"/>
    <w:rsid w:val="0014544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b/>
      <w:bCs/>
      <w:sz w:val="16"/>
      <w:szCs w:val="16"/>
    </w:rPr>
  </w:style>
  <w:style w:type="paragraph" w:customStyle="1" w:styleId="xl53">
    <w:name w:val="xl53"/>
    <w:basedOn w:val="Normln"/>
    <w:rsid w:val="0014544D"/>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Unicode MS"/>
      <w:sz w:val="16"/>
      <w:szCs w:val="16"/>
    </w:rPr>
  </w:style>
  <w:style w:type="paragraph" w:customStyle="1" w:styleId="xl54">
    <w:name w:val="xl54"/>
    <w:basedOn w:val="Normln"/>
    <w:rsid w:val="001454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55">
    <w:name w:val="xl55"/>
    <w:basedOn w:val="Normln"/>
    <w:rsid w:val="0014544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Unicode MS"/>
      <w:sz w:val="16"/>
      <w:szCs w:val="16"/>
    </w:rPr>
  </w:style>
  <w:style w:type="paragraph" w:customStyle="1" w:styleId="xl56">
    <w:name w:val="xl56"/>
    <w:basedOn w:val="Normln"/>
    <w:rsid w:val="0014544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57">
    <w:name w:val="xl57"/>
    <w:basedOn w:val="Normln"/>
    <w:rsid w:val="0014544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b/>
      <w:bCs/>
      <w:sz w:val="16"/>
      <w:szCs w:val="16"/>
    </w:rPr>
  </w:style>
  <w:style w:type="paragraph" w:customStyle="1" w:styleId="xl58">
    <w:name w:val="xl58"/>
    <w:basedOn w:val="Normln"/>
    <w:rsid w:val="0014544D"/>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Unicode MS"/>
      <w:b/>
      <w:bCs/>
      <w:sz w:val="16"/>
      <w:szCs w:val="16"/>
    </w:rPr>
  </w:style>
  <w:style w:type="paragraph" w:customStyle="1" w:styleId="xl59">
    <w:name w:val="xl59"/>
    <w:basedOn w:val="Normln"/>
    <w:rsid w:val="0014544D"/>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color w:val="000000"/>
    </w:rPr>
  </w:style>
  <w:style w:type="paragraph" w:customStyle="1" w:styleId="xl60">
    <w:name w:val="xl60"/>
    <w:basedOn w:val="Normln"/>
    <w:rsid w:val="0014544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6"/>
      <w:szCs w:val="16"/>
    </w:rPr>
  </w:style>
  <w:style w:type="paragraph" w:customStyle="1" w:styleId="xl61">
    <w:name w:val="xl61"/>
    <w:basedOn w:val="Normln"/>
    <w:rsid w:val="0014544D"/>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62">
    <w:name w:val="xl62"/>
    <w:basedOn w:val="Normln"/>
    <w:rsid w:val="0014544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63">
    <w:name w:val="xl63"/>
    <w:basedOn w:val="Normln"/>
    <w:rsid w:val="0014544D"/>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64">
    <w:name w:val="xl64"/>
    <w:basedOn w:val="Normln"/>
    <w:rsid w:val="0014544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65">
    <w:name w:val="xl65"/>
    <w:basedOn w:val="Normln"/>
    <w:rsid w:val="0014544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6"/>
      <w:szCs w:val="16"/>
    </w:rPr>
  </w:style>
  <w:style w:type="paragraph" w:customStyle="1" w:styleId="xl66">
    <w:name w:val="xl66"/>
    <w:basedOn w:val="Normln"/>
    <w:rsid w:val="0014544D"/>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67">
    <w:name w:val="xl67"/>
    <w:basedOn w:val="Normln"/>
    <w:rsid w:val="0014544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6"/>
      <w:szCs w:val="16"/>
    </w:rPr>
  </w:style>
  <w:style w:type="paragraph" w:customStyle="1" w:styleId="xl68">
    <w:name w:val="xl68"/>
    <w:basedOn w:val="Normln"/>
    <w:rsid w:val="0014544D"/>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69">
    <w:name w:val="xl69"/>
    <w:basedOn w:val="Normln"/>
    <w:rsid w:val="0014544D"/>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sz w:val="16"/>
      <w:szCs w:val="16"/>
    </w:rPr>
  </w:style>
  <w:style w:type="paragraph" w:customStyle="1" w:styleId="xl70">
    <w:name w:val="xl70"/>
    <w:basedOn w:val="Normln"/>
    <w:rsid w:val="0014544D"/>
    <w:pPr>
      <w:pBdr>
        <w:top w:val="single" w:sz="4" w:space="0" w:color="auto"/>
        <w:left w:val="single" w:sz="8" w:space="0" w:color="auto"/>
        <w:right w:val="single" w:sz="4" w:space="0" w:color="auto"/>
      </w:pBdr>
      <w:spacing w:before="100" w:beforeAutospacing="1" w:after="100" w:afterAutospacing="1"/>
      <w:textAlignment w:val="top"/>
    </w:pPr>
    <w:rPr>
      <w:rFonts w:ascii="Arial" w:eastAsia="Arial Unicode MS" w:hAnsi="Arial" w:cs="Arial"/>
      <w:sz w:val="16"/>
      <w:szCs w:val="16"/>
    </w:rPr>
  </w:style>
  <w:style w:type="paragraph" w:customStyle="1" w:styleId="xl71">
    <w:name w:val="xl71"/>
    <w:basedOn w:val="Normln"/>
    <w:rsid w:val="0014544D"/>
    <w:pPr>
      <w:pBdr>
        <w:left w:val="single" w:sz="8"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16"/>
      <w:szCs w:val="16"/>
    </w:rPr>
  </w:style>
  <w:style w:type="paragraph" w:customStyle="1" w:styleId="xl72">
    <w:name w:val="xl72"/>
    <w:basedOn w:val="Normln"/>
    <w:rsid w:val="0014544D"/>
    <w:pPr>
      <w:pBdr>
        <w:top w:val="single" w:sz="4" w:space="0" w:color="auto"/>
        <w:left w:val="single" w:sz="8" w:space="0" w:color="auto"/>
        <w:right w:val="single" w:sz="4" w:space="0" w:color="auto"/>
      </w:pBdr>
      <w:spacing w:before="100" w:beforeAutospacing="1" w:after="100" w:afterAutospacing="1"/>
      <w:textAlignment w:val="top"/>
    </w:pPr>
    <w:rPr>
      <w:rFonts w:ascii="Arial" w:eastAsia="Arial Unicode MS" w:hAnsi="Arial" w:cs="Arial"/>
      <w:sz w:val="16"/>
      <w:szCs w:val="16"/>
    </w:rPr>
  </w:style>
  <w:style w:type="paragraph" w:customStyle="1" w:styleId="xl73">
    <w:name w:val="xl73"/>
    <w:basedOn w:val="Normln"/>
    <w:rsid w:val="0014544D"/>
    <w:pPr>
      <w:pBdr>
        <w:left w:val="single" w:sz="8" w:space="0" w:color="auto"/>
        <w:right w:val="single" w:sz="4" w:space="0" w:color="auto"/>
      </w:pBdr>
      <w:spacing w:before="100" w:beforeAutospacing="1" w:after="100" w:afterAutospacing="1"/>
      <w:textAlignment w:val="top"/>
    </w:pPr>
    <w:rPr>
      <w:rFonts w:ascii="Arial" w:eastAsia="Arial Unicode MS" w:hAnsi="Arial" w:cs="Arial"/>
      <w:sz w:val="16"/>
      <w:szCs w:val="16"/>
    </w:rPr>
  </w:style>
  <w:style w:type="paragraph" w:customStyle="1" w:styleId="xl74">
    <w:name w:val="xl74"/>
    <w:basedOn w:val="Normln"/>
    <w:rsid w:val="0014544D"/>
    <w:pPr>
      <w:pBdr>
        <w:left w:val="single" w:sz="8"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16"/>
      <w:szCs w:val="16"/>
    </w:rPr>
  </w:style>
  <w:style w:type="paragraph" w:customStyle="1" w:styleId="xl75">
    <w:name w:val="xl75"/>
    <w:basedOn w:val="Normln"/>
    <w:rsid w:val="0014544D"/>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6">
    <w:name w:val="xl76"/>
    <w:basedOn w:val="Normln"/>
    <w:rsid w:val="0014544D"/>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w:sz w:val="16"/>
      <w:szCs w:val="16"/>
    </w:rPr>
  </w:style>
  <w:style w:type="paragraph" w:customStyle="1" w:styleId="xl77">
    <w:name w:val="xl77"/>
    <w:basedOn w:val="Normln"/>
    <w:rsid w:val="0014544D"/>
    <w:pPr>
      <w:pBdr>
        <w:left w:val="single" w:sz="4" w:space="0" w:color="auto"/>
        <w:right w:val="single" w:sz="4" w:space="0" w:color="auto"/>
      </w:pBdr>
      <w:spacing w:before="100" w:beforeAutospacing="1" w:after="100" w:afterAutospacing="1"/>
      <w:textAlignment w:val="top"/>
    </w:pPr>
    <w:rPr>
      <w:rFonts w:ascii="Arial" w:eastAsia="Arial Unicode MS" w:hAnsi="Arial" w:cs="Arial"/>
      <w:sz w:val="16"/>
      <w:szCs w:val="16"/>
    </w:rPr>
  </w:style>
  <w:style w:type="paragraph" w:customStyle="1" w:styleId="xl78">
    <w:name w:val="xl78"/>
    <w:basedOn w:val="Normln"/>
    <w:rsid w:val="0014544D"/>
    <w:pPr>
      <w:pBdr>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16"/>
      <w:szCs w:val="16"/>
    </w:rPr>
  </w:style>
  <w:style w:type="character" w:styleId="slostrnky">
    <w:name w:val="page number"/>
    <w:basedOn w:val="Standardnpsmoodstavce"/>
    <w:semiHidden/>
    <w:rsid w:val="0014544D"/>
  </w:style>
  <w:style w:type="paragraph" w:styleId="Zkladntext">
    <w:name w:val="Body Text"/>
    <w:basedOn w:val="Normln"/>
    <w:link w:val="ZkladntextChar"/>
    <w:semiHidden/>
    <w:rsid w:val="0014544D"/>
    <w:pPr>
      <w:jc w:val="both"/>
    </w:pPr>
  </w:style>
  <w:style w:type="character" w:customStyle="1" w:styleId="ZkladntextChar">
    <w:name w:val="Základní text Char"/>
    <w:basedOn w:val="Standardnpsmoodstavce"/>
    <w:link w:val="Zkladntext"/>
    <w:semiHidden/>
    <w:rsid w:val="0014544D"/>
    <w:rPr>
      <w:rFonts w:ascii="Times New Roman" w:eastAsia="Times New Roman" w:hAnsi="Times New Roman" w:cs="Times New Roman"/>
      <w:sz w:val="24"/>
      <w:szCs w:val="24"/>
      <w:lang w:eastAsia="cs-CZ"/>
    </w:rPr>
  </w:style>
  <w:style w:type="paragraph" w:styleId="Obsah1">
    <w:name w:val="toc 1"/>
    <w:basedOn w:val="Normln"/>
    <w:next w:val="Normln"/>
    <w:autoRedefine/>
    <w:semiHidden/>
    <w:rsid w:val="0014544D"/>
  </w:style>
  <w:style w:type="paragraph" w:styleId="Obsah2">
    <w:name w:val="toc 2"/>
    <w:basedOn w:val="Normln"/>
    <w:next w:val="Normln"/>
    <w:autoRedefine/>
    <w:semiHidden/>
    <w:rsid w:val="0014544D"/>
    <w:pPr>
      <w:ind w:left="240"/>
    </w:pPr>
  </w:style>
  <w:style w:type="paragraph" w:styleId="Obsah3">
    <w:name w:val="toc 3"/>
    <w:basedOn w:val="Normln"/>
    <w:next w:val="Normln"/>
    <w:autoRedefine/>
    <w:semiHidden/>
    <w:rsid w:val="0014544D"/>
    <w:pPr>
      <w:ind w:left="480"/>
    </w:pPr>
  </w:style>
  <w:style w:type="paragraph" w:styleId="Obsah4">
    <w:name w:val="toc 4"/>
    <w:basedOn w:val="Normln"/>
    <w:next w:val="Normln"/>
    <w:autoRedefine/>
    <w:semiHidden/>
    <w:rsid w:val="0014544D"/>
    <w:pPr>
      <w:ind w:left="720"/>
    </w:pPr>
  </w:style>
  <w:style w:type="paragraph" w:styleId="Obsah5">
    <w:name w:val="toc 5"/>
    <w:basedOn w:val="Normln"/>
    <w:next w:val="Normln"/>
    <w:autoRedefine/>
    <w:semiHidden/>
    <w:rsid w:val="0014544D"/>
    <w:pPr>
      <w:ind w:left="960"/>
    </w:pPr>
  </w:style>
  <w:style w:type="paragraph" w:styleId="Obsah6">
    <w:name w:val="toc 6"/>
    <w:basedOn w:val="Normln"/>
    <w:next w:val="Normln"/>
    <w:autoRedefine/>
    <w:semiHidden/>
    <w:rsid w:val="0014544D"/>
    <w:pPr>
      <w:ind w:left="1200"/>
    </w:pPr>
  </w:style>
  <w:style w:type="paragraph" w:styleId="Obsah7">
    <w:name w:val="toc 7"/>
    <w:basedOn w:val="Normln"/>
    <w:next w:val="Normln"/>
    <w:autoRedefine/>
    <w:semiHidden/>
    <w:rsid w:val="0014544D"/>
    <w:pPr>
      <w:ind w:left="1440"/>
    </w:pPr>
  </w:style>
  <w:style w:type="paragraph" w:styleId="Obsah8">
    <w:name w:val="toc 8"/>
    <w:basedOn w:val="Normln"/>
    <w:next w:val="Normln"/>
    <w:autoRedefine/>
    <w:semiHidden/>
    <w:rsid w:val="0014544D"/>
    <w:pPr>
      <w:ind w:left="1680"/>
    </w:pPr>
  </w:style>
  <w:style w:type="paragraph" w:styleId="Obsah9">
    <w:name w:val="toc 9"/>
    <w:basedOn w:val="Normln"/>
    <w:next w:val="Normln"/>
    <w:autoRedefine/>
    <w:semiHidden/>
    <w:rsid w:val="0014544D"/>
    <w:pPr>
      <w:ind w:left="1920"/>
    </w:pPr>
  </w:style>
  <w:style w:type="paragraph" w:styleId="Zhlav">
    <w:name w:val="header"/>
    <w:basedOn w:val="Normln"/>
    <w:link w:val="ZhlavChar"/>
    <w:semiHidden/>
    <w:rsid w:val="0014544D"/>
    <w:pPr>
      <w:tabs>
        <w:tab w:val="center" w:pos="4536"/>
        <w:tab w:val="right" w:pos="9072"/>
      </w:tabs>
    </w:pPr>
  </w:style>
  <w:style w:type="character" w:customStyle="1" w:styleId="ZhlavChar">
    <w:name w:val="Záhlaví Char"/>
    <w:basedOn w:val="Standardnpsmoodstavce"/>
    <w:link w:val="Zhlav"/>
    <w:semiHidden/>
    <w:rsid w:val="0014544D"/>
    <w:rPr>
      <w:rFonts w:ascii="Times New Roman" w:eastAsia="Times New Roman" w:hAnsi="Times New Roman" w:cs="Times New Roman"/>
      <w:sz w:val="24"/>
      <w:szCs w:val="24"/>
      <w:lang w:eastAsia="cs-CZ"/>
    </w:rPr>
  </w:style>
  <w:style w:type="character" w:styleId="Sledovanodkaz">
    <w:name w:val="FollowedHyperlink"/>
    <w:basedOn w:val="Standardnpsmoodstavce"/>
    <w:semiHidden/>
    <w:rsid w:val="0014544D"/>
    <w:rPr>
      <w:color w:val="800080"/>
      <w:u w:val="single"/>
    </w:rPr>
  </w:style>
  <w:style w:type="paragraph" w:customStyle="1" w:styleId="normalnsodrkami">
    <w:name w:val="normalní s odrážkami"/>
    <w:basedOn w:val="Normln"/>
    <w:rsid w:val="0014544D"/>
    <w:pPr>
      <w:numPr>
        <w:numId w:val="43"/>
      </w:numPr>
      <w:jc w:val="both"/>
    </w:pPr>
    <w:rPr>
      <w:rFonts w:ascii="Arial" w:hAnsi="Arial"/>
      <w:sz w:val="20"/>
    </w:rPr>
  </w:style>
  <w:style w:type="paragraph" w:styleId="Zkladntext2">
    <w:name w:val="Body Text 2"/>
    <w:basedOn w:val="Normln"/>
    <w:link w:val="Zkladntext2Char"/>
    <w:semiHidden/>
    <w:rsid w:val="0014544D"/>
    <w:pPr>
      <w:jc w:val="both"/>
    </w:pPr>
    <w:rPr>
      <w:rFonts w:ascii="Arial" w:hAnsi="Arial" w:cs="Arial"/>
      <w:sz w:val="20"/>
    </w:rPr>
  </w:style>
  <w:style w:type="character" w:customStyle="1" w:styleId="Zkladntext2Char">
    <w:name w:val="Základní text 2 Char"/>
    <w:basedOn w:val="Standardnpsmoodstavce"/>
    <w:link w:val="Zkladntext2"/>
    <w:semiHidden/>
    <w:rsid w:val="0014544D"/>
    <w:rPr>
      <w:rFonts w:ascii="Arial" w:eastAsia="Times New Roman" w:hAnsi="Arial" w:cs="Arial"/>
      <w:sz w:val="20"/>
      <w:szCs w:val="24"/>
      <w:lang w:eastAsia="cs-CZ"/>
    </w:rPr>
  </w:style>
  <w:style w:type="paragraph" w:customStyle="1" w:styleId="Default">
    <w:name w:val="Default"/>
    <w:rsid w:val="0014544D"/>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3">
    <w:name w:val="Body Text 3"/>
    <w:basedOn w:val="Normln"/>
    <w:link w:val="Zkladntext3Char"/>
    <w:semiHidden/>
    <w:rsid w:val="0014544D"/>
    <w:rPr>
      <w:rFonts w:ascii="Arial" w:hAnsi="Arial" w:cs="Arial"/>
      <w:sz w:val="20"/>
    </w:rPr>
  </w:style>
  <w:style w:type="character" w:customStyle="1" w:styleId="Zkladntext3Char">
    <w:name w:val="Základní text 3 Char"/>
    <w:basedOn w:val="Standardnpsmoodstavce"/>
    <w:link w:val="Zkladntext3"/>
    <w:semiHidden/>
    <w:rsid w:val="0014544D"/>
    <w:rPr>
      <w:rFonts w:ascii="Arial" w:eastAsia="Times New Roman" w:hAnsi="Arial" w:cs="Arial"/>
      <w:sz w:val="20"/>
      <w:szCs w:val="24"/>
      <w:lang w:eastAsia="cs-CZ"/>
    </w:rPr>
  </w:style>
  <w:style w:type="paragraph" w:styleId="Textvysvtlivek">
    <w:name w:val="endnote text"/>
    <w:basedOn w:val="Normln"/>
    <w:link w:val="TextvysvtlivekChar"/>
    <w:semiHidden/>
    <w:rsid w:val="0014544D"/>
    <w:rPr>
      <w:sz w:val="20"/>
      <w:szCs w:val="20"/>
    </w:rPr>
  </w:style>
  <w:style w:type="character" w:customStyle="1" w:styleId="TextvysvtlivekChar">
    <w:name w:val="Text vysvětlivek Char"/>
    <w:basedOn w:val="Standardnpsmoodstavce"/>
    <w:link w:val="Textvysvtlivek"/>
    <w:semiHidden/>
    <w:rsid w:val="0014544D"/>
    <w:rPr>
      <w:rFonts w:ascii="Times New Roman" w:eastAsia="Times New Roman" w:hAnsi="Times New Roman" w:cs="Times New Roman"/>
      <w:sz w:val="20"/>
      <w:szCs w:val="20"/>
      <w:lang w:eastAsia="cs-CZ"/>
    </w:rPr>
  </w:style>
  <w:style w:type="character" w:styleId="Odkaznavysvtlivky">
    <w:name w:val="endnote reference"/>
    <w:basedOn w:val="Standardnpsmoodstavce"/>
    <w:semiHidden/>
    <w:rsid w:val="0014544D"/>
    <w:rPr>
      <w:vertAlign w:val="superscript"/>
    </w:rPr>
  </w:style>
  <w:style w:type="paragraph" w:styleId="Textbubliny">
    <w:name w:val="Balloon Text"/>
    <w:basedOn w:val="Normln"/>
    <w:link w:val="TextbublinyChar"/>
    <w:uiPriority w:val="99"/>
    <w:semiHidden/>
    <w:unhideWhenUsed/>
    <w:rsid w:val="0014544D"/>
    <w:rPr>
      <w:rFonts w:ascii="Tahoma" w:hAnsi="Tahoma" w:cs="Tahoma"/>
      <w:sz w:val="16"/>
      <w:szCs w:val="16"/>
    </w:rPr>
  </w:style>
  <w:style w:type="character" w:customStyle="1" w:styleId="TextbublinyChar">
    <w:name w:val="Text bubliny Char"/>
    <w:basedOn w:val="Standardnpsmoodstavce"/>
    <w:link w:val="Textbubliny"/>
    <w:uiPriority w:val="99"/>
    <w:semiHidden/>
    <w:rsid w:val="0014544D"/>
    <w:rPr>
      <w:rFonts w:ascii="Tahoma" w:eastAsia="Times New Roman" w:hAnsi="Tahoma" w:cs="Tahoma"/>
      <w:sz w:val="16"/>
      <w:szCs w:val="16"/>
      <w:lang w:eastAsia="cs-CZ"/>
    </w:rPr>
  </w:style>
  <w:style w:type="character" w:styleId="Siln">
    <w:name w:val="Strong"/>
    <w:basedOn w:val="Standardnpsmoodstavce"/>
    <w:uiPriority w:val="22"/>
    <w:qFormat/>
    <w:rsid w:val="0014544D"/>
    <w:rPr>
      <w:b/>
      <w:bCs/>
    </w:rPr>
  </w:style>
  <w:style w:type="character" w:customStyle="1" w:styleId="longtext1">
    <w:name w:val="long_text1"/>
    <w:basedOn w:val="Standardnpsmoodstavce"/>
    <w:rsid w:val="0014544D"/>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rvis@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zso.cz" TargetMode="External"/><Relationship Id="rId4" Type="http://schemas.openxmlformats.org/officeDocument/2006/relationships/settings" Target="settings.xml"/><Relationship Id="rId9" Type="http://schemas.openxmlformats.org/officeDocument/2006/relationships/hyperlink" Target="mailto:vladimira.kalnicka@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85171-35A3-4D18-A568-D23F42F4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2584</Words>
  <Characters>15249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kalnicka3601</dc:creator>
  <cp:keywords/>
  <dc:description/>
  <cp:lastModifiedBy>Vladimíra Kalnická</cp:lastModifiedBy>
  <cp:revision>10</cp:revision>
  <cp:lastPrinted>2014-03-11T07:26:00Z</cp:lastPrinted>
  <dcterms:created xsi:type="dcterms:W3CDTF">2013-03-18T12:22:00Z</dcterms:created>
  <dcterms:modified xsi:type="dcterms:W3CDTF">2014-03-13T13:47:00Z</dcterms:modified>
</cp:coreProperties>
</file>