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FD" w:rsidRPr="007749CC" w:rsidRDefault="00D918FD">
      <w:pPr>
        <w:pStyle w:val="Nadpis5"/>
        <w:ind w:firstLine="0"/>
        <w:rPr>
          <w:rFonts w:cs="Arial"/>
        </w:rPr>
      </w:pPr>
      <w:r w:rsidRPr="007749CC">
        <w:rPr>
          <w:rFonts w:cs="Arial"/>
        </w:rPr>
        <w:t>METODICKÉ POZNÁMKY</w:t>
      </w:r>
    </w:p>
    <w:p w:rsidR="00D918FD" w:rsidRPr="007749CC" w:rsidRDefault="00D918FD">
      <w:pPr>
        <w:jc w:val="both"/>
        <w:rPr>
          <w:rFonts w:cs="Arial"/>
          <w:sz w:val="20"/>
          <w:szCs w:val="22"/>
          <w:lang w:val="en-US"/>
        </w:rPr>
      </w:pPr>
    </w:p>
    <w:p w:rsidR="00D918FD" w:rsidRPr="007749CC" w:rsidRDefault="00D918FD">
      <w:pPr>
        <w:jc w:val="both"/>
        <w:rPr>
          <w:rFonts w:cs="Arial"/>
          <w:sz w:val="20"/>
        </w:rPr>
      </w:pPr>
      <w:r w:rsidRPr="007749CC">
        <w:rPr>
          <w:rFonts w:cs="Arial"/>
          <w:sz w:val="20"/>
          <w:szCs w:val="22"/>
        </w:rPr>
        <w:t xml:space="preserve">Veškeré údaje se týkají všech </w:t>
      </w:r>
      <w:r w:rsidRPr="007749CC">
        <w:rPr>
          <w:rFonts w:cs="Arial"/>
          <w:sz w:val="20"/>
        </w:rPr>
        <w:t xml:space="preserve">obyvatel, kteří mají v ČR trvalé bydliště, a to bez ohledu na státní občanství. Od r. 2001 (v návaznosti na sčítání lidu, domů a bytů 2001) údaje zahrnují také cizince s vízy nad 90 dnů (podle zákona č. 326/1999 Sb., o pobytu cizinců) a cizince s přiznaným azylem (podle zákona č. 325/1999 Sb., o azylu). Od 1. 5. 2004, v návaznosti na tzv. </w:t>
      </w:r>
      <w:proofErr w:type="spellStart"/>
      <w:r w:rsidR="005A4B57">
        <w:rPr>
          <w:rFonts w:cs="Arial"/>
          <w:sz w:val="20"/>
        </w:rPr>
        <w:t>e</w:t>
      </w:r>
      <w:r w:rsidRPr="007749CC">
        <w:rPr>
          <w:rFonts w:cs="Arial"/>
          <w:sz w:val="20"/>
        </w:rPr>
        <w:t>uronovelu</w:t>
      </w:r>
      <w:proofErr w:type="spellEnd"/>
      <w:r w:rsidRPr="007749CC">
        <w:rPr>
          <w:rFonts w:cs="Arial"/>
          <w:sz w:val="20"/>
        </w:rPr>
        <w:t xml:space="preserve"> zákona č. 326/1999 Sb., o pobytu cizinců, se údaje týkají </w:t>
      </w:r>
      <w:r w:rsidR="00FF7759" w:rsidRPr="007749CC">
        <w:rPr>
          <w:rFonts w:cs="Arial"/>
          <w:sz w:val="20"/>
        </w:rPr>
        <w:t xml:space="preserve">též </w:t>
      </w:r>
      <w:r w:rsidRPr="007749CC">
        <w:rPr>
          <w:rFonts w:cs="Arial"/>
          <w:sz w:val="20"/>
        </w:rPr>
        <w:t>občanů zemí EU s přechodným pobytem na území ČR a občanů třetích zemí s dlouhodobým pobytem. Údaje zohledňují rovněž události (sňatky, narození a úmrtí) občanů s trvalým pobytem na území ČR, které nastaly v cizině.</w:t>
      </w:r>
    </w:p>
    <w:p w:rsidR="00D918FD" w:rsidRPr="007749CC" w:rsidRDefault="00D918FD">
      <w:pPr>
        <w:jc w:val="both"/>
        <w:rPr>
          <w:rFonts w:cs="Arial"/>
          <w:sz w:val="20"/>
        </w:rPr>
      </w:pPr>
    </w:p>
    <w:p w:rsidR="00D918FD" w:rsidRPr="007749CC" w:rsidRDefault="00D918FD">
      <w:pPr>
        <w:pStyle w:val="Zkladntext3"/>
        <w:rPr>
          <w:rFonts w:cs="Arial"/>
        </w:rPr>
      </w:pPr>
      <w:r w:rsidRPr="007749CC">
        <w:rPr>
          <w:rFonts w:cs="Arial"/>
        </w:rPr>
        <w:t xml:space="preserve">Územní členění výsledků zpracování za kraje a </w:t>
      </w:r>
      <w:r w:rsidR="00140FEA">
        <w:rPr>
          <w:rFonts w:cs="Arial"/>
        </w:rPr>
        <w:t>regiony soudržnosti</w:t>
      </w:r>
      <w:r w:rsidRPr="007749CC">
        <w:rPr>
          <w:rFonts w:cs="Arial"/>
        </w:rPr>
        <w:t xml:space="preserve"> důsledně respektuje ústavní zákon č. 347/1997 Sb., o vytvoření VÚSC v platném znění, zákon č. 387/2004 Sb., o změnách hranic krajů a klasifikaci CZ-NUTS, zavedenou opatřením ČSÚ ze dne 27. 4. 1999. Od 1. 1. 2008 je úroveň okresů NUTS 4 nahrazena, v souladu se systémem </w:t>
      </w:r>
      <w:proofErr w:type="spellStart"/>
      <w:r w:rsidRPr="007749CC">
        <w:rPr>
          <w:rFonts w:cs="Arial"/>
        </w:rPr>
        <w:t>Eurostatu</w:t>
      </w:r>
      <w:proofErr w:type="spellEnd"/>
      <w:r w:rsidRPr="007749CC">
        <w:rPr>
          <w:rFonts w:cs="Arial"/>
        </w:rPr>
        <w:t>, klasifikací LAU (</w:t>
      </w:r>
      <w:proofErr w:type="spellStart"/>
      <w:r w:rsidRPr="007749CC">
        <w:rPr>
          <w:rFonts w:cs="Arial"/>
        </w:rPr>
        <w:t>Local</w:t>
      </w:r>
      <w:proofErr w:type="spellEnd"/>
      <w:r w:rsidRPr="007749CC">
        <w:rPr>
          <w:rFonts w:cs="Arial"/>
        </w:rPr>
        <w:t xml:space="preserve"> </w:t>
      </w:r>
      <w:proofErr w:type="spellStart"/>
      <w:r w:rsidRPr="007749CC">
        <w:rPr>
          <w:rFonts w:cs="Arial"/>
        </w:rPr>
        <w:t>Administrative</w:t>
      </w:r>
      <w:proofErr w:type="spellEnd"/>
      <w:r w:rsidRPr="007749CC">
        <w:rPr>
          <w:rFonts w:cs="Arial"/>
        </w:rPr>
        <w:t xml:space="preserve"> </w:t>
      </w:r>
      <w:proofErr w:type="spellStart"/>
      <w:r w:rsidRPr="007749CC">
        <w:rPr>
          <w:rFonts w:cs="Arial"/>
        </w:rPr>
        <w:t>Units</w:t>
      </w:r>
      <w:proofErr w:type="spellEnd"/>
      <w:r w:rsidRPr="007749CC">
        <w:rPr>
          <w:rFonts w:cs="Arial"/>
        </w:rPr>
        <w:t>), konkrétně úrovní LAU 1. Veškeré územní členění odpovídá stavu platnému k 1. 1. daného roku.</w:t>
      </w:r>
    </w:p>
    <w:p w:rsidR="00D918FD" w:rsidRPr="007749CC" w:rsidRDefault="00D918FD">
      <w:pPr>
        <w:pStyle w:val="Zkladntextodsazen2"/>
        <w:ind w:firstLine="0"/>
        <w:rPr>
          <w:rFonts w:cs="Arial"/>
          <w:bCs/>
          <w:sz w:val="20"/>
          <w:szCs w:val="22"/>
        </w:rPr>
      </w:pPr>
    </w:p>
    <w:p w:rsidR="00D918FD" w:rsidRPr="007749CC" w:rsidRDefault="00D918FD">
      <w:pPr>
        <w:pStyle w:val="Zkladntextodsazen2"/>
        <w:ind w:firstLine="0"/>
        <w:rPr>
          <w:rFonts w:cs="Arial"/>
          <w:color w:val="FF0000"/>
          <w:sz w:val="20"/>
        </w:rPr>
      </w:pPr>
      <w:r w:rsidRPr="007749CC">
        <w:rPr>
          <w:rFonts w:cs="Arial"/>
          <w:bCs/>
          <w:sz w:val="20"/>
          <w:szCs w:val="22"/>
        </w:rPr>
        <w:t>Ve všech tabulkách se věkem (v letech, měsících, týdnech, dnech) rozumí dokončený věk.</w:t>
      </w:r>
    </w:p>
    <w:p w:rsidR="00D918FD" w:rsidRPr="007749CC" w:rsidRDefault="00D918FD">
      <w:pPr>
        <w:jc w:val="both"/>
        <w:rPr>
          <w:rFonts w:cs="Arial"/>
          <w:sz w:val="20"/>
          <w:szCs w:val="22"/>
        </w:rPr>
      </w:pPr>
    </w:p>
    <w:p w:rsidR="00D918FD" w:rsidRPr="007749CC" w:rsidRDefault="00D918FD">
      <w:pPr>
        <w:jc w:val="both"/>
        <w:rPr>
          <w:rFonts w:cs="Arial"/>
          <w:sz w:val="20"/>
          <w:szCs w:val="22"/>
        </w:rPr>
      </w:pPr>
    </w:p>
    <w:p w:rsidR="00D918FD" w:rsidRPr="007749CC" w:rsidRDefault="00D918FD">
      <w:pPr>
        <w:pStyle w:val="Nadpis3"/>
        <w:pageBreakBefore w:val="0"/>
        <w:rPr>
          <w:rFonts w:cs="Arial"/>
        </w:rPr>
      </w:pPr>
      <w:r w:rsidRPr="007749CC">
        <w:rPr>
          <w:rFonts w:cs="Arial"/>
        </w:rPr>
        <w:t>Pohyb obyvatelstva v ČR v letech 1921–201</w:t>
      </w:r>
      <w:r w:rsidR="00185C4C" w:rsidRPr="007749CC">
        <w:rPr>
          <w:rFonts w:cs="Arial"/>
        </w:rPr>
        <w:t>3</w:t>
      </w:r>
    </w:p>
    <w:p w:rsidR="007039FA" w:rsidRPr="007749CC" w:rsidRDefault="00D918FD">
      <w:pPr>
        <w:jc w:val="both"/>
        <w:rPr>
          <w:rFonts w:cs="Arial"/>
          <w:sz w:val="20"/>
          <w:szCs w:val="22"/>
        </w:rPr>
      </w:pPr>
      <w:r w:rsidRPr="007749CC">
        <w:rPr>
          <w:rFonts w:cs="Arial"/>
          <w:sz w:val="20"/>
          <w:szCs w:val="22"/>
        </w:rPr>
        <w:t xml:space="preserve">Retrospektiva pohybu obyvatelstva obsahuje události, které se odehrály na území České republiky. </w:t>
      </w:r>
    </w:p>
    <w:p w:rsidR="007039FA" w:rsidRPr="007749CC" w:rsidRDefault="007D374C" w:rsidP="007039FA">
      <w:pPr>
        <w:pStyle w:val="Normlnweb"/>
        <w:spacing w:before="0" w:beforeAutospacing="0" w:after="0" w:afterAutospacing="0"/>
        <w:jc w:val="both"/>
        <w:rPr>
          <w:rFonts w:ascii="Arial" w:hAnsi="Arial" w:cs="Arial"/>
          <w:sz w:val="20"/>
        </w:rPr>
      </w:pPr>
      <w:r w:rsidRPr="007749CC">
        <w:rPr>
          <w:rFonts w:ascii="Arial" w:hAnsi="Arial" w:cs="Arial"/>
          <w:sz w:val="20"/>
        </w:rPr>
        <w:t>V</w:t>
      </w:r>
      <w:r w:rsidR="007039FA" w:rsidRPr="007749CC">
        <w:rPr>
          <w:rFonts w:ascii="Arial" w:hAnsi="Arial" w:cs="Arial"/>
          <w:sz w:val="20"/>
        </w:rPr>
        <w:t>yhláška Ministerstva zdravotnictví ČSR č. 11/1988</w:t>
      </w:r>
      <w:r w:rsidR="007749CC" w:rsidRPr="007749CC">
        <w:rPr>
          <w:rFonts w:ascii="Arial" w:hAnsi="Arial" w:cs="Arial"/>
          <w:sz w:val="20"/>
        </w:rPr>
        <w:t xml:space="preserve"> Sb.</w:t>
      </w:r>
      <w:r w:rsidR="007039FA" w:rsidRPr="007749CC">
        <w:rPr>
          <w:rFonts w:ascii="Arial" w:hAnsi="Arial" w:cs="Arial"/>
          <w:sz w:val="20"/>
        </w:rPr>
        <w:t xml:space="preserve">, o povinném hlášení ukončení těhotenství, úmrtí dítěte a úmrtí matky, </w:t>
      </w:r>
      <w:r w:rsidRPr="007749CC">
        <w:rPr>
          <w:rFonts w:ascii="Arial" w:hAnsi="Arial" w:cs="Arial"/>
          <w:sz w:val="20"/>
        </w:rPr>
        <w:t xml:space="preserve">platná od 1. 3. 1988 do 1. 4. 2012, </w:t>
      </w:r>
      <w:r w:rsidR="007039FA" w:rsidRPr="007749CC">
        <w:rPr>
          <w:rFonts w:ascii="Arial" w:hAnsi="Arial" w:cs="Arial"/>
          <w:sz w:val="20"/>
        </w:rPr>
        <w:t xml:space="preserve">definovala narození živého a mrtvého dítěte jako: „Narozením živého dítěte se rozumí jeho úplné vypuzení nebo vynětí z těla matčina, jestliže projevuje alespoň jednu ze známek života a má porodní hmotnosti a) 500 g a vyšší anebo b) nižší než 500 g a přežije-li 24 hodin po porodu. Známkami života se rozumějí dech nebo akce srdeční nebo pulsace pupečníku nebo aktivní pohyb svalstva, i když pupečník nebyl přerušen nebo placenta nebyla porozena.“ „Narozením mrtvého dítěte se rozumí úplné vypuzení nebo vynětí z těla matčina, jestliže plod neprojevuje ani jednu ze známek života a má porodní hmotnost 1 000 g a vyšší.“ </w:t>
      </w:r>
    </w:p>
    <w:p w:rsidR="007749CC" w:rsidRPr="007749CC" w:rsidRDefault="007039FA" w:rsidP="007039FA">
      <w:pPr>
        <w:tabs>
          <w:tab w:val="left" w:pos="0"/>
        </w:tabs>
        <w:jc w:val="both"/>
        <w:rPr>
          <w:rFonts w:cs="Arial"/>
          <w:sz w:val="20"/>
          <w:szCs w:val="22"/>
        </w:rPr>
      </w:pPr>
      <w:r w:rsidRPr="007749CC">
        <w:rPr>
          <w:rFonts w:cs="Arial"/>
          <w:sz w:val="20"/>
        </w:rPr>
        <w:t>Stejná vyhláška definovala potrat jako: „</w:t>
      </w:r>
      <w:r w:rsidRPr="007749CC">
        <w:rPr>
          <w:rFonts w:cs="Arial"/>
          <w:sz w:val="20"/>
          <w:szCs w:val="22"/>
        </w:rPr>
        <w:t xml:space="preserve">Potratem se rozumí ukončení těhotenství ženy, při němž a) plod neprojevuje ani jednu ze známek života a jeho porodní hmotnost je nižší než 1 000 g a pokud ji nelze zjistit, jestliže těhotenství je kratší než 28 týdnů, b) plod projevuje alespoň jednu ze známek života a má porodní hmotnost nižší než 500 g, ale nepřežije 24 hodin po porodu, c) z dělohy ženy bylo vyňato plodové vejce bez plodu anebo těhotenská sliznice. Potratem se rozumí též ukončení mimoděložního těhotenství anebo umělé přerušení těhotenství provedené podle zvláštních předpisů.“ </w:t>
      </w:r>
    </w:p>
    <w:p w:rsidR="007039FA" w:rsidRPr="007749CC" w:rsidRDefault="007039FA" w:rsidP="007039FA">
      <w:pPr>
        <w:tabs>
          <w:tab w:val="left" w:pos="0"/>
        </w:tabs>
        <w:jc w:val="both"/>
        <w:rPr>
          <w:rFonts w:cs="Arial"/>
          <w:sz w:val="20"/>
          <w:szCs w:val="22"/>
        </w:rPr>
      </w:pPr>
      <w:r w:rsidRPr="007749CC">
        <w:rPr>
          <w:rFonts w:cs="Arial"/>
          <w:sz w:val="20"/>
          <w:szCs w:val="22"/>
        </w:rPr>
        <w:t>V letech 1988</w:t>
      </w:r>
      <w:r w:rsidRPr="007749CC">
        <w:rPr>
          <w:rFonts w:cs="Arial"/>
          <w:sz w:val="20"/>
        </w:rPr>
        <w:t>-</w:t>
      </w:r>
      <w:r w:rsidRPr="007749CC">
        <w:rPr>
          <w:rFonts w:cs="Arial"/>
          <w:sz w:val="20"/>
          <w:szCs w:val="22"/>
        </w:rPr>
        <w:t xml:space="preserve">1991 byla mimoděložní těhotenství zahrnuta do UPT, od roku 1992 do ostatních potratů. </w:t>
      </w:r>
    </w:p>
    <w:p w:rsidR="007039FA" w:rsidRPr="007749CC" w:rsidRDefault="00D918FD" w:rsidP="007039FA">
      <w:pPr>
        <w:tabs>
          <w:tab w:val="left" w:pos="0"/>
        </w:tabs>
        <w:jc w:val="both"/>
        <w:rPr>
          <w:rFonts w:cs="Arial"/>
          <w:sz w:val="20"/>
          <w:szCs w:val="22"/>
        </w:rPr>
      </w:pPr>
      <w:r w:rsidRPr="007749CC">
        <w:rPr>
          <w:rFonts w:cs="Arial"/>
          <w:sz w:val="20"/>
          <w:szCs w:val="22"/>
        </w:rPr>
        <w:t xml:space="preserve">Do roku 1929 byl zjišťován místo počtu zemřelých do 28 dnů počet zemřelých do 1 měsíce. </w:t>
      </w:r>
    </w:p>
    <w:p w:rsidR="00D918FD" w:rsidRPr="007749CC" w:rsidRDefault="00D918FD">
      <w:pPr>
        <w:jc w:val="both"/>
        <w:rPr>
          <w:rFonts w:cs="Arial"/>
          <w:sz w:val="20"/>
          <w:szCs w:val="22"/>
        </w:rPr>
      </w:pPr>
      <w:r w:rsidRPr="007749CC">
        <w:rPr>
          <w:rFonts w:cs="Arial"/>
          <w:sz w:val="20"/>
          <w:szCs w:val="22"/>
        </w:rPr>
        <w:t>Od 1. 7. 1954 je v zahraničním stěhování České republiky zahrnuto stěhování všech osob (včetně cizinců) s</w:t>
      </w:r>
      <w:r w:rsidR="007D374C" w:rsidRPr="007749CC">
        <w:rPr>
          <w:rFonts w:cs="Arial"/>
          <w:sz w:val="20"/>
          <w:szCs w:val="22"/>
        </w:rPr>
        <w:t> </w:t>
      </w:r>
      <w:r w:rsidRPr="007749CC">
        <w:rPr>
          <w:rFonts w:cs="Arial"/>
          <w:sz w:val="20"/>
          <w:szCs w:val="22"/>
        </w:rPr>
        <w:t xml:space="preserve">místem trvalého pobytu v České republice a od 1. 1. 2001 všech občanů ČR s trvalým pobytem na území ČR, cizinců s povolením k trvalému pobytu na území ČR, cizinců s vízem nad 90 dní a cizinců s azylem na území ČR. </w:t>
      </w:r>
      <w:r w:rsidRPr="007749CC">
        <w:rPr>
          <w:rFonts w:cs="Arial"/>
          <w:sz w:val="20"/>
        </w:rPr>
        <w:t>Od 1. 5. 2004 se údaje týkají též občanů zemí EU s přechodným pobytem na území ČR a občanů třetích zemí s dlouhodobým pobytem.</w:t>
      </w:r>
    </w:p>
    <w:p w:rsidR="00D918FD" w:rsidRPr="007749CC" w:rsidRDefault="00D918FD">
      <w:pPr>
        <w:jc w:val="both"/>
        <w:rPr>
          <w:rFonts w:cs="Arial"/>
          <w:sz w:val="20"/>
          <w:szCs w:val="22"/>
        </w:rPr>
      </w:pPr>
    </w:p>
    <w:p w:rsidR="00D918FD" w:rsidRPr="007749CC" w:rsidRDefault="00D918FD">
      <w:pPr>
        <w:keepNext/>
        <w:jc w:val="both"/>
        <w:rPr>
          <w:rFonts w:cs="Arial"/>
          <w:sz w:val="20"/>
          <w:szCs w:val="22"/>
        </w:rPr>
      </w:pPr>
      <w:r w:rsidRPr="007749CC">
        <w:rPr>
          <w:rFonts w:cs="Arial"/>
          <w:b/>
          <w:bCs w:val="0"/>
          <w:sz w:val="20"/>
          <w:szCs w:val="22"/>
        </w:rPr>
        <w:t>A. Přehled pohybu obyvatelstva</w:t>
      </w:r>
    </w:p>
    <w:p w:rsidR="00D918FD" w:rsidRPr="007749CC" w:rsidRDefault="00D918FD">
      <w:pPr>
        <w:pStyle w:val="Zkladntext3"/>
        <w:rPr>
          <w:rFonts w:cs="Arial"/>
        </w:rPr>
      </w:pPr>
      <w:r w:rsidRPr="007749CC">
        <w:rPr>
          <w:rFonts w:cs="Arial"/>
        </w:rPr>
        <w:t>Městy jsou všechny obce (</w:t>
      </w:r>
      <w:r w:rsidR="00185C4C" w:rsidRPr="007749CC">
        <w:rPr>
          <w:rFonts w:cs="Arial"/>
        </w:rPr>
        <w:t>602</w:t>
      </w:r>
      <w:r w:rsidRPr="007749CC">
        <w:rPr>
          <w:rFonts w:cs="Arial"/>
        </w:rPr>
        <w:t xml:space="preserve"> včetně Prahy), které měly k 1. 1. 201</w:t>
      </w:r>
      <w:r w:rsidR="00185C4C" w:rsidRPr="007749CC">
        <w:rPr>
          <w:rFonts w:cs="Arial"/>
        </w:rPr>
        <w:t>3</w:t>
      </w:r>
      <w:r w:rsidRPr="007749CC">
        <w:rPr>
          <w:rFonts w:cs="Arial"/>
        </w:rPr>
        <w:t xml:space="preserve"> statut města (působil v nich městský nebo magistrátní úřad).</w:t>
      </w:r>
    </w:p>
    <w:p w:rsidR="00D918FD" w:rsidRPr="007749CC" w:rsidRDefault="00D918FD">
      <w:pPr>
        <w:jc w:val="both"/>
        <w:rPr>
          <w:rFonts w:cs="Arial"/>
          <w:sz w:val="20"/>
          <w:szCs w:val="22"/>
        </w:rPr>
      </w:pPr>
      <w:r w:rsidRPr="007749CC">
        <w:rPr>
          <w:rFonts w:cs="Arial"/>
          <w:sz w:val="20"/>
          <w:szCs w:val="22"/>
        </w:rPr>
        <w:tab/>
      </w:r>
    </w:p>
    <w:p w:rsidR="00D918FD" w:rsidRPr="007749CC" w:rsidRDefault="00D918FD">
      <w:pPr>
        <w:pStyle w:val="Nadpis4"/>
        <w:rPr>
          <w:rFonts w:cs="Arial"/>
          <w:sz w:val="20"/>
        </w:rPr>
      </w:pPr>
      <w:r w:rsidRPr="007749CC">
        <w:rPr>
          <w:rFonts w:cs="Arial"/>
          <w:sz w:val="20"/>
        </w:rPr>
        <w:t>B. Sňatky</w:t>
      </w:r>
    </w:p>
    <w:p w:rsidR="00D918FD" w:rsidRPr="007749CC" w:rsidRDefault="00D918FD">
      <w:pPr>
        <w:jc w:val="both"/>
        <w:rPr>
          <w:rFonts w:cs="Arial"/>
          <w:sz w:val="20"/>
          <w:szCs w:val="22"/>
        </w:rPr>
      </w:pPr>
      <w:r w:rsidRPr="007749CC">
        <w:rPr>
          <w:rFonts w:cs="Arial"/>
          <w:sz w:val="20"/>
          <w:szCs w:val="22"/>
        </w:rPr>
        <w:t>S výjimkou tabulky B.02 jsou všechny ostatní tabulky v případě územního členění tříděny podle místa pobytu ženicha.</w:t>
      </w:r>
      <w:r w:rsidR="00185C4C" w:rsidRPr="007749CC">
        <w:rPr>
          <w:rFonts w:cs="Arial"/>
          <w:sz w:val="20"/>
          <w:szCs w:val="22"/>
        </w:rPr>
        <w:t xml:space="preserve"> </w:t>
      </w:r>
    </w:p>
    <w:p w:rsidR="007039FA" w:rsidRPr="007749CC" w:rsidRDefault="007039FA">
      <w:pPr>
        <w:jc w:val="both"/>
        <w:rPr>
          <w:rFonts w:cs="Arial"/>
          <w:sz w:val="20"/>
          <w:szCs w:val="22"/>
        </w:rPr>
      </w:pPr>
    </w:p>
    <w:p w:rsidR="00D918FD" w:rsidRPr="007749CC" w:rsidRDefault="00D918FD">
      <w:pPr>
        <w:jc w:val="both"/>
        <w:rPr>
          <w:rFonts w:cs="Arial"/>
          <w:b/>
          <w:bCs w:val="0"/>
          <w:sz w:val="20"/>
          <w:szCs w:val="22"/>
        </w:rPr>
      </w:pPr>
      <w:r w:rsidRPr="007749CC">
        <w:rPr>
          <w:rFonts w:cs="Arial"/>
          <w:b/>
          <w:bCs w:val="0"/>
          <w:sz w:val="20"/>
          <w:szCs w:val="22"/>
        </w:rPr>
        <w:t>D. Narození</w:t>
      </w:r>
    </w:p>
    <w:p w:rsidR="00D918FD" w:rsidRPr="007749CC" w:rsidRDefault="00D918FD">
      <w:pPr>
        <w:pStyle w:val="Zkladntext"/>
        <w:jc w:val="both"/>
        <w:rPr>
          <w:rFonts w:cs="Arial"/>
          <w:bCs w:val="0"/>
          <w:sz w:val="20"/>
          <w:lang w:val="cs-CZ"/>
        </w:rPr>
      </w:pPr>
      <w:r w:rsidRPr="007749CC">
        <w:rPr>
          <w:rStyle w:val="Zvraznn"/>
          <w:rFonts w:cs="Arial"/>
          <w:bCs w:val="0"/>
          <w:i w:val="0"/>
          <w:iCs w:val="0"/>
          <w:sz w:val="20"/>
          <w:szCs w:val="20"/>
          <w:lang w:val="cs-CZ"/>
        </w:rPr>
        <w:t>Obecné definice pojmů narození živého dítěte a narození mrtvého dítěte platná legislativa (v době vydání této publikace) neobsahuje. Tyto d</w:t>
      </w:r>
      <w:r w:rsidRPr="007749CC">
        <w:rPr>
          <w:rStyle w:val="Zvraznn"/>
          <w:rFonts w:cs="Arial"/>
          <w:bCs w:val="0"/>
          <w:i w:val="0"/>
          <w:iCs w:val="0"/>
          <w:sz w:val="20"/>
          <w:lang w:val="cs-CZ"/>
        </w:rPr>
        <w:t>efinice, spolu se všemi případy potratu, jsou uvedeny pouze v pokynech k vyplnění Listu o prohlídce zemřelého (v</w:t>
      </w:r>
      <w:r w:rsidR="008D2195" w:rsidRPr="007749CC">
        <w:rPr>
          <w:rStyle w:val="Zvraznn"/>
          <w:rFonts w:cs="Arial"/>
          <w:bCs w:val="0"/>
          <w:i w:val="0"/>
          <w:iCs w:val="0"/>
          <w:sz w:val="20"/>
          <w:lang w:val="cs-CZ"/>
        </w:rPr>
        <w:t>e</w:t>
      </w:r>
      <w:r w:rsidRPr="007749CC">
        <w:rPr>
          <w:rStyle w:val="Zvraznn"/>
          <w:rFonts w:cs="Arial"/>
          <w:bCs w:val="0"/>
          <w:i w:val="0"/>
          <w:iCs w:val="0"/>
          <w:sz w:val="20"/>
          <w:lang w:val="cs-CZ"/>
        </w:rPr>
        <w:t> vyhlášce</w:t>
      </w:r>
      <w:r w:rsidR="008D2195" w:rsidRPr="007749CC">
        <w:rPr>
          <w:rStyle w:val="Zvraznn"/>
          <w:rFonts w:cs="Arial"/>
          <w:bCs w:val="0"/>
          <w:i w:val="0"/>
          <w:iCs w:val="0"/>
          <w:sz w:val="20"/>
          <w:lang w:val="cs-CZ"/>
        </w:rPr>
        <w:t xml:space="preserve"> č. 297/2012</w:t>
      </w:r>
      <w:r w:rsidR="007749CC" w:rsidRPr="007749CC">
        <w:rPr>
          <w:rStyle w:val="Zvraznn"/>
          <w:rFonts w:cs="Arial"/>
          <w:bCs w:val="0"/>
          <w:i w:val="0"/>
          <w:iCs w:val="0"/>
          <w:sz w:val="20"/>
          <w:lang w:val="cs-CZ"/>
        </w:rPr>
        <w:t xml:space="preserve"> Sb.</w:t>
      </w:r>
      <w:r w:rsidR="006A0DDE" w:rsidRPr="007749CC">
        <w:rPr>
          <w:rStyle w:val="Zvraznn"/>
          <w:rFonts w:cs="Arial"/>
          <w:bCs w:val="0"/>
          <w:i w:val="0"/>
          <w:iCs w:val="0"/>
          <w:sz w:val="20"/>
          <w:lang w:val="cs-CZ"/>
        </w:rPr>
        <w:t>,</w:t>
      </w:r>
      <w:r w:rsidR="008D2195" w:rsidRPr="007749CC">
        <w:rPr>
          <w:rStyle w:val="Zvraznn"/>
          <w:rFonts w:cs="Arial"/>
          <w:bCs w:val="0"/>
          <w:i w:val="0"/>
          <w:iCs w:val="0"/>
          <w:sz w:val="20"/>
          <w:lang w:val="cs-CZ"/>
        </w:rPr>
        <w:t xml:space="preserve"> o náležitostech Listu o prohlídce zemřelého, způsobu jeho vyplňování a předávání místům určení, a o náležitostech hlášení ukončení těhotenství porodem mrtvého dítěte, o úmrtí dítěte a hlášení o úmrtí matky (vyhláška o Listu o prohlídce zemřelého)</w:t>
      </w:r>
      <w:r w:rsidRPr="007749CC">
        <w:rPr>
          <w:rStyle w:val="Zvraznn"/>
          <w:rFonts w:cs="Arial"/>
          <w:bCs w:val="0"/>
          <w:i w:val="0"/>
          <w:iCs w:val="0"/>
          <w:sz w:val="20"/>
          <w:lang w:val="cs-CZ"/>
        </w:rPr>
        <w:t>) a to pro potřeby vyplnění tohoto listu. Mrtvě narozené dítě je rovněž definováno v</w:t>
      </w:r>
      <w:r w:rsidR="007D374C" w:rsidRPr="007749CC">
        <w:rPr>
          <w:rStyle w:val="Zvraznn"/>
          <w:rFonts w:cs="Arial"/>
          <w:bCs w:val="0"/>
          <w:i w:val="0"/>
          <w:iCs w:val="0"/>
          <w:sz w:val="20"/>
          <w:lang w:val="cs-CZ"/>
        </w:rPr>
        <w:t> </w:t>
      </w:r>
      <w:r w:rsidRPr="007749CC">
        <w:rPr>
          <w:rStyle w:val="Zvraznn"/>
          <w:rFonts w:cs="Arial"/>
          <w:bCs w:val="0"/>
          <w:i w:val="0"/>
          <w:iCs w:val="0"/>
          <w:sz w:val="20"/>
          <w:lang w:val="cs-CZ"/>
        </w:rPr>
        <w:t>nařízení Komise (EU)</w:t>
      </w:r>
      <w:r w:rsidR="008D2195" w:rsidRPr="007749CC">
        <w:rPr>
          <w:rStyle w:val="Zvraznn"/>
          <w:rFonts w:cs="Arial"/>
          <w:bCs w:val="0"/>
          <w:i w:val="0"/>
          <w:iCs w:val="0"/>
          <w:sz w:val="20"/>
          <w:lang w:val="cs-CZ"/>
        </w:rPr>
        <w:t xml:space="preserve"> č. 328/2011</w:t>
      </w:r>
      <w:r w:rsidRPr="007749CC">
        <w:rPr>
          <w:rStyle w:val="Zvraznn"/>
          <w:rFonts w:cs="Arial"/>
          <w:bCs w:val="0"/>
          <w:i w:val="0"/>
          <w:iCs w:val="0"/>
          <w:sz w:val="20"/>
          <w:lang w:val="cs-CZ"/>
        </w:rPr>
        <w:t xml:space="preserve">, kterým se provádí nařízení Evropského parlamentu a Rady (ES) </w:t>
      </w:r>
      <w:r w:rsidR="00884B15" w:rsidRPr="007749CC">
        <w:rPr>
          <w:rStyle w:val="Zvraznn"/>
          <w:rFonts w:cs="Arial"/>
          <w:bCs w:val="0"/>
          <w:i w:val="0"/>
          <w:iCs w:val="0"/>
          <w:sz w:val="20"/>
          <w:lang w:val="cs-CZ"/>
        </w:rPr>
        <w:t>č. </w:t>
      </w:r>
      <w:r w:rsidR="008D2195" w:rsidRPr="007749CC">
        <w:rPr>
          <w:rStyle w:val="Zvraznn"/>
          <w:rFonts w:cs="Arial"/>
          <w:bCs w:val="0"/>
          <w:i w:val="0"/>
          <w:iCs w:val="0"/>
          <w:sz w:val="20"/>
          <w:lang w:val="cs-CZ"/>
        </w:rPr>
        <w:t xml:space="preserve">1338/2008 </w:t>
      </w:r>
      <w:r w:rsidRPr="007749CC">
        <w:rPr>
          <w:rStyle w:val="Zvraznn"/>
          <w:rFonts w:cs="Arial"/>
          <w:bCs w:val="0"/>
          <w:i w:val="0"/>
          <w:iCs w:val="0"/>
          <w:sz w:val="20"/>
          <w:lang w:val="cs-CZ"/>
        </w:rPr>
        <w:t>o statistice Společenství v oblasti veřejného zdraví a bezpečnosti a ochrany zdraví při práci, pokud jde o statistiky příčin smrti, a to pro účely tohoto nařízení.</w:t>
      </w:r>
    </w:p>
    <w:p w:rsidR="00D918FD" w:rsidRPr="007749CC" w:rsidRDefault="00D918FD">
      <w:pPr>
        <w:jc w:val="both"/>
        <w:rPr>
          <w:rFonts w:cs="Arial"/>
          <w:sz w:val="20"/>
          <w:szCs w:val="22"/>
        </w:rPr>
      </w:pPr>
    </w:p>
    <w:p w:rsidR="00D918FD" w:rsidRPr="007749CC" w:rsidRDefault="007D374C">
      <w:pPr>
        <w:jc w:val="both"/>
        <w:rPr>
          <w:rFonts w:cs="Arial"/>
          <w:sz w:val="20"/>
          <w:szCs w:val="22"/>
        </w:rPr>
      </w:pPr>
      <w:r w:rsidRPr="007749CC">
        <w:rPr>
          <w:rFonts w:cs="Arial"/>
          <w:b/>
          <w:bCs w:val="0"/>
          <w:sz w:val="20"/>
          <w:szCs w:val="22"/>
        </w:rPr>
        <w:br w:type="page"/>
      </w:r>
      <w:r w:rsidR="00D918FD" w:rsidRPr="007749CC">
        <w:rPr>
          <w:rFonts w:cs="Arial"/>
          <w:b/>
          <w:bCs w:val="0"/>
          <w:sz w:val="20"/>
          <w:szCs w:val="22"/>
        </w:rPr>
        <w:lastRenderedPageBreak/>
        <w:t>E. Potraty</w:t>
      </w:r>
    </w:p>
    <w:p w:rsidR="00102254" w:rsidRPr="007749CC" w:rsidRDefault="00D918FD" w:rsidP="00102254">
      <w:pPr>
        <w:tabs>
          <w:tab w:val="left" w:pos="0"/>
        </w:tabs>
        <w:jc w:val="both"/>
        <w:rPr>
          <w:rFonts w:cs="Arial"/>
          <w:sz w:val="20"/>
          <w:szCs w:val="22"/>
        </w:rPr>
      </w:pPr>
      <w:r w:rsidRPr="007749CC">
        <w:rPr>
          <w:rFonts w:cs="Arial"/>
          <w:sz w:val="20"/>
          <w:szCs w:val="22"/>
        </w:rPr>
        <w:t>Tabulky za potraty jsou zpracovány ze souboru individuálních dat, který ČSÚ přebírá od Ústavu zdravotnických informací a statistiky ČR</w:t>
      </w:r>
      <w:r w:rsidR="00E20BEA" w:rsidRPr="007749CC">
        <w:rPr>
          <w:rFonts w:cs="Arial"/>
          <w:sz w:val="20"/>
          <w:szCs w:val="22"/>
        </w:rPr>
        <w:t xml:space="preserve"> (ÚZIS ČR)</w:t>
      </w:r>
      <w:r w:rsidRPr="007749CC">
        <w:rPr>
          <w:rFonts w:cs="Arial"/>
          <w:sz w:val="20"/>
          <w:szCs w:val="22"/>
        </w:rPr>
        <w:t xml:space="preserve">. </w:t>
      </w:r>
      <w:r w:rsidR="00102254" w:rsidRPr="007749CC">
        <w:rPr>
          <w:rFonts w:cs="Arial"/>
          <w:sz w:val="20"/>
          <w:szCs w:val="22"/>
        </w:rPr>
        <w:t xml:space="preserve">Beze změny jsou převzaty také související číselníky (podrobnější číselník rodinného stavu a vzdělání ženy). </w:t>
      </w:r>
    </w:p>
    <w:p w:rsidR="003013C4" w:rsidRPr="007749CC" w:rsidRDefault="003013C4" w:rsidP="00102254">
      <w:pPr>
        <w:tabs>
          <w:tab w:val="left" w:pos="0"/>
        </w:tabs>
        <w:jc w:val="both"/>
        <w:rPr>
          <w:rFonts w:cs="Arial"/>
          <w:sz w:val="20"/>
          <w:szCs w:val="22"/>
        </w:rPr>
      </w:pPr>
      <w:r w:rsidRPr="007749CC">
        <w:rPr>
          <w:rStyle w:val="Siln"/>
          <w:rFonts w:cs="Arial"/>
          <w:b w:val="0"/>
          <w:bCs/>
          <w:sz w:val="20"/>
        </w:rPr>
        <w:t>Z</w:t>
      </w:r>
      <w:r w:rsidR="00D918FD" w:rsidRPr="007749CC">
        <w:rPr>
          <w:rStyle w:val="Siln"/>
          <w:rFonts w:cs="Arial"/>
          <w:b w:val="0"/>
          <w:bCs/>
          <w:sz w:val="20"/>
        </w:rPr>
        <w:t xml:space="preserve">ákon </w:t>
      </w:r>
      <w:r w:rsidRPr="007749CC">
        <w:rPr>
          <w:rStyle w:val="Siln"/>
          <w:rFonts w:cs="Arial"/>
          <w:b w:val="0"/>
          <w:bCs/>
          <w:sz w:val="20"/>
        </w:rPr>
        <w:t xml:space="preserve">č. </w:t>
      </w:r>
      <w:r w:rsidR="00D918FD" w:rsidRPr="007749CC">
        <w:rPr>
          <w:rStyle w:val="Siln"/>
          <w:rFonts w:cs="Arial"/>
          <w:b w:val="0"/>
          <w:bCs/>
          <w:sz w:val="20"/>
        </w:rPr>
        <w:t>372/2011</w:t>
      </w:r>
      <w:r w:rsidR="00D918FD" w:rsidRPr="007749CC">
        <w:rPr>
          <w:rFonts w:cs="Arial"/>
          <w:b/>
          <w:bCs w:val="0"/>
          <w:sz w:val="20"/>
          <w:szCs w:val="20"/>
        </w:rPr>
        <w:t xml:space="preserve"> </w:t>
      </w:r>
      <w:r w:rsidR="00D918FD" w:rsidRPr="007749CC">
        <w:rPr>
          <w:rFonts w:cs="Arial"/>
          <w:sz w:val="20"/>
          <w:szCs w:val="20"/>
        </w:rPr>
        <w:t>Sb., o zdravotních službách</w:t>
      </w:r>
      <w:r w:rsidR="00625035" w:rsidRPr="007749CC">
        <w:rPr>
          <w:rFonts w:cs="Arial"/>
          <w:sz w:val="20"/>
          <w:szCs w:val="20"/>
        </w:rPr>
        <w:t>,</w:t>
      </w:r>
      <w:r w:rsidR="00D918FD" w:rsidRPr="007749CC">
        <w:rPr>
          <w:rFonts w:cs="Arial"/>
          <w:sz w:val="20"/>
          <w:szCs w:val="20"/>
        </w:rPr>
        <w:t xml:space="preserve"> </w:t>
      </w:r>
      <w:r w:rsidR="007D374C" w:rsidRPr="007749CC">
        <w:rPr>
          <w:rFonts w:cs="Arial"/>
          <w:sz w:val="20"/>
          <w:szCs w:val="20"/>
        </w:rPr>
        <w:t xml:space="preserve">platný od 1. 4. 2012, </w:t>
      </w:r>
      <w:r w:rsidR="00D918FD" w:rsidRPr="007749CC">
        <w:rPr>
          <w:rFonts w:cs="Arial"/>
          <w:sz w:val="20"/>
          <w:szCs w:val="20"/>
        </w:rPr>
        <w:t>definuje plod po potratu</w:t>
      </w:r>
      <w:r w:rsidR="007D374C" w:rsidRPr="007749CC">
        <w:rPr>
          <w:rFonts w:cs="Arial"/>
          <w:sz w:val="20"/>
          <w:szCs w:val="20"/>
        </w:rPr>
        <w:t xml:space="preserve"> jako </w:t>
      </w:r>
      <w:r w:rsidR="00D918FD" w:rsidRPr="007749CC">
        <w:rPr>
          <w:rFonts w:cs="Arial"/>
          <w:sz w:val="20"/>
          <w:szCs w:val="20"/>
        </w:rPr>
        <w:t>plod, který po úplném vypuzení nebo vynětí z těla matčina neprojevuje ani jednu ze známek života</w:t>
      </w:r>
      <w:r w:rsidR="00D918FD" w:rsidRPr="007749CC">
        <w:rPr>
          <w:rStyle w:val="Zvraznn"/>
          <w:rFonts w:cs="Arial"/>
          <w:i w:val="0"/>
          <w:iCs w:val="0"/>
          <w:sz w:val="20"/>
          <w:szCs w:val="20"/>
        </w:rPr>
        <w:t xml:space="preserve"> a současně jeho porodní hmotnost </w:t>
      </w:r>
      <w:r w:rsidR="00884B15" w:rsidRPr="007749CC">
        <w:rPr>
          <w:rStyle w:val="Zvraznn"/>
          <w:rFonts w:cs="Arial"/>
          <w:i w:val="0"/>
          <w:iCs w:val="0"/>
          <w:sz w:val="20"/>
          <w:szCs w:val="20"/>
        </w:rPr>
        <w:t xml:space="preserve">je </w:t>
      </w:r>
      <w:r w:rsidR="00D918FD" w:rsidRPr="007749CC">
        <w:rPr>
          <w:rStyle w:val="Zvraznn"/>
          <w:rFonts w:cs="Arial"/>
          <w:i w:val="0"/>
          <w:iCs w:val="0"/>
          <w:sz w:val="20"/>
          <w:szCs w:val="20"/>
        </w:rPr>
        <w:t>nižší než 500 g, a pokud ji nelze zjistit, jestliže je těhotenství kratší než 22 týdny.</w:t>
      </w:r>
      <w:r w:rsidR="00D918FD" w:rsidRPr="007749CC">
        <w:rPr>
          <w:rFonts w:cs="Arial"/>
          <w:sz w:val="20"/>
        </w:rPr>
        <w:t xml:space="preserve"> </w:t>
      </w:r>
    </w:p>
    <w:p w:rsidR="00D918FD" w:rsidRPr="007749CC" w:rsidRDefault="00D918FD">
      <w:pPr>
        <w:jc w:val="both"/>
        <w:rPr>
          <w:rFonts w:cs="Arial"/>
          <w:sz w:val="20"/>
          <w:szCs w:val="22"/>
        </w:rPr>
      </w:pPr>
    </w:p>
    <w:p w:rsidR="007039FA" w:rsidRPr="007749CC" w:rsidRDefault="007039FA">
      <w:pPr>
        <w:jc w:val="both"/>
        <w:rPr>
          <w:rFonts w:cs="Arial"/>
          <w:b/>
          <w:bCs w:val="0"/>
          <w:sz w:val="20"/>
          <w:szCs w:val="22"/>
        </w:rPr>
      </w:pPr>
      <w:r w:rsidRPr="007749CC">
        <w:rPr>
          <w:rFonts w:cs="Arial"/>
          <w:b/>
          <w:bCs w:val="0"/>
          <w:sz w:val="20"/>
          <w:szCs w:val="22"/>
        </w:rPr>
        <w:t>F. Zemřelí</w:t>
      </w:r>
    </w:p>
    <w:p w:rsidR="007039FA" w:rsidRPr="007749CC" w:rsidRDefault="00E20BEA">
      <w:pPr>
        <w:jc w:val="both"/>
        <w:rPr>
          <w:rFonts w:cs="Arial"/>
          <w:bCs w:val="0"/>
          <w:sz w:val="20"/>
          <w:szCs w:val="22"/>
        </w:rPr>
      </w:pPr>
      <w:r w:rsidRPr="007749CC">
        <w:rPr>
          <w:rFonts w:cs="Arial"/>
          <w:bCs w:val="0"/>
          <w:sz w:val="20"/>
          <w:szCs w:val="22"/>
        </w:rPr>
        <w:t xml:space="preserve">Prvotním dokladem pro vyplnění Hlášení o úmrtí </w:t>
      </w:r>
      <w:r w:rsidR="007749CC" w:rsidRPr="007749CC">
        <w:rPr>
          <w:rFonts w:cs="Arial"/>
          <w:bCs w:val="0"/>
          <w:sz w:val="20"/>
          <w:szCs w:val="22"/>
        </w:rPr>
        <w:t xml:space="preserve">matričními úřady </w:t>
      </w:r>
      <w:r w:rsidRPr="007749CC">
        <w:rPr>
          <w:rFonts w:cs="Arial"/>
          <w:bCs w:val="0"/>
          <w:sz w:val="20"/>
          <w:szCs w:val="22"/>
        </w:rPr>
        <w:t xml:space="preserve">je od roku 2013 List o prohlídce zemřelého (LPZ), </w:t>
      </w:r>
      <w:r w:rsidR="007749CC" w:rsidRPr="007749CC">
        <w:rPr>
          <w:rFonts w:cs="Arial"/>
          <w:bCs w:val="0"/>
          <w:sz w:val="20"/>
          <w:szCs w:val="22"/>
        </w:rPr>
        <w:t>část A. Jeho znění je dáno vyhláškou č. 297/2012 Sb.</w:t>
      </w:r>
      <w:r w:rsidRPr="007749CC">
        <w:rPr>
          <w:rFonts w:cs="Arial"/>
          <w:bCs w:val="0"/>
          <w:sz w:val="20"/>
          <w:szCs w:val="22"/>
        </w:rPr>
        <w:t xml:space="preserve"> Z</w:t>
      </w:r>
      <w:r w:rsidR="009C2D9D" w:rsidRPr="007749CC">
        <w:rPr>
          <w:rFonts w:cs="Arial"/>
          <w:bCs w:val="0"/>
          <w:sz w:val="20"/>
          <w:szCs w:val="22"/>
        </w:rPr>
        <w:t xml:space="preserve"> něj </w:t>
      </w:r>
      <w:r w:rsidRPr="007749CC">
        <w:rPr>
          <w:rFonts w:cs="Arial"/>
          <w:bCs w:val="0"/>
          <w:sz w:val="20"/>
          <w:szCs w:val="22"/>
        </w:rPr>
        <w:t xml:space="preserve">byly </w:t>
      </w:r>
      <w:r w:rsidR="009C2D9D" w:rsidRPr="007749CC">
        <w:rPr>
          <w:rFonts w:cs="Arial"/>
          <w:bCs w:val="0"/>
          <w:sz w:val="20"/>
          <w:szCs w:val="22"/>
        </w:rPr>
        <w:t xml:space="preserve">do hlášení </w:t>
      </w:r>
      <w:r w:rsidRPr="007749CC">
        <w:rPr>
          <w:rFonts w:cs="Arial"/>
          <w:bCs w:val="0"/>
          <w:sz w:val="20"/>
          <w:szCs w:val="22"/>
        </w:rPr>
        <w:t>převzaty rozšířené číselníky rodinného stavu (obsahující také partnerství a zaniklé partnerství) a vzdělání.</w:t>
      </w:r>
    </w:p>
    <w:p w:rsidR="00E20BEA" w:rsidRPr="007749CC" w:rsidRDefault="00E20BEA">
      <w:pPr>
        <w:jc w:val="both"/>
        <w:rPr>
          <w:rFonts w:cs="Arial"/>
          <w:bCs w:val="0"/>
          <w:sz w:val="20"/>
          <w:szCs w:val="22"/>
        </w:rPr>
      </w:pPr>
    </w:p>
    <w:p w:rsidR="00D918FD" w:rsidRPr="007749CC" w:rsidRDefault="00D918FD">
      <w:pPr>
        <w:jc w:val="both"/>
        <w:rPr>
          <w:rFonts w:cs="Arial"/>
          <w:b/>
          <w:bCs w:val="0"/>
          <w:sz w:val="20"/>
          <w:szCs w:val="22"/>
        </w:rPr>
      </w:pPr>
      <w:r w:rsidRPr="007749CC">
        <w:rPr>
          <w:rFonts w:cs="Arial"/>
          <w:b/>
          <w:bCs w:val="0"/>
          <w:sz w:val="20"/>
          <w:szCs w:val="22"/>
        </w:rPr>
        <w:t>G. Zemřelí podle příčin smrti</w:t>
      </w:r>
    </w:p>
    <w:p w:rsidR="00D918FD" w:rsidRPr="007749CC" w:rsidRDefault="009C2D9D">
      <w:pPr>
        <w:pStyle w:val="Zkladntextodsazen2"/>
        <w:ind w:firstLine="0"/>
        <w:rPr>
          <w:rFonts w:cs="Arial"/>
          <w:sz w:val="20"/>
          <w:szCs w:val="20"/>
        </w:rPr>
      </w:pPr>
      <w:r w:rsidRPr="007749CC">
        <w:rPr>
          <w:rFonts w:cs="Arial"/>
          <w:sz w:val="20"/>
          <w:szCs w:val="20"/>
        </w:rPr>
        <w:t xml:space="preserve">Příčina smrti je od </w:t>
      </w:r>
      <w:r w:rsidR="00D918FD" w:rsidRPr="007749CC">
        <w:rPr>
          <w:rFonts w:cs="Arial"/>
          <w:sz w:val="20"/>
          <w:szCs w:val="20"/>
        </w:rPr>
        <w:t xml:space="preserve">1. 1. 1994 </w:t>
      </w:r>
      <w:r w:rsidRPr="007749CC">
        <w:rPr>
          <w:rFonts w:cs="Arial"/>
          <w:sz w:val="20"/>
          <w:szCs w:val="20"/>
        </w:rPr>
        <w:t xml:space="preserve">kódována dle </w:t>
      </w:r>
      <w:r w:rsidR="00D918FD" w:rsidRPr="007749CC">
        <w:rPr>
          <w:rFonts w:cs="Arial"/>
          <w:sz w:val="20"/>
          <w:szCs w:val="20"/>
        </w:rPr>
        <w:t>Mezinárodní statistick</w:t>
      </w:r>
      <w:r w:rsidRPr="007749CC">
        <w:rPr>
          <w:rFonts w:cs="Arial"/>
          <w:sz w:val="20"/>
          <w:szCs w:val="20"/>
        </w:rPr>
        <w:t>é</w:t>
      </w:r>
      <w:r w:rsidR="00D918FD" w:rsidRPr="007749CC">
        <w:rPr>
          <w:rFonts w:cs="Arial"/>
          <w:sz w:val="20"/>
          <w:szCs w:val="20"/>
        </w:rPr>
        <w:t xml:space="preserve"> klasifikace nemocí a přidružených zdravotních problémů ve znění 10. </w:t>
      </w:r>
      <w:proofErr w:type="spellStart"/>
      <w:r w:rsidR="00D918FD" w:rsidRPr="007749CC">
        <w:rPr>
          <w:rFonts w:cs="Arial"/>
          <w:sz w:val="20"/>
          <w:szCs w:val="20"/>
        </w:rPr>
        <w:t>decenální</w:t>
      </w:r>
      <w:proofErr w:type="spellEnd"/>
      <w:r w:rsidR="00D918FD" w:rsidRPr="007749CC">
        <w:rPr>
          <w:rFonts w:cs="Arial"/>
          <w:sz w:val="20"/>
          <w:szCs w:val="20"/>
        </w:rPr>
        <w:t xml:space="preserve"> revize (dále jen „MKN-10“)</w:t>
      </w:r>
      <w:r w:rsidRPr="007749CC">
        <w:rPr>
          <w:rFonts w:cs="Arial"/>
          <w:sz w:val="20"/>
          <w:szCs w:val="20"/>
        </w:rPr>
        <w:t xml:space="preserve"> a následných aktualizací, vydávaných Světovou zdravotnickou organizací (WHO)</w:t>
      </w:r>
      <w:r w:rsidR="00D918FD" w:rsidRPr="007749CC">
        <w:rPr>
          <w:rFonts w:cs="Arial"/>
          <w:sz w:val="20"/>
          <w:szCs w:val="20"/>
        </w:rPr>
        <w:t>. Garantem MKN-10 je ÚZIS ČR. Od roku 2011 se výběr základní příčin</w:t>
      </w:r>
      <w:r w:rsidR="007749CC" w:rsidRPr="007749CC">
        <w:rPr>
          <w:rFonts w:cs="Arial"/>
          <w:sz w:val="20"/>
          <w:szCs w:val="20"/>
        </w:rPr>
        <w:t>y</w:t>
      </w:r>
      <w:r w:rsidR="00D918FD" w:rsidRPr="007749CC">
        <w:rPr>
          <w:rFonts w:cs="Arial"/>
          <w:sz w:val="20"/>
          <w:szCs w:val="20"/>
        </w:rPr>
        <w:t xml:space="preserve"> smrti provádí pomocí programu pro automatizované kódování (IRIS).</w:t>
      </w:r>
      <w:r w:rsidRPr="007749CC">
        <w:rPr>
          <w:rFonts w:cs="Arial"/>
          <w:sz w:val="20"/>
          <w:szCs w:val="20"/>
        </w:rPr>
        <w:t xml:space="preserve"> Od roku 2013</w:t>
      </w:r>
      <w:r w:rsidR="00612A9B" w:rsidRPr="007749CC">
        <w:rPr>
          <w:rFonts w:cs="Arial"/>
          <w:sz w:val="20"/>
          <w:szCs w:val="20"/>
        </w:rPr>
        <w:t xml:space="preserve"> </w:t>
      </w:r>
      <w:r w:rsidR="007749CC" w:rsidRPr="007749CC">
        <w:rPr>
          <w:rFonts w:cs="Arial"/>
          <w:sz w:val="20"/>
          <w:szCs w:val="20"/>
        </w:rPr>
        <w:t xml:space="preserve">ÚZIS ČR předává </w:t>
      </w:r>
      <w:r w:rsidR="00612A9B" w:rsidRPr="007749CC">
        <w:rPr>
          <w:rFonts w:cs="Arial"/>
          <w:sz w:val="20"/>
          <w:szCs w:val="20"/>
        </w:rPr>
        <w:t xml:space="preserve">ČSÚ </w:t>
      </w:r>
      <w:r w:rsidR="005A4B57">
        <w:rPr>
          <w:rFonts w:cs="Arial"/>
          <w:sz w:val="20"/>
          <w:szCs w:val="20"/>
        </w:rPr>
        <w:t>List o prohlídce zemřelého,</w:t>
      </w:r>
      <w:r w:rsidR="007749CC" w:rsidRPr="007749CC">
        <w:rPr>
          <w:rFonts w:cs="Arial"/>
          <w:sz w:val="20"/>
          <w:szCs w:val="20"/>
        </w:rPr>
        <w:t xml:space="preserve"> část B</w:t>
      </w:r>
      <w:r w:rsidR="00612A9B" w:rsidRPr="007749CC">
        <w:rPr>
          <w:rFonts w:cs="Arial"/>
          <w:sz w:val="20"/>
          <w:szCs w:val="20"/>
        </w:rPr>
        <w:t xml:space="preserve">, která </w:t>
      </w:r>
      <w:r w:rsidRPr="007749CC">
        <w:rPr>
          <w:rFonts w:cs="Arial"/>
          <w:sz w:val="20"/>
          <w:szCs w:val="20"/>
        </w:rPr>
        <w:t>obsahuj</w:t>
      </w:r>
      <w:r w:rsidR="00612A9B" w:rsidRPr="007749CC">
        <w:rPr>
          <w:rFonts w:cs="Arial"/>
          <w:sz w:val="20"/>
          <w:szCs w:val="20"/>
        </w:rPr>
        <w:t>e</w:t>
      </w:r>
      <w:r w:rsidRPr="007749CC">
        <w:rPr>
          <w:rFonts w:cs="Arial"/>
          <w:sz w:val="20"/>
          <w:szCs w:val="20"/>
        </w:rPr>
        <w:t xml:space="preserve"> </w:t>
      </w:r>
      <w:r w:rsidR="00612A9B" w:rsidRPr="007749CC">
        <w:rPr>
          <w:rFonts w:cs="Arial"/>
          <w:sz w:val="20"/>
          <w:szCs w:val="20"/>
        </w:rPr>
        <w:t>příčin</w:t>
      </w:r>
      <w:r w:rsidR="007749CC" w:rsidRPr="007749CC">
        <w:rPr>
          <w:rFonts w:cs="Arial"/>
          <w:sz w:val="20"/>
          <w:szCs w:val="20"/>
        </w:rPr>
        <w:t>y</w:t>
      </w:r>
      <w:r w:rsidR="00612A9B" w:rsidRPr="007749CC">
        <w:rPr>
          <w:rFonts w:cs="Arial"/>
          <w:sz w:val="20"/>
          <w:szCs w:val="20"/>
        </w:rPr>
        <w:t xml:space="preserve"> smrti.</w:t>
      </w:r>
    </w:p>
    <w:p w:rsidR="00D918FD" w:rsidRPr="007749CC" w:rsidRDefault="00D918FD">
      <w:pPr>
        <w:pStyle w:val="Zkladntext3"/>
        <w:rPr>
          <w:rFonts w:cs="Arial"/>
        </w:rPr>
      </w:pPr>
      <w:r w:rsidRPr="007749CC">
        <w:rPr>
          <w:rFonts w:cs="Arial"/>
        </w:rPr>
        <w:t>Počet zemřelých na příčiny XIX. třídy je shodný s počtem zemřelých na příčiny třídy XX</w:t>
      </w:r>
      <w:r w:rsidR="00792326" w:rsidRPr="007749CC">
        <w:rPr>
          <w:rFonts w:cs="Arial"/>
        </w:rPr>
        <w:t>.</w:t>
      </w:r>
      <w:r w:rsidRPr="007749CC">
        <w:rPr>
          <w:rFonts w:cs="Arial"/>
        </w:rPr>
        <w:t>, neboť jde o dvojí třídění zemřelých v důsledku vnějších příčin. V XIX. třídě (tab. G.05) jsou zemřelí klasifikováni dle základní příčiny smrti, kdežto v třídě XX</w:t>
      </w:r>
      <w:r w:rsidR="00792326" w:rsidRPr="007749CC">
        <w:rPr>
          <w:rFonts w:cs="Arial"/>
        </w:rPr>
        <w:t>.</w:t>
      </w:r>
      <w:r w:rsidRPr="007749CC">
        <w:rPr>
          <w:rFonts w:cs="Arial"/>
        </w:rPr>
        <w:t xml:space="preserve"> (tab. G.06) dle mechanismu smrti. </w:t>
      </w:r>
    </w:p>
    <w:p w:rsidR="00D918FD" w:rsidRPr="007749CC" w:rsidRDefault="00D918FD">
      <w:pPr>
        <w:jc w:val="both"/>
        <w:rPr>
          <w:rFonts w:cs="Arial"/>
          <w:sz w:val="20"/>
          <w:szCs w:val="22"/>
        </w:rPr>
      </w:pPr>
    </w:p>
    <w:p w:rsidR="00D918FD" w:rsidRPr="007749CC" w:rsidRDefault="00D918FD">
      <w:pPr>
        <w:jc w:val="both"/>
        <w:rPr>
          <w:rFonts w:cs="Arial"/>
          <w:sz w:val="20"/>
          <w:szCs w:val="22"/>
        </w:rPr>
      </w:pPr>
      <w:r w:rsidRPr="007749CC">
        <w:rPr>
          <w:rFonts w:cs="Arial"/>
          <w:b/>
          <w:bCs w:val="0"/>
          <w:sz w:val="20"/>
          <w:szCs w:val="22"/>
        </w:rPr>
        <w:t>H. Stěhování</w:t>
      </w:r>
    </w:p>
    <w:p w:rsidR="00D918FD" w:rsidRPr="007749CC" w:rsidRDefault="00D918FD">
      <w:pPr>
        <w:pStyle w:val="Zkladntext3"/>
        <w:rPr>
          <w:rFonts w:cs="Arial"/>
        </w:rPr>
      </w:pPr>
      <w:r w:rsidRPr="007749CC">
        <w:rPr>
          <w:rFonts w:cs="Arial"/>
        </w:rPr>
        <w:t xml:space="preserve">Objem stěhování za vyšší územní jednotku je definován jako součet objemu stěhování za nižší územní celky plus stěhování mezi nižšími územními celky. Obrat stěhování je definován jako úhrn přistěhování a vystěhování v dané územní jednotce. Do případů vnitřního stěhování není zahrnuto stěhování mezi urbanistickými obvody Prahy. </w:t>
      </w:r>
    </w:p>
    <w:p w:rsidR="00D918FD" w:rsidRPr="007749CC" w:rsidRDefault="00D918FD">
      <w:pPr>
        <w:jc w:val="both"/>
        <w:rPr>
          <w:rFonts w:cs="Arial"/>
          <w:sz w:val="20"/>
          <w:szCs w:val="22"/>
        </w:rPr>
      </w:pPr>
    </w:p>
    <w:p w:rsidR="00D918FD" w:rsidRPr="007749CC" w:rsidRDefault="00D918FD">
      <w:pPr>
        <w:jc w:val="both"/>
        <w:rPr>
          <w:rFonts w:cs="Arial"/>
          <w:b/>
          <w:bCs w:val="0"/>
          <w:sz w:val="20"/>
          <w:szCs w:val="22"/>
        </w:rPr>
      </w:pPr>
      <w:r w:rsidRPr="007749CC">
        <w:rPr>
          <w:rFonts w:cs="Arial"/>
          <w:b/>
          <w:bCs w:val="0"/>
          <w:sz w:val="20"/>
          <w:szCs w:val="22"/>
        </w:rPr>
        <w:t>I. Populační bilance a analytické ukazatele</w:t>
      </w:r>
    </w:p>
    <w:p w:rsidR="00D918FD" w:rsidRPr="007749CC" w:rsidRDefault="00D918FD">
      <w:pPr>
        <w:jc w:val="both"/>
        <w:rPr>
          <w:rFonts w:cs="Arial"/>
          <w:sz w:val="20"/>
          <w:szCs w:val="22"/>
        </w:rPr>
      </w:pPr>
      <w:r w:rsidRPr="007749CC">
        <w:rPr>
          <w:rFonts w:cs="Arial"/>
          <w:sz w:val="20"/>
          <w:szCs w:val="22"/>
        </w:rPr>
        <w:t xml:space="preserve">Střední stav obyvatel podle pohlaví a věku </w:t>
      </w:r>
      <w:proofErr w:type="spellStart"/>
      <w:r w:rsidRPr="007749CC">
        <w:rPr>
          <w:rFonts w:cs="Arial"/>
          <w:sz w:val="20"/>
          <w:szCs w:val="22"/>
        </w:rPr>
        <w:t>Px</w:t>
      </w:r>
      <w:proofErr w:type="spellEnd"/>
      <w:r w:rsidRPr="007749CC">
        <w:rPr>
          <w:rFonts w:cs="Arial"/>
          <w:sz w:val="20"/>
          <w:szCs w:val="22"/>
        </w:rPr>
        <w:t>, použitý jako vstupní ukazatel úmrtnostních tabulek v členění venkov (tab. I.18 a I.19) – město (tab. I.20 a I.21) je průměrem počtu mužů (žen) ve věku x let k 1. 1. 201</w:t>
      </w:r>
      <w:r w:rsidR="00612A9B" w:rsidRPr="007749CC">
        <w:rPr>
          <w:rFonts w:cs="Arial"/>
          <w:sz w:val="20"/>
          <w:szCs w:val="22"/>
        </w:rPr>
        <w:t>3</w:t>
      </w:r>
      <w:r w:rsidR="00A934C8">
        <w:rPr>
          <w:rFonts w:cs="Arial"/>
          <w:sz w:val="20"/>
          <w:szCs w:val="22"/>
        </w:rPr>
        <w:t xml:space="preserve"> </w:t>
      </w:r>
      <w:r w:rsidRPr="007749CC">
        <w:rPr>
          <w:rFonts w:cs="Arial"/>
          <w:sz w:val="20"/>
          <w:szCs w:val="22"/>
        </w:rPr>
        <w:t>a k 31. 12. 201</w:t>
      </w:r>
      <w:r w:rsidR="00612A9B" w:rsidRPr="007749CC">
        <w:rPr>
          <w:rFonts w:cs="Arial"/>
          <w:sz w:val="20"/>
          <w:szCs w:val="22"/>
        </w:rPr>
        <w:t>3</w:t>
      </w:r>
      <w:r w:rsidRPr="007749CC">
        <w:rPr>
          <w:rFonts w:cs="Arial"/>
          <w:sz w:val="20"/>
          <w:szCs w:val="22"/>
        </w:rPr>
        <w:t>. Liší se tedy od středního stavu definovaného jako bilance obyvatel k 1. 7. 201</w:t>
      </w:r>
      <w:r w:rsidR="00612A9B" w:rsidRPr="007749CC">
        <w:rPr>
          <w:rFonts w:cs="Arial"/>
          <w:sz w:val="20"/>
          <w:szCs w:val="22"/>
        </w:rPr>
        <w:t>3</w:t>
      </w:r>
      <w:r w:rsidRPr="007749CC">
        <w:rPr>
          <w:rFonts w:cs="Arial"/>
          <w:sz w:val="20"/>
          <w:szCs w:val="22"/>
        </w:rPr>
        <w:t xml:space="preserve"> (viz UKAZATELE). Venkovské osídlení představují obce, v nichž k 31. 12. 201</w:t>
      </w:r>
      <w:r w:rsidR="00612A9B" w:rsidRPr="007749CC">
        <w:rPr>
          <w:rFonts w:cs="Arial"/>
          <w:sz w:val="20"/>
          <w:szCs w:val="22"/>
        </w:rPr>
        <w:t>3</w:t>
      </w:r>
      <w:r w:rsidRPr="007749CC">
        <w:rPr>
          <w:rFonts w:cs="Arial"/>
          <w:sz w:val="20"/>
          <w:szCs w:val="22"/>
        </w:rPr>
        <w:t xml:space="preserve"> žilo méně než 2 000 obyvatel, města jsou obce s počtem obyvatel 2 000 a více.</w:t>
      </w: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szCs w:val="22"/>
        </w:rPr>
      </w:pPr>
    </w:p>
    <w:p w:rsidR="00D918FD" w:rsidRPr="007749CC" w:rsidRDefault="00D918FD">
      <w:pPr>
        <w:jc w:val="both"/>
        <w:rPr>
          <w:rFonts w:cs="Arial"/>
          <w:b/>
          <w:bCs w:val="0"/>
          <w:caps/>
          <w:sz w:val="20"/>
        </w:rPr>
      </w:pPr>
      <w:r w:rsidRPr="007749CC">
        <w:rPr>
          <w:rFonts w:cs="Arial"/>
          <w:b/>
          <w:bCs w:val="0"/>
          <w:szCs w:val="22"/>
        </w:rPr>
        <w:br w:type="page"/>
      </w:r>
      <w:r w:rsidRPr="007749CC">
        <w:rPr>
          <w:rFonts w:cs="Arial"/>
          <w:b/>
          <w:bCs w:val="0"/>
          <w:caps/>
          <w:sz w:val="20"/>
        </w:rPr>
        <w:lastRenderedPageBreak/>
        <w:t>Ukazatele</w:t>
      </w:r>
    </w:p>
    <w:p w:rsidR="00D918FD" w:rsidRPr="007749CC" w:rsidRDefault="00D918FD">
      <w:pPr>
        <w:pStyle w:val="Normlnweb"/>
        <w:spacing w:before="0" w:beforeAutospacing="0" w:after="0" w:afterAutospacing="0"/>
        <w:jc w:val="both"/>
        <w:rPr>
          <w:rFonts w:ascii="Arial" w:hAnsi="Arial" w:cs="Arial"/>
          <w:sz w:val="20"/>
        </w:rPr>
      </w:pPr>
    </w:p>
    <w:p w:rsidR="00D918FD" w:rsidRPr="007749CC" w:rsidRDefault="00D918FD">
      <w:pPr>
        <w:pStyle w:val="Normlnweb"/>
        <w:spacing w:before="0" w:beforeAutospacing="0" w:after="0" w:afterAutospacing="0"/>
        <w:jc w:val="both"/>
        <w:rPr>
          <w:rFonts w:ascii="Arial" w:hAnsi="Arial" w:cs="Arial"/>
          <w:sz w:val="20"/>
        </w:rPr>
      </w:pPr>
      <w:r w:rsidRPr="007749CC">
        <w:rPr>
          <w:rFonts w:ascii="Arial" w:hAnsi="Arial" w:cs="Arial"/>
          <w:sz w:val="20"/>
        </w:rPr>
        <w:t xml:space="preserve">Všechny ukazatele obsažené v publikaci se týkají jednoho kalendářního roku. Při jejich výpočtu se vždy vychází z demografických událostí či počtu obyvatel za stejný kalendářní rok. Počtem obyvatel pro výpočet měr se rozumí střední stav obyvatel, který je definován jako stav k 1. 7. daného roku. </w:t>
      </w:r>
    </w:p>
    <w:p w:rsidR="00D918FD" w:rsidRPr="007749CC" w:rsidRDefault="00D918FD">
      <w:pPr>
        <w:pStyle w:val="Normlnweb"/>
        <w:spacing w:before="0" w:beforeAutospacing="0" w:after="0" w:afterAutospacing="0"/>
        <w:jc w:val="both"/>
        <w:rPr>
          <w:rFonts w:ascii="Arial" w:hAnsi="Arial" w:cs="Arial"/>
          <w:sz w:val="20"/>
          <w:szCs w:val="22"/>
        </w:rPr>
      </w:pPr>
    </w:p>
    <w:p w:rsidR="00D918FD" w:rsidRPr="007749CC" w:rsidRDefault="00D918FD">
      <w:pPr>
        <w:pStyle w:val="Nadpis2"/>
        <w:jc w:val="both"/>
      </w:pPr>
      <w:r w:rsidRPr="007749CC">
        <w:t xml:space="preserve">Mrtvorozenost </w:t>
      </w:r>
    </w:p>
    <w:p w:rsidR="00D918FD" w:rsidRPr="007749CC" w:rsidRDefault="00D918FD">
      <w:pPr>
        <w:pStyle w:val="Zkladntext2"/>
        <w:rPr>
          <w:rFonts w:cs="Arial"/>
          <w:sz w:val="20"/>
        </w:rPr>
      </w:pPr>
      <w:r w:rsidRPr="007749CC">
        <w:rPr>
          <w:rFonts w:cs="Arial"/>
          <w:sz w:val="20"/>
        </w:rPr>
        <w:t>Počet mrtvě narozených dětí na 1 000 všech narozených dětí.</w:t>
      </w:r>
    </w:p>
    <w:p w:rsidR="00D918FD" w:rsidRPr="007749CC" w:rsidRDefault="00D918FD">
      <w:pPr>
        <w:jc w:val="both"/>
        <w:rPr>
          <w:rFonts w:cs="Arial"/>
          <w:sz w:val="20"/>
        </w:rPr>
      </w:pPr>
    </w:p>
    <w:p w:rsidR="00D918FD" w:rsidRPr="007749CC" w:rsidRDefault="00D918FD">
      <w:pPr>
        <w:pStyle w:val="Nadpis2"/>
        <w:jc w:val="both"/>
      </w:pPr>
      <w:r w:rsidRPr="007749CC">
        <w:t xml:space="preserve">Kojenecká úmrtnost </w:t>
      </w:r>
    </w:p>
    <w:p w:rsidR="00D918FD" w:rsidRPr="007749CC" w:rsidRDefault="00D918FD">
      <w:pPr>
        <w:pStyle w:val="Zkladntext2"/>
        <w:rPr>
          <w:rFonts w:cs="Arial"/>
          <w:sz w:val="20"/>
        </w:rPr>
      </w:pPr>
      <w:r w:rsidRPr="007749CC">
        <w:rPr>
          <w:rFonts w:cs="Arial"/>
          <w:sz w:val="20"/>
        </w:rPr>
        <w:t>Počet dětí zemřelých před dosažením věku 1 roku na 1 000 živě narozených dětí.</w:t>
      </w:r>
    </w:p>
    <w:p w:rsidR="00D918FD" w:rsidRPr="007749CC" w:rsidRDefault="00D918FD">
      <w:pPr>
        <w:jc w:val="both"/>
        <w:rPr>
          <w:rFonts w:cs="Arial"/>
          <w:sz w:val="20"/>
        </w:rPr>
      </w:pPr>
      <w:r w:rsidRPr="007749CC">
        <w:rPr>
          <w:rFonts w:cs="Arial"/>
          <w:sz w:val="20"/>
        </w:rPr>
        <w:t xml:space="preserve"> </w:t>
      </w:r>
    </w:p>
    <w:p w:rsidR="00D918FD" w:rsidRPr="007749CC" w:rsidRDefault="00D918FD">
      <w:pPr>
        <w:pStyle w:val="Nadpis2"/>
        <w:jc w:val="both"/>
      </w:pPr>
      <w:r w:rsidRPr="007749CC">
        <w:t xml:space="preserve">Novorozenecká úmrtnost </w:t>
      </w:r>
    </w:p>
    <w:p w:rsidR="00D918FD" w:rsidRPr="007749CC" w:rsidRDefault="00D918FD">
      <w:pPr>
        <w:pStyle w:val="Zkladntext2"/>
        <w:rPr>
          <w:rFonts w:cs="Arial"/>
          <w:sz w:val="20"/>
        </w:rPr>
      </w:pPr>
      <w:r w:rsidRPr="007749CC">
        <w:rPr>
          <w:rFonts w:cs="Arial"/>
          <w:sz w:val="20"/>
        </w:rPr>
        <w:t>Počet dětí zemřelých před dosažením věku 28 dnů na 1 000 živě narozených dětí.</w:t>
      </w:r>
    </w:p>
    <w:p w:rsidR="00D918FD" w:rsidRPr="007749CC" w:rsidRDefault="00D918FD">
      <w:pPr>
        <w:jc w:val="both"/>
        <w:rPr>
          <w:rFonts w:cs="Arial"/>
          <w:sz w:val="20"/>
        </w:rPr>
      </w:pPr>
    </w:p>
    <w:p w:rsidR="00D918FD" w:rsidRPr="007749CC" w:rsidRDefault="00D918FD">
      <w:pPr>
        <w:pStyle w:val="Nadpis2"/>
        <w:jc w:val="both"/>
      </w:pPr>
      <w:r w:rsidRPr="007749CC">
        <w:t xml:space="preserve">Perinatální úmrtnost </w:t>
      </w:r>
    </w:p>
    <w:p w:rsidR="00D918FD" w:rsidRPr="007749CC" w:rsidRDefault="00D918FD">
      <w:pPr>
        <w:pStyle w:val="Zkladntext2"/>
        <w:rPr>
          <w:rFonts w:cs="Arial"/>
          <w:sz w:val="20"/>
        </w:rPr>
      </w:pPr>
      <w:r w:rsidRPr="007749CC">
        <w:rPr>
          <w:rFonts w:cs="Arial"/>
          <w:sz w:val="20"/>
        </w:rPr>
        <w:t>Počet mrtvě narozených dětí a dětí zemřelých před dosažením věku 7 dnů na 1 000 všech narozených dětí.</w:t>
      </w:r>
    </w:p>
    <w:p w:rsidR="00D918FD" w:rsidRPr="007749CC" w:rsidRDefault="00D918FD">
      <w:pPr>
        <w:jc w:val="both"/>
        <w:rPr>
          <w:rFonts w:cs="Arial"/>
          <w:sz w:val="20"/>
        </w:rPr>
      </w:pPr>
    </w:p>
    <w:p w:rsidR="00D918FD" w:rsidRPr="007749CC" w:rsidRDefault="00D918FD">
      <w:pPr>
        <w:pStyle w:val="Nadpis2"/>
        <w:jc w:val="both"/>
      </w:pPr>
      <w:r w:rsidRPr="007749CC">
        <w:t>Míra plodnosti podle věku  (</w:t>
      </w:r>
      <w:proofErr w:type="spellStart"/>
      <w:r w:rsidRPr="007749CC">
        <w:t>f</w:t>
      </w:r>
      <w:r w:rsidRPr="007749CC">
        <w:rPr>
          <w:vertAlign w:val="subscript"/>
        </w:rPr>
        <w:t>x</w:t>
      </w:r>
      <w:proofErr w:type="spellEnd"/>
      <w:r w:rsidRPr="007749CC">
        <w:t>)</w:t>
      </w:r>
    </w:p>
    <w:p w:rsidR="00D918FD" w:rsidRPr="007749CC" w:rsidRDefault="00D918FD">
      <w:pPr>
        <w:pStyle w:val="Zkladntext2"/>
        <w:rPr>
          <w:rFonts w:cs="Arial"/>
          <w:b/>
          <w:sz w:val="20"/>
        </w:rPr>
      </w:pPr>
      <w:r w:rsidRPr="007749CC">
        <w:rPr>
          <w:rFonts w:cs="Arial"/>
          <w:sz w:val="20"/>
        </w:rPr>
        <w:t>Počet živě narozených dětí ženám v určitém věku (věkové skupině) na 1 000 žen v daném věku (věkové skupině).</w:t>
      </w:r>
      <w:r w:rsidR="009F143B" w:rsidRPr="007749CC">
        <w:rPr>
          <w:rFonts w:cs="Arial"/>
          <w:sz w:val="20"/>
        </w:rPr>
        <w:t xml:space="preserve"> Z rozložení měr plodnosti podle věku vychází </w:t>
      </w:r>
      <w:r w:rsidR="009F143B" w:rsidRPr="007749CC">
        <w:rPr>
          <w:rFonts w:cs="Arial"/>
          <w:b/>
          <w:sz w:val="20"/>
        </w:rPr>
        <w:t>průměrný věk žen při narození dítěte.</w:t>
      </w:r>
    </w:p>
    <w:p w:rsidR="00D918FD" w:rsidRPr="007749CC" w:rsidRDefault="00D918FD">
      <w:pPr>
        <w:jc w:val="both"/>
        <w:rPr>
          <w:rFonts w:cs="Arial"/>
          <w:sz w:val="20"/>
        </w:rPr>
      </w:pPr>
    </w:p>
    <w:p w:rsidR="00D918FD" w:rsidRPr="007749CC" w:rsidRDefault="00D918FD">
      <w:pPr>
        <w:jc w:val="both"/>
        <w:rPr>
          <w:rFonts w:cs="Arial"/>
          <w:b/>
          <w:bCs w:val="0"/>
          <w:sz w:val="20"/>
        </w:rPr>
      </w:pPr>
      <w:r w:rsidRPr="007749CC">
        <w:rPr>
          <w:rFonts w:cs="Arial"/>
          <w:b/>
          <w:bCs w:val="0"/>
          <w:sz w:val="20"/>
        </w:rPr>
        <w:t xml:space="preserve">Úhrnná plodnost </w:t>
      </w:r>
      <w:r w:rsidR="00792326" w:rsidRPr="007749CC">
        <w:rPr>
          <w:rFonts w:cs="Arial"/>
          <w:b/>
          <w:bCs w:val="0"/>
          <w:sz w:val="20"/>
        </w:rPr>
        <w:t>(</w:t>
      </w:r>
      <w:proofErr w:type="spellStart"/>
      <w:r w:rsidR="00792326" w:rsidRPr="007749CC">
        <w:rPr>
          <w:rFonts w:cs="Arial"/>
          <w:b/>
          <w:bCs w:val="0"/>
          <w:sz w:val="20"/>
        </w:rPr>
        <w:t>úp</w:t>
      </w:r>
      <w:proofErr w:type="spellEnd"/>
      <w:r w:rsidR="00792326" w:rsidRPr="007749CC">
        <w:rPr>
          <w:rFonts w:cs="Arial"/>
          <w:b/>
          <w:bCs w:val="0"/>
          <w:sz w:val="20"/>
        </w:rPr>
        <w:t xml:space="preserve">) </w:t>
      </w:r>
      <w:r w:rsidRPr="007749CC">
        <w:rPr>
          <w:rFonts w:cs="Arial"/>
          <w:sz w:val="20"/>
        </w:rPr>
        <w:t>(součet měr plodnosti podle jednotek věku)</w:t>
      </w:r>
      <w:r w:rsidR="00792326" w:rsidRPr="007749CC">
        <w:rPr>
          <w:rFonts w:cs="Arial"/>
          <w:sz w:val="20"/>
        </w:rPr>
        <w:t xml:space="preserve"> </w:t>
      </w:r>
    </w:p>
    <w:p w:rsidR="00D918FD" w:rsidRPr="007749CC" w:rsidRDefault="00D918FD">
      <w:pPr>
        <w:pStyle w:val="Zkladntext2"/>
        <w:rPr>
          <w:rFonts w:cs="Arial"/>
          <w:sz w:val="20"/>
        </w:rPr>
      </w:pPr>
      <w:r w:rsidRPr="007749CC">
        <w:rPr>
          <w:rFonts w:cs="Arial"/>
          <w:sz w:val="20"/>
        </w:rPr>
        <w:t>Průměrný počet živě narozených dětí, které by se narodily jedné ženě za předpokladu, že by míry plodnosti podle věku zaznamenané ve sledovaném kalendářním roce zůstaly během jejího reprodukčního období</w:t>
      </w:r>
      <w:r w:rsidRPr="007749CC">
        <w:rPr>
          <w:rFonts w:cs="Arial"/>
          <w:sz w:val="20"/>
        </w:rPr>
        <w:br/>
        <w:t>(15-49 let) neměnné.</w:t>
      </w:r>
    </w:p>
    <w:p w:rsidR="00D918FD" w:rsidRPr="007749CC" w:rsidRDefault="00D918FD">
      <w:pPr>
        <w:pStyle w:val="Zkladntext2"/>
        <w:rPr>
          <w:rFonts w:cs="Arial"/>
          <w:sz w:val="20"/>
        </w:rPr>
      </w:pPr>
      <w:r w:rsidRPr="007749CC">
        <w:rPr>
          <w:rFonts w:cs="Arial"/>
          <w:sz w:val="20"/>
        </w:rPr>
        <w:tab/>
      </w:r>
      <w:r w:rsidRPr="007749CC">
        <w:rPr>
          <w:rFonts w:cs="Arial"/>
          <w:sz w:val="20"/>
        </w:rPr>
        <w:tab/>
      </w:r>
      <w:r w:rsidRPr="007749CC">
        <w:rPr>
          <w:rFonts w:cs="Arial"/>
          <w:sz w:val="20"/>
        </w:rPr>
        <w:tab/>
      </w:r>
      <w:r w:rsidRPr="007749CC">
        <w:rPr>
          <w:rFonts w:cs="Arial"/>
          <w:sz w:val="20"/>
        </w:rPr>
        <w:tab/>
      </w:r>
      <w:r w:rsidRPr="007749CC">
        <w:rPr>
          <w:rFonts w:cs="Arial"/>
          <w:position w:val="-24"/>
          <w:sz w:val="20"/>
        </w:rPr>
        <w:object w:dxaOrig="16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29pt" o:ole="">
            <v:imagedata r:id="rId5" o:title=""/>
          </v:shape>
          <o:OLEObject Type="Embed" ProgID="Equation.3" ShapeID="_x0000_i1025" DrawAspect="Content" ObjectID="_1474258390" r:id="rId6"/>
        </w:object>
      </w:r>
    </w:p>
    <w:p w:rsidR="00D918FD" w:rsidRPr="007749CC" w:rsidRDefault="00D918FD">
      <w:pPr>
        <w:jc w:val="both"/>
        <w:rPr>
          <w:rFonts w:cs="Arial"/>
          <w:sz w:val="20"/>
        </w:rPr>
      </w:pPr>
    </w:p>
    <w:p w:rsidR="00D918FD" w:rsidRPr="007749CC" w:rsidRDefault="00D918FD">
      <w:pPr>
        <w:pStyle w:val="Nadpis2"/>
        <w:jc w:val="both"/>
      </w:pPr>
      <w:r w:rsidRPr="007749CC">
        <w:t>Hrubá míra reprodukce</w:t>
      </w:r>
      <w:r w:rsidR="00792326" w:rsidRPr="007749CC">
        <w:t xml:space="preserve"> (</w:t>
      </w:r>
      <w:proofErr w:type="spellStart"/>
      <w:r w:rsidR="00792326" w:rsidRPr="007749CC">
        <w:t>hmr</w:t>
      </w:r>
      <w:proofErr w:type="spellEnd"/>
      <w:r w:rsidR="00792326" w:rsidRPr="007749CC">
        <w:t>)</w:t>
      </w:r>
    </w:p>
    <w:p w:rsidR="00D918FD" w:rsidRPr="007749CC" w:rsidRDefault="00D918FD">
      <w:pPr>
        <w:pStyle w:val="Zkladntext2"/>
        <w:rPr>
          <w:rFonts w:cs="Arial"/>
          <w:sz w:val="20"/>
        </w:rPr>
      </w:pPr>
      <w:r w:rsidRPr="007749CC">
        <w:rPr>
          <w:rFonts w:cs="Arial"/>
          <w:sz w:val="20"/>
        </w:rPr>
        <w:t>Průměrný počet živě narozených děvčat, které by se narodily jedné ženě za předpokladu, že by míry plodnosti podle věku zaznamenané ve sledovaném kalendářním roce zůstaly během jejího reprodukčního věku (15-49 let) neměnné.</w:t>
      </w:r>
    </w:p>
    <w:p w:rsidR="00D918FD" w:rsidRPr="007749CC" w:rsidRDefault="00D918FD">
      <w:pPr>
        <w:autoSpaceDE w:val="0"/>
        <w:autoSpaceDN w:val="0"/>
        <w:adjustRightInd w:val="0"/>
        <w:rPr>
          <w:rFonts w:cs="Arial"/>
          <w:bCs w:val="0"/>
          <w:sz w:val="17"/>
          <w:szCs w:val="17"/>
        </w:rPr>
      </w:pPr>
      <w:r w:rsidRPr="007749CC">
        <w:rPr>
          <w:rFonts w:cs="Arial"/>
          <w:sz w:val="20"/>
        </w:rPr>
        <w:tab/>
      </w:r>
      <w:r w:rsidRPr="007749CC">
        <w:rPr>
          <w:rFonts w:cs="Arial"/>
          <w:sz w:val="20"/>
        </w:rPr>
        <w:tab/>
      </w:r>
      <w:r w:rsidRPr="007749CC">
        <w:rPr>
          <w:rFonts w:cs="Arial"/>
          <w:sz w:val="20"/>
        </w:rPr>
        <w:tab/>
      </w:r>
      <w:r w:rsidRPr="007749CC">
        <w:rPr>
          <w:rFonts w:cs="Arial"/>
          <w:sz w:val="20"/>
        </w:rPr>
        <w:tab/>
      </w:r>
      <w:r w:rsidRPr="007749CC">
        <w:rPr>
          <w:rFonts w:cs="Arial"/>
          <w:position w:val="-24"/>
          <w:sz w:val="20"/>
        </w:rPr>
        <w:object w:dxaOrig="1900" w:dyaOrig="580">
          <v:shape id="_x0000_i1026" type="#_x0000_t75" style="width:95.1pt;height:29pt" o:ole="">
            <v:imagedata r:id="rId7" o:title=""/>
          </v:shape>
          <o:OLEObject Type="Embed" ProgID="Equation.3" ShapeID="_x0000_i1026" DrawAspect="Content" ObjectID="_1474258391" r:id="rId8"/>
        </w:object>
      </w:r>
      <w:r w:rsidRPr="007749CC">
        <w:rPr>
          <w:rFonts w:cs="Arial"/>
          <w:sz w:val="20"/>
        </w:rPr>
        <w:tab/>
      </w:r>
      <w:r w:rsidRPr="007749CC">
        <w:rPr>
          <w:rFonts w:cs="Arial"/>
          <w:sz w:val="20"/>
        </w:rPr>
        <w:tab/>
      </w:r>
    </w:p>
    <w:p w:rsidR="00D918FD" w:rsidRPr="007749CC" w:rsidRDefault="00D918FD">
      <w:pPr>
        <w:pStyle w:val="Nadpis2"/>
        <w:jc w:val="both"/>
      </w:pPr>
    </w:p>
    <w:p w:rsidR="00D918FD" w:rsidRPr="007749CC" w:rsidRDefault="00D918FD">
      <w:pPr>
        <w:pStyle w:val="Nadpis2"/>
        <w:jc w:val="both"/>
      </w:pPr>
      <w:r w:rsidRPr="007749CC">
        <w:t>Čistá míra reprodukce</w:t>
      </w:r>
      <w:r w:rsidR="00792326" w:rsidRPr="007749CC">
        <w:t xml:space="preserve"> (</w:t>
      </w:r>
      <w:proofErr w:type="spellStart"/>
      <w:r w:rsidR="00792326" w:rsidRPr="007749CC">
        <w:t>čmr</w:t>
      </w:r>
      <w:proofErr w:type="spellEnd"/>
      <w:r w:rsidR="00792326" w:rsidRPr="007749CC">
        <w:t>)</w:t>
      </w:r>
    </w:p>
    <w:p w:rsidR="00D918FD" w:rsidRPr="007749CC" w:rsidRDefault="00D918FD">
      <w:pPr>
        <w:pStyle w:val="Zkladntext2"/>
        <w:rPr>
          <w:rFonts w:cs="Arial"/>
          <w:sz w:val="20"/>
        </w:rPr>
      </w:pPr>
      <w:r w:rsidRPr="007749CC">
        <w:rPr>
          <w:rFonts w:cs="Arial"/>
          <w:sz w:val="20"/>
        </w:rPr>
        <w:t>Průměrný počet živě narozených děvčat, které by se narodily jedné ženě a dožily se věku své matky v době porodu za předpokladu, že by míry plodnosti a úmrtnosti podle věku zaznamenané ve sledovaném kalendářním roce zůstaly během jejího reprodukčního věku (15-49 let) neměnné.</w:t>
      </w:r>
    </w:p>
    <w:p w:rsidR="00D918FD" w:rsidRPr="007749CC" w:rsidRDefault="00D918FD">
      <w:pPr>
        <w:pStyle w:val="Zkladntext2"/>
        <w:rPr>
          <w:rFonts w:cs="Arial"/>
          <w:sz w:val="20"/>
        </w:rPr>
      </w:pPr>
      <w:r w:rsidRPr="007749CC">
        <w:rPr>
          <w:rFonts w:cs="Arial"/>
          <w:sz w:val="20"/>
        </w:rPr>
        <w:tab/>
      </w:r>
      <w:r w:rsidRPr="007749CC">
        <w:rPr>
          <w:rFonts w:cs="Arial"/>
          <w:sz w:val="20"/>
        </w:rPr>
        <w:tab/>
      </w:r>
      <w:r w:rsidRPr="007749CC">
        <w:rPr>
          <w:rFonts w:cs="Arial"/>
          <w:sz w:val="20"/>
        </w:rPr>
        <w:tab/>
      </w:r>
      <w:r w:rsidRPr="007749CC">
        <w:rPr>
          <w:rFonts w:cs="Arial"/>
          <w:sz w:val="20"/>
        </w:rPr>
        <w:tab/>
      </w:r>
    </w:p>
    <w:p w:rsidR="00D918FD" w:rsidRPr="007749CC" w:rsidRDefault="00D918FD">
      <w:pPr>
        <w:pStyle w:val="Zkladntext2"/>
        <w:ind w:left="2124" w:firstLine="708"/>
        <w:rPr>
          <w:rFonts w:cs="Arial"/>
          <w:sz w:val="20"/>
        </w:rPr>
      </w:pPr>
      <w:r w:rsidRPr="007749CC">
        <w:rPr>
          <w:rFonts w:cs="Arial"/>
          <w:position w:val="-24"/>
          <w:sz w:val="20"/>
        </w:rPr>
        <w:object w:dxaOrig="2100" w:dyaOrig="600">
          <v:shape id="_x0000_i1027" type="#_x0000_t75" style="width:104.8pt;height:30.1pt" o:ole="">
            <v:imagedata r:id="rId9" o:title=""/>
          </v:shape>
          <o:OLEObject Type="Embed" ProgID="Equation.3" ShapeID="_x0000_i1027" DrawAspect="Content" ObjectID="_1474258392" r:id="rId10"/>
        </w:object>
      </w:r>
    </w:p>
    <w:p w:rsidR="00D918FD" w:rsidRPr="007749CC" w:rsidRDefault="00D918FD">
      <w:pPr>
        <w:pStyle w:val="Nadpis2"/>
        <w:ind w:left="708" w:hanging="708"/>
        <w:jc w:val="both"/>
      </w:pPr>
    </w:p>
    <w:p w:rsidR="00D918FD" w:rsidRPr="007749CC" w:rsidRDefault="00D918FD">
      <w:pPr>
        <w:pStyle w:val="Nadpis2"/>
        <w:ind w:left="708" w:hanging="708"/>
        <w:jc w:val="both"/>
      </w:pPr>
      <w:r w:rsidRPr="007749CC">
        <w:t>Míra potratovosti podle věku  (</w:t>
      </w:r>
      <w:proofErr w:type="spellStart"/>
      <w:r w:rsidRPr="007749CC">
        <w:t>po</w:t>
      </w:r>
      <w:r w:rsidRPr="007749CC">
        <w:rPr>
          <w:vertAlign w:val="subscript"/>
        </w:rPr>
        <w:t>x</w:t>
      </w:r>
      <w:proofErr w:type="spellEnd"/>
      <w:r w:rsidRPr="007749CC">
        <w:t>)</w:t>
      </w:r>
    </w:p>
    <w:p w:rsidR="00D918FD" w:rsidRPr="007749CC" w:rsidRDefault="00D918FD">
      <w:pPr>
        <w:pStyle w:val="Zkladntext2"/>
        <w:rPr>
          <w:rFonts w:cs="Arial"/>
          <w:sz w:val="20"/>
        </w:rPr>
      </w:pPr>
      <w:r w:rsidRPr="007749CC">
        <w:rPr>
          <w:rFonts w:cs="Arial"/>
          <w:sz w:val="20"/>
        </w:rPr>
        <w:t>Počet potratů žen v určitém věku (věkové skupině) na 1 000 žen v daném věku (věkové skupině).</w:t>
      </w:r>
      <w:r w:rsidR="009F143B" w:rsidRPr="007749CC">
        <w:rPr>
          <w:rFonts w:cs="Arial"/>
          <w:sz w:val="20"/>
        </w:rPr>
        <w:t xml:space="preserve"> Z rozložení měr potratovosti podle věku vychází </w:t>
      </w:r>
      <w:r w:rsidR="009F143B" w:rsidRPr="007749CC">
        <w:rPr>
          <w:rFonts w:cs="Arial"/>
          <w:b/>
          <w:sz w:val="20"/>
        </w:rPr>
        <w:t>průměrný věk žen při potratu.</w:t>
      </w:r>
    </w:p>
    <w:p w:rsidR="00D918FD" w:rsidRPr="007749CC" w:rsidRDefault="00D918FD">
      <w:pPr>
        <w:pStyle w:val="Zkladntext2"/>
        <w:rPr>
          <w:rFonts w:cs="Arial"/>
          <w:sz w:val="20"/>
        </w:rPr>
      </w:pPr>
    </w:p>
    <w:p w:rsidR="00D918FD" w:rsidRPr="007749CC" w:rsidRDefault="00D918FD">
      <w:pPr>
        <w:widowControl w:val="0"/>
        <w:jc w:val="both"/>
        <w:rPr>
          <w:rFonts w:cs="Arial"/>
          <w:sz w:val="20"/>
        </w:rPr>
      </w:pPr>
      <w:r w:rsidRPr="007749CC">
        <w:rPr>
          <w:rFonts w:cs="Arial"/>
          <w:b/>
          <w:bCs w:val="0"/>
          <w:sz w:val="20"/>
        </w:rPr>
        <w:t xml:space="preserve">Úhrnná potratovost </w:t>
      </w:r>
      <w:r w:rsidR="00792326" w:rsidRPr="007749CC">
        <w:rPr>
          <w:rFonts w:cs="Arial"/>
          <w:b/>
          <w:bCs w:val="0"/>
          <w:sz w:val="20"/>
        </w:rPr>
        <w:t>(</w:t>
      </w:r>
      <w:proofErr w:type="spellStart"/>
      <w:r w:rsidR="00792326" w:rsidRPr="007749CC">
        <w:rPr>
          <w:rFonts w:cs="Arial"/>
          <w:b/>
          <w:bCs w:val="0"/>
          <w:sz w:val="20"/>
        </w:rPr>
        <w:t>úpo</w:t>
      </w:r>
      <w:proofErr w:type="spellEnd"/>
      <w:r w:rsidR="00792326" w:rsidRPr="007749CC">
        <w:rPr>
          <w:rFonts w:cs="Arial"/>
          <w:b/>
          <w:bCs w:val="0"/>
          <w:sz w:val="20"/>
        </w:rPr>
        <w:t xml:space="preserve">) </w:t>
      </w:r>
      <w:r w:rsidRPr="007749CC">
        <w:rPr>
          <w:rFonts w:cs="Arial"/>
          <w:sz w:val="20"/>
        </w:rPr>
        <w:t>(součet měr potratovosti podle jednotek věku)</w:t>
      </w:r>
    </w:p>
    <w:p w:rsidR="00D918FD" w:rsidRPr="007749CC" w:rsidRDefault="00D918FD">
      <w:pPr>
        <w:widowControl w:val="0"/>
        <w:jc w:val="both"/>
        <w:rPr>
          <w:rFonts w:cs="Arial"/>
          <w:sz w:val="20"/>
        </w:rPr>
      </w:pPr>
      <w:r w:rsidRPr="007749CC">
        <w:rPr>
          <w:rFonts w:cs="Arial"/>
          <w:sz w:val="20"/>
        </w:rPr>
        <w:t>Průměrný počet potratů, které by připadly na jednu ženu za předpokladu, že by míry potratovosti podle věku zaznamenané ve sledovaném kalendářním roce zůstaly během jejího reprodukčního věku (15-49 let) neměnné.</w:t>
      </w:r>
    </w:p>
    <w:p w:rsidR="00D918FD" w:rsidRPr="007749CC" w:rsidRDefault="00D918FD">
      <w:pPr>
        <w:pStyle w:val="Nadpis2"/>
        <w:ind w:left="2124" w:firstLine="708"/>
        <w:jc w:val="both"/>
      </w:pPr>
      <w:r w:rsidRPr="007749CC">
        <w:rPr>
          <w:position w:val="-24"/>
        </w:rPr>
        <w:object w:dxaOrig="1920" w:dyaOrig="580">
          <v:shape id="_x0000_i1028" type="#_x0000_t75" style="width:96.2pt;height:29pt" o:ole="">
            <v:imagedata r:id="rId11" o:title=""/>
          </v:shape>
          <o:OLEObject Type="Embed" ProgID="Equation.3" ShapeID="_x0000_i1028" DrawAspect="Content" ObjectID="_1474258393" r:id="rId12"/>
        </w:object>
      </w:r>
    </w:p>
    <w:p w:rsidR="00D918FD" w:rsidRPr="007749CC" w:rsidRDefault="00D918FD">
      <w:pPr>
        <w:pStyle w:val="Nadpis2"/>
        <w:jc w:val="both"/>
      </w:pPr>
    </w:p>
    <w:p w:rsidR="00D918FD" w:rsidRPr="007749CC" w:rsidRDefault="00D918FD">
      <w:pPr>
        <w:pStyle w:val="Nadpis2"/>
        <w:ind w:left="708" w:hanging="708"/>
        <w:jc w:val="both"/>
      </w:pPr>
      <w:r w:rsidRPr="007749CC">
        <w:t>Míra indukované potratovosti podle věku  (</w:t>
      </w:r>
      <w:proofErr w:type="spellStart"/>
      <w:r w:rsidRPr="007749CC">
        <w:t>po</w:t>
      </w:r>
      <w:r w:rsidRPr="007749CC">
        <w:rPr>
          <w:vertAlign w:val="superscript"/>
        </w:rPr>
        <w:t>i</w:t>
      </w:r>
      <w:r w:rsidRPr="007749CC">
        <w:rPr>
          <w:vertAlign w:val="subscript"/>
        </w:rPr>
        <w:t>x</w:t>
      </w:r>
      <w:proofErr w:type="spellEnd"/>
      <w:r w:rsidRPr="007749CC">
        <w:t>)</w:t>
      </w:r>
    </w:p>
    <w:p w:rsidR="00D918FD" w:rsidRPr="007749CC" w:rsidRDefault="00D918FD">
      <w:pPr>
        <w:pStyle w:val="Zkladntext2"/>
        <w:rPr>
          <w:rFonts w:cs="Arial"/>
          <w:sz w:val="20"/>
        </w:rPr>
      </w:pPr>
      <w:r w:rsidRPr="007749CC">
        <w:rPr>
          <w:rFonts w:cs="Arial"/>
          <w:sz w:val="20"/>
        </w:rPr>
        <w:t>Počet interrupcí žen v určitém věku (věkové skupině) na 1 000 žen v daném věku (věkové skupině).</w:t>
      </w:r>
      <w:r w:rsidR="009F143B" w:rsidRPr="007749CC">
        <w:rPr>
          <w:rFonts w:cs="Arial"/>
          <w:sz w:val="20"/>
        </w:rPr>
        <w:t xml:space="preserve"> Z rozložení měr indukované potratovosti podle věku vychází </w:t>
      </w:r>
      <w:r w:rsidR="009F143B" w:rsidRPr="007749CC">
        <w:rPr>
          <w:rFonts w:cs="Arial"/>
          <w:b/>
          <w:sz w:val="20"/>
        </w:rPr>
        <w:t>průměrný věk žen při indukovaném potratu.</w:t>
      </w:r>
    </w:p>
    <w:p w:rsidR="00D918FD" w:rsidRPr="007749CC" w:rsidRDefault="00D918FD">
      <w:pPr>
        <w:pStyle w:val="Zkladntext2"/>
        <w:rPr>
          <w:rFonts w:cs="Arial"/>
          <w:sz w:val="20"/>
        </w:rPr>
      </w:pPr>
    </w:p>
    <w:p w:rsidR="00D918FD" w:rsidRPr="007749CC" w:rsidRDefault="00D918FD">
      <w:pPr>
        <w:widowControl w:val="0"/>
        <w:jc w:val="both"/>
        <w:rPr>
          <w:rFonts w:cs="Arial"/>
          <w:sz w:val="20"/>
        </w:rPr>
      </w:pPr>
      <w:r w:rsidRPr="007749CC">
        <w:rPr>
          <w:rFonts w:cs="Arial"/>
          <w:b/>
          <w:bCs w:val="0"/>
          <w:sz w:val="20"/>
        </w:rPr>
        <w:br w:type="page"/>
      </w:r>
      <w:r w:rsidRPr="007749CC">
        <w:rPr>
          <w:rFonts w:cs="Arial"/>
          <w:b/>
          <w:bCs w:val="0"/>
          <w:sz w:val="20"/>
        </w:rPr>
        <w:lastRenderedPageBreak/>
        <w:t>Úhrnná indukovaná potratovost</w:t>
      </w:r>
      <w:r w:rsidR="00792326" w:rsidRPr="007749CC">
        <w:rPr>
          <w:rFonts w:cs="Arial"/>
          <w:b/>
          <w:bCs w:val="0"/>
          <w:sz w:val="20"/>
        </w:rPr>
        <w:t xml:space="preserve"> (</w:t>
      </w:r>
      <w:proofErr w:type="spellStart"/>
      <w:r w:rsidR="00792326" w:rsidRPr="007749CC">
        <w:rPr>
          <w:rFonts w:cs="Arial"/>
          <w:b/>
          <w:bCs w:val="0"/>
          <w:sz w:val="20"/>
        </w:rPr>
        <w:t>úpo</w:t>
      </w:r>
      <w:r w:rsidR="00792326" w:rsidRPr="007749CC">
        <w:rPr>
          <w:rFonts w:cs="Arial"/>
          <w:b/>
          <w:bCs w:val="0"/>
          <w:sz w:val="20"/>
          <w:vertAlign w:val="superscript"/>
        </w:rPr>
        <w:t>i</w:t>
      </w:r>
      <w:proofErr w:type="spellEnd"/>
      <w:r w:rsidR="00792326" w:rsidRPr="007749CC">
        <w:rPr>
          <w:rFonts w:cs="Arial"/>
          <w:b/>
          <w:bCs w:val="0"/>
          <w:sz w:val="20"/>
        </w:rPr>
        <w:t>)</w:t>
      </w:r>
      <w:r w:rsidRPr="007749CC">
        <w:rPr>
          <w:rFonts w:cs="Arial"/>
          <w:b/>
          <w:bCs w:val="0"/>
          <w:sz w:val="20"/>
        </w:rPr>
        <w:t xml:space="preserve"> </w:t>
      </w:r>
      <w:r w:rsidRPr="007749CC">
        <w:rPr>
          <w:rFonts w:cs="Arial"/>
          <w:sz w:val="20"/>
        </w:rPr>
        <w:t>(součet měr indukované potratovosti podle jednotek věku)</w:t>
      </w:r>
    </w:p>
    <w:p w:rsidR="00D918FD" w:rsidRPr="007749CC" w:rsidRDefault="00D918FD">
      <w:pPr>
        <w:widowControl w:val="0"/>
        <w:jc w:val="both"/>
        <w:rPr>
          <w:rFonts w:cs="Arial"/>
          <w:sz w:val="20"/>
        </w:rPr>
      </w:pPr>
      <w:r w:rsidRPr="007749CC">
        <w:rPr>
          <w:rFonts w:cs="Arial"/>
          <w:sz w:val="20"/>
        </w:rPr>
        <w:t>Průměrný počet interrupcí, který by připadl na jednu ženu za předpokladu, že by míry indukované potratovosti podle věku zaznamenané ve sledovaném kalendářním roce zůstaly během jejího reprodukčního věku (15-49 let) neměnné.</w:t>
      </w:r>
    </w:p>
    <w:p w:rsidR="00D918FD" w:rsidRPr="007749CC" w:rsidRDefault="00D918FD">
      <w:pPr>
        <w:widowControl w:val="0"/>
        <w:ind w:left="2124" w:firstLine="708"/>
        <w:jc w:val="both"/>
        <w:rPr>
          <w:rFonts w:cs="Arial"/>
          <w:sz w:val="20"/>
        </w:rPr>
      </w:pPr>
      <w:r w:rsidRPr="007749CC">
        <w:rPr>
          <w:rFonts w:cs="Arial"/>
          <w:position w:val="-24"/>
          <w:sz w:val="20"/>
        </w:rPr>
        <w:object w:dxaOrig="2280" w:dyaOrig="580">
          <v:shape id="_x0000_i1029" type="#_x0000_t75" style="width:113.9pt;height:29pt" o:ole="">
            <v:imagedata r:id="rId13" o:title=""/>
          </v:shape>
          <o:OLEObject Type="Embed" ProgID="Equation.3" ShapeID="_x0000_i1029" DrawAspect="Content" ObjectID="_1474258394" r:id="rId14"/>
        </w:object>
      </w:r>
    </w:p>
    <w:p w:rsidR="00D918FD" w:rsidRPr="007749CC" w:rsidRDefault="00D918FD">
      <w:pPr>
        <w:rPr>
          <w:rFonts w:cs="Arial"/>
        </w:rPr>
      </w:pPr>
    </w:p>
    <w:p w:rsidR="00D918FD" w:rsidRPr="007749CC" w:rsidRDefault="00D918FD">
      <w:pPr>
        <w:pStyle w:val="Nadpis2"/>
        <w:jc w:val="both"/>
      </w:pPr>
      <w:r w:rsidRPr="007749CC">
        <w:t>Míra ukončených těhotenství podle věku</w:t>
      </w:r>
    </w:p>
    <w:p w:rsidR="00D918FD" w:rsidRPr="007749CC" w:rsidRDefault="00D918FD">
      <w:pPr>
        <w:jc w:val="both"/>
        <w:rPr>
          <w:rFonts w:cs="Arial"/>
          <w:sz w:val="20"/>
        </w:rPr>
      </w:pPr>
      <w:r w:rsidRPr="007749CC">
        <w:rPr>
          <w:rFonts w:cs="Arial"/>
          <w:sz w:val="20"/>
        </w:rPr>
        <w:t>Počet ukončených těhotenství žen (součet živě i mrtvě narozených dětí a všech potratů) v určitém věku (věkové skupině) na 1 000 žen v daném věku (věkové skupině).</w:t>
      </w:r>
      <w:r w:rsidR="009F143B" w:rsidRPr="007749CC">
        <w:rPr>
          <w:rFonts w:cs="Arial"/>
          <w:sz w:val="20"/>
        </w:rPr>
        <w:t xml:space="preserve"> Z rozložení měr ukončených těhotenství podle věku vychází </w:t>
      </w:r>
      <w:r w:rsidR="009F143B" w:rsidRPr="007749CC">
        <w:rPr>
          <w:rFonts w:cs="Arial"/>
          <w:b/>
          <w:sz w:val="20"/>
        </w:rPr>
        <w:t>průměrný věk žen při ukončení těhotenství.</w:t>
      </w:r>
    </w:p>
    <w:p w:rsidR="00D918FD" w:rsidRPr="007749CC" w:rsidRDefault="00D918FD">
      <w:pPr>
        <w:jc w:val="both"/>
        <w:rPr>
          <w:rFonts w:cs="Arial"/>
          <w:sz w:val="20"/>
        </w:rPr>
      </w:pPr>
    </w:p>
    <w:p w:rsidR="00D918FD" w:rsidRPr="007749CC" w:rsidRDefault="00D918FD">
      <w:pPr>
        <w:pStyle w:val="Nadpis2"/>
        <w:jc w:val="both"/>
        <w:rPr>
          <w:b w:val="0"/>
          <w:bCs w:val="0"/>
        </w:rPr>
      </w:pPr>
      <w:r w:rsidRPr="007749CC">
        <w:t xml:space="preserve">Úhrnná míra ukončených těhotenství </w:t>
      </w:r>
      <w:r w:rsidR="00792326" w:rsidRPr="007749CC">
        <w:t>(</w:t>
      </w:r>
      <w:proofErr w:type="spellStart"/>
      <w:r w:rsidR="00792326" w:rsidRPr="007749CC">
        <w:t>úmut</w:t>
      </w:r>
      <w:proofErr w:type="spellEnd"/>
      <w:r w:rsidR="00792326" w:rsidRPr="007749CC">
        <w:t xml:space="preserve">) </w:t>
      </w:r>
      <w:r w:rsidRPr="007749CC">
        <w:rPr>
          <w:b w:val="0"/>
          <w:bCs w:val="0"/>
        </w:rPr>
        <w:t>(součet měr ukončených těhotenství podle jednotek věku)</w:t>
      </w:r>
    </w:p>
    <w:p w:rsidR="00D918FD" w:rsidRPr="007749CC" w:rsidRDefault="00D918FD">
      <w:pPr>
        <w:pStyle w:val="Zkladntext2"/>
        <w:rPr>
          <w:rFonts w:cs="Arial"/>
          <w:sz w:val="20"/>
        </w:rPr>
      </w:pPr>
      <w:r w:rsidRPr="007749CC">
        <w:rPr>
          <w:rFonts w:cs="Arial"/>
          <w:sz w:val="20"/>
        </w:rPr>
        <w:t>Průměrný počet ukončených těhotenství, které by připadly na jednu ženu za předpokladu, že by míry ukončených těhotenství podle věku zaznamenané ve sledovaném kalendářním roce zůstaly během jejího reprodukčního věku (15-49 let) neměnné.</w:t>
      </w:r>
    </w:p>
    <w:p w:rsidR="00D918FD" w:rsidRPr="007749CC" w:rsidRDefault="00D918FD">
      <w:pPr>
        <w:pStyle w:val="Zkladntext2"/>
        <w:rPr>
          <w:rFonts w:cs="Arial"/>
          <w:sz w:val="20"/>
        </w:rPr>
      </w:pPr>
      <w:r w:rsidRPr="007749CC">
        <w:rPr>
          <w:rFonts w:cs="Arial"/>
          <w:sz w:val="20"/>
        </w:rPr>
        <w:tab/>
      </w:r>
      <w:r w:rsidRPr="007749CC">
        <w:rPr>
          <w:rFonts w:cs="Arial"/>
          <w:sz w:val="20"/>
        </w:rPr>
        <w:tab/>
      </w:r>
      <w:r w:rsidRPr="007749CC">
        <w:rPr>
          <w:rFonts w:cs="Arial"/>
          <w:sz w:val="20"/>
        </w:rPr>
        <w:tab/>
      </w:r>
    </w:p>
    <w:p w:rsidR="00D918FD" w:rsidRPr="007749CC" w:rsidRDefault="00D918FD">
      <w:pPr>
        <w:pStyle w:val="Zkladntext2"/>
        <w:ind w:left="1416" w:firstLine="708"/>
        <w:rPr>
          <w:rFonts w:cs="Arial"/>
          <w:sz w:val="20"/>
        </w:rPr>
      </w:pPr>
      <w:r w:rsidRPr="007749CC">
        <w:rPr>
          <w:rFonts w:cs="Arial"/>
          <w:sz w:val="20"/>
        </w:rPr>
        <w:tab/>
      </w:r>
      <w:r w:rsidRPr="007749CC">
        <w:rPr>
          <w:rFonts w:cs="Arial"/>
          <w:position w:val="-24"/>
          <w:sz w:val="20"/>
        </w:rPr>
        <w:object w:dxaOrig="2120" w:dyaOrig="580">
          <v:shape id="_x0000_i1030" type="#_x0000_t75" style="width:105.85pt;height:29pt" o:ole="">
            <v:imagedata r:id="rId15" o:title=""/>
          </v:shape>
          <o:OLEObject Type="Embed" ProgID="Equation.3" ShapeID="_x0000_i1030" DrawAspect="Content" ObjectID="_1474258395" r:id="rId16"/>
        </w:object>
      </w:r>
    </w:p>
    <w:p w:rsidR="00D918FD" w:rsidRPr="007749CC" w:rsidRDefault="00D918FD">
      <w:pPr>
        <w:pStyle w:val="Zkladntext2"/>
        <w:rPr>
          <w:rFonts w:cs="Arial"/>
          <w:sz w:val="20"/>
        </w:rPr>
      </w:pPr>
    </w:p>
    <w:p w:rsidR="00D918FD" w:rsidRPr="007749CC" w:rsidRDefault="00D918FD">
      <w:pPr>
        <w:pStyle w:val="Zkladntext2"/>
        <w:rPr>
          <w:rFonts w:cs="Arial"/>
          <w:b/>
          <w:bCs w:val="0"/>
          <w:sz w:val="20"/>
        </w:rPr>
      </w:pPr>
      <w:r w:rsidRPr="007749CC">
        <w:rPr>
          <w:rFonts w:cs="Arial"/>
          <w:b/>
          <w:bCs w:val="0"/>
          <w:sz w:val="20"/>
        </w:rPr>
        <w:t>Míra úmrtnosti podle pohlaví a věku</w:t>
      </w:r>
    </w:p>
    <w:p w:rsidR="00D918FD" w:rsidRPr="007749CC" w:rsidRDefault="00D918FD">
      <w:pPr>
        <w:pStyle w:val="Zkladntext2"/>
        <w:rPr>
          <w:rFonts w:cs="Arial"/>
          <w:sz w:val="20"/>
        </w:rPr>
      </w:pPr>
      <w:r w:rsidRPr="007749CC">
        <w:rPr>
          <w:rFonts w:cs="Arial"/>
          <w:sz w:val="20"/>
        </w:rPr>
        <w:t>Počet zemřelých osob určitého pohlaví v určitém věku (věkové skupině) na 1 000 osob daného pohlaví a věku (věkové skupiny).</w:t>
      </w:r>
    </w:p>
    <w:p w:rsidR="00D918FD" w:rsidRPr="007749CC" w:rsidRDefault="00D918FD">
      <w:pPr>
        <w:jc w:val="both"/>
        <w:rPr>
          <w:rFonts w:cs="Arial"/>
          <w:sz w:val="20"/>
        </w:rPr>
      </w:pPr>
    </w:p>
    <w:p w:rsidR="00D918FD" w:rsidRPr="007749CC" w:rsidRDefault="00D918FD">
      <w:pPr>
        <w:pStyle w:val="Nadpis2"/>
        <w:jc w:val="both"/>
      </w:pPr>
      <w:r w:rsidRPr="007749CC">
        <w:t>Míra úmrtnosti podle pohlaví, věku a třídy příčin smrti</w:t>
      </w:r>
    </w:p>
    <w:p w:rsidR="00D918FD" w:rsidRPr="007749CC" w:rsidRDefault="00D918FD">
      <w:pPr>
        <w:pStyle w:val="Zkladntext2"/>
        <w:rPr>
          <w:rFonts w:cs="Arial"/>
          <w:sz w:val="20"/>
        </w:rPr>
      </w:pPr>
      <w:r w:rsidRPr="007749CC">
        <w:rPr>
          <w:rFonts w:cs="Arial"/>
          <w:sz w:val="20"/>
        </w:rPr>
        <w:t>Počet zemřelých osob určitého pohlaví v určitém věku (věkové skupině) na určitou třídu příčin smrti na 100 000 osob daného pohlaví a věku (věkové skupiny).</w:t>
      </w:r>
    </w:p>
    <w:p w:rsidR="00D918FD" w:rsidRPr="007749CC" w:rsidRDefault="00D918FD">
      <w:pPr>
        <w:jc w:val="both"/>
        <w:rPr>
          <w:rFonts w:cs="Arial"/>
          <w:sz w:val="20"/>
        </w:rPr>
      </w:pPr>
    </w:p>
    <w:p w:rsidR="00D918FD" w:rsidRPr="007749CC" w:rsidRDefault="00D918FD">
      <w:pPr>
        <w:pStyle w:val="Nadpis1"/>
        <w:ind w:firstLine="708"/>
        <w:rPr>
          <w:caps/>
          <w:sz w:val="20"/>
        </w:rPr>
      </w:pPr>
    </w:p>
    <w:p w:rsidR="00D918FD" w:rsidRPr="007749CC" w:rsidRDefault="00D918FD">
      <w:pPr>
        <w:rPr>
          <w:rFonts w:cs="Arial"/>
        </w:rPr>
      </w:pPr>
    </w:p>
    <w:p w:rsidR="00D918FD" w:rsidRPr="007749CC" w:rsidRDefault="00D918FD">
      <w:pPr>
        <w:pStyle w:val="Nadpis1"/>
        <w:rPr>
          <w:caps/>
          <w:sz w:val="20"/>
        </w:rPr>
      </w:pPr>
      <w:r w:rsidRPr="007749CC">
        <w:rPr>
          <w:caps/>
          <w:sz w:val="20"/>
        </w:rPr>
        <w:t xml:space="preserve">JednovýchodnÉ tabulKY sňatečnosti svobodných </w:t>
      </w:r>
    </w:p>
    <w:p w:rsidR="00D918FD" w:rsidRPr="007749CC" w:rsidRDefault="00D918FD">
      <w:pPr>
        <w:rPr>
          <w:rFonts w:cs="Arial"/>
        </w:rPr>
      </w:pPr>
    </w:p>
    <w:p w:rsidR="00D918FD" w:rsidRPr="007749CC" w:rsidRDefault="00D918FD">
      <w:pPr>
        <w:jc w:val="both"/>
        <w:rPr>
          <w:rFonts w:cs="Arial"/>
          <w:sz w:val="20"/>
        </w:rPr>
      </w:pPr>
      <w:r w:rsidRPr="007749CC">
        <w:rPr>
          <w:rFonts w:cs="Arial"/>
          <w:sz w:val="20"/>
        </w:rPr>
        <w:t>Tabulky jsou počítány z II. hlavních souborů událostí.</w:t>
      </w:r>
      <w:r w:rsidRPr="007749CC">
        <w:rPr>
          <w:rFonts w:cs="Arial"/>
          <w:b/>
          <w:bCs w:val="0"/>
          <w:sz w:val="20"/>
        </w:rPr>
        <w:t xml:space="preserve"> </w:t>
      </w:r>
      <w:r w:rsidRPr="007749CC">
        <w:rPr>
          <w:rFonts w:cs="Arial"/>
          <w:sz w:val="20"/>
        </w:rPr>
        <w:t>Datovou základnu tvoří bilance obyvatelstva podle pohlaví, věku (x), resp. roku narození, a rodinného stavu  – počet obyvatel k 1.</w:t>
      </w:r>
      <w:r w:rsidR="005A7BDC" w:rsidRPr="007749CC">
        <w:rPr>
          <w:rFonts w:cs="Arial"/>
          <w:sz w:val="20"/>
        </w:rPr>
        <w:t> </w:t>
      </w:r>
      <w:r w:rsidRPr="007749CC">
        <w:rPr>
          <w:rFonts w:cs="Arial"/>
          <w:sz w:val="20"/>
        </w:rPr>
        <w:t>1. daného roku (</w:t>
      </w:r>
      <w:proofErr w:type="spellStart"/>
      <w:r w:rsidRPr="007749CC">
        <w:rPr>
          <w:rFonts w:cs="Arial"/>
          <w:sz w:val="20"/>
        </w:rPr>
        <w:t>P</w:t>
      </w:r>
      <w:r w:rsidRPr="007749CC">
        <w:rPr>
          <w:rFonts w:cs="Arial"/>
          <w:sz w:val="20"/>
          <w:vertAlign w:val="superscript"/>
        </w:rPr>
        <w:t>s</w:t>
      </w:r>
      <w:proofErr w:type="spellEnd"/>
      <w:r w:rsidRPr="007749CC">
        <w:rPr>
          <w:rFonts w:cs="Arial"/>
          <w:sz w:val="20"/>
        </w:rPr>
        <w:t xml:space="preserve"> – počet svobodných) a počet demografických událostí svobodných (</w:t>
      </w:r>
      <w:proofErr w:type="spellStart"/>
      <w:r w:rsidRPr="007749CC">
        <w:rPr>
          <w:rFonts w:cs="Arial"/>
          <w:sz w:val="20"/>
        </w:rPr>
        <w:t>S</w:t>
      </w:r>
      <w:r w:rsidRPr="007749CC">
        <w:rPr>
          <w:rFonts w:cs="Arial"/>
          <w:sz w:val="20"/>
          <w:vertAlign w:val="superscript"/>
        </w:rPr>
        <w:t>s</w:t>
      </w:r>
      <w:proofErr w:type="spellEnd"/>
      <w:r w:rsidRPr="007749CC">
        <w:rPr>
          <w:rFonts w:cs="Arial"/>
          <w:sz w:val="20"/>
        </w:rPr>
        <w:t xml:space="preserve"> – sňatek, </w:t>
      </w:r>
      <w:proofErr w:type="spellStart"/>
      <w:r w:rsidRPr="007749CC">
        <w:rPr>
          <w:rFonts w:cs="Arial"/>
          <w:sz w:val="20"/>
        </w:rPr>
        <w:t>D</w:t>
      </w:r>
      <w:r w:rsidRPr="007749CC">
        <w:rPr>
          <w:rFonts w:cs="Arial"/>
          <w:sz w:val="20"/>
          <w:vertAlign w:val="superscript"/>
        </w:rPr>
        <w:t>s</w:t>
      </w:r>
      <w:proofErr w:type="spellEnd"/>
      <w:r w:rsidRPr="007749CC">
        <w:rPr>
          <w:rFonts w:cs="Arial"/>
          <w:sz w:val="20"/>
        </w:rPr>
        <w:t xml:space="preserve"> – úmrtí, E</w:t>
      </w:r>
      <w:r w:rsidRPr="007749CC">
        <w:rPr>
          <w:rFonts w:cs="Arial"/>
          <w:sz w:val="20"/>
          <w:vertAlign w:val="superscript"/>
        </w:rPr>
        <w:t>s</w:t>
      </w:r>
      <w:r w:rsidRPr="007749CC">
        <w:rPr>
          <w:rFonts w:cs="Arial"/>
          <w:sz w:val="20"/>
        </w:rPr>
        <w:t xml:space="preserve"> – emigrace, </w:t>
      </w:r>
      <w:proofErr w:type="spellStart"/>
      <w:r w:rsidRPr="007749CC">
        <w:rPr>
          <w:rFonts w:cs="Arial"/>
          <w:sz w:val="20"/>
        </w:rPr>
        <w:t>I</w:t>
      </w:r>
      <w:r w:rsidRPr="007749CC">
        <w:rPr>
          <w:rFonts w:cs="Arial"/>
          <w:sz w:val="20"/>
          <w:vertAlign w:val="superscript"/>
        </w:rPr>
        <w:t>s</w:t>
      </w:r>
      <w:proofErr w:type="spellEnd"/>
      <w:r w:rsidRPr="007749CC">
        <w:rPr>
          <w:rFonts w:cs="Arial"/>
          <w:sz w:val="20"/>
        </w:rPr>
        <w:t xml:space="preserve"> – imigrace) během daného roku. Tabulky jsou počítány odděleně pro muže a ženy. Analyzovány jsou události pro věk 15 až 49 let. Věkem x je rozuměn věk na počátku daného roku.</w:t>
      </w:r>
    </w:p>
    <w:p w:rsidR="00D918FD" w:rsidRPr="007749CC" w:rsidRDefault="00D918FD">
      <w:pPr>
        <w:rPr>
          <w:rFonts w:cs="Arial"/>
          <w:sz w:val="20"/>
        </w:rPr>
      </w:pPr>
    </w:p>
    <w:p w:rsidR="00D918FD" w:rsidRPr="007749CC" w:rsidRDefault="00D918FD">
      <w:pPr>
        <w:jc w:val="both"/>
        <w:rPr>
          <w:rFonts w:cs="Arial"/>
          <w:sz w:val="20"/>
        </w:rPr>
      </w:pPr>
      <w:r w:rsidRPr="007749CC">
        <w:rPr>
          <w:rFonts w:cs="Arial"/>
          <w:sz w:val="20"/>
        </w:rPr>
        <w:t xml:space="preserve">Vstupní charakteristikou tabulek je </w:t>
      </w:r>
      <w:r w:rsidRPr="007749CC">
        <w:rPr>
          <w:rFonts w:cs="Arial"/>
          <w:b/>
          <w:bCs w:val="0"/>
          <w:sz w:val="20"/>
        </w:rPr>
        <w:t>pravděpodobnost</w:t>
      </w:r>
      <w:r w:rsidRPr="007749CC">
        <w:rPr>
          <w:rFonts w:cs="Arial"/>
          <w:sz w:val="20"/>
        </w:rPr>
        <w:t xml:space="preserve"> svobodné osoby daného pohlaví ve věku x (k 1.</w:t>
      </w:r>
      <w:r w:rsidR="005A7BDC" w:rsidRPr="007749CC">
        <w:rPr>
          <w:rFonts w:cs="Arial"/>
          <w:sz w:val="20"/>
        </w:rPr>
        <w:t> </w:t>
      </w:r>
      <w:r w:rsidRPr="007749CC">
        <w:rPr>
          <w:rFonts w:cs="Arial"/>
          <w:sz w:val="20"/>
        </w:rPr>
        <w:t xml:space="preserve">1.) </w:t>
      </w:r>
      <w:r w:rsidRPr="007749CC">
        <w:rPr>
          <w:rFonts w:cs="Arial"/>
          <w:b/>
          <w:bCs w:val="0"/>
          <w:sz w:val="20"/>
        </w:rPr>
        <w:t xml:space="preserve">uzavřít </w:t>
      </w:r>
      <w:r w:rsidRPr="007749CC">
        <w:rPr>
          <w:rFonts w:cs="Arial"/>
          <w:sz w:val="20"/>
        </w:rPr>
        <w:t xml:space="preserve">během roku </w:t>
      </w:r>
      <w:r w:rsidRPr="007749CC">
        <w:rPr>
          <w:rFonts w:cs="Arial"/>
          <w:b/>
          <w:bCs w:val="0"/>
          <w:sz w:val="20"/>
        </w:rPr>
        <w:t>sňatek</w:t>
      </w:r>
      <w:r w:rsidR="000A6604" w:rsidRPr="007749CC">
        <w:rPr>
          <w:rFonts w:cs="Arial"/>
          <w:b/>
          <w:bCs w:val="0"/>
          <w:sz w:val="20"/>
        </w:rPr>
        <w:t xml:space="preserve"> (</w:t>
      </w:r>
      <w:proofErr w:type="spellStart"/>
      <w:r w:rsidR="000A6604" w:rsidRPr="007749CC">
        <w:rPr>
          <w:rFonts w:cs="Arial"/>
          <w:b/>
          <w:bCs w:val="0"/>
          <w:sz w:val="20"/>
        </w:rPr>
        <w:t>q</w:t>
      </w:r>
      <w:r w:rsidR="000A6604" w:rsidRPr="007749CC">
        <w:rPr>
          <w:b/>
          <w:sz w:val="20"/>
          <w:szCs w:val="20"/>
          <w:vertAlign w:val="subscript"/>
        </w:rPr>
        <w:t>x</w:t>
      </w:r>
      <w:r w:rsidR="000A6604" w:rsidRPr="007749CC">
        <w:rPr>
          <w:b/>
          <w:sz w:val="20"/>
          <w:szCs w:val="20"/>
          <w:vertAlign w:val="superscript"/>
        </w:rPr>
        <w:t>m</w:t>
      </w:r>
      <w:proofErr w:type="spellEnd"/>
      <w:r w:rsidR="000A6604" w:rsidRPr="007749CC">
        <w:rPr>
          <w:b/>
        </w:rPr>
        <w:t>)</w:t>
      </w:r>
      <w:r w:rsidRPr="007749CC">
        <w:rPr>
          <w:rFonts w:cs="Arial"/>
          <w:sz w:val="20"/>
        </w:rPr>
        <w:t>:</w:t>
      </w:r>
    </w:p>
    <w:p w:rsidR="00D918FD" w:rsidRPr="007749CC" w:rsidRDefault="000A6604">
      <w:pPr>
        <w:ind w:firstLine="2880"/>
        <w:rPr>
          <w:rFonts w:cs="Arial"/>
          <w:sz w:val="20"/>
        </w:rPr>
      </w:pPr>
      <w:r w:rsidRPr="007749CC">
        <w:rPr>
          <w:rFonts w:cs="Arial"/>
          <w:position w:val="-28"/>
          <w:sz w:val="20"/>
        </w:rPr>
        <w:object w:dxaOrig="3220" w:dyaOrig="660">
          <v:shape id="_x0000_i1031" type="#_x0000_t75" style="width:161.2pt;height:32.8pt" o:ole="">
            <v:imagedata r:id="rId17" o:title=""/>
          </v:shape>
          <o:OLEObject Type="Embed" ProgID="Equation.3" ShapeID="_x0000_i1031" DrawAspect="Content" ObjectID="_1474258396" r:id="rId18"/>
        </w:object>
      </w:r>
      <w:r w:rsidR="00D918FD" w:rsidRPr="007749CC">
        <w:rPr>
          <w:rFonts w:cs="Arial"/>
          <w:sz w:val="20"/>
        </w:rPr>
        <w:tab/>
      </w:r>
      <w:r w:rsidR="00D918FD" w:rsidRPr="007749CC">
        <w:rPr>
          <w:rFonts w:cs="Arial"/>
          <w:sz w:val="20"/>
        </w:rPr>
        <w:tab/>
      </w:r>
    </w:p>
    <w:p w:rsidR="00D918FD" w:rsidRPr="007749CC" w:rsidRDefault="00D918FD">
      <w:pPr>
        <w:ind w:left="708" w:firstLine="708"/>
        <w:rPr>
          <w:rFonts w:cs="Arial"/>
          <w:sz w:val="20"/>
        </w:rPr>
      </w:pPr>
      <w:r w:rsidRPr="007749CC">
        <w:rPr>
          <w:rFonts w:cs="Arial"/>
          <w:sz w:val="20"/>
        </w:rPr>
        <w:tab/>
      </w:r>
    </w:p>
    <w:p w:rsidR="00D918FD" w:rsidRPr="007749CC" w:rsidRDefault="00D918FD">
      <w:pPr>
        <w:jc w:val="both"/>
        <w:rPr>
          <w:rFonts w:cs="Arial"/>
          <w:sz w:val="20"/>
        </w:rPr>
      </w:pPr>
      <w:r w:rsidRPr="007749CC">
        <w:rPr>
          <w:rFonts w:cs="Arial"/>
          <w:b/>
          <w:bCs w:val="0"/>
          <w:sz w:val="20"/>
        </w:rPr>
        <w:t>Tabulkový počet svobodných</w:t>
      </w:r>
      <w:r w:rsidRPr="007749CC">
        <w:rPr>
          <w:rFonts w:cs="Arial"/>
          <w:b/>
          <w:i/>
          <w:iCs/>
          <w:sz w:val="20"/>
        </w:rPr>
        <w:t xml:space="preserve"> </w:t>
      </w:r>
      <w:r w:rsidRPr="007749CC">
        <w:rPr>
          <w:rFonts w:cs="Arial"/>
          <w:b/>
          <w:sz w:val="20"/>
        </w:rPr>
        <w:t>(</w:t>
      </w:r>
      <w:proofErr w:type="spellStart"/>
      <w:r w:rsidRPr="007749CC">
        <w:rPr>
          <w:rFonts w:cs="Arial"/>
          <w:b/>
          <w:sz w:val="20"/>
        </w:rPr>
        <w:t>l</w:t>
      </w:r>
      <w:r w:rsidRPr="007749CC">
        <w:rPr>
          <w:rFonts w:cs="Arial"/>
          <w:b/>
          <w:sz w:val="20"/>
          <w:vertAlign w:val="subscript"/>
        </w:rPr>
        <w:t>x</w:t>
      </w:r>
      <w:r w:rsidRPr="007749CC">
        <w:rPr>
          <w:rFonts w:cs="Arial"/>
          <w:b/>
          <w:sz w:val="20"/>
          <w:vertAlign w:val="superscript"/>
        </w:rPr>
        <w:t>m</w:t>
      </w:r>
      <w:proofErr w:type="spellEnd"/>
      <w:r w:rsidRPr="007749CC">
        <w:rPr>
          <w:rFonts w:cs="Arial"/>
          <w:b/>
          <w:sz w:val="20"/>
        </w:rPr>
        <w:t>)</w:t>
      </w:r>
      <w:r w:rsidRPr="007749CC">
        <w:rPr>
          <w:rFonts w:cs="Arial"/>
          <w:sz w:val="20"/>
        </w:rPr>
        <w:t xml:space="preserve"> – tabulkový počet svobodných osob daného pohlaví ve věku x; kořen tabulky (l</w:t>
      </w:r>
      <w:r w:rsidRPr="007749CC">
        <w:rPr>
          <w:rFonts w:cs="Arial"/>
          <w:sz w:val="20"/>
          <w:vertAlign w:val="subscript"/>
        </w:rPr>
        <w:t>15</w:t>
      </w:r>
      <w:r w:rsidRPr="007749CC">
        <w:rPr>
          <w:rFonts w:cs="Arial"/>
          <w:sz w:val="20"/>
        </w:rPr>
        <w:t>) zvolen 100 000.</w:t>
      </w:r>
    </w:p>
    <w:p w:rsidR="00D918FD" w:rsidRPr="007749CC" w:rsidRDefault="00D918FD">
      <w:pPr>
        <w:ind w:left="708" w:firstLine="708"/>
        <w:jc w:val="both"/>
        <w:rPr>
          <w:rFonts w:cs="Arial"/>
          <w:sz w:val="20"/>
        </w:rPr>
      </w:pPr>
    </w:p>
    <w:p w:rsidR="00D918FD" w:rsidRPr="007749CC" w:rsidRDefault="00D918FD">
      <w:pPr>
        <w:ind w:left="1416" w:firstLine="708"/>
        <w:jc w:val="both"/>
        <w:rPr>
          <w:rFonts w:cs="Arial"/>
          <w:sz w:val="20"/>
        </w:rPr>
      </w:pPr>
      <w:r w:rsidRPr="007749CC">
        <w:rPr>
          <w:rFonts w:cs="Arial"/>
          <w:position w:val="-10"/>
          <w:sz w:val="20"/>
        </w:rPr>
        <w:object w:dxaOrig="1240" w:dyaOrig="320">
          <v:shape id="_x0000_i1032" type="#_x0000_t75" style="width:61.8pt;height:16.1pt" o:ole="">
            <v:imagedata r:id="rId19" o:title=""/>
          </v:shape>
          <o:OLEObject Type="Embed" ProgID="Equation.3" ShapeID="_x0000_i1032" DrawAspect="Content" ObjectID="_1474258397" r:id="rId20"/>
        </w:object>
      </w:r>
      <w:r w:rsidRPr="007749CC">
        <w:rPr>
          <w:rFonts w:cs="Arial"/>
          <w:sz w:val="20"/>
        </w:rPr>
        <w:tab/>
      </w:r>
      <w:r w:rsidRPr="007749CC">
        <w:rPr>
          <w:rFonts w:cs="Arial"/>
          <w:sz w:val="20"/>
        </w:rPr>
        <w:tab/>
      </w:r>
      <w:r w:rsidRPr="007749CC">
        <w:rPr>
          <w:rFonts w:cs="Arial"/>
          <w:sz w:val="20"/>
        </w:rPr>
        <w:tab/>
      </w:r>
      <w:r w:rsidRPr="007749CC">
        <w:rPr>
          <w:rFonts w:cs="Arial"/>
          <w:position w:val="-10"/>
          <w:sz w:val="20"/>
        </w:rPr>
        <w:object w:dxaOrig="1560" w:dyaOrig="320">
          <v:shape id="_x0000_i1033" type="#_x0000_t75" style="width:77.9pt;height:16.1pt" o:ole="">
            <v:imagedata r:id="rId21" o:title=""/>
          </v:shape>
          <o:OLEObject Type="Embed" ProgID="Equation.3" ShapeID="_x0000_i1033" DrawAspect="Content" ObjectID="_1474258398" r:id="rId22"/>
        </w:object>
      </w:r>
    </w:p>
    <w:p w:rsidR="00D918FD" w:rsidRPr="007749CC" w:rsidRDefault="00D918FD">
      <w:pPr>
        <w:jc w:val="both"/>
        <w:rPr>
          <w:rFonts w:cs="Arial"/>
          <w:sz w:val="20"/>
        </w:rPr>
      </w:pPr>
    </w:p>
    <w:p w:rsidR="00D918FD" w:rsidRPr="007749CC" w:rsidRDefault="00D918FD">
      <w:pPr>
        <w:jc w:val="both"/>
        <w:rPr>
          <w:rFonts w:cs="Arial"/>
          <w:sz w:val="20"/>
        </w:rPr>
      </w:pPr>
      <w:r w:rsidRPr="007749CC">
        <w:rPr>
          <w:rFonts w:cs="Arial"/>
          <w:b/>
          <w:bCs w:val="0"/>
          <w:sz w:val="20"/>
        </w:rPr>
        <w:t>Tabulkový počet sňatků</w:t>
      </w:r>
      <w:r w:rsidRPr="007749CC">
        <w:rPr>
          <w:rFonts w:cs="Arial"/>
          <w:sz w:val="20"/>
        </w:rPr>
        <w:t xml:space="preserve"> </w:t>
      </w:r>
      <w:r w:rsidRPr="007749CC">
        <w:rPr>
          <w:rFonts w:cs="Arial"/>
          <w:b/>
          <w:sz w:val="20"/>
        </w:rPr>
        <w:t>(</w:t>
      </w:r>
      <w:proofErr w:type="spellStart"/>
      <w:r w:rsidRPr="007749CC">
        <w:rPr>
          <w:rFonts w:cs="Arial"/>
          <w:b/>
          <w:sz w:val="20"/>
        </w:rPr>
        <w:t>d</w:t>
      </w:r>
      <w:r w:rsidRPr="007749CC">
        <w:rPr>
          <w:rFonts w:cs="Arial"/>
          <w:b/>
          <w:sz w:val="20"/>
          <w:vertAlign w:val="subscript"/>
        </w:rPr>
        <w:t>x</w:t>
      </w:r>
      <w:r w:rsidRPr="007749CC">
        <w:rPr>
          <w:rFonts w:cs="Arial"/>
          <w:b/>
          <w:sz w:val="20"/>
          <w:vertAlign w:val="superscript"/>
        </w:rPr>
        <w:t>m</w:t>
      </w:r>
      <w:proofErr w:type="spellEnd"/>
      <w:r w:rsidRPr="007749CC">
        <w:rPr>
          <w:rFonts w:cs="Arial"/>
          <w:b/>
          <w:sz w:val="20"/>
        </w:rPr>
        <w:t>)</w:t>
      </w:r>
      <w:r w:rsidRPr="007749CC">
        <w:rPr>
          <w:rFonts w:cs="Arial"/>
          <w:sz w:val="20"/>
        </w:rPr>
        <w:t xml:space="preserve"> – tabulkový počet sňatků svobodných osob daného pohlaví v průběhu roku (věk x – věk na počátku roku). </w:t>
      </w:r>
    </w:p>
    <w:p w:rsidR="00D918FD" w:rsidRPr="007749CC" w:rsidRDefault="00D918FD">
      <w:pPr>
        <w:rPr>
          <w:rFonts w:cs="Arial"/>
          <w:sz w:val="20"/>
        </w:rPr>
      </w:pPr>
      <w:r w:rsidRPr="007749CC">
        <w:rPr>
          <w:rFonts w:cs="Arial"/>
          <w:sz w:val="20"/>
        </w:rPr>
        <w:tab/>
      </w:r>
      <w:r w:rsidRPr="007749CC">
        <w:rPr>
          <w:rFonts w:cs="Arial"/>
          <w:sz w:val="20"/>
        </w:rPr>
        <w:tab/>
      </w:r>
      <w:r w:rsidRPr="007749CC">
        <w:rPr>
          <w:rFonts w:cs="Arial"/>
          <w:sz w:val="20"/>
        </w:rPr>
        <w:tab/>
      </w:r>
      <w:r w:rsidRPr="007749CC">
        <w:rPr>
          <w:rFonts w:cs="Arial"/>
          <w:sz w:val="20"/>
        </w:rPr>
        <w:tab/>
      </w:r>
      <w:r w:rsidRPr="007749CC">
        <w:rPr>
          <w:rFonts w:cs="Arial"/>
          <w:sz w:val="20"/>
        </w:rPr>
        <w:tab/>
      </w:r>
      <w:r w:rsidRPr="007749CC">
        <w:rPr>
          <w:rFonts w:cs="Arial"/>
          <w:position w:val="-10"/>
          <w:sz w:val="20"/>
        </w:rPr>
        <w:object w:dxaOrig="1260" w:dyaOrig="340">
          <v:shape id="_x0000_i1034" type="#_x0000_t75" style="width:62.85pt;height:17.2pt" o:ole="">
            <v:imagedata r:id="rId23" o:title=""/>
          </v:shape>
          <o:OLEObject Type="Embed" ProgID="Equation.3" ShapeID="_x0000_i1034" DrawAspect="Content" ObjectID="_1474258399" r:id="rId24"/>
        </w:object>
      </w:r>
      <w:r w:rsidRPr="007749CC">
        <w:rPr>
          <w:rFonts w:cs="Arial"/>
          <w:sz w:val="20"/>
        </w:rPr>
        <w:tab/>
      </w:r>
      <w:r w:rsidRPr="007749CC">
        <w:rPr>
          <w:rFonts w:cs="Arial"/>
          <w:sz w:val="20"/>
        </w:rPr>
        <w:tab/>
      </w:r>
      <w:r w:rsidRPr="007749CC">
        <w:rPr>
          <w:rFonts w:cs="Arial"/>
          <w:sz w:val="20"/>
        </w:rPr>
        <w:tab/>
      </w:r>
      <w:r w:rsidRPr="007749CC">
        <w:rPr>
          <w:rFonts w:cs="Arial"/>
          <w:sz w:val="20"/>
        </w:rPr>
        <w:tab/>
      </w:r>
      <w:r w:rsidRPr="007749CC">
        <w:rPr>
          <w:rFonts w:cs="Arial"/>
          <w:sz w:val="20"/>
        </w:rPr>
        <w:tab/>
      </w:r>
    </w:p>
    <w:p w:rsidR="00D918FD" w:rsidRPr="007749CC" w:rsidRDefault="00D918FD">
      <w:pPr>
        <w:jc w:val="both"/>
        <w:rPr>
          <w:rFonts w:cs="Arial"/>
          <w:sz w:val="20"/>
        </w:rPr>
      </w:pPr>
    </w:p>
    <w:p w:rsidR="00D918FD" w:rsidRPr="007749CC" w:rsidRDefault="00D918FD">
      <w:pPr>
        <w:jc w:val="both"/>
        <w:rPr>
          <w:rFonts w:cs="Arial"/>
          <w:sz w:val="20"/>
        </w:rPr>
      </w:pPr>
      <w:r w:rsidRPr="007749CC">
        <w:rPr>
          <w:rFonts w:cs="Arial"/>
          <w:sz w:val="20"/>
        </w:rPr>
        <w:t>Výstupní charakteristikou tabulek je tabulkový počet svobodných v přesném věku 50 let (l</w:t>
      </w:r>
      <w:r w:rsidRPr="007749CC">
        <w:rPr>
          <w:rFonts w:cs="Arial"/>
          <w:sz w:val="20"/>
          <w:vertAlign w:val="subscript"/>
        </w:rPr>
        <w:t>50´</w:t>
      </w:r>
      <w:r w:rsidRPr="007749CC">
        <w:rPr>
          <w:rFonts w:cs="Arial"/>
          <w:sz w:val="20"/>
        </w:rPr>
        <w:t>), resp. podíl osob (z počátečních 100 000), jež by za předpokladu zachování úrovně sňatečnosti svobodných podle věku v daném roce uzavřely do svých 50. narozenin manželství.</w:t>
      </w:r>
    </w:p>
    <w:p w:rsidR="00D918FD" w:rsidRPr="007749CC" w:rsidRDefault="00432F86">
      <w:pPr>
        <w:rPr>
          <w:rFonts w:cs="Arial"/>
          <w:sz w:val="20"/>
        </w:rPr>
      </w:pPr>
      <w:r w:rsidRPr="00432F86">
        <w:rPr>
          <w:rFonts w:cs="Arial"/>
          <w:b/>
          <w:bCs w:val="0"/>
          <w:noProof/>
          <w:sz w:val="20"/>
        </w:rPr>
        <w:pict>
          <v:shape id="_x0000_s1026" type="#_x0000_t75" style="position:absolute;margin-left:369pt;margin-top:19.95pt;width:83.9pt;height:57pt;z-index:251657728;mso-wrap-edited:f" wrapcoords="1858 736 697 2945 2090 4664 697 7855 465 10800 2090 11782 7432 12518 6271 13500 7897 16445 6271 18409 7200 20373 6968 20618 9290 20618 10452 20373 14632 17182 15329 14482 14400 13991 9523 12518 20903 10800 20439 10309 3948 8591 14168 8591 20903 7118 21135 3682 3948 736 1858 736">
            <v:imagedata r:id="rId25" o:title=""/>
            <w10:wrap type="tight"/>
          </v:shape>
          <o:OLEObject Type="Embed" ProgID="Equation.3" ShapeID="_x0000_s1026" DrawAspect="Content" ObjectID="_1474258408" r:id="rId26"/>
        </w:pict>
      </w:r>
      <w:r w:rsidR="00D918FD" w:rsidRPr="007749CC">
        <w:rPr>
          <w:rFonts w:cs="Arial"/>
          <w:b/>
          <w:bCs w:val="0"/>
          <w:sz w:val="20"/>
        </w:rPr>
        <w:t xml:space="preserve">Tabulková </w:t>
      </w:r>
      <w:proofErr w:type="spellStart"/>
      <w:r w:rsidR="00D918FD" w:rsidRPr="007749CC">
        <w:rPr>
          <w:rFonts w:cs="Arial"/>
          <w:b/>
          <w:bCs w:val="0"/>
          <w:sz w:val="20"/>
        </w:rPr>
        <w:t>prvosňatečnost</w:t>
      </w:r>
      <w:proofErr w:type="spellEnd"/>
      <w:r w:rsidR="00D918FD" w:rsidRPr="007749CC">
        <w:rPr>
          <w:rFonts w:cs="Arial"/>
          <w:b/>
          <w:bCs w:val="0"/>
          <w:sz w:val="20"/>
        </w:rPr>
        <w:t xml:space="preserve">:  </w:t>
      </w:r>
      <w:r w:rsidR="00D918FD" w:rsidRPr="007749CC">
        <w:rPr>
          <w:rFonts w:cs="Arial"/>
          <w:i/>
          <w:iCs/>
          <w:sz w:val="20"/>
        </w:rPr>
        <w:t xml:space="preserve"> </w:t>
      </w:r>
      <w:r w:rsidR="00D918FD" w:rsidRPr="007749CC">
        <w:rPr>
          <w:rFonts w:cs="Arial"/>
          <w:sz w:val="20"/>
        </w:rPr>
        <w:t xml:space="preserve"> </w:t>
      </w:r>
      <w:r w:rsidR="00D918FD" w:rsidRPr="007749CC">
        <w:rPr>
          <w:rFonts w:cs="Arial"/>
          <w:sz w:val="20"/>
        </w:rPr>
        <w:tab/>
      </w:r>
      <w:r w:rsidR="00D918FD" w:rsidRPr="007749CC">
        <w:rPr>
          <w:rFonts w:cs="Arial"/>
          <w:sz w:val="20"/>
        </w:rPr>
        <w:tab/>
        <w:t xml:space="preserve"> </w:t>
      </w:r>
      <w:r w:rsidR="00D918FD" w:rsidRPr="007749CC">
        <w:rPr>
          <w:rFonts w:cs="Arial"/>
          <w:position w:val="-26"/>
          <w:sz w:val="20"/>
        </w:rPr>
        <w:object w:dxaOrig="1120" w:dyaOrig="600">
          <v:shape id="_x0000_i1036" type="#_x0000_t75" style="width:55.9pt;height:30.1pt" o:ole="">
            <v:imagedata r:id="rId27" o:title=""/>
          </v:shape>
          <o:OLEObject Type="Embed" ProgID="Equation.3" ShapeID="_x0000_i1036" DrawAspect="Content" ObjectID="_1474258400" r:id="rId28"/>
        </w:object>
      </w:r>
    </w:p>
    <w:p w:rsidR="00D918FD" w:rsidRPr="007749CC" w:rsidRDefault="00D918FD">
      <w:pPr>
        <w:jc w:val="both"/>
        <w:rPr>
          <w:rFonts w:cs="Arial"/>
          <w:b/>
          <w:bCs w:val="0"/>
          <w:sz w:val="20"/>
        </w:rPr>
      </w:pPr>
    </w:p>
    <w:p w:rsidR="00D918FD" w:rsidRPr="007749CC" w:rsidRDefault="00D918FD">
      <w:pPr>
        <w:jc w:val="both"/>
        <w:rPr>
          <w:rFonts w:cs="Arial"/>
          <w:sz w:val="20"/>
        </w:rPr>
      </w:pPr>
      <w:r w:rsidRPr="007749CC">
        <w:rPr>
          <w:rFonts w:cs="Arial"/>
          <w:b/>
          <w:bCs w:val="0"/>
          <w:sz w:val="20"/>
        </w:rPr>
        <w:t>Průměrný věk při prvním sňatku</w:t>
      </w:r>
      <w:r w:rsidRPr="007749CC">
        <w:rPr>
          <w:rFonts w:cs="Arial"/>
          <w:sz w:val="20"/>
        </w:rPr>
        <w:t xml:space="preserve"> je počítán z rozložení tabulkové funkce </w:t>
      </w:r>
      <w:proofErr w:type="spellStart"/>
      <w:r w:rsidRPr="007749CC">
        <w:rPr>
          <w:rFonts w:cs="Arial"/>
          <w:sz w:val="20"/>
        </w:rPr>
        <w:t>d</w:t>
      </w:r>
      <w:r w:rsidRPr="007749CC">
        <w:rPr>
          <w:rFonts w:cs="Arial"/>
          <w:sz w:val="20"/>
          <w:vertAlign w:val="subscript"/>
        </w:rPr>
        <w:t>x</w:t>
      </w:r>
      <w:r w:rsidRPr="007749CC">
        <w:rPr>
          <w:rFonts w:cs="Arial"/>
          <w:sz w:val="20"/>
          <w:vertAlign w:val="superscript"/>
        </w:rPr>
        <w:t>m</w:t>
      </w:r>
      <w:proofErr w:type="spellEnd"/>
      <w:r w:rsidRPr="007749CC">
        <w:rPr>
          <w:rFonts w:cs="Arial"/>
          <w:sz w:val="20"/>
        </w:rPr>
        <w:t xml:space="preserve">: </w:t>
      </w:r>
      <w:r w:rsidRPr="007749CC">
        <w:rPr>
          <w:rFonts w:cs="Arial"/>
          <w:sz w:val="20"/>
        </w:rPr>
        <w:tab/>
      </w:r>
      <w:r w:rsidRPr="007749CC">
        <w:rPr>
          <w:rFonts w:cs="Arial"/>
          <w:sz w:val="20"/>
        </w:rPr>
        <w:tab/>
      </w:r>
    </w:p>
    <w:p w:rsidR="00D918FD" w:rsidRPr="007749CC" w:rsidRDefault="00D918FD">
      <w:pPr>
        <w:rPr>
          <w:rFonts w:cs="Arial"/>
          <w:sz w:val="20"/>
        </w:rPr>
      </w:pPr>
      <w:r w:rsidRPr="007749CC">
        <w:rPr>
          <w:rFonts w:cs="Arial"/>
          <w:sz w:val="20"/>
        </w:rPr>
        <w:tab/>
      </w:r>
      <w:r w:rsidRPr="007749CC">
        <w:rPr>
          <w:rFonts w:cs="Arial"/>
          <w:sz w:val="20"/>
        </w:rPr>
        <w:tab/>
      </w:r>
    </w:p>
    <w:p w:rsidR="00D918FD" w:rsidRPr="007749CC" w:rsidRDefault="00D918FD">
      <w:pPr>
        <w:rPr>
          <w:rFonts w:cs="Arial"/>
          <w:sz w:val="20"/>
        </w:rPr>
      </w:pPr>
    </w:p>
    <w:p w:rsidR="00D918FD" w:rsidRPr="007749CC" w:rsidRDefault="00D918FD">
      <w:pPr>
        <w:pStyle w:val="Nadpis2"/>
        <w:jc w:val="both"/>
        <w:rPr>
          <w:caps/>
        </w:rPr>
      </w:pPr>
      <w:r w:rsidRPr="007749CC">
        <w:rPr>
          <w:caps/>
        </w:rPr>
        <w:t>PODROBNÉ úmrtnostní tabulKY</w:t>
      </w:r>
    </w:p>
    <w:p w:rsidR="00D918FD" w:rsidRPr="007749CC" w:rsidRDefault="00D918FD">
      <w:pPr>
        <w:ind w:firstLine="708"/>
        <w:jc w:val="both"/>
        <w:rPr>
          <w:rFonts w:cs="Arial"/>
          <w:i/>
          <w:iCs/>
          <w:sz w:val="20"/>
        </w:rPr>
      </w:pPr>
    </w:p>
    <w:p w:rsidR="00D918FD" w:rsidRPr="007749CC" w:rsidRDefault="00D918FD">
      <w:pPr>
        <w:jc w:val="both"/>
        <w:rPr>
          <w:rFonts w:cs="Arial"/>
          <w:sz w:val="20"/>
        </w:rPr>
      </w:pPr>
      <w:r w:rsidRPr="007749CC">
        <w:rPr>
          <w:rFonts w:cs="Arial"/>
          <w:sz w:val="20"/>
        </w:rPr>
        <w:t>Tabulky jsou počítány z III. hlavních souborů událostí.</w:t>
      </w:r>
      <w:r w:rsidRPr="007749CC">
        <w:rPr>
          <w:rFonts w:cs="Arial"/>
          <w:b/>
          <w:bCs w:val="0"/>
          <w:sz w:val="20"/>
        </w:rPr>
        <w:t xml:space="preserve"> </w:t>
      </w:r>
      <w:r w:rsidRPr="007749CC">
        <w:rPr>
          <w:rFonts w:cs="Arial"/>
          <w:sz w:val="20"/>
        </w:rPr>
        <w:t>Datovou základnu tvoří bilance obyvatelstva podle věku a pohlaví k 1. 7. daného roku a evidence úmrtí během roku tříděné dle pohlaví a věku (x). Tabulky jsou počítány odděleně pro muže a ženy. Kromě empirických dat o počtu zemřelých (</w:t>
      </w:r>
      <w:proofErr w:type="spellStart"/>
      <w:r w:rsidRPr="007749CC">
        <w:rPr>
          <w:rFonts w:cs="Arial"/>
          <w:sz w:val="20"/>
        </w:rPr>
        <w:t>D</w:t>
      </w:r>
      <w:r w:rsidRPr="007749CC">
        <w:rPr>
          <w:rFonts w:cs="Arial"/>
          <w:sz w:val="20"/>
          <w:vertAlign w:val="subscript"/>
        </w:rPr>
        <w:t>x</w:t>
      </w:r>
      <w:proofErr w:type="spellEnd"/>
      <w:r w:rsidRPr="007749CC">
        <w:rPr>
          <w:rFonts w:cs="Arial"/>
          <w:sz w:val="20"/>
        </w:rPr>
        <w:t>) a stavu obyvatel (</w:t>
      </w:r>
      <w:proofErr w:type="spellStart"/>
      <w:r w:rsidRPr="007749CC">
        <w:rPr>
          <w:rFonts w:cs="Arial"/>
          <w:sz w:val="20"/>
        </w:rPr>
        <w:t>P</w:t>
      </w:r>
      <w:r w:rsidRPr="007749CC">
        <w:rPr>
          <w:rFonts w:cs="Arial"/>
          <w:sz w:val="20"/>
          <w:vertAlign w:val="subscript"/>
        </w:rPr>
        <w:t>x</w:t>
      </w:r>
      <w:proofErr w:type="spellEnd"/>
      <w:r w:rsidRPr="007749CC">
        <w:rPr>
          <w:rFonts w:cs="Arial"/>
          <w:sz w:val="20"/>
        </w:rPr>
        <w:t>) obsahují tyto tabulkové údaje:</w:t>
      </w:r>
    </w:p>
    <w:p w:rsidR="00D918FD" w:rsidRPr="007749CC" w:rsidRDefault="00D918FD">
      <w:pPr>
        <w:ind w:firstLine="708"/>
        <w:jc w:val="both"/>
        <w:rPr>
          <w:rFonts w:cs="Arial"/>
          <w:i/>
          <w:iCs/>
          <w:sz w:val="20"/>
        </w:rPr>
      </w:pPr>
    </w:p>
    <w:p w:rsidR="00D918FD" w:rsidRPr="007749CC" w:rsidRDefault="00D918FD">
      <w:pPr>
        <w:jc w:val="both"/>
        <w:rPr>
          <w:rFonts w:cs="Arial"/>
          <w:b/>
          <w:bCs w:val="0"/>
          <w:sz w:val="20"/>
        </w:rPr>
      </w:pPr>
      <w:r w:rsidRPr="007749CC">
        <w:rPr>
          <w:rFonts w:cs="Arial"/>
          <w:b/>
          <w:bCs w:val="0"/>
          <w:sz w:val="20"/>
        </w:rPr>
        <w:t>Pravděpodobnost úmrtí (</w:t>
      </w:r>
      <w:proofErr w:type="spellStart"/>
      <w:r w:rsidRPr="007749CC">
        <w:rPr>
          <w:rFonts w:cs="Arial"/>
          <w:b/>
          <w:bCs w:val="0"/>
          <w:sz w:val="20"/>
        </w:rPr>
        <w:t>q</w:t>
      </w:r>
      <w:r w:rsidRPr="007749CC">
        <w:rPr>
          <w:rFonts w:cs="Arial"/>
          <w:b/>
          <w:bCs w:val="0"/>
          <w:sz w:val="20"/>
          <w:vertAlign w:val="subscript"/>
        </w:rPr>
        <w:t>x</w:t>
      </w:r>
      <w:proofErr w:type="spellEnd"/>
      <w:r w:rsidRPr="007749CC">
        <w:rPr>
          <w:rFonts w:cs="Arial"/>
          <w:b/>
          <w:bCs w:val="0"/>
          <w:sz w:val="20"/>
        </w:rPr>
        <w:t>)</w:t>
      </w:r>
    </w:p>
    <w:p w:rsidR="00D918FD" w:rsidRPr="007749CC" w:rsidRDefault="00D918FD">
      <w:pPr>
        <w:pStyle w:val="Zkladntext2"/>
        <w:rPr>
          <w:rFonts w:cs="Arial"/>
          <w:sz w:val="20"/>
        </w:rPr>
      </w:pPr>
      <w:r w:rsidRPr="007749CC">
        <w:rPr>
          <w:rFonts w:cs="Arial"/>
          <w:sz w:val="20"/>
        </w:rPr>
        <w:t>Vyjadřuje pravděpodobnost, že osoba v přesném věku x let v daném období zemře, tj. zemře před dosažením věku x+1 let.</w:t>
      </w:r>
    </w:p>
    <w:p w:rsidR="00D918FD" w:rsidRPr="007749CC" w:rsidRDefault="00D918FD">
      <w:pPr>
        <w:pStyle w:val="Zkladntext2"/>
        <w:ind w:left="2124" w:firstLine="708"/>
        <w:rPr>
          <w:rFonts w:cs="Arial"/>
          <w:sz w:val="20"/>
        </w:rPr>
      </w:pPr>
      <w:r w:rsidRPr="007749CC">
        <w:rPr>
          <w:rFonts w:cs="Arial"/>
          <w:position w:val="-10"/>
          <w:sz w:val="20"/>
        </w:rPr>
        <w:object w:dxaOrig="1020" w:dyaOrig="320">
          <v:shape id="_x0000_i1037" type="#_x0000_t75" style="width:51.05pt;height:16.1pt" o:ole="">
            <v:imagedata r:id="rId29" o:title=""/>
          </v:shape>
          <o:OLEObject Type="Embed" ProgID="Equation.3" ShapeID="_x0000_i1037" DrawAspect="Content" ObjectID="_1474258401" r:id="rId30"/>
        </w:object>
      </w:r>
    </w:p>
    <w:p w:rsidR="00D918FD" w:rsidRPr="007749CC" w:rsidRDefault="00D918FD">
      <w:pPr>
        <w:pStyle w:val="Zkladntext2"/>
        <w:rPr>
          <w:rFonts w:cs="Arial"/>
          <w:sz w:val="20"/>
        </w:rPr>
      </w:pPr>
    </w:p>
    <w:p w:rsidR="00D918FD" w:rsidRPr="007749CC" w:rsidRDefault="00D918FD">
      <w:pPr>
        <w:jc w:val="both"/>
        <w:rPr>
          <w:rFonts w:cs="Arial"/>
          <w:sz w:val="20"/>
        </w:rPr>
      </w:pPr>
      <w:r w:rsidRPr="007749CC">
        <w:rPr>
          <w:rFonts w:cs="Arial"/>
          <w:sz w:val="20"/>
        </w:rPr>
        <w:t xml:space="preserve">Funkce </w:t>
      </w:r>
      <w:proofErr w:type="spellStart"/>
      <w:r w:rsidRPr="007749CC">
        <w:rPr>
          <w:rFonts w:cs="Arial"/>
          <w:sz w:val="20"/>
        </w:rPr>
        <w:t>q</w:t>
      </w:r>
      <w:r w:rsidRPr="007749CC">
        <w:rPr>
          <w:rFonts w:cs="Arial"/>
          <w:sz w:val="20"/>
          <w:vertAlign w:val="subscript"/>
        </w:rPr>
        <w:t>x</w:t>
      </w:r>
      <w:proofErr w:type="spellEnd"/>
      <w:r w:rsidRPr="007749CC">
        <w:rPr>
          <w:rFonts w:cs="Arial"/>
          <w:sz w:val="20"/>
        </w:rPr>
        <w:t xml:space="preserve"> je odvozována ze specifické míry úmrtnosti (</w:t>
      </w:r>
      <w:proofErr w:type="spellStart"/>
      <w:r w:rsidRPr="007749CC">
        <w:rPr>
          <w:rFonts w:cs="Arial"/>
          <w:sz w:val="20"/>
        </w:rPr>
        <w:t>m</w:t>
      </w:r>
      <w:r w:rsidRPr="007749CC">
        <w:rPr>
          <w:rFonts w:cs="Arial"/>
          <w:sz w:val="20"/>
          <w:vertAlign w:val="subscript"/>
        </w:rPr>
        <w:t>x</w:t>
      </w:r>
      <w:proofErr w:type="spellEnd"/>
      <w:r w:rsidRPr="007749CC">
        <w:rPr>
          <w:rFonts w:cs="Arial"/>
          <w:sz w:val="20"/>
        </w:rPr>
        <w:t xml:space="preserve">) dle výše uvedeného vzorce. Po vyrovnání řady </w:t>
      </w:r>
      <w:proofErr w:type="spellStart"/>
      <w:r w:rsidRPr="007749CC">
        <w:rPr>
          <w:rFonts w:cs="Arial"/>
          <w:sz w:val="20"/>
        </w:rPr>
        <w:t>q</w:t>
      </w:r>
      <w:r w:rsidRPr="007749CC">
        <w:rPr>
          <w:rFonts w:cs="Arial"/>
          <w:sz w:val="20"/>
          <w:vertAlign w:val="subscript"/>
        </w:rPr>
        <w:t>x</w:t>
      </w:r>
      <w:proofErr w:type="spellEnd"/>
      <w:r w:rsidRPr="007749CC">
        <w:rPr>
          <w:rFonts w:cs="Arial"/>
          <w:sz w:val="20"/>
        </w:rPr>
        <w:t xml:space="preserve"> je funkce dále upravována </w:t>
      </w:r>
      <w:proofErr w:type="spellStart"/>
      <w:r w:rsidRPr="007749CC">
        <w:rPr>
          <w:rFonts w:cs="Arial"/>
          <w:sz w:val="20"/>
        </w:rPr>
        <w:t>Gompertz</w:t>
      </w:r>
      <w:proofErr w:type="spellEnd"/>
      <w:r w:rsidRPr="007749CC">
        <w:rPr>
          <w:rFonts w:cs="Arial"/>
          <w:sz w:val="20"/>
        </w:rPr>
        <w:t>-</w:t>
      </w:r>
      <w:proofErr w:type="spellStart"/>
      <w:r w:rsidRPr="007749CC">
        <w:rPr>
          <w:rFonts w:cs="Arial"/>
          <w:sz w:val="20"/>
        </w:rPr>
        <w:t>Makehamovou</w:t>
      </w:r>
      <w:proofErr w:type="spellEnd"/>
      <w:r w:rsidRPr="007749CC">
        <w:rPr>
          <w:rFonts w:cs="Arial"/>
          <w:sz w:val="20"/>
        </w:rPr>
        <w:t xml:space="preserve"> formulí s využitím King-</w:t>
      </w:r>
      <w:proofErr w:type="spellStart"/>
      <w:r w:rsidRPr="007749CC">
        <w:rPr>
          <w:rFonts w:cs="Arial"/>
          <w:sz w:val="20"/>
        </w:rPr>
        <w:t>Hardyho</w:t>
      </w:r>
      <w:proofErr w:type="spellEnd"/>
      <w:r w:rsidRPr="007749CC">
        <w:rPr>
          <w:rFonts w:cs="Arial"/>
          <w:sz w:val="20"/>
        </w:rPr>
        <w:t xml:space="preserve"> metody. </w:t>
      </w:r>
    </w:p>
    <w:p w:rsidR="00D918FD" w:rsidRPr="007749CC" w:rsidRDefault="00D918FD">
      <w:pPr>
        <w:jc w:val="both"/>
        <w:rPr>
          <w:rFonts w:cs="Arial"/>
          <w:sz w:val="20"/>
        </w:rPr>
      </w:pPr>
    </w:p>
    <w:p w:rsidR="00D918FD" w:rsidRPr="007749CC" w:rsidRDefault="00D918FD">
      <w:pPr>
        <w:jc w:val="both"/>
        <w:rPr>
          <w:rFonts w:cs="Arial"/>
          <w:b/>
          <w:bCs w:val="0"/>
          <w:sz w:val="20"/>
        </w:rPr>
      </w:pPr>
      <w:r w:rsidRPr="007749CC">
        <w:rPr>
          <w:rFonts w:cs="Arial"/>
          <w:b/>
          <w:bCs w:val="0"/>
          <w:sz w:val="20"/>
        </w:rPr>
        <w:t>Tabulkový počet dožívajících se (</w:t>
      </w:r>
      <w:proofErr w:type="spellStart"/>
      <w:r w:rsidRPr="007749CC">
        <w:rPr>
          <w:rFonts w:cs="Arial"/>
          <w:b/>
          <w:bCs w:val="0"/>
          <w:sz w:val="20"/>
        </w:rPr>
        <w:t>l</w:t>
      </w:r>
      <w:r w:rsidRPr="007749CC">
        <w:rPr>
          <w:rFonts w:cs="Arial"/>
          <w:b/>
          <w:bCs w:val="0"/>
          <w:sz w:val="20"/>
          <w:vertAlign w:val="subscript"/>
        </w:rPr>
        <w:t>x</w:t>
      </w:r>
      <w:proofErr w:type="spellEnd"/>
      <w:r w:rsidRPr="007749CC">
        <w:rPr>
          <w:rFonts w:cs="Arial"/>
          <w:b/>
          <w:bCs w:val="0"/>
          <w:sz w:val="20"/>
        </w:rPr>
        <w:t>)</w:t>
      </w:r>
    </w:p>
    <w:p w:rsidR="00D918FD" w:rsidRPr="007749CC" w:rsidRDefault="00D918FD">
      <w:pPr>
        <w:jc w:val="both"/>
        <w:rPr>
          <w:rFonts w:cs="Arial"/>
          <w:sz w:val="20"/>
        </w:rPr>
      </w:pPr>
      <w:r w:rsidRPr="007749CC">
        <w:rPr>
          <w:rFonts w:cs="Arial" w:hint="eastAsia"/>
          <w:sz w:val="20"/>
          <w:szCs w:val="20"/>
        </w:rPr>
        <w:t xml:space="preserve">Hypotetický počet osob, které se dožijí věku x let ze 100 </w:t>
      </w:r>
      <w:r w:rsidRPr="007749CC">
        <w:rPr>
          <w:rFonts w:cs="Arial"/>
          <w:sz w:val="20"/>
          <w:szCs w:val="20"/>
        </w:rPr>
        <w:t>000</w:t>
      </w:r>
      <w:r w:rsidRPr="007749CC">
        <w:rPr>
          <w:rFonts w:cs="Arial" w:hint="eastAsia"/>
          <w:sz w:val="20"/>
          <w:szCs w:val="20"/>
        </w:rPr>
        <w:t xml:space="preserve"> </w:t>
      </w:r>
      <w:r w:rsidRPr="007749CC">
        <w:rPr>
          <w:rFonts w:cs="Arial"/>
          <w:sz w:val="20"/>
          <w:szCs w:val="20"/>
        </w:rPr>
        <w:t>živě</w:t>
      </w:r>
      <w:r w:rsidRPr="007749CC">
        <w:rPr>
          <w:rFonts w:cs="Arial"/>
          <w:color w:val="FF0000"/>
          <w:sz w:val="20"/>
          <w:szCs w:val="20"/>
        </w:rPr>
        <w:t xml:space="preserve"> </w:t>
      </w:r>
      <w:r w:rsidRPr="007749CC">
        <w:rPr>
          <w:rFonts w:cs="Arial" w:hint="eastAsia"/>
          <w:sz w:val="20"/>
          <w:szCs w:val="20"/>
        </w:rPr>
        <w:t>narozených (kořen tabulky - l</w:t>
      </w:r>
      <w:r w:rsidRPr="007749CC">
        <w:rPr>
          <w:rFonts w:cs="Arial" w:hint="eastAsia"/>
          <w:sz w:val="20"/>
          <w:szCs w:val="20"/>
          <w:vertAlign w:val="subscript"/>
        </w:rPr>
        <w:t>0</w:t>
      </w:r>
      <w:r w:rsidRPr="007749CC">
        <w:rPr>
          <w:rFonts w:cs="Arial" w:hint="eastAsia"/>
          <w:sz w:val="20"/>
          <w:szCs w:val="20"/>
        </w:rPr>
        <w:t>) při</w:t>
      </w:r>
      <w:r w:rsidRPr="007749CC">
        <w:rPr>
          <w:rFonts w:cs="Arial"/>
          <w:sz w:val="20"/>
          <w:szCs w:val="20"/>
        </w:rPr>
        <w:t xml:space="preserve"> zachování řádu </w:t>
      </w:r>
      <w:r w:rsidRPr="007749CC">
        <w:rPr>
          <w:rFonts w:cs="Arial" w:hint="eastAsia"/>
          <w:sz w:val="20"/>
          <w:szCs w:val="20"/>
        </w:rPr>
        <w:t>úmrtnosti</w:t>
      </w:r>
      <w:r w:rsidRPr="007749CC">
        <w:rPr>
          <w:rFonts w:cs="Arial"/>
          <w:sz w:val="20"/>
          <w:szCs w:val="20"/>
        </w:rPr>
        <w:t xml:space="preserve"> podle věku </w:t>
      </w:r>
      <w:r w:rsidRPr="007749CC">
        <w:rPr>
          <w:rFonts w:cs="Arial" w:hint="eastAsia"/>
          <w:sz w:val="20"/>
          <w:szCs w:val="20"/>
        </w:rPr>
        <w:t>sledované</w:t>
      </w:r>
      <w:r w:rsidRPr="007749CC">
        <w:rPr>
          <w:rFonts w:cs="Arial"/>
          <w:sz w:val="20"/>
          <w:szCs w:val="20"/>
        </w:rPr>
        <w:t>ho</w:t>
      </w:r>
      <w:r w:rsidRPr="007749CC">
        <w:rPr>
          <w:rFonts w:cs="Arial" w:hint="eastAsia"/>
          <w:sz w:val="20"/>
          <w:szCs w:val="20"/>
        </w:rPr>
        <w:t xml:space="preserve"> období</w:t>
      </w:r>
      <w:r w:rsidRPr="007749CC">
        <w:rPr>
          <w:rFonts w:cs="Arial"/>
          <w:sz w:val="20"/>
          <w:szCs w:val="20"/>
        </w:rPr>
        <w:t>.</w:t>
      </w:r>
    </w:p>
    <w:p w:rsidR="00D918FD" w:rsidRPr="007749CC" w:rsidRDefault="00D918FD">
      <w:pPr>
        <w:jc w:val="both"/>
        <w:rPr>
          <w:rFonts w:cs="Arial"/>
          <w:sz w:val="20"/>
        </w:rPr>
      </w:pPr>
    </w:p>
    <w:p w:rsidR="00D918FD" w:rsidRPr="007749CC" w:rsidRDefault="00D918FD">
      <w:pPr>
        <w:ind w:left="2124" w:firstLine="708"/>
        <w:jc w:val="both"/>
        <w:rPr>
          <w:rFonts w:cs="Arial"/>
          <w:sz w:val="20"/>
        </w:rPr>
      </w:pPr>
      <w:r w:rsidRPr="007749CC">
        <w:rPr>
          <w:rFonts w:cs="Arial"/>
          <w:position w:val="-10"/>
          <w:sz w:val="20"/>
        </w:rPr>
        <w:object w:dxaOrig="1400" w:dyaOrig="300">
          <v:shape id="_x0000_i1038" type="#_x0000_t75" style="width:69.85pt;height:15.05pt" o:ole="">
            <v:imagedata r:id="rId31" o:title=""/>
          </v:shape>
          <o:OLEObject Type="Embed" ProgID="Equation.3" ShapeID="_x0000_i1038" DrawAspect="Content" ObjectID="_1474258402" r:id="rId32"/>
        </w:object>
      </w:r>
    </w:p>
    <w:p w:rsidR="00D918FD" w:rsidRPr="007749CC" w:rsidRDefault="00D918FD">
      <w:pPr>
        <w:jc w:val="both"/>
        <w:rPr>
          <w:rFonts w:cs="Arial"/>
          <w:b/>
          <w:bCs w:val="0"/>
          <w:sz w:val="20"/>
          <w:szCs w:val="20"/>
        </w:rPr>
      </w:pPr>
    </w:p>
    <w:p w:rsidR="00D918FD" w:rsidRPr="007749CC" w:rsidRDefault="00D918FD">
      <w:pPr>
        <w:jc w:val="both"/>
        <w:rPr>
          <w:rFonts w:cs="Arial"/>
          <w:b/>
          <w:bCs w:val="0"/>
          <w:sz w:val="20"/>
          <w:szCs w:val="20"/>
        </w:rPr>
      </w:pPr>
      <w:r w:rsidRPr="007749CC">
        <w:rPr>
          <w:rFonts w:cs="Arial"/>
          <w:b/>
          <w:bCs w:val="0"/>
          <w:sz w:val="20"/>
          <w:szCs w:val="20"/>
        </w:rPr>
        <w:t>T</w:t>
      </w:r>
      <w:r w:rsidRPr="007749CC">
        <w:rPr>
          <w:rFonts w:cs="Arial" w:hint="eastAsia"/>
          <w:b/>
          <w:bCs w:val="0"/>
          <w:sz w:val="20"/>
          <w:szCs w:val="20"/>
        </w:rPr>
        <w:t>abulkový počet zemřelých (</w:t>
      </w:r>
      <w:proofErr w:type="spellStart"/>
      <w:r w:rsidRPr="007749CC">
        <w:rPr>
          <w:rFonts w:cs="Arial" w:hint="eastAsia"/>
          <w:b/>
          <w:bCs w:val="0"/>
          <w:sz w:val="20"/>
          <w:szCs w:val="20"/>
        </w:rPr>
        <w:t>d</w:t>
      </w:r>
      <w:r w:rsidRPr="007749CC">
        <w:rPr>
          <w:rFonts w:cs="Arial" w:hint="eastAsia"/>
          <w:b/>
          <w:bCs w:val="0"/>
          <w:sz w:val="20"/>
          <w:szCs w:val="20"/>
          <w:vertAlign w:val="subscript"/>
        </w:rPr>
        <w:t>x</w:t>
      </w:r>
      <w:proofErr w:type="spellEnd"/>
      <w:r w:rsidRPr="007749CC">
        <w:rPr>
          <w:rFonts w:cs="Arial" w:hint="eastAsia"/>
          <w:b/>
          <w:bCs w:val="0"/>
          <w:sz w:val="20"/>
          <w:szCs w:val="20"/>
        </w:rPr>
        <w:t>)</w:t>
      </w:r>
    </w:p>
    <w:p w:rsidR="00D918FD" w:rsidRPr="007749CC" w:rsidRDefault="00D918FD">
      <w:pPr>
        <w:jc w:val="both"/>
        <w:rPr>
          <w:rFonts w:cs="Arial"/>
          <w:sz w:val="20"/>
          <w:szCs w:val="20"/>
        </w:rPr>
      </w:pPr>
      <w:r w:rsidRPr="007749CC">
        <w:rPr>
          <w:rFonts w:cs="Arial"/>
          <w:sz w:val="20"/>
          <w:szCs w:val="20"/>
        </w:rPr>
        <w:t>V</w:t>
      </w:r>
      <w:r w:rsidRPr="007749CC">
        <w:rPr>
          <w:rFonts w:cs="Arial" w:hint="eastAsia"/>
          <w:sz w:val="20"/>
          <w:szCs w:val="20"/>
        </w:rPr>
        <w:t>yjadřuje hypotetický</w:t>
      </w:r>
      <w:r w:rsidRPr="007749CC">
        <w:rPr>
          <w:rFonts w:cs="Arial"/>
          <w:sz w:val="20"/>
          <w:szCs w:val="20"/>
        </w:rPr>
        <w:t xml:space="preserve"> </w:t>
      </w:r>
      <w:r w:rsidRPr="007749CC">
        <w:rPr>
          <w:rFonts w:cs="Arial" w:hint="eastAsia"/>
          <w:sz w:val="20"/>
          <w:szCs w:val="20"/>
        </w:rPr>
        <w:t>počet zemřelých osob v příslušném věku x let</w:t>
      </w:r>
      <w:r w:rsidRPr="007749CC">
        <w:rPr>
          <w:rFonts w:cs="Arial"/>
          <w:sz w:val="20"/>
          <w:szCs w:val="20"/>
        </w:rPr>
        <w:t>.</w:t>
      </w:r>
    </w:p>
    <w:p w:rsidR="00D918FD" w:rsidRPr="007749CC" w:rsidRDefault="00D918FD">
      <w:pPr>
        <w:jc w:val="both"/>
        <w:rPr>
          <w:rFonts w:cs="Arial"/>
          <w:sz w:val="20"/>
          <w:szCs w:val="20"/>
        </w:rPr>
      </w:pPr>
    </w:p>
    <w:p w:rsidR="00D918FD" w:rsidRPr="007749CC" w:rsidRDefault="00D918FD">
      <w:pPr>
        <w:ind w:left="2124" w:firstLine="708"/>
        <w:jc w:val="both"/>
        <w:rPr>
          <w:rFonts w:cs="Arial"/>
          <w:sz w:val="20"/>
        </w:rPr>
      </w:pPr>
      <w:r w:rsidRPr="007749CC">
        <w:rPr>
          <w:rFonts w:cs="Arial"/>
          <w:position w:val="-8"/>
          <w:sz w:val="20"/>
        </w:rPr>
        <w:object w:dxaOrig="980" w:dyaOrig="260">
          <v:shape id="_x0000_i1039" type="#_x0000_t75" style="width:48.9pt;height:12.9pt" o:ole="">
            <v:imagedata r:id="rId33" o:title=""/>
          </v:shape>
          <o:OLEObject Type="Embed" ProgID="Equation.3" ShapeID="_x0000_i1039" DrawAspect="Content" ObjectID="_1474258403" r:id="rId34"/>
        </w:object>
      </w:r>
    </w:p>
    <w:p w:rsidR="00D918FD" w:rsidRPr="007749CC" w:rsidRDefault="00D918FD">
      <w:pPr>
        <w:jc w:val="both"/>
        <w:rPr>
          <w:rFonts w:cs="Arial"/>
          <w:sz w:val="20"/>
        </w:rPr>
      </w:pPr>
    </w:p>
    <w:p w:rsidR="00D918FD" w:rsidRPr="007749CC" w:rsidRDefault="00D918FD">
      <w:pPr>
        <w:jc w:val="both"/>
        <w:rPr>
          <w:rFonts w:cs="Arial"/>
          <w:b/>
          <w:bCs w:val="0"/>
          <w:sz w:val="20"/>
          <w:szCs w:val="20"/>
        </w:rPr>
      </w:pPr>
      <w:r w:rsidRPr="007749CC">
        <w:rPr>
          <w:rFonts w:cs="Arial"/>
          <w:b/>
          <w:bCs w:val="0"/>
          <w:sz w:val="20"/>
          <w:szCs w:val="20"/>
        </w:rPr>
        <w:t>T</w:t>
      </w:r>
      <w:r w:rsidRPr="007749CC">
        <w:rPr>
          <w:rFonts w:cs="Arial" w:hint="eastAsia"/>
          <w:b/>
          <w:bCs w:val="0"/>
          <w:sz w:val="20"/>
          <w:szCs w:val="20"/>
        </w:rPr>
        <w:t>abulkový počet žijících (</w:t>
      </w:r>
      <w:proofErr w:type="spellStart"/>
      <w:r w:rsidRPr="007749CC">
        <w:rPr>
          <w:rFonts w:cs="Arial" w:hint="eastAsia"/>
          <w:b/>
          <w:bCs w:val="0"/>
          <w:sz w:val="20"/>
          <w:szCs w:val="20"/>
        </w:rPr>
        <w:t>L</w:t>
      </w:r>
      <w:r w:rsidRPr="007749CC">
        <w:rPr>
          <w:rFonts w:cs="Arial" w:hint="eastAsia"/>
          <w:b/>
          <w:bCs w:val="0"/>
          <w:sz w:val="20"/>
          <w:szCs w:val="20"/>
          <w:vertAlign w:val="subscript"/>
        </w:rPr>
        <w:t>x</w:t>
      </w:r>
      <w:proofErr w:type="spellEnd"/>
      <w:r w:rsidRPr="007749CC">
        <w:rPr>
          <w:rFonts w:cs="Arial" w:hint="eastAsia"/>
          <w:b/>
          <w:bCs w:val="0"/>
          <w:sz w:val="20"/>
          <w:szCs w:val="20"/>
        </w:rPr>
        <w:t>)</w:t>
      </w:r>
    </w:p>
    <w:p w:rsidR="00D918FD" w:rsidRPr="007749CC" w:rsidRDefault="00D918FD">
      <w:pPr>
        <w:jc w:val="both"/>
        <w:rPr>
          <w:rFonts w:cs="Arial"/>
          <w:sz w:val="20"/>
          <w:szCs w:val="20"/>
        </w:rPr>
      </w:pPr>
      <w:r w:rsidRPr="007749CC">
        <w:rPr>
          <w:rFonts w:cs="Arial"/>
          <w:sz w:val="20"/>
          <w:szCs w:val="20"/>
        </w:rPr>
        <w:t>H</w:t>
      </w:r>
      <w:r w:rsidRPr="007749CC">
        <w:rPr>
          <w:rFonts w:cs="Arial" w:hint="eastAsia"/>
          <w:sz w:val="20"/>
          <w:szCs w:val="20"/>
        </w:rPr>
        <w:t>ypotetický průměrný počet žijících ve věku x let; průměr ze dvou po sobě jdoucích tabulkových počtů dožívajících</w:t>
      </w:r>
      <w:r w:rsidRPr="007749CC">
        <w:rPr>
          <w:rFonts w:cs="Arial"/>
          <w:sz w:val="20"/>
          <w:szCs w:val="20"/>
        </w:rPr>
        <w:t xml:space="preserve"> (s výjimkou věku 0 let). U věku 0 koeficient alfa udává, jaký podíl zemřelých kojenců pochází z generace narozených daného roku.</w:t>
      </w:r>
    </w:p>
    <w:p w:rsidR="00D918FD" w:rsidRPr="007749CC" w:rsidRDefault="00D918FD">
      <w:pPr>
        <w:jc w:val="both"/>
        <w:rPr>
          <w:rFonts w:cs="Arial"/>
          <w:sz w:val="20"/>
          <w:szCs w:val="20"/>
        </w:rPr>
      </w:pPr>
    </w:p>
    <w:p w:rsidR="00D918FD" w:rsidRPr="007749CC" w:rsidRDefault="00D918FD">
      <w:pPr>
        <w:jc w:val="both"/>
        <w:rPr>
          <w:rFonts w:cs="Arial"/>
          <w:sz w:val="20"/>
          <w:szCs w:val="20"/>
        </w:rPr>
      </w:pPr>
      <w:r w:rsidRPr="007749CC">
        <w:rPr>
          <w:rFonts w:cs="Arial"/>
          <w:sz w:val="20"/>
          <w:szCs w:val="20"/>
        </w:rPr>
        <w:tab/>
      </w:r>
      <w:r w:rsidRPr="007749CC">
        <w:rPr>
          <w:rFonts w:cs="Arial"/>
          <w:sz w:val="20"/>
          <w:szCs w:val="20"/>
        </w:rPr>
        <w:tab/>
      </w:r>
      <w:r w:rsidRPr="007749CC">
        <w:rPr>
          <w:rFonts w:cs="Arial"/>
          <w:position w:val="-20"/>
          <w:sz w:val="20"/>
          <w:szCs w:val="20"/>
        </w:rPr>
        <w:object w:dxaOrig="1060" w:dyaOrig="540">
          <v:shape id="_x0000_i1040" type="#_x0000_t75" style="width:53.2pt;height:26.85pt" o:ole="">
            <v:imagedata r:id="rId35" o:title=""/>
          </v:shape>
          <o:OLEObject Type="Embed" ProgID="Equation.3" ShapeID="_x0000_i1040" DrawAspect="Content" ObjectID="_1474258404" r:id="rId36"/>
        </w:object>
      </w:r>
      <w:r w:rsidRPr="007749CC">
        <w:rPr>
          <w:rFonts w:cs="Arial"/>
          <w:sz w:val="20"/>
          <w:szCs w:val="20"/>
        </w:rPr>
        <w:tab/>
      </w:r>
      <w:r w:rsidRPr="007749CC">
        <w:rPr>
          <w:rFonts w:cs="Arial"/>
          <w:sz w:val="20"/>
          <w:szCs w:val="20"/>
        </w:rPr>
        <w:tab/>
      </w:r>
      <w:r w:rsidRPr="007749CC">
        <w:rPr>
          <w:rFonts w:cs="Arial"/>
          <w:sz w:val="20"/>
          <w:szCs w:val="20"/>
        </w:rPr>
        <w:tab/>
      </w:r>
      <w:r w:rsidRPr="007749CC">
        <w:rPr>
          <w:rFonts w:cs="Arial"/>
          <w:sz w:val="20"/>
          <w:szCs w:val="20"/>
        </w:rPr>
        <w:tab/>
      </w:r>
      <w:r w:rsidRPr="007749CC">
        <w:rPr>
          <w:rFonts w:cs="Arial"/>
          <w:position w:val="-10"/>
          <w:sz w:val="20"/>
        </w:rPr>
        <w:object w:dxaOrig="1200" w:dyaOrig="300">
          <v:shape id="_x0000_i1041" type="#_x0000_t75" style="width:60.2pt;height:15.05pt" o:ole="">
            <v:imagedata r:id="rId37" o:title=""/>
          </v:shape>
          <o:OLEObject Type="Embed" ProgID="Equation.3" ShapeID="_x0000_i1041" DrawAspect="Content" ObjectID="_1474258405" r:id="rId38"/>
        </w:object>
      </w:r>
    </w:p>
    <w:p w:rsidR="00D918FD" w:rsidRPr="007749CC" w:rsidRDefault="00D918FD">
      <w:pPr>
        <w:jc w:val="both"/>
        <w:rPr>
          <w:rFonts w:cs="Arial"/>
          <w:sz w:val="20"/>
        </w:rPr>
      </w:pPr>
    </w:p>
    <w:p w:rsidR="00D918FD" w:rsidRPr="007749CC" w:rsidRDefault="00D918FD">
      <w:pPr>
        <w:jc w:val="both"/>
        <w:rPr>
          <w:rFonts w:cs="Arial"/>
          <w:b/>
          <w:bCs w:val="0"/>
          <w:sz w:val="20"/>
          <w:szCs w:val="20"/>
        </w:rPr>
      </w:pPr>
      <w:r w:rsidRPr="007749CC">
        <w:rPr>
          <w:rFonts w:cs="Arial"/>
          <w:b/>
          <w:bCs w:val="0"/>
          <w:sz w:val="20"/>
          <w:szCs w:val="20"/>
        </w:rPr>
        <w:t>P</w:t>
      </w:r>
      <w:r w:rsidRPr="007749CC">
        <w:rPr>
          <w:rFonts w:cs="Arial" w:hint="eastAsia"/>
          <w:b/>
          <w:bCs w:val="0"/>
          <w:sz w:val="20"/>
          <w:szCs w:val="20"/>
        </w:rPr>
        <w:t>omocný ukazatel (</w:t>
      </w:r>
      <w:proofErr w:type="spellStart"/>
      <w:r w:rsidRPr="007749CC">
        <w:rPr>
          <w:rFonts w:cs="Arial" w:hint="eastAsia"/>
          <w:b/>
          <w:bCs w:val="0"/>
          <w:sz w:val="20"/>
          <w:szCs w:val="20"/>
        </w:rPr>
        <w:t>T</w:t>
      </w:r>
      <w:r w:rsidRPr="007749CC">
        <w:rPr>
          <w:rFonts w:cs="Arial" w:hint="eastAsia"/>
          <w:b/>
          <w:bCs w:val="0"/>
          <w:sz w:val="20"/>
          <w:szCs w:val="20"/>
          <w:vertAlign w:val="subscript"/>
        </w:rPr>
        <w:t>x</w:t>
      </w:r>
      <w:proofErr w:type="spellEnd"/>
      <w:r w:rsidRPr="007749CC">
        <w:rPr>
          <w:rFonts w:cs="Arial" w:hint="eastAsia"/>
          <w:b/>
          <w:bCs w:val="0"/>
          <w:sz w:val="20"/>
          <w:szCs w:val="20"/>
        </w:rPr>
        <w:t>)</w:t>
      </w:r>
    </w:p>
    <w:p w:rsidR="00D918FD" w:rsidRPr="007749CC" w:rsidRDefault="00D918FD">
      <w:pPr>
        <w:jc w:val="both"/>
        <w:rPr>
          <w:rFonts w:cs="Arial"/>
          <w:sz w:val="20"/>
          <w:szCs w:val="20"/>
        </w:rPr>
      </w:pPr>
      <w:r w:rsidRPr="007749CC">
        <w:rPr>
          <w:rFonts w:cs="Arial"/>
          <w:sz w:val="20"/>
          <w:szCs w:val="20"/>
        </w:rPr>
        <w:t>V</w:t>
      </w:r>
      <w:r w:rsidRPr="007749CC">
        <w:rPr>
          <w:rFonts w:cs="Arial" w:hint="eastAsia"/>
          <w:sz w:val="20"/>
          <w:szCs w:val="20"/>
        </w:rPr>
        <w:t>yjadřuje počet let života, které má tabulková generace (nikoliv jednotlivec) v daném věku ještě před sebou</w:t>
      </w:r>
      <w:r w:rsidRPr="007749CC">
        <w:rPr>
          <w:rFonts w:cs="Arial"/>
          <w:sz w:val="20"/>
          <w:szCs w:val="20"/>
        </w:rPr>
        <w:t>.</w:t>
      </w:r>
    </w:p>
    <w:p w:rsidR="00D918FD" w:rsidRPr="007749CC" w:rsidRDefault="00D918FD">
      <w:pPr>
        <w:jc w:val="both"/>
        <w:rPr>
          <w:rFonts w:cs="Arial"/>
          <w:sz w:val="20"/>
          <w:szCs w:val="20"/>
        </w:rPr>
      </w:pPr>
    </w:p>
    <w:p w:rsidR="00D918FD" w:rsidRPr="007749CC" w:rsidRDefault="00D918FD">
      <w:pPr>
        <w:jc w:val="both"/>
        <w:rPr>
          <w:rFonts w:cs="Arial"/>
          <w:sz w:val="20"/>
        </w:rPr>
      </w:pPr>
      <w:r w:rsidRPr="007749CC">
        <w:rPr>
          <w:rFonts w:cs="Arial"/>
          <w:sz w:val="20"/>
          <w:szCs w:val="20"/>
        </w:rPr>
        <w:tab/>
      </w:r>
      <w:r w:rsidRPr="007749CC">
        <w:rPr>
          <w:rFonts w:cs="Arial"/>
          <w:sz w:val="20"/>
          <w:szCs w:val="20"/>
        </w:rPr>
        <w:tab/>
      </w:r>
      <w:r w:rsidRPr="007749CC">
        <w:rPr>
          <w:rFonts w:cs="Arial"/>
          <w:sz w:val="20"/>
          <w:szCs w:val="20"/>
        </w:rPr>
        <w:tab/>
      </w:r>
      <w:r w:rsidRPr="007749CC">
        <w:rPr>
          <w:rFonts w:cs="Arial"/>
          <w:sz w:val="20"/>
          <w:szCs w:val="20"/>
        </w:rPr>
        <w:tab/>
      </w:r>
      <w:r w:rsidRPr="007749CC">
        <w:rPr>
          <w:rFonts w:cs="Arial"/>
          <w:position w:val="-8"/>
          <w:sz w:val="20"/>
        </w:rPr>
        <w:object w:dxaOrig="1160" w:dyaOrig="260">
          <v:shape id="_x0000_i1042" type="#_x0000_t75" style="width:58.05pt;height:12.9pt" o:ole="">
            <v:imagedata r:id="rId39" o:title=""/>
          </v:shape>
          <o:OLEObject Type="Embed" ProgID="Equation.3" ShapeID="_x0000_i1042" DrawAspect="Content" ObjectID="_1474258406" r:id="rId40"/>
        </w:object>
      </w:r>
    </w:p>
    <w:p w:rsidR="00D918FD" w:rsidRPr="007749CC" w:rsidRDefault="00D918FD">
      <w:pPr>
        <w:jc w:val="both"/>
        <w:rPr>
          <w:rFonts w:cs="Arial"/>
          <w:sz w:val="20"/>
        </w:rPr>
      </w:pPr>
    </w:p>
    <w:p w:rsidR="00D918FD" w:rsidRPr="007749CC" w:rsidRDefault="00D918FD">
      <w:pPr>
        <w:jc w:val="both"/>
        <w:rPr>
          <w:rFonts w:cs="Arial"/>
          <w:b/>
          <w:bCs w:val="0"/>
          <w:sz w:val="20"/>
          <w:szCs w:val="20"/>
        </w:rPr>
      </w:pPr>
      <w:r w:rsidRPr="007749CC">
        <w:rPr>
          <w:rFonts w:cs="Arial"/>
          <w:b/>
          <w:bCs w:val="0"/>
          <w:sz w:val="20"/>
          <w:szCs w:val="20"/>
        </w:rPr>
        <w:t>S</w:t>
      </w:r>
      <w:r w:rsidRPr="007749CC">
        <w:rPr>
          <w:rFonts w:cs="Arial" w:hint="eastAsia"/>
          <w:b/>
          <w:bCs w:val="0"/>
          <w:sz w:val="20"/>
          <w:szCs w:val="20"/>
        </w:rPr>
        <w:t xml:space="preserve">třední délka života </w:t>
      </w:r>
      <w:r w:rsidRPr="007749CC">
        <w:rPr>
          <w:rFonts w:cs="Arial" w:hint="eastAsia"/>
          <w:sz w:val="20"/>
          <w:szCs w:val="20"/>
        </w:rPr>
        <w:t>neboli</w:t>
      </w:r>
      <w:r w:rsidRPr="007749CC">
        <w:rPr>
          <w:rFonts w:cs="Arial" w:hint="eastAsia"/>
          <w:b/>
          <w:bCs w:val="0"/>
          <w:sz w:val="20"/>
          <w:szCs w:val="20"/>
        </w:rPr>
        <w:t xml:space="preserve"> naděje dožití (e</w:t>
      </w:r>
      <w:r w:rsidRPr="007749CC">
        <w:rPr>
          <w:rFonts w:cs="Arial" w:hint="eastAsia"/>
          <w:b/>
          <w:bCs w:val="0"/>
          <w:sz w:val="20"/>
          <w:szCs w:val="20"/>
          <w:vertAlign w:val="subscript"/>
        </w:rPr>
        <w:t>x</w:t>
      </w:r>
      <w:r w:rsidRPr="007749CC">
        <w:rPr>
          <w:rFonts w:cs="Arial" w:hint="eastAsia"/>
          <w:b/>
          <w:bCs w:val="0"/>
          <w:sz w:val="20"/>
          <w:szCs w:val="20"/>
        </w:rPr>
        <w:t>)</w:t>
      </w:r>
    </w:p>
    <w:p w:rsidR="00D918FD" w:rsidRPr="007749CC" w:rsidRDefault="00D918FD">
      <w:pPr>
        <w:pStyle w:val="Zkladntext2"/>
        <w:rPr>
          <w:rFonts w:cs="Arial"/>
          <w:sz w:val="20"/>
          <w:szCs w:val="20"/>
        </w:rPr>
      </w:pPr>
      <w:r w:rsidRPr="007749CC">
        <w:rPr>
          <w:rFonts w:cs="Arial" w:hint="eastAsia"/>
          <w:sz w:val="20"/>
          <w:szCs w:val="20"/>
        </w:rPr>
        <w:t xml:space="preserve">Udává </w:t>
      </w:r>
      <w:r w:rsidRPr="007749CC">
        <w:rPr>
          <w:rFonts w:cs="Arial"/>
          <w:sz w:val="20"/>
          <w:szCs w:val="20"/>
        </w:rPr>
        <w:t xml:space="preserve">průměrný </w:t>
      </w:r>
      <w:r w:rsidRPr="007749CC">
        <w:rPr>
          <w:rFonts w:cs="Arial" w:hint="eastAsia"/>
          <w:sz w:val="20"/>
          <w:szCs w:val="20"/>
        </w:rPr>
        <w:t>počet let, kter</w:t>
      </w:r>
      <w:r w:rsidRPr="007749CC">
        <w:rPr>
          <w:rFonts w:cs="Arial"/>
          <w:sz w:val="20"/>
          <w:szCs w:val="20"/>
        </w:rPr>
        <w:t>ý</w:t>
      </w:r>
      <w:r w:rsidRPr="007749CC">
        <w:rPr>
          <w:rFonts w:cs="Arial" w:hint="eastAsia"/>
          <w:sz w:val="20"/>
          <w:szCs w:val="20"/>
        </w:rPr>
        <w:t xml:space="preserve"> má naději </w:t>
      </w:r>
      <w:r w:rsidRPr="007749CC">
        <w:rPr>
          <w:rFonts w:cs="Arial"/>
          <w:sz w:val="20"/>
          <w:szCs w:val="20"/>
        </w:rPr>
        <w:t xml:space="preserve">ještě </w:t>
      </w:r>
      <w:r w:rsidRPr="007749CC">
        <w:rPr>
          <w:rFonts w:cs="Arial" w:hint="eastAsia"/>
          <w:sz w:val="20"/>
          <w:szCs w:val="20"/>
        </w:rPr>
        <w:t>prožít osoba právě x-</w:t>
      </w:r>
      <w:proofErr w:type="spellStart"/>
      <w:r w:rsidRPr="007749CC">
        <w:rPr>
          <w:rFonts w:cs="Arial" w:hint="eastAsia"/>
          <w:sz w:val="20"/>
          <w:szCs w:val="20"/>
        </w:rPr>
        <w:t>letá</w:t>
      </w:r>
      <w:proofErr w:type="spellEnd"/>
      <w:r w:rsidRPr="007749CC">
        <w:rPr>
          <w:rFonts w:cs="Arial" w:hint="eastAsia"/>
          <w:sz w:val="20"/>
          <w:szCs w:val="20"/>
        </w:rPr>
        <w:t xml:space="preserve"> při </w:t>
      </w:r>
      <w:r w:rsidRPr="007749CC">
        <w:rPr>
          <w:rFonts w:cs="Arial"/>
          <w:sz w:val="20"/>
          <w:szCs w:val="20"/>
        </w:rPr>
        <w:t xml:space="preserve">zachování řádu </w:t>
      </w:r>
      <w:r w:rsidRPr="007749CC">
        <w:rPr>
          <w:rFonts w:cs="Arial" w:hint="eastAsia"/>
          <w:sz w:val="20"/>
          <w:szCs w:val="20"/>
        </w:rPr>
        <w:t>úmrtnosti sledované</w:t>
      </w:r>
      <w:r w:rsidRPr="007749CC">
        <w:rPr>
          <w:rFonts w:cs="Arial"/>
          <w:sz w:val="20"/>
          <w:szCs w:val="20"/>
        </w:rPr>
        <w:t>ho</w:t>
      </w:r>
      <w:r w:rsidRPr="007749CC">
        <w:rPr>
          <w:rFonts w:cs="Arial" w:hint="eastAsia"/>
          <w:sz w:val="20"/>
          <w:szCs w:val="20"/>
        </w:rPr>
        <w:t xml:space="preserve"> období. Jedná se o syntetický ukazatel, který </w:t>
      </w:r>
      <w:r w:rsidRPr="007749CC">
        <w:rPr>
          <w:rFonts w:cs="Arial"/>
          <w:sz w:val="20"/>
          <w:szCs w:val="20"/>
        </w:rPr>
        <w:t>odráží</w:t>
      </w:r>
      <w:r w:rsidRPr="007749CC">
        <w:rPr>
          <w:rFonts w:cs="Arial" w:hint="eastAsia"/>
          <w:sz w:val="20"/>
          <w:szCs w:val="20"/>
        </w:rPr>
        <w:t xml:space="preserve"> úmrtnostní poměry </w:t>
      </w:r>
      <w:r w:rsidRPr="007749CC">
        <w:rPr>
          <w:rFonts w:cs="Arial"/>
          <w:sz w:val="20"/>
          <w:szCs w:val="20"/>
        </w:rPr>
        <w:t>daného roku ve</w:t>
      </w:r>
      <w:r w:rsidRPr="007749CC">
        <w:rPr>
          <w:rFonts w:cs="Arial" w:hint="eastAsia"/>
          <w:sz w:val="20"/>
          <w:szCs w:val="20"/>
        </w:rPr>
        <w:t xml:space="preserve"> všech </w:t>
      </w:r>
      <w:r w:rsidRPr="007749CC">
        <w:rPr>
          <w:rFonts w:cs="Arial"/>
          <w:sz w:val="20"/>
          <w:szCs w:val="20"/>
        </w:rPr>
        <w:t>věcích</w:t>
      </w:r>
      <w:r w:rsidRPr="007749CC">
        <w:rPr>
          <w:rFonts w:cs="Arial" w:hint="eastAsia"/>
          <w:sz w:val="20"/>
          <w:szCs w:val="20"/>
        </w:rPr>
        <w:t>.</w:t>
      </w:r>
    </w:p>
    <w:p w:rsidR="00D918FD" w:rsidRDefault="00D918FD">
      <w:pPr>
        <w:jc w:val="both"/>
        <w:rPr>
          <w:rFonts w:cs="Arial"/>
          <w:sz w:val="20"/>
        </w:rPr>
      </w:pPr>
      <w:r w:rsidRPr="007749CC">
        <w:rPr>
          <w:rFonts w:cs="Arial"/>
        </w:rPr>
        <w:tab/>
      </w:r>
      <w:r w:rsidRPr="007749CC">
        <w:rPr>
          <w:rFonts w:cs="Arial"/>
        </w:rPr>
        <w:tab/>
      </w:r>
      <w:r w:rsidRPr="007749CC">
        <w:rPr>
          <w:rFonts w:cs="Arial"/>
        </w:rPr>
        <w:tab/>
      </w:r>
      <w:r w:rsidRPr="007749CC">
        <w:rPr>
          <w:rFonts w:cs="Arial"/>
        </w:rPr>
        <w:tab/>
      </w:r>
      <w:r w:rsidRPr="007749CC">
        <w:rPr>
          <w:rFonts w:cs="Arial"/>
          <w:position w:val="-24"/>
        </w:rPr>
        <w:object w:dxaOrig="700" w:dyaOrig="580">
          <v:shape id="_x0000_i1043" type="#_x0000_t75" style="width:34.95pt;height:29pt" o:ole="">
            <v:imagedata r:id="rId41" o:title=""/>
          </v:shape>
          <o:OLEObject Type="Embed" ProgID="Equation.3" ShapeID="_x0000_i1043" DrawAspect="Content" ObjectID="_1474258407" r:id="rId42"/>
        </w:object>
      </w:r>
      <w:r>
        <w:rPr>
          <w:rFonts w:cs="Arial"/>
        </w:rPr>
        <w:tab/>
      </w:r>
      <w:r>
        <w:rPr>
          <w:rFonts w:cs="Arial"/>
        </w:rPr>
        <w:tab/>
      </w:r>
    </w:p>
    <w:sectPr w:rsidR="00D918FD" w:rsidSect="00070148">
      <w:type w:val="continuous"/>
      <w:pgSz w:w="11907" w:h="16840" w:code="9"/>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C75"/>
    <w:rsid w:val="00070148"/>
    <w:rsid w:val="000A6604"/>
    <w:rsid w:val="00102254"/>
    <w:rsid w:val="00140FEA"/>
    <w:rsid w:val="00185C4C"/>
    <w:rsid w:val="003013C4"/>
    <w:rsid w:val="00350953"/>
    <w:rsid w:val="003955AD"/>
    <w:rsid w:val="00432F86"/>
    <w:rsid w:val="005A4B57"/>
    <w:rsid w:val="005A7BDC"/>
    <w:rsid w:val="005E2B7A"/>
    <w:rsid w:val="005F63F9"/>
    <w:rsid w:val="00612A9B"/>
    <w:rsid w:val="00625035"/>
    <w:rsid w:val="006A0DDE"/>
    <w:rsid w:val="006D2E83"/>
    <w:rsid w:val="006D7769"/>
    <w:rsid w:val="007039FA"/>
    <w:rsid w:val="007749CC"/>
    <w:rsid w:val="00792326"/>
    <w:rsid w:val="007D374C"/>
    <w:rsid w:val="00884B15"/>
    <w:rsid w:val="008D2195"/>
    <w:rsid w:val="00966497"/>
    <w:rsid w:val="009C2D9D"/>
    <w:rsid w:val="009F143B"/>
    <w:rsid w:val="00A934C8"/>
    <w:rsid w:val="00AB3C75"/>
    <w:rsid w:val="00C16A64"/>
    <w:rsid w:val="00D918FD"/>
    <w:rsid w:val="00E20BEA"/>
    <w:rsid w:val="00EA560C"/>
    <w:rsid w:val="00F87C60"/>
    <w:rsid w:val="00FF775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semiHidde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basedOn w:val="Standardnpsmoodstavce"/>
    <w:semiHidden/>
    <w:rsid w:val="00070148"/>
    <w:rPr>
      <w:sz w:val="16"/>
      <w:szCs w:val="16"/>
    </w:rPr>
  </w:style>
  <w:style w:type="paragraph" w:styleId="Textkomente">
    <w:name w:val="annotation text"/>
    <w:basedOn w:val="Normln"/>
    <w:link w:val="TextkomenteChar"/>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basedOn w:val="Standardnpsmoodstavce"/>
    <w:semiHidden/>
    <w:rsid w:val="00070148"/>
    <w:rPr>
      <w:rFonts w:ascii="Tahoma" w:hAnsi="Tahoma" w:cs="Tahoma"/>
      <w:bCs/>
      <w:sz w:val="16"/>
      <w:szCs w:val="16"/>
    </w:rPr>
  </w:style>
  <w:style w:type="character" w:styleId="Zvraznn">
    <w:name w:val="Emphasis"/>
    <w:basedOn w:val="Standardnpsmoodstavce"/>
    <w:qFormat/>
    <w:rsid w:val="00070148"/>
    <w:rPr>
      <w:i/>
      <w:iCs/>
    </w:rPr>
  </w:style>
  <w:style w:type="character" w:styleId="Siln">
    <w:name w:val="Strong"/>
    <w:basedOn w:val="Standardnpsmoodstavce"/>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basedOn w:val="Standardnpsmoodstavce"/>
    <w:link w:val="Textkomente"/>
    <w:semiHidden/>
    <w:rsid w:val="008D2195"/>
    <w:rPr>
      <w:rFonts w:ascii="Arial" w:hAnsi="Arial"/>
      <w:bCs/>
    </w:rPr>
  </w:style>
  <w:style w:type="character" w:customStyle="1" w:styleId="PedmtkomenteChar">
    <w:name w:val="Předmět komentáře Char"/>
    <w:basedOn w:val="TextkomenteChar"/>
    <w:link w:val="Pedmtkomente"/>
    <w:rsid w:val="008D21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2099</Words>
  <Characters>12389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MN</cp:lastModifiedBy>
  <cp:revision>12</cp:revision>
  <cp:lastPrinted>2014-10-01T07:44:00Z</cp:lastPrinted>
  <dcterms:created xsi:type="dcterms:W3CDTF">2014-09-25T08:38:00Z</dcterms:created>
  <dcterms:modified xsi:type="dcterms:W3CDTF">2014-10-08T05:26:00Z</dcterms:modified>
</cp:coreProperties>
</file>