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1A" w:rsidRPr="009C0696" w:rsidRDefault="00935BD4" w:rsidP="000D3058">
      <w:pPr>
        <w:pStyle w:val="Nadpis11"/>
        <w:rPr>
          <w:lang w:val="en-GB"/>
        </w:rPr>
      </w:pPr>
      <w:bookmarkStart w:id="0" w:name="_Toc5708394"/>
      <w:r w:rsidRPr="009C0696">
        <w:rPr>
          <w:lang w:val="en-GB"/>
        </w:rPr>
        <w:t>6</w:t>
      </w:r>
      <w:r w:rsidR="000D3058" w:rsidRPr="009C0696">
        <w:rPr>
          <w:lang w:val="en-GB"/>
        </w:rPr>
        <w:t xml:space="preserve">. </w:t>
      </w:r>
      <w:r w:rsidR="00DA368A" w:rsidRPr="009C0696">
        <w:rPr>
          <w:lang w:val="en-GB"/>
        </w:rPr>
        <w:t>Labour Market</w:t>
      </w:r>
      <w:bookmarkEnd w:id="0"/>
    </w:p>
    <w:tbl>
      <w:tblPr>
        <w:tblW w:w="9644" w:type="dxa"/>
        <w:tblInd w:w="-20" w:type="dxa"/>
        <w:tblCellMar>
          <w:left w:w="0" w:type="dxa"/>
          <w:right w:w="0" w:type="dxa"/>
        </w:tblCellMar>
        <w:tblLook w:val="00A0" w:firstRow="1" w:lastRow="0" w:firstColumn="1" w:lastColumn="0" w:noHBand="0" w:noVBand="0"/>
      </w:tblPr>
      <w:tblGrid>
        <w:gridCol w:w="1807"/>
        <w:gridCol w:w="227"/>
        <w:gridCol w:w="7610"/>
      </w:tblGrid>
      <w:tr w:rsidR="006D1E89" w:rsidRPr="009C0696" w:rsidTr="00B9632F">
        <w:trPr>
          <w:trHeight w:val="145"/>
        </w:trPr>
        <w:tc>
          <w:tcPr>
            <w:tcW w:w="1807" w:type="dxa"/>
            <w:shd w:val="clear" w:color="auto" w:fill="auto"/>
            <w:tcMar>
              <w:left w:w="0" w:type="dxa"/>
            </w:tcMar>
          </w:tcPr>
          <w:p w:rsidR="006D1E89" w:rsidRPr="009C0696" w:rsidRDefault="006D1E89" w:rsidP="00FF036B">
            <w:pPr>
              <w:pStyle w:val="Marginlie"/>
              <w:rPr>
                <w:lang w:val="en-GB"/>
              </w:rPr>
            </w:pPr>
            <w:r w:rsidRPr="009C0696">
              <w:rPr>
                <w:lang w:val="en-GB"/>
              </w:rPr>
              <w:t>S</w:t>
            </w:r>
            <w:r w:rsidR="00FF036B" w:rsidRPr="009C0696">
              <w:rPr>
                <w:lang w:val="en-GB"/>
              </w:rPr>
              <w:t>wift growth of employment continued already fourth year in a row. It was however slowing down in the course of the last year.</w:t>
            </w:r>
          </w:p>
        </w:tc>
        <w:tc>
          <w:tcPr>
            <w:tcW w:w="227" w:type="dxa"/>
            <w:shd w:val="clear" w:color="auto" w:fill="auto"/>
            <w:tcMar>
              <w:left w:w="0" w:type="dxa"/>
            </w:tcMar>
          </w:tcPr>
          <w:p w:rsidR="006D1E89" w:rsidRPr="009C0696" w:rsidRDefault="006D1E89" w:rsidP="00723435">
            <w:pPr>
              <w:pStyle w:val="Textpoznpodarou"/>
              <w:jc w:val="both"/>
              <w:rPr>
                <w:spacing w:val="-4"/>
                <w:lang w:val="en-GB"/>
              </w:rPr>
            </w:pPr>
          </w:p>
        </w:tc>
        <w:tc>
          <w:tcPr>
            <w:tcW w:w="7610" w:type="dxa"/>
            <w:shd w:val="clear" w:color="auto" w:fill="auto"/>
            <w:tcMar>
              <w:left w:w="0" w:type="dxa"/>
            </w:tcMar>
          </w:tcPr>
          <w:p w:rsidR="006D1E89" w:rsidRPr="00B9632F" w:rsidRDefault="00F83FF0" w:rsidP="00976378">
            <w:pPr>
              <w:spacing w:after="200"/>
              <w:rPr>
                <w:spacing w:val="-4"/>
                <w:lang w:val="en-GB"/>
              </w:rPr>
            </w:pPr>
            <w:r w:rsidRPr="00B9632F">
              <w:rPr>
                <w:spacing w:val="-4"/>
                <w:lang w:val="en-GB"/>
              </w:rPr>
              <w:t xml:space="preserve">The domestic labour market </w:t>
            </w:r>
            <w:r w:rsidR="00624E09" w:rsidRPr="00B9632F">
              <w:rPr>
                <w:spacing w:val="-4"/>
                <w:lang w:val="en-GB"/>
              </w:rPr>
              <w:t>experienced</w:t>
            </w:r>
            <w:r w:rsidRPr="00B9632F">
              <w:rPr>
                <w:spacing w:val="-4"/>
                <w:lang w:val="en-GB"/>
              </w:rPr>
              <w:t xml:space="preserve"> a peak </w:t>
            </w:r>
            <w:r w:rsidR="00624E09" w:rsidRPr="00B9632F">
              <w:rPr>
                <w:spacing w:val="-4"/>
                <w:lang w:val="en-GB"/>
              </w:rPr>
              <w:t>period</w:t>
            </w:r>
            <w:r w:rsidRPr="00B9632F">
              <w:rPr>
                <w:spacing w:val="-4"/>
                <w:lang w:val="en-GB"/>
              </w:rPr>
              <w:t xml:space="preserve"> in </w:t>
            </w:r>
            <w:r w:rsidR="006D1E89" w:rsidRPr="00B9632F">
              <w:rPr>
                <w:spacing w:val="-4"/>
                <w:lang w:val="en-GB"/>
              </w:rPr>
              <w:t xml:space="preserve">2018. </w:t>
            </w:r>
            <w:r w:rsidRPr="00B9632F">
              <w:rPr>
                <w:spacing w:val="-4"/>
                <w:lang w:val="en-GB"/>
              </w:rPr>
              <w:t>Number of workers</w:t>
            </w:r>
            <w:r w:rsidR="006D1E89" w:rsidRPr="00B9632F">
              <w:rPr>
                <w:rStyle w:val="Znakapoznpodarou"/>
                <w:color w:val="0D0D0D" w:themeColor="text1" w:themeTint="F2"/>
                <w:spacing w:val="-4"/>
                <w:lang w:val="en-GB"/>
              </w:rPr>
              <w:footnoteReference w:id="1"/>
            </w:r>
            <w:r w:rsidR="006D1E89" w:rsidRPr="00B9632F">
              <w:rPr>
                <w:spacing w:val="-4"/>
                <w:lang w:val="en-GB"/>
              </w:rPr>
              <w:t xml:space="preserve"> </w:t>
            </w:r>
            <w:r w:rsidRPr="00B9632F">
              <w:rPr>
                <w:spacing w:val="-4"/>
                <w:lang w:val="en-GB"/>
              </w:rPr>
              <w:t xml:space="preserve">grew by </w:t>
            </w:r>
            <w:r w:rsidR="006D1E89" w:rsidRPr="00B9632F">
              <w:rPr>
                <w:spacing w:val="-4"/>
                <w:lang w:val="en-GB"/>
              </w:rPr>
              <w:t>1</w:t>
            </w:r>
            <w:r w:rsidRPr="00B9632F">
              <w:rPr>
                <w:spacing w:val="-4"/>
                <w:lang w:val="en-GB"/>
              </w:rPr>
              <w:t>.</w:t>
            </w:r>
            <w:r w:rsidR="006D1E89" w:rsidRPr="00B9632F">
              <w:rPr>
                <w:spacing w:val="-4"/>
                <w:lang w:val="en-GB"/>
              </w:rPr>
              <w:t>6%</w:t>
            </w:r>
            <w:r w:rsidRPr="00B9632F">
              <w:rPr>
                <w:spacing w:val="-4"/>
                <w:lang w:val="en-GB"/>
              </w:rPr>
              <w:t xml:space="preserve"> compared to year 2017</w:t>
            </w:r>
            <w:r w:rsidR="006D1E89" w:rsidRPr="00B9632F">
              <w:rPr>
                <w:spacing w:val="-4"/>
                <w:lang w:val="en-GB"/>
              </w:rPr>
              <w:t xml:space="preserve">, </w:t>
            </w:r>
            <w:r w:rsidRPr="00B9632F">
              <w:rPr>
                <w:spacing w:val="-4"/>
                <w:lang w:val="en-GB"/>
              </w:rPr>
              <w:t xml:space="preserve">at the same time it grew by similar rate of growth also in the </w:t>
            </w:r>
            <w:r w:rsidR="00624E09" w:rsidRPr="00B9632F">
              <w:rPr>
                <w:spacing w:val="-4"/>
                <w:lang w:val="en-GB"/>
              </w:rPr>
              <w:t>previous</w:t>
            </w:r>
            <w:r w:rsidRPr="00B9632F">
              <w:rPr>
                <w:spacing w:val="-4"/>
                <w:lang w:val="en-GB"/>
              </w:rPr>
              <w:t xml:space="preserve"> three </w:t>
            </w:r>
            <w:r w:rsidR="00624E09" w:rsidRPr="00B9632F">
              <w:rPr>
                <w:spacing w:val="-4"/>
                <w:lang w:val="en-GB"/>
              </w:rPr>
              <w:t>years</w:t>
            </w:r>
            <w:r w:rsidRPr="00B9632F">
              <w:rPr>
                <w:spacing w:val="-4"/>
                <w:lang w:val="en-GB"/>
              </w:rPr>
              <w:t xml:space="preserve">. However, a reduction of pace was apparent in the course of the last year. While the total employment </w:t>
            </w:r>
            <w:r w:rsidR="00624E09" w:rsidRPr="00B9632F">
              <w:rPr>
                <w:spacing w:val="-4"/>
                <w:lang w:val="en-GB"/>
              </w:rPr>
              <w:t>strengthened</w:t>
            </w:r>
            <w:r w:rsidRPr="00B9632F">
              <w:rPr>
                <w:spacing w:val="-4"/>
                <w:lang w:val="en-GB"/>
              </w:rPr>
              <w:t xml:space="preserve"> by </w:t>
            </w:r>
            <w:r w:rsidR="00624E09" w:rsidRPr="00B9632F">
              <w:rPr>
                <w:spacing w:val="-4"/>
                <w:lang w:val="en-GB"/>
              </w:rPr>
              <w:t>0.6% in Q1</w:t>
            </w:r>
            <w:r w:rsidR="00363817" w:rsidRPr="00B9632F">
              <w:rPr>
                <w:spacing w:val="-4"/>
                <w:lang w:val="en-GB"/>
              </w:rPr>
              <w:t xml:space="preserve"> </w:t>
            </w:r>
            <w:r w:rsidR="00624E09" w:rsidRPr="00B9632F">
              <w:rPr>
                <w:spacing w:val="-4"/>
                <w:lang w:val="en-GB"/>
              </w:rPr>
              <w:t xml:space="preserve">and </w:t>
            </w:r>
            <w:r w:rsidR="006D1E89" w:rsidRPr="00B9632F">
              <w:rPr>
                <w:spacing w:val="-4"/>
                <w:lang w:val="en-GB"/>
              </w:rPr>
              <w:t>2</w:t>
            </w:r>
            <w:r w:rsidR="00624E09" w:rsidRPr="00B9632F">
              <w:rPr>
                <w:spacing w:val="-4"/>
                <w:lang w:val="en-GB"/>
              </w:rPr>
              <w:t xml:space="preserve"> quarter-on-quarter, it already stagnated in Q</w:t>
            </w:r>
            <w:r w:rsidR="006D1E89" w:rsidRPr="00B9632F">
              <w:rPr>
                <w:spacing w:val="-4"/>
                <w:lang w:val="en-GB"/>
              </w:rPr>
              <w:t>3</w:t>
            </w:r>
            <w:r w:rsidR="00624E09" w:rsidRPr="00B9632F">
              <w:rPr>
                <w:spacing w:val="-4"/>
                <w:lang w:val="en-GB"/>
              </w:rPr>
              <w:t xml:space="preserve"> and reached a growth of 0.4% in the remaining part of the year. </w:t>
            </w:r>
            <w:r w:rsidR="00976378" w:rsidRPr="00B9632F">
              <w:rPr>
                <w:spacing w:val="-4"/>
                <w:lang w:val="en-GB"/>
              </w:rPr>
              <w:t xml:space="preserve">Under the influence of contraction of the economy in the CR and EU as well as growing uncertainties on the foreign markets, </w:t>
            </w:r>
            <w:r w:rsidR="00363817" w:rsidRPr="00B9632F">
              <w:rPr>
                <w:spacing w:val="-4"/>
                <w:lang w:val="en-GB"/>
              </w:rPr>
              <w:t xml:space="preserve">businesses gradually corrected their optimistic expectations of further employment growth from the beginning of the year 2018 </w:t>
            </w:r>
            <w:r w:rsidR="006D1E89" w:rsidRPr="00B9632F">
              <w:rPr>
                <w:spacing w:val="-4"/>
                <w:lang w:val="en-GB"/>
              </w:rPr>
              <w:t>– t</w:t>
            </w:r>
            <w:r w:rsidR="00363817" w:rsidRPr="00B9632F">
              <w:rPr>
                <w:spacing w:val="-4"/>
                <w:lang w:val="en-GB"/>
              </w:rPr>
              <w:t>his was valid especially for industry and selected services</w:t>
            </w:r>
            <w:r w:rsidR="006D1E89" w:rsidRPr="00B9632F">
              <w:rPr>
                <w:spacing w:val="-4"/>
                <w:lang w:val="en-GB"/>
              </w:rPr>
              <w:t xml:space="preserve">, </w:t>
            </w:r>
            <w:r w:rsidR="00D671CD" w:rsidRPr="00B9632F">
              <w:rPr>
                <w:spacing w:val="-4"/>
                <w:lang w:val="en-GB"/>
              </w:rPr>
              <w:t>the further strengthening positive outlooks in construction went in contrast in the opposite direction</w:t>
            </w:r>
            <w:r w:rsidR="006D1E89" w:rsidRPr="00B9632F">
              <w:rPr>
                <w:rStyle w:val="Znakapoznpodarou"/>
                <w:spacing w:val="-4"/>
                <w:lang w:val="en-GB"/>
              </w:rPr>
              <w:footnoteReference w:id="2"/>
            </w:r>
            <w:r w:rsidR="006D1E89" w:rsidRPr="00B9632F">
              <w:rPr>
                <w:spacing w:val="-4"/>
                <w:lang w:val="en-GB"/>
              </w:rPr>
              <w:t xml:space="preserve">. </w:t>
            </w:r>
            <w:r w:rsidR="00D671CD" w:rsidRPr="00B9632F">
              <w:rPr>
                <w:spacing w:val="-4"/>
                <w:lang w:val="en-GB"/>
              </w:rPr>
              <w:t xml:space="preserve">It could have contributed to a moderate </w:t>
            </w:r>
            <w:r w:rsidR="00363817" w:rsidRPr="00B9632F">
              <w:rPr>
                <w:spacing w:val="-4"/>
                <w:lang w:val="en-GB"/>
              </w:rPr>
              <w:t>easing of a strong tension on the labour market stemming from the lack of easily accessible resources of available labour force</w:t>
            </w:r>
            <w:r w:rsidR="006D1E89" w:rsidRPr="00B9632F">
              <w:rPr>
                <w:rStyle w:val="Znakapoznpodarou"/>
                <w:spacing w:val="-4"/>
                <w:lang w:val="en-GB"/>
              </w:rPr>
              <w:footnoteReference w:id="3"/>
            </w:r>
            <w:r w:rsidR="006D1E89" w:rsidRPr="00B9632F">
              <w:rPr>
                <w:spacing w:val="-4"/>
                <w:lang w:val="en-GB"/>
              </w:rPr>
              <w:t>.</w:t>
            </w:r>
          </w:p>
        </w:tc>
      </w:tr>
      <w:tr w:rsidR="006D1E89" w:rsidRPr="009C0696" w:rsidTr="00A91AF6">
        <w:trPr>
          <w:trHeight w:val="98"/>
        </w:trPr>
        <w:tc>
          <w:tcPr>
            <w:tcW w:w="1807" w:type="dxa"/>
            <w:vMerge w:val="restart"/>
            <w:shd w:val="clear" w:color="auto" w:fill="auto"/>
            <w:tcMar>
              <w:left w:w="0" w:type="dxa"/>
            </w:tcMar>
          </w:tcPr>
          <w:p w:rsidR="006D1E89" w:rsidRPr="009C0696" w:rsidRDefault="006D1E89" w:rsidP="00723435">
            <w:pPr>
              <w:pStyle w:val="Marginlie"/>
              <w:rPr>
                <w:lang w:val="en-GB"/>
              </w:rPr>
            </w:pPr>
          </w:p>
        </w:tc>
        <w:tc>
          <w:tcPr>
            <w:tcW w:w="227" w:type="dxa"/>
            <w:vMerge w:val="restart"/>
            <w:shd w:val="clear" w:color="auto" w:fill="auto"/>
            <w:tcMar>
              <w:left w:w="0" w:type="dxa"/>
            </w:tcMar>
          </w:tcPr>
          <w:p w:rsidR="006D1E89" w:rsidRPr="009C0696" w:rsidRDefault="006D1E89" w:rsidP="00723435">
            <w:pPr>
              <w:pStyle w:val="Textpoznpodarou"/>
              <w:jc w:val="both"/>
              <w:rPr>
                <w:spacing w:val="-4"/>
                <w:lang w:val="en-GB"/>
              </w:rPr>
            </w:pPr>
          </w:p>
        </w:tc>
        <w:tc>
          <w:tcPr>
            <w:tcW w:w="7610" w:type="dxa"/>
            <w:shd w:val="clear" w:color="auto" w:fill="auto"/>
            <w:tcMar>
              <w:left w:w="0" w:type="dxa"/>
            </w:tcMar>
          </w:tcPr>
          <w:p w:rsidR="006D1E89" w:rsidRPr="009F7FC7" w:rsidRDefault="00DA368A" w:rsidP="009F7FC7">
            <w:pPr>
              <w:spacing w:after="40" w:line="240" w:lineRule="auto"/>
              <w:jc w:val="left"/>
              <w:rPr>
                <w:spacing w:val="-2"/>
                <w:szCs w:val="20"/>
                <w:lang w:val="en-GB"/>
              </w:rPr>
            </w:pPr>
            <w:r w:rsidRPr="009F7FC7">
              <w:rPr>
                <w:rFonts w:cs="Arial"/>
                <w:b/>
                <w:bCs/>
                <w:color w:val="000000"/>
                <w:szCs w:val="20"/>
                <w:lang w:val="en-GB"/>
              </w:rPr>
              <w:t xml:space="preserve">Chart </w:t>
            </w:r>
            <w:r w:rsidR="00E378B1" w:rsidRPr="009F7FC7">
              <w:rPr>
                <w:rFonts w:cs="Arial"/>
                <w:b/>
                <w:bCs/>
                <w:color w:val="000000"/>
                <w:szCs w:val="20"/>
                <w:lang w:val="en-GB"/>
              </w:rPr>
              <w:t>14</w:t>
            </w:r>
            <w:r w:rsidR="006D1E89" w:rsidRPr="009F7FC7">
              <w:rPr>
                <w:rFonts w:cs="Arial"/>
                <w:b/>
                <w:bCs/>
                <w:color w:val="000000"/>
                <w:szCs w:val="20"/>
                <w:lang w:val="en-GB"/>
              </w:rPr>
              <w:t xml:space="preserve">  </w:t>
            </w:r>
            <w:r w:rsidRPr="009F7FC7">
              <w:rPr>
                <w:rFonts w:cs="Arial"/>
                <w:b/>
                <w:bCs/>
                <w:color w:val="000000"/>
                <w:szCs w:val="20"/>
                <w:lang w:val="en-GB"/>
              </w:rPr>
              <w:t xml:space="preserve">Total employment </w:t>
            </w:r>
            <w:r w:rsidR="006D1E89" w:rsidRPr="009F7FC7">
              <w:rPr>
                <w:szCs w:val="20"/>
                <w:lang w:val="en-GB" w:eastAsia="en-US"/>
              </w:rPr>
              <w:t>(</w:t>
            </w:r>
            <w:r w:rsidRPr="009F7FC7">
              <w:rPr>
                <w:szCs w:val="20"/>
                <w:lang w:val="en-GB" w:eastAsia="en-US"/>
              </w:rPr>
              <w:t xml:space="preserve">year-on-year in </w:t>
            </w:r>
            <w:r w:rsidR="006D1E89" w:rsidRPr="009F7FC7">
              <w:rPr>
                <w:bCs/>
                <w:spacing w:val="-2"/>
                <w:szCs w:val="20"/>
                <w:lang w:val="en-GB"/>
              </w:rPr>
              <w:t xml:space="preserve">%) </w:t>
            </w:r>
            <w:r w:rsidR="006D1E89" w:rsidRPr="009F7FC7">
              <w:rPr>
                <w:b/>
                <w:bCs/>
                <w:spacing w:val="-2"/>
                <w:szCs w:val="20"/>
                <w:lang w:val="en-GB"/>
              </w:rPr>
              <w:t>a</w:t>
            </w:r>
            <w:r w:rsidRPr="009F7FC7">
              <w:rPr>
                <w:b/>
                <w:bCs/>
                <w:spacing w:val="-2"/>
                <w:szCs w:val="20"/>
                <w:lang w:val="en-GB"/>
              </w:rPr>
              <w:t xml:space="preserve">nd </w:t>
            </w:r>
            <w:r w:rsidR="0089708C" w:rsidRPr="009F7FC7">
              <w:rPr>
                <w:b/>
                <w:bCs/>
                <w:spacing w:val="-2"/>
                <w:szCs w:val="20"/>
                <w:lang w:val="en-GB"/>
              </w:rPr>
              <w:t xml:space="preserve">contributions of main branches to year-on-year employment change </w:t>
            </w:r>
            <w:r w:rsidR="006D1E89" w:rsidRPr="009F7FC7">
              <w:rPr>
                <w:bCs/>
                <w:spacing w:val="-2"/>
                <w:szCs w:val="20"/>
                <w:lang w:val="en-GB"/>
              </w:rPr>
              <w:t>(</w:t>
            </w:r>
            <w:r w:rsidR="0050387A" w:rsidRPr="009F7FC7">
              <w:rPr>
                <w:bCs/>
                <w:spacing w:val="-2"/>
                <w:szCs w:val="20"/>
                <w:lang w:val="en-GB"/>
              </w:rPr>
              <w:t>in percentage points</w:t>
            </w:r>
            <w:r w:rsidR="006D1E89" w:rsidRPr="009F7FC7">
              <w:rPr>
                <w:bCs/>
                <w:spacing w:val="-2"/>
                <w:szCs w:val="20"/>
                <w:lang w:val="en-GB"/>
              </w:rPr>
              <w:t>)</w:t>
            </w:r>
          </w:p>
        </w:tc>
      </w:tr>
      <w:tr w:rsidR="006D1E89" w:rsidRPr="009C0696" w:rsidTr="00A91AF6">
        <w:tblPrEx>
          <w:tblCellMar>
            <w:left w:w="70" w:type="dxa"/>
            <w:right w:w="70" w:type="dxa"/>
          </w:tblCellMar>
        </w:tblPrEx>
        <w:trPr>
          <w:trHeight w:val="96"/>
        </w:trPr>
        <w:tc>
          <w:tcPr>
            <w:tcW w:w="1807" w:type="dxa"/>
            <w:vMerge/>
            <w:shd w:val="clear" w:color="auto" w:fill="auto"/>
          </w:tcPr>
          <w:p w:rsidR="006D1E89" w:rsidRPr="009C0696" w:rsidRDefault="006D1E89" w:rsidP="00723435">
            <w:pPr>
              <w:pStyle w:val="Marginlie"/>
              <w:rPr>
                <w:lang w:val="en-GB"/>
              </w:rPr>
            </w:pPr>
          </w:p>
        </w:tc>
        <w:tc>
          <w:tcPr>
            <w:tcW w:w="227" w:type="dxa"/>
            <w:vMerge/>
            <w:shd w:val="clear" w:color="auto" w:fill="auto"/>
          </w:tcPr>
          <w:p w:rsidR="006D1E89" w:rsidRPr="009C0696" w:rsidRDefault="006D1E89" w:rsidP="00723435">
            <w:pPr>
              <w:pStyle w:val="Textpoznpodarou"/>
              <w:jc w:val="both"/>
              <w:rPr>
                <w:spacing w:val="-4"/>
                <w:lang w:val="en-GB"/>
              </w:rPr>
            </w:pPr>
          </w:p>
        </w:tc>
        <w:tc>
          <w:tcPr>
            <w:tcW w:w="7610" w:type="dxa"/>
            <w:shd w:val="clear" w:color="auto" w:fill="auto"/>
          </w:tcPr>
          <w:p w:rsidR="006D1E89" w:rsidRPr="009C0696" w:rsidRDefault="00A91AF6" w:rsidP="00723435">
            <w:pPr>
              <w:spacing w:after="40" w:line="240" w:lineRule="auto"/>
              <w:rPr>
                <w:spacing w:val="-2"/>
                <w:lang w:val="en-GB"/>
              </w:rPr>
            </w:pPr>
            <w:r>
              <w:rPr>
                <w:noProof/>
              </w:rPr>
              <w:drawing>
                <wp:inline distT="0" distB="0" distL="0" distR="0" wp14:anchorId="10ACF8F1" wp14:editId="571BA3E3">
                  <wp:extent cx="4741598" cy="3547811"/>
                  <wp:effectExtent l="0" t="0" r="1905"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6D1E89" w:rsidRPr="009C0696" w:rsidTr="00B9632F">
        <w:trPr>
          <w:trHeight w:val="96"/>
        </w:trPr>
        <w:tc>
          <w:tcPr>
            <w:tcW w:w="1807" w:type="dxa"/>
            <w:vMerge/>
            <w:shd w:val="clear" w:color="auto" w:fill="auto"/>
            <w:tcMar>
              <w:left w:w="0" w:type="dxa"/>
            </w:tcMar>
          </w:tcPr>
          <w:p w:rsidR="006D1E89" w:rsidRPr="009C0696" w:rsidRDefault="006D1E89" w:rsidP="00723435">
            <w:pPr>
              <w:pStyle w:val="Marginlie"/>
              <w:rPr>
                <w:lang w:val="en-GB"/>
              </w:rPr>
            </w:pPr>
          </w:p>
        </w:tc>
        <w:tc>
          <w:tcPr>
            <w:tcW w:w="227" w:type="dxa"/>
            <w:vMerge/>
            <w:shd w:val="clear" w:color="auto" w:fill="auto"/>
            <w:tcMar>
              <w:left w:w="0" w:type="dxa"/>
            </w:tcMar>
          </w:tcPr>
          <w:p w:rsidR="006D1E89" w:rsidRPr="009C0696" w:rsidRDefault="006D1E89" w:rsidP="00723435">
            <w:pPr>
              <w:pStyle w:val="Textpoznpodarou"/>
              <w:jc w:val="both"/>
              <w:rPr>
                <w:spacing w:val="-4"/>
                <w:lang w:val="en-GB"/>
              </w:rPr>
            </w:pPr>
          </w:p>
        </w:tc>
        <w:tc>
          <w:tcPr>
            <w:tcW w:w="7610" w:type="dxa"/>
            <w:shd w:val="clear" w:color="auto" w:fill="auto"/>
            <w:tcMar>
              <w:left w:w="0" w:type="dxa"/>
            </w:tcMar>
          </w:tcPr>
          <w:p w:rsidR="00F57E16" w:rsidRPr="009C0696" w:rsidRDefault="006D1E89" w:rsidP="00CE69DA">
            <w:pPr>
              <w:spacing w:after="0" w:line="240" w:lineRule="auto"/>
              <w:rPr>
                <w:rFonts w:cs="Arial"/>
                <w:sz w:val="14"/>
                <w:szCs w:val="14"/>
                <w:lang w:val="en-GB"/>
              </w:rPr>
            </w:pPr>
            <w:r w:rsidRPr="009C0696">
              <w:rPr>
                <w:rFonts w:cs="Arial"/>
                <w:sz w:val="14"/>
                <w:szCs w:val="14"/>
                <w:lang w:val="en-GB"/>
              </w:rPr>
              <w:t>*</w:t>
            </w:r>
            <w:r w:rsidR="00F57E16" w:rsidRPr="009C0696">
              <w:rPr>
                <w:rFonts w:cs="Arial"/>
                <w:sz w:val="14"/>
                <w:szCs w:val="14"/>
                <w:lang w:val="en-GB"/>
              </w:rPr>
              <w:t>Includes branches</w:t>
            </w:r>
            <w:r w:rsidRPr="009C0696">
              <w:rPr>
                <w:rFonts w:cs="Arial"/>
                <w:sz w:val="14"/>
                <w:szCs w:val="14"/>
                <w:lang w:val="en-GB"/>
              </w:rPr>
              <w:t xml:space="preserve">: </w:t>
            </w:r>
            <w:r w:rsidR="00F57E16" w:rsidRPr="009C0696">
              <w:rPr>
                <w:rFonts w:cs="Arial"/>
                <w:sz w:val="14"/>
                <w:szCs w:val="14"/>
                <w:lang w:val="en-GB"/>
              </w:rPr>
              <w:t>Mining and energetics, Financial and insurance activities</w:t>
            </w:r>
            <w:r w:rsidRPr="009C0696">
              <w:rPr>
                <w:rFonts w:cs="Arial"/>
                <w:sz w:val="14"/>
                <w:szCs w:val="14"/>
                <w:lang w:val="en-GB"/>
              </w:rPr>
              <w:t xml:space="preserve">, </w:t>
            </w:r>
            <w:r w:rsidR="00F57E16" w:rsidRPr="009C0696">
              <w:rPr>
                <w:rFonts w:cs="Arial"/>
                <w:sz w:val="14"/>
                <w:szCs w:val="14"/>
                <w:lang w:val="en-GB"/>
              </w:rPr>
              <w:t xml:space="preserve">Real estate activities, Culture, amusement and recreation activities, Other services. </w:t>
            </w:r>
            <w:r w:rsidRPr="009C0696">
              <w:rPr>
                <w:rFonts w:cs="Arial"/>
                <w:sz w:val="14"/>
                <w:szCs w:val="14"/>
                <w:lang w:val="en-GB"/>
              </w:rPr>
              <w:t xml:space="preserve">                                                                          </w:t>
            </w:r>
            <w:r w:rsidR="00CE69DA" w:rsidRPr="009C0696">
              <w:rPr>
                <w:rFonts w:cs="Arial"/>
                <w:sz w:val="14"/>
                <w:szCs w:val="14"/>
                <w:lang w:val="en-GB"/>
              </w:rPr>
              <w:t>Source</w:t>
            </w:r>
            <w:r w:rsidRPr="009C0696">
              <w:rPr>
                <w:rFonts w:cs="Arial"/>
                <w:sz w:val="14"/>
                <w:szCs w:val="14"/>
                <w:lang w:val="en-GB"/>
              </w:rPr>
              <w:t xml:space="preserve">: </w:t>
            </w:r>
            <w:r w:rsidR="00CE69DA" w:rsidRPr="009C0696">
              <w:rPr>
                <w:rFonts w:cs="Arial"/>
                <w:sz w:val="14"/>
                <w:szCs w:val="14"/>
                <w:lang w:val="en-GB"/>
              </w:rPr>
              <w:t>CZSO</w:t>
            </w:r>
            <w:r w:rsidRPr="009C0696">
              <w:rPr>
                <w:rFonts w:cs="Arial"/>
                <w:sz w:val="14"/>
                <w:szCs w:val="14"/>
                <w:lang w:val="en-GB"/>
              </w:rPr>
              <w:t xml:space="preserve"> (</w:t>
            </w:r>
            <w:r w:rsidR="00CE69DA" w:rsidRPr="009C0696">
              <w:rPr>
                <w:rFonts w:cs="Arial"/>
                <w:sz w:val="14"/>
                <w:szCs w:val="14"/>
                <w:lang w:val="en-GB"/>
              </w:rPr>
              <w:t>national accounts)</w:t>
            </w:r>
          </w:p>
          <w:p w:rsidR="00E161D9" w:rsidRPr="009C0696" w:rsidRDefault="00E161D9" w:rsidP="00A91AF6">
            <w:pPr>
              <w:spacing w:after="0" w:line="240" w:lineRule="auto"/>
              <w:rPr>
                <w:spacing w:val="-2"/>
                <w:lang w:val="en-GB"/>
              </w:rPr>
            </w:pPr>
          </w:p>
        </w:tc>
      </w:tr>
      <w:tr w:rsidR="00B9632F" w:rsidRPr="009C0696" w:rsidTr="00B9632F">
        <w:trPr>
          <w:trHeight w:val="145"/>
        </w:trPr>
        <w:tc>
          <w:tcPr>
            <w:tcW w:w="1807" w:type="dxa"/>
            <w:shd w:val="clear" w:color="auto" w:fill="auto"/>
            <w:tcMar>
              <w:left w:w="0" w:type="dxa"/>
            </w:tcMar>
          </w:tcPr>
          <w:p w:rsidR="00B9632F" w:rsidRPr="00B9632F" w:rsidRDefault="00B9632F" w:rsidP="00B9632F">
            <w:pPr>
              <w:pStyle w:val="Marginlie"/>
              <w:rPr>
                <w:spacing w:val="-3"/>
                <w:lang w:val="en-GB"/>
              </w:rPr>
            </w:pPr>
            <w:r w:rsidRPr="00B9632F">
              <w:rPr>
                <w:spacing w:val="-3"/>
                <w:lang w:val="en-GB"/>
              </w:rPr>
              <w:t>Employment increased last year mostly due to the higher engagement of the economically inactive persons and growing foreign migration last year.</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200"/>
              <w:rPr>
                <w:spacing w:val="-2"/>
                <w:lang w:val="en-GB"/>
              </w:rPr>
            </w:pPr>
            <w:r>
              <w:rPr>
                <w:spacing w:val="-2"/>
                <w:lang w:val="en-GB"/>
              </w:rPr>
              <w:t xml:space="preserve">Almost </w:t>
            </w:r>
            <w:r w:rsidRPr="009C0696">
              <w:rPr>
                <w:spacing w:val="-2"/>
                <w:lang w:val="en-GB"/>
              </w:rPr>
              <w:t>5.45 mil persons were employed in the CR in Q4 2018, the most in the contemporary history. Given the fact, that the levels of unemployed persons did not change markedly during the last year, mainly the higher engagement of the formerly economically inactive persons and further also the growing foreign migration contributed to the year-on-year growth of employment (+83 thousand) last year</w:t>
            </w:r>
            <w:r w:rsidRPr="009C0696">
              <w:rPr>
                <w:rStyle w:val="Znakapoznpodarou"/>
                <w:spacing w:val="-2"/>
                <w:lang w:val="en-GB"/>
              </w:rPr>
              <w:footnoteReference w:id="4"/>
            </w:r>
            <w:r w:rsidRPr="009C0696">
              <w:rPr>
                <w:spacing w:val="-2"/>
                <w:lang w:val="en-GB"/>
              </w:rPr>
              <w:t xml:space="preserve">. Important structural </w:t>
            </w:r>
            <w:r w:rsidRPr="009C0696">
              <w:rPr>
                <w:spacing w:val="-2"/>
                <w:lang w:val="en-GB"/>
              </w:rPr>
              <w:lastRenderedPageBreak/>
              <w:t xml:space="preserve">changes continued – people from the </w:t>
            </w:r>
            <w:r w:rsidR="00BE6F74">
              <w:rPr>
                <w:spacing w:val="-2"/>
                <w:lang w:val="en-GB"/>
              </w:rPr>
              <w:t>strong population cohorts</w:t>
            </w:r>
            <w:r w:rsidRPr="009C0696">
              <w:rPr>
                <w:spacing w:val="-2"/>
                <w:lang w:val="en-GB"/>
              </w:rPr>
              <w:t xml:space="preserve"> </w:t>
            </w:r>
            <w:r w:rsidR="00BE6F74">
              <w:rPr>
                <w:spacing w:val="-2"/>
                <w:lang w:val="en-GB"/>
              </w:rPr>
              <w:t>(form</w:t>
            </w:r>
            <w:r w:rsidRPr="009C0696">
              <w:rPr>
                <w:spacing w:val="-2"/>
                <w:lang w:val="en-GB"/>
              </w:rPr>
              <w:t xml:space="preserve"> the 70s</w:t>
            </w:r>
            <w:r w:rsidR="00BE6F74">
              <w:rPr>
                <w:spacing w:val="-2"/>
                <w:lang w:val="en-GB"/>
              </w:rPr>
              <w:t>)</w:t>
            </w:r>
            <w:r w:rsidRPr="009C0696">
              <w:rPr>
                <w:spacing w:val="-2"/>
                <w:lang w:val="en-GB"/>
              </w:rPr>
              <w:t xml:space="preserve"> were moving into the age with the largest rate of economic participation. Decline of the number of employed in the youngest age groups was fully offset by higher activity of persons close to the end of the productive age due to the effect of lengthening</w:t>
            </w:r>
            <w:r w:rsidR="00221DEA">
              <w:rPr>
                <w:spacing w:val="-2"/>
                <w:lang w:val="en-GB"/>
              </w:rPr>
              <w:t xml:space="preserve"> both legal and real</w:t>
            </w:r>
            <w:r w:rsidRPr="009C0696">
              <w:rPr>
                <w:spacing w:val="-2"/>
                <w:lang w:val="en-GB"/>
              </w:rPr>
              <w:t xml:space="preserve"> age of retirement.  </w:t>
            </w:r>
          </w:p>
        </w:tc>
      </w:tr>
      <w:tr w:rsidR="00B9632F" w:rsidRPr="009C0696" w:rsidTr="00B9632F">
        <w:trPr>
          <w:trHeight w:val="145"/>
        </w:trPr>
        <w:tc>
          <w:tcPr>
            <w:tcW w:w="1807" w:type="dxa"/>
            <w:shd w:val="clear" w:color="auto" w:fill="auto"/>
            <w:tcMar>
              <w:left w:w="0" w:type="dxa"/>
            </w:tcMar>
          </w:tcPr>
          <w:p w:rsidR="00B9632F" w:rsidRPr="009C0696" w:rsidRDefault="00B9632F" w:rsidP="00B9632F">
            <w:pPr>
              <w:pStyle w:val="Marginlie"/>
              <w:rPr>
                <w:spacing w:val="-3"/>
                <w:lang w:val="en-GB"/>
              </w:rPr>
            </w:pPr>
            <w:r w:rsidRPr="009C0696">
              <w:rPr>
                <w:spacing w:val="-3"/>
                <w:lang w:val="en-GB"/>
              </w:rPr>
              <w:lastRenderedPageBreak/>
              <w:t>Mostly employees contributed to the year-on-year growth of the number of workers. Among branches, the services thrived, on the contrary employment still was not rising</w:t>
            </w:r>
            <w:r>
              <w:rPr>
                <w:spacing w:val="-3"/>
                <w:lang w:val="en-GB"/>
              </w:rPr>
              <w:t xml:space="preserve"> </w:t>
            </w:r>
            <w:r w:rsidRPr="009C0696">
              <w:rPr>
                <w:spacing w:val="-3"/>
                <w:lang w:val="en-GB"/>
              </w:rPr>
              <w:t xml:space="preserve">in construction.  </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220"/>
              <w:rPr>
                <w:rFonts w:cs="Arial"/>
                <w:color w:val="0D0D0D" w:themeColor="text1" w:themeTint="F2"/>
                <w:spacing w:val="-2"/>
                <w:lang w:val="en-GB"/>
              </w:rPr>
            </w:pPr>
            <w:r w:rsidRPr="009C0696">
              <w:rPr>
                <w:spacing w:val="-2"/>
                <w:lang w:val="en-GB"/>
              </w:rPr>
              <w:t xml:space="preserve">Mainly employees contributed to the growth of the total employment in 2018. Number of self-employed was growing for the third year in a row, but only by a slow pace </w:t>
            </w:r>
            <w:r w:rsidRPr="009C0696">
              <w:rPr>
                <w:rFonts w:cs="Arial"/>
                <w:color w:val="0D0D0D" w:themeColor="text1" w:themeTint="F2"/>
                <w:spacing w:val="-2"/>
                <w:lang w:val="en-GB"/>
              </w:rPr>
              <w:t>(by 0.4% last year)</w:t>
            </w:r>
            <w:r w:rsidRPr="009C0696">
              <w:rPr>
                <w:rStyle w:val="Znakapoznpodarou"/>
                <w:color w:val="0D0D0D" w:themeColor="text1" w:themeTint="F2"/>
                <w:spacing w:val="-2"/>
                <w:lang w:val="en-GB"/>
              </w:rPr>
              <w:footnoteReference w:id="5"/>
            </w:r>
            <w:r w:rsidRPr="009C0696">
              <w:rPr>
                <w:rFonts w:cs="Arial"/>
                <w:color w:val="0D0D0D" w:themeColor="text1" w:themeTint="F2"/>
                <w:spacing w:val="-2"/>
                <w:lang w:val="en-GB"/>
              </w:rPr>
              <w:t>. From the view of branches, the services sector shared in the growth of the total employment by nearly three quarters, mainly information and communication (+4.6%) as well as branches with the predominant public sector (+2.4%) flourished. However, manufacturing still also maintained the important role, with the employment growth rate not losing pace mainly thanks to the agency workers last year (1.8%). In construction the other way around, despite swiftly growing output and orders the employment growth was not launched yet (</w:t>
            </w:r>
            <w:r w:rsidRPr="009C0696">
              <w:rPr>
                <w:spacing w:val="-2"/>
                <w:lang w:val="en-GB"/>
              </w:rPr>
              <w:t>–</w:t>
            </w:r>
            <w:r w:rsidRPr="009C0696">
              <w:rPr>
                <w:rFonts w:cs="Arial"/>
                <w:color w:val="0D0D0D" w:themeColor="text1" w:themeTint="F2"/>
                <w:spacing w:val="-2"/>
                <w:lang w:val="en-GB"/>
              </w:rPr>
              <w:t>0.4%)</w:t>
            </w:r>
            <w:r w:rsidRPr="009C0696">
              <w:rPr>
                <w:rStyle w:val="Znakapoznpodarou"/>
                <w:color w:val="0D0D0D" w:themeColor="text1" w:themeTint="F2"/>
                <w:spacing w:val="-2"/>
                <w:lang w:val="en-GB"/>
              </w:rPr>
              <w:footnoteReference w:id="6"/>
            </w:r>
            <w:r w:rsidRPr="009C0696">
              <w:rPr>
                <w:rFonts w:cs="Arial"/>
                <w:color w:val="0D0D0D" w:themeColor="text1" w:themeTint="F2"/>
                <w:spacing w:val="-2"/>
                <w:lang w:val="en-GB"/>
              </w:rPr>
              <w:t xml:space="preserve">. Number of workers was also slightly reduced in the primary sector last year. </w:t>
            </w:r>
          </w:p>
        </w:tc>
      </w:tr>
      <w:tr w:rsidR="00B9632F" w:rsidRPr="009C0696" w:rsidTr="00B9632F">
        <w:trPr>
          <w:trHeight w:val="98"/>
        </w:trPr>
        <w:tc>
          <w:tcPr>
            <w:tcW w:w="1807" w:type="dxa"/>
            <w:vMerge w:val="restart"/>
            <w:shd w:val="clear" w:color="auto" w:fill="auto"/>
            <w:tcMar>
              <w:left w:w="0" w:type="dxa"/>
            </w:tcMar>
          </w:tcPr>
          <w:p w:rsidR="00B9632F" w:rsidRPr="009C0696" w:rsidRDefault="00B9632F" w:rsidP="00B9632F">
            <w:pPr>
              <w:pStyle w:val="Marginlie"/>
              <w:rPr>
                <w:lang w:val="en-GB"/>
              </w:rPr>
            </w:pPr>
          </w:p>
        </w:tc>
        <w:tc>
          <w:tcPr>
            <w:tcW w:w="227" w:type="dxa"/>
            <w:vMerge w:val="restart"/>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40" w:line="240" w:lineRule="auto"/>
              <w:rPr>
                <w:spacing w:val="-2"/>
                <w:lang w:val="en-GB"/>
              </w:rPr>
            </w:pPr>
            <w:r w:rsidRPr="009C0696">
              <w:rPr>
                <w:b/>
                <w:spacing w:val="-2"/>
                <w:lang w:val="en-GB"/>
              </w:rPr>
              <w:t>Chart 15  General</w:t>
            </w:r>
            <w:r w:rsidRPr="009C0696">
              <w:rPr>
                <w:rFonts w:cs="Arial"/>
                <w:b/>
                <w:bCs/>
                <w:spacing w:val="-2"/>
                <w:lang w:val="en-GB"/>
              </w:rPr>
              <w:t xml:space="preserve"> unemployment rate of males and females, share of selected groups of persons on all unemployed </w:t>
            </w:r>
            <w:r w:rsidRPr="009C0696">
              <w:rPr>
                <w:rFonts w:cs="Arial"/>
                <w:bCs/>
                <w:spacing w:val="-2"/>
                <w:lang w:val="en-GB"/>
              </w:rPr>
              <w:t xml:space="preserve">(in %) </w:t>
            </w:r>
            <w:r w:rsidRPr="009C0696">
              <w:rPr>
                <w:rFonts w:cs="Arial"/>
                <w:b/>
                <w:bCs/>
                <w:spacing w:val="-2"/>
                <w:lang w:val="en-GB"/>
              </w:rPr>
              <w:t xml:space="preserve">and economically inactive wanting to work </w:t>
            </w:r>
            <w:r w:rsidRPr="009C0696">
              <w:rPr>
                <w:rFonts w:cs="Arial"/>
                <w:bCs/>
                <w:spacing w:val="-2"/>
                <w:lang w:val="en-GB"/>
              </w:rPr>
              <w:t>(in thousand) *</w:t>
            </w:r>
          </w:p>
        </w:tc>
      </w:tr>
      <w:tr w:rsidR="00B9632F" w:rsidRPr="009C0696" w:rsidTr="00A91AF6">
        <w:tblPrEx>
          <w:tblCellMar>
            <w:left w:w="70" w:type="dxa"/>
            <w:right w:w="70" w:type="dxa"/>
          </w:tblCellMar>
        </w:tblPrEx>
        <w:trPr>
          <w:trHeight w:val="96"/>
        </w:trPr>
        <w:tc>
          <w:tcPr>
            <w:tcW w:w="1807" w:type="dxa"/>
            <w:vMerge/>
            <w:shd w:val="clear" w:color="auto" w:fill="auto"/>
          </w:tcPr>
          <w:p w:rsidR="00B9632F" w:rsidRPr="009C0696" w:rsidRDefault="00B9632F" w:rsidP="00B9632F">
            <w:pPr>
              <w:pStyle w:val="Marginlie"/>
              <w:rPr>
                <w:lang w:val="en-GB"/>
              </w:rPr>
            </w:pPr>
          </w:p>
        </w:tc>
        <w:tc>
          <w:tcPr>
            <w:tcW w:w="227" w:type="dxa"/>
            <w:vMerge/>
            <w:shd w:val="clear" w:color="auto" w:fill="auto"/>
          </w:tcPr>
          <w:p w:rsidR="00B9632F" w:rsidRPr="009C0696" w:rsidRDefault="00B9632F" w:rsidP="00B9632F">
            <w:pPr>
              <w:pStyle w:val="Textpoznpodarou"/>
              <w:jc w:val="both"/>
              <w:rPr>
                <w:spacing w:val="-4"/>
                <w:lang w:val="en-GB"/>
              </w:rPr>
            </w:pPr>
          </w:p>
        </w:tc>
        <w:tc>
          <w:tcPr>
            <w:tcW w:w="7610" w:type="dxa"/>
            <w:shd w:val="clear" w:color="auto" w:fill="auto"/>
          </w:tcPr>
          <w:p w:rsidR="00B9632F" w:rsidRPr="009C0696" w:rsidRDefault="00B9632F" w:rsidP="00B9632F">
            <w:pPr>
              <w:spacing w:after="40" w:line="240" w:lineRule="auto"/>
              <w:rPr>
                <w:spacing w:val="-2"/>
                <w:lang w:val="en-GB"/>
              </w:rPr>
            </w:pPr>
            <w:r>
              <w:rPr>
                <w:noProof/>
              </w:rPr>
              <w:drawing>
                <wp:inline distT="0" distB="0" distL="0" distR="0" wp14:anchorId="642351C9" wp14:editId="3A057213">
                  <wp:extent cx="4738005" cy="3498011"/>
                  <wp:effectExtent l="0" t="0" r="5715" b="762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9632F" w:rsidRPr="009C0696" w:rsidTr="00A91AF6">
        <w:trPr>
          <w:trHeight w:val="96"/>
        </w:trPr>
        <w:tc>
          <w:tcPr>
            <w:tcW w:w="1807" w:type="dxa"/>
            <w:vMerge/>
            <w:shd w:val="clear" w:color="auto" w:fill="auto"/>
            <w:tcMar>
              <w:left w:w="0" w:type="dxa"/>
            </w:tcMar>
          </w:tcPr>
          <w:p w:rsidR="00B9632F" w:rsidRPr="009C0696" w:rsidRDefault="00B9632F" w:rsidP="00B9632F">
            <w:pPr>
              <w:pStyle w:val="Marginlie"/>
              <w:rPr>
                <w:lang w:val="en-GB"/>
              </w:rPr>
            </w:pPr>
          </w:p>
        </w:tc>
        <w:tc>
          <w:tcPr>
            <w:tcW w:w="227" w:type="dxa"/>
            <w:vMerge/>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0" w:line="240" w:lineRule="auto"/>
              <w:jc w:val="left"/>
              <w:rPr>
                <w:rFonts w:cs="Arial"/>
                <w:color w:val="0D0D0D" w:themeColor="text1" w:themeTint="F2"/>
                <w:sz w:val="14"/>
                <w:szCs w:val="14"/>
                <w:lang w:val="en-GB"/>
              </w:rPr>
            </w:pPr>
            <w:r w:rsidRPr="009C0696">
              <w:rPr>
                <w:rFonts w:cs="Arial"/>
                <w:color w:val="0D0D0D" w:themeColor="text1" w:themeTint="F2"/>
                <w:sz w:val="14"/>
                <w:szCs w:val="14"/>
                <w:lang w:val="en-GB"/>
              </w:rPr>
              <w:t xml:space="preserve">Note: all data related to unemployment are seasonally adjusted.                                                                                       * </w:t>
            </w:r>
            <w:r>
              <w:rPr>
                <w:rFonts w:cs="Arial"/>
                <w:color w:val="0D0D0D" w:themeColor="text1" w:themeTint="F2"/>
                <w:sz w:val="14"/>
                <w:szCs w:val="14"/>
                <w:lang w:val="en-GB"/>
              </w:rPr>
              <w:t>*</w:t>
            </w:r>
            <w:r w:rsidRPr="009C0696">
              <w:rPr>
                <w:rFonts w:cs="Arial"/>
                <w:color w:val="0D0D0D" w:themeColor="text1" w:themeTint="F2"/>
                <w:sz w:val="14"/>
                <w:szCs w:val="14"/>
                <w:lang w:val="en-GB"/>
              </w:rPr>
              <w:t xml:space="preserve">Persons who are not part of the labour force, are not actively seeking employment (and thus do not meet the conditions of ILO for unemployed), however state that they would like to work. </w:t>
            </w:r>
          </w:p>
          <w:p w:rsidR="00B9632F" w:rsidRPr="00A91AF6" w:rsidRDefault="00B9632F" w:rsidP="00B9632F">
            <w:pPr>
              <w:spacing w:after="200" w:line="240" w:lineRule="auto"/>
              <w:jc w:val="left"/>
              <w:rPr>
                <w:rFonts w:cs="Arial"/>
                <w:color w:val="0D0D0D" w:themeColor="text1" w:themeTint="F2"/>
                <w:sz w:val="14"/>
                <w:szCs w:val="14"/>
                <w:lang w:val="en-GB"/>
              </w:rPr>
            </w:pPr>
            <w:r w:rsidRPr="009C0696">
              <w:rPr>
                <w:rFonts w:cs="Arial"/>
                <w:color w:val="0D0D0D" w:themeColor="text1" w:themeTint="F2"/>
                <w:sz w:val="14"/>
                <w:szCs w:val="14"/>
                <w:lang w:val="en-GB"/>
              </w:rPr>
              <w:t>Source: CZSO (LFSS – Labour Force Sample Survey)</w:t>
            </w:r>
          </w:p>
        </w:tc>
      </w:tr>
      <w:tr w:rsidR="00B9632F" w:rsidRPr="009C0696" w:rsidTr="00A91AF6">
        <w:trPr>
          <w:trHeight w:val="145"/>
        </w:trPr>
        <w:tc>
          <w:tcPr>
            <w:tcW w:w="1807" w:type="dxa"/>
            <w:shd w:val="clear" w:color="auto" w:fill="auto"/>
            <w:tcMar>
              <w:left w:w="0" w:type="dxa"/>
            </w:tcMar>
          </w:tcPr>
          <w:p w:rsidR="00B9632F" w:rsidRPr="009C0696" w:rsidRDefault="00B9632F" w:rsidP="00B9632F">
            <w:pPr>
              <w:pStyle w:val="Marginlie"/>
              <w:rPr>
                <w:lang w:val="en-GB"/>
              </w:rPr>
            </w:pPr>
            <w:r w:rsidRPr="009C0696">
              <w:rPr>
                <w:lang w:val="en-GB"/>
              </w:rPr>
              <w:t>Fall of the gener</w:t>
            </w:r>
            <w:r w:rsidR="00175388">
              <w:rPr>
                <w:lang w:val="en-GB"/>
              </w:rPr>
              <w:t>al unemployment rate almost</w:t>
            </w:r>
            <w:r w:rsidRPr="009C0696">
              <w:rPr>
                <w:lang w:val="en-GB"/>
              </w:rPr>
              <w:t xml:space="preserve"> halted during the year 2018.</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220"/>
              <w:rPr>
                <w:spacing w:val="-3"/>
                <w:lang w:val="en-GB"/>
              </w:rPr>
            </w:pPr>
            <w:r w:rsidRPr="009C0696">
              <w:rPr>
                <w:spacing w:val="-3"/>
                <w:lang w:val="en-GB"/>
              </w:rPr>
              <w:t xml:space="preserve">Seasonally adjusted general unemployment rate fell already only negligibly in year 2018. In December, only 1.9% of economically active males aged 15 to 64 years, resp. 2.7% females, year-on-year by 0.1, resp. 0.3 p.p. less, were without a job. Persons, who were without a job for more than one year, contributed from more than one half to the reduction </w:t>
            </w:r>
            <w:r w:rsidRPr="009C0696">
              <w:rPr>
                <w:spacing w:val="-3"/>
                <w:lang w:val="en-GB"/>
              </w:rPr>
              <w:lastRenderedPageBreak/>
              <w:t>of the total unemployment in the last three years. However, their contribution notably shrank in Q4 2018 only and the proportion of long-term unemployed in total unemployment even mildly increased quarter-on-quarter (to 31.4%). Still it does not alter the fact, that the total unemployment consists predominantly of the natural frictional component already several quarters a</w:t>
            </w:r>
            <w:r w:rsidR="00175388">
              <w:rPr>
                <w:spacing w:val="-3"/>
                <w:lang w:val="en-GB"/>
              </w:rPr>
              <w:t>nd possibilities for its further reduction were</w:t>
            </w:r>
            <w:r w:rsidRPr="009C0696">
              <w:rPr>
                <w:spacing w:val="-3"/>
                <w:lang w:val="en-GB"/>
              </w:rPr>
              <w:t xml:space="preserve"> thus already exhausted for the most part. </w:t>
            </w:r>
          </w:p>
        </w:tc>
      </w:tr>
      <w:tr w:rsidR="00B9632F" w:rsidRPr="009C0696" w:rsidTr="00A91AF6">
        <w:trPr>
          <w:trHeight w:val="145"/>
        </w:trPr>
        <w:tc>
          <w:tcPr>
            <w:tcW w:w="1807" w:type="dxa"/>
            <w:shd w:val="clear" w:color="auto" w:fill="auto"/>
            <w:tcMar>
              <w:left w:w="0" w:type="dxa"/>
            </w:tcMar>
          </w:tcPr>
          <w:p w:rsidR="00B9632F" w:rsidRPr="009C0696" w:rsidRDefault="00B9632F" w:rsidP="00B9632F">
            <w:pPr>
              <w:pStyle w:val="Marginlie"/>
              <w:rPr>
                <w:lang w:val="en-GB"/>
              </w:rPr>
            </w:pPr>
            <w:r w:rsidRPr="009C0696">
              <w:rPr>
                <w:lang w:val="en-GB"/>
              </w:rPr>
              <w:lastRenderedPageBreak/>
              <w:t>The unemploymen</w:t>
            </w:r>
            <w:r w:rsidR="00DD7150">
              <w:rPr>
                <w:lang w:val="en-GB"/>
              </w:rPr>
              <w:t>t rate fell to historical minimum</w:t>
            </w:r>
            <w:r w:rsidRPr="009C0696">
              <w:rPr>
                <w:lang w:val="en-GB"/>
              </w:rPr>
              <w:t xml:space="preserve"> in most of the newer member EU states. </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220"/>
              <w:rPr>
                <w:spacing w:val="-3"/>
                <w:lang w:val="en-GB"/>
              </w:rPr>
            </w:pPr>
            <w:r w:rsidRPr="009C0696">
              <w:rPr>
                <w:spacing w:val="-3"/>
                <w:lang w:val="en-GB"/>
              </w:rPr>
              <w:t xml:space="preserve">The CR further kept the position of a country with the lowest unemployment rate among the EU states – it was valid six quarters in a row for the employment of females and even nineteen for males. Also the proportion of the long-term component on the total unemployment was by more than 10 p.p. lower compared to the average in the Union in the CR at the end of the last year. Total unemployment rate fell to historical minima in majority of newer member countries (except for Slovenia, Cyprus and the Baltic states), but also for instance in Germany or Great Britain (in comparable time series since the beginning of 90s). On the contrary, it stayed without notable fluctuations near the 10% boundary (it decreased only within the range of 1 to 2 p.p. in the last five years) in some of the significant states of the euro area (France or Italy). Also for this reason the unemployment rate in the euro area lingered nearly 1 p.p. above the level of the local minimum from the business cycle peak of the last decade, </w:t>
            </w:r>
            <w:r w:rsidRPr="009C0696">
              <w:rPr>
                <w:rFonts w:cs="Arial"/>
                <w:color w:val="0D0D0D" w:themeColor="text1" w:themeTint="F2"/>
                <w:spacing w:val="-4"/>
                <w:lang w:val="en-GB"/>
              </w:rPr>
              <w:t xml:space="preserve">while it exceeded this own level in the whole EU already in Q2 of the last year. </w:t>
            </w:r>
          </w:p>
        </w:tc>
      </w:tr>
      <w:tr w:rsidR="00B9632F" w:rsidRPr="009C0696" w:rsidTr="00A91AF6">
        <w:trPr>
          <w:trHeight w:val="145"/>
        </w:trPr>
        <w:tc>
          <w:tcPr>
            <w:tcW w:w="1807" w:type="dxa"/>
            <w:shd w:val="clear" w:color="auto" w:fill="auto"/>
            <w:tcMar>
              <w:left w:w="0" w:type="dxa"/>
            </w:tcMar>
          </w:tcPr>
          <w:p w:rsidR="00B9632F" w:rsidRPr="009C0696" w:rsidRDefault="00B9632F" w:rsidP="00B9632F">
            <w:pPr>
              <w:pStyle w:val="Marginlie"/>
              <w:rPr>
                <w:lang w:val="en-GB"/>
              </w:rPr>
            </w:pPr>
            <w:r w:rsidRPr="009C0696">
              <w:rPr>
                <w:lang w:val="en-GB"/>
              </w:rPr>
              <w:t xml:space="preserve">Month-on-month growth of the number of job vacancies prevailed already </w:t>
            </w:r>
            <w:r>
              <w:rPr>
                <w:lang w:val="en-GB"/>
              </w:rPr>
              <w:t xml:space="preserve">for </w:t>
            </w:r>
            <w:r w:rsidRPr="009C0696">
              <w:rPr>
                <w:lang w:val="en-GB"/>
              </w:rPr>
              <w:t>full two years. There were record 324 thousand vacancies in the supply of LO at the end of the year.</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220"/>
              <w:rPr>
                <w:spacing w:val="-3"/>
                <w:lang w:val="en-GB"/>
              </w:rPr>
            </w:pPr>
            <w:r w:rsidRPr="009C0696">
              <w:rPr>
                <w:rFonts w:cs="Arial"/>
                <w:color w:val="0D0D0D" w:themeColor="text1" w:themeTint="F2"/>
                <w:spacing w:val="-4"/>
                <w:lang w:val="en-GB"/>
              </w:rPr>
              <w:t>Demand for employees still stays strong in the domestic economy. Number of job vacancies in the supply of the labour offices (LO) grew month-on-month continuously (despite seasonal effects) since the end of year 2016</w:t>
            </w:r>
            <w:r w:rsidRPr="009C0696">
              <w:rPr>
                <w:rStyle w:val="Znakapoznpodarou"/>
                <w:color w:val="0D0D0D" w:themeColor="text1" w:themeTint="F2"/>
                <w:spacing w:val="-4"/>
                <w:lang w:val="en-GB"/>
              </w:rPr>
              <w:footnoteReference w:id="7"/>
            </w:r>
            <w:r w:rsidRPr="009C0696">
              <w:rPr>
                <w:rFonts w:cs="Arial"/>
                <w:color w:val="0D0D0D" w:themeColor="text1" w:themeTint="F2"/>
                <w:spacing w:val="-4"/>
                <w:lang w:val="en-GB"/>
              </w:rPr>
              <w:t>. It contained record 324 thousand vacancies at the end of December 2018, it presented more than double of the number during the business cycle peak of the last decade. Year-on-year addition of vacancies (+107.8 thousand) was nevertheless from the view of the demand for qualifications as well as regions</w:t>
            </w:r>
            <w:r w:rsidRPr="009C0696">
              <w:rPr>
                <w:rStyle w:val="Znakapoznpodarou"/>
                <w:color w:val="0D0D0D" w:themeColor="text1" w:themeTint="F2"/>
                <w:spacing w:val="-4"/>
                <w:lang w:val="en-GB"/>
              </w:rPr>
              <w:footnoteReference w:id="8"/>
            </w:r>
            <w:r w:rsidRPr="009C0696">
              <w:rPr>
                <w:rFonts w:cs="Arial"/>
                <w:color w:val="0D0D0D" w:themeColor="text1" w:themeTint="F2"/>
                <w:spacing w:val="-4"/>
                <w:lang w:val="en-GB"/>
              </w:rPr>
              <w:t xml:space="preserve"> substantially imbalanced. Positions with very low declared demands for qualifications (primary education at most) shared already in 87% of this number. Based on the more detailed data of the LFSS from the previous years it can be assumed, that it concerned for the most part relatively unattractive positions primarily aimed at foreign workers</w:t>
            </w:r>
            <w:r w:rsidRPr="009C0696">
              <w:rPr>
                <w:rStyle w:val="Znakapoznpodarou"/>
                <w:color w:val="0D0D0D" w:themeColor="text1" w:themeTint="F2"/>
                <w:spacing w:val="-4"/>
                <w:lang w:val="en-GB"/>
              </w:rPr>
              <w:footnoteReference w:id="9"/>
            </w:r>
            <w:r w:rsidRPr="009C0696">
              <w:rPr>
                <w:rFonts w:cs="Arial"/>
                <w:color w:val="0D0D0D" w:themeColor="text1" w:themeTint="F2"/>
                <w:spacing w:val="-4"/>
                <w:lang w:val="en-GB"/>
              </w:rPr>
              <w:t xml:space="preserve">. In contrast the supply for persons with secondary education with the school leaving certificate or higher education (which prevail on the domestic labour market) increased only by 4.8 thousand (to 36.6 thousand) in the CR last year and it even moderately decreased in six regions.  </w:t>
            </w:r>
          </w:p>
        </w:tc>
      </w:tr>
      <w:tr w:rsidR="00B9632F" w:rsidRPr="009C0696" w:rsidTr="00A91AF6">
        <w:trPr>
          <w:trHeight w:val="145"/>
        </w:trPr>
        <w:tc>
          <w:tcPr>
            <w:tcW w:w="1807" w:type="dxa"/>
            <w:shd w:val="clear" w:color="auto" w:fill="auto"/>
            <w:tcMar>
              <w:left w:w="0" w:type="dxa"/>
            </w:tcMar>
          </w:tcPr>
          <w:p w:rsidR="00B9632F" w:rsidRPr="009C0696" w:rsidRDefault="00B9632F" w:rsidP="00B9632F">
            <w:pPr>
              <w:pStyle w:val="Marginlie"/>
              <w:rPr>
                <w:lang w:val="en-GB"/>
              </w:rPr>
            </w:pPr>
            <w:r w:rsidRPr="009C0696">
              <w:rPr>
                <w:lang w:val="en-GB"/>
              </w:rPr>
              <w:t xml:space="preserve">Excess of job vacancies over job applicants lasts since spring 2018. This ratio remained already stable in the second half of the year.  </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220"/>
              <w:rPr>
                <w:spacing w:val="-3"/>
                <w:lang w:val="en-GB"/>
              </w:rPr>
            </w:pPr>
            <w:r w:rsidRPr="009C0696">
              <w:rPr>
                <w:spacing w:val="-3"/>
                <w:lang w:val="en-GB"/>
              </w:rPr>
              <w:t>Beginning April 2018, the number of job applicants registered with the LO started to lag behind the number of job vacancies. This ratio was 0.7 at the end of December and it was not falling much anymore in the second half of the last year (due to the slowdown of the rate of growth of new vacancies as well as the seasonal increase of job applicants at the end of the year). Two thirds of regions and more than half of municipalities in the CR</w:t>
            </w:r>
            <w:r w:rsidRPr="009C0696">
              <w:rPr>
                <w:rStyle w:val="Znakapoznpodarou"/>
                <w:spacing w:val="-3"/>
                <w:lang w:val="en-GB"/>
              </w:rPr>
              <w:footnoteReference w:id="10"/>
            </w:r>
            <w:r w:rsidRPr="009C0696">
              <w:rPr>
                <w:spacing w:val="-3"/>
                <w:lang w:val="en-GB"/>
              </w:rPr>
              <w:t xml:space="preserve"> signalled excess demand over supply of labour force at the end of the year. From the view of the qualification classes the same was also valid for specialists (0.7), craftsmen and repairmen (0.4), machine operators </w:t>
            </w:r>
            <w:r w:rsidRPr="009C0696">
              <w:rPr>
                <w:rFonts w:cs="Arial"/>
                <w:color w:val="0D0D0D" w:themeColor="text1" w:themeTint="F2"/>
                <w:spacing w:val="-4"/>
                <w:lang w:val="en-GB"/>
              </w:rPr>
              <w:t>(0.2) and supporting and non-qualified staff (0.9).</w:t>
            </w:r>
          </w:p>
        </w:tc>
      </w:tr>
      <w:tr w:rsidR="00B9632F" w:rsidRPr="009C0696" w:rsidTr="00A91AF6">
        <w:trPr>
          <w:trHeight w:val="145"/>
        </w:trPr>
        <w:tc>
          <w:tcPr>
            <w:tcW w:w="1807" w:type="dxa"/>
            <w:shd w:val="clear" w:color="auto" w:fill="auto"/>
            <w:tcMar>
              <w:left w:w="0" w:type="dxa"/>
            </w:tcMar>
          </w:tcPr>
          <w:p w:rsidR="00B9632F" w:rsidRPr="009C0696" w:rsidRDefault="00B9632F" w:rsidP="00B9632F">
            <w:pPr>
              <w:pStyle w:val="Marginlie"/>
              <w:rPr>
                <w:lang w:val="en-GB"/>
              </w:rPr>
            </w:pPr>
            <w:r w:rsidRPr="009C0696">
              <w:rPr>
                <w:lang w:val="en-GB"/>
              </w:rPr>
              <w:t xml:space="preserve">Rate of growth of average wages slightly weakened in Q4. It was connected </w:t>
            </w:r>
            <w:r w:rsidRPr="009C0696">
              <w:rPr>
                <w:lang w:val="en-GB"/>
              </w:rPr>
              <w:lastRenderedPageBreak/>
              <w:t xml:space="preserve">mostly to the development in the branches with the predominant public sector, business sphere however also experienced a </w:t>
            </w:r>
            <w:r w:rsidR="00F55B87">
              <w:rPr>
                <w:lang w:val="en-GB"/>
              </w:rPr>
              <w:t xml:space="preserve">mild </w:t>
            </w:r>
            <w:r w:rsidRPr="009C0696">
              <w:rPr>
                <w:lang w:val="en-GB"/>
              </w:rPr>
              <w:t xml:space="preserve">slowdown. </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0"/>
              <w:rPr>
                <w:rFonts w:cs="Arial"/>
                <w:color w:val="0D0D0D" w:themeColor="text1" w:themeTint="F2"/>
                <w:spacing w:val="-4"/>
                <w:lang w:val="en-GB"/>
              </w:rPr>
            </w:pPr>
            <w:r w:rsidRPr="009C0696">
              <w:rPr>
                <w:spacing w:val="-3"/>
                <w:lang w:val="en-GB"/>
              </w:rPr>
              <w:t xml:space="preserve">The gross average nominal wage of employee grew (according to the business statistics) by 8.1% in the economy in 2018. Annual rate of growth grew already fifth year in a row </w:t>
            </w:r>
            <w:r w:rsidRPr="009C0696">
              <w:rPr>
                <w:spacing w:val="-3"/>
                <w:lang w:val="en-GB"/>
              </w:rPr>
              <w:lastRenderedPageBreak/>
              <w:t xml:space="preserve">and slightly exceeded the growth from the last decade´s business cycle peak. </w:t>
            </w:r>
            <w:r w:rsidRPr="009C0696">
              <w:rPr>
                <w:rFonts w:cs="Arial"/>
                <w:color w:val="0D0D0D" w:themeColor="text1" w:themeTint="F2"/>
                <w:spacing w:val="-4"/>
                <w:lang w:val="en-GB"/>
              </w:rPr>
              <w:t xml:space="preserve"> Q4 </w:t>
            </w:r>
            <w:r w:rsidR="00F55B87">
              <w:rPr>
                <w:rFonts w:cs="Arial"/>
                <w:color w:val="0D0D0D" w:themeColor="text1" w:themeTint="F2"/>
                <w:spacing w:val="-4"/>
                <w:lang w:val="en-GB"/>
              </w:rPr>
              <w:t xml:space="preserve">2018 </w:t>
            </w:r>
            <w:r w:rsidRPr="009C0696">
              <w:rPr>
                <w:rFonts w:cs="Arial"/>
                <w:color w:val="0D0D0D" w:themeColor="text1" w:themeTint="F2"/>
                <w:spacing w:val="-4"/>
                <w:lang w:val="en-GB"/>
              </w:rPr>
              <w:t>saw a slowdown to 6.9% (quarter-on-quarter pace also lowered to 1.5%, in the preceding part of the year it attained 2.0 to 2.2%). Mainly the education and also public administration (incl. defence and compulsory social security)</w:t>
            </w:r>
            <w:r w:rsidRPr="009C0696">
              <w:rPr>
                <w:rStyle w:val="Znakapoznpodarou"/>
                <w:color w:val="0D0D0D" w:themeColor="text1" w:themeTint="F2"/>
                <w:spacing w:val="-4"/>
                <w:lang w:val="en-GB"/>
              </w:rPr>
              <w:footnoteReference w:id="11"/>
            </w:r>
            <w:r w:rsidRPr="009C0696">
              <w:rPr>
                <w:rFonts w:cs="Arial"/>
                <w:color w:val="0D0D0D" w:themeColor="text1" w:themeTint="F2"/>
                <w:spacing w:val="-4"/>
                <w:lang w:val="en-GB"/>
              </w:rPr>
              <w:t xml:space="preserve"> stood behind this contraction. It was however also apparent in the lesser extent in the majority of branches with the dominance of non-financial businesses</w:t>
            </w:r>
            <w:r w:rsidRPr="009C0696">
              <w:rPr>
                <w:rStyle w:val="Znakapoznpodarou"/>
                <w:color w:val="0D0D0D" w:themeColor="text1" w:themeTint="F2"/>
                <w:spacing w:val="-4"/>
                <w:lang w:val="en-GB"/>
              </w:rPr>
              <w:footnoteReference w:id="12"/>
            </w:r>
            <w:r w:rsidRPr="009C0696">
              <w:rPr>
                <w:rFonts w:cs="Arial"/>
                <w:color w:val="0D0D0D" w:themeColor="text1" w:themeTint="F2"/>
                <w:spacing w:val="-4"/>
                <w:lang w:val="en-GB"/>
              </w:rPr>
              <w:t>. It could have been related to the more prudent outlook (especially of export oriented) businesses into year 2019, drop of their profitability rate as well as the widening scissors between the dynamics of wage costs and the labour productivity (which was happening in the last three years). On the other hand, the still strong demand for employees, which could not have been adequately satiated</w:t>
            </w:r>
            <w:r w:rsidRPr="009C0696">
              <w:rPr>
                <w:rStyle w:val="Znakapoznpodarou"/>
                <w:color w:val="0D0D0D" w:themeColor="text1" w:themeTint="F2"/>
                <w:spacing w:val="-4"/>
                <w:lang w:val="en-GB"/>
              </w:rPr>
              <w:footnoteReference w:id="13"/>
            </w:r>
            <w:r w:rsidRPr="009C0696">
              <w:rPr>
                <w:rFonts w:cs="Arial"/>
                <w:color w:val="0D0D0D" w:themeColor="text1" w:themeTint="F2"/>
                <w:spacing w:val="-4"/>
                <w:lang w:val="en-GB"/>
              </w:rPr>
              <w:t xml:space="preserve"> given the factual exhaustion of domestic job vacancies, prevented larger slowdown of the wage growth in the business sphere.  </w:t>
            </w:r>
          </w:p>
          <w:p w:rsidR="00B9632F" w:rsidRPr="009C0696" w:rsidRDefault="00B9632F" w:rsidP="00B9632F">
            <w:pPr>
              <w:spacing w:after="0"/>
              <w:rPr>
                <w:spacing w:val="-3"/>
                <w:lang w:val="en-GB"/>
              </w:rPr>
            </w:pPr>
          </w:p>
        </w:tc>
      </w:tr>
      <w:tr w:rsidR="00B9632F" w:rsidRPr="009C0696" w:rsidTr="00A91AF6">
        <w:trPr>
          <w:trHeight w:val="98"/>
        </w:trPr>
        <w:tc>
          <w:tcPr>
            <w:tcW w:w="1807" w:type="dxa"/>
            <w:vMerge w:val="restart"/>
            <w:shd w:val="clear" w:color="auto" w:fill="auto"/>
            <w:tcMar>
              <w:left w:w="0" w:type="dxa"/>
            </w:tcMar>
          </w:tcPr>
          <w:p w:rsidR="00B9632F" w:rsidRPr="009C0696" w:rsidRDefault="00B9632F" w:rsidP="00B9632F">
            <w:pPr>
              <w:pStyle w:val="Marginlie"/>
              <w:rPr>
                <w:lang w:val="en-GB"/>
              </w:rPr>
            </w:pPr>
          </w:p>
        </w:tc>
        <w:tc>
          <w:tcPr>
            <w:tcW w:w="227" w:type="dxa"/>
            <w:vMerge w:val="restart"/>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40" w:line="240" w:lineRule="auto"/>
              <w:rPr>
                <w:spacing w:val="-2"/>
                <w:lang w:val="en-GB"/>
              </w:rPr>
            </w:pPr>
            <w:r w:rsidRPr="009C0696">
              <w:rPr>
                <w:b/>
                <w:spacing w:val="-3"/>
                <w:lang w:val="en-GB"/>
              </w:rPr>
              <w:t xml:space="preserve">Chart 16  </w:t>
            </w:r>
            <w:r w:rsidRPr="009C0696">
              <w:rPr>
                <w:b/>
                <w:lang w:val="en-GB"/>
              </w:rPr>
              <w:t>Average gross monthly wage</w:t>
            </w:r>
            <w:r w:rsidRPr="009C0696">
              <w:rPr>
                <w:rFonts w:cs="Arial"/>
                <w:b/>
                <w:bCs/>
                <w:spacing w:val="-2"/>
                <w:lang w:val="en-GB"/>
              </w:rPr>
              <w:t xml:space="preserve">, wage median and labour productivity* </w:t>
            </w:r>
            <w:r w:rsidRPr="009C0696">
              <w:rPr>
                <w:spacing w:val="-3"/>
                <w:lang w:val="en-GB"/>
              </w:rPr>
              <w:t>(year-on-year, in %)</w:t>
            </w:r>
          </w:p>
        </w:tc>
      </w:tr>
      <w:tr w:rsidR="00B9632F" w:rsidRPr="009C0696" w:rsidTr="00A91AF6">
        <w:trPr>
          <w:trHeight w:val="96"/>
        </w:trPr>
        <w:tc>
          <w:tcPr>
            <w:tcW w:w="1807" w:type="dxa"/>
            <w:vMerge/>
            <w:shd w:val="clear" w:color="auto" w:fill="auto"/>
            <w:tcMar>
              <w:left w:w="0" w:type="dxa"/>
            </w:tcMar>
          </w:tcPr>
          <w:p w:rsidR="00B9632F" w:rsidRPr="009C0696" w:rsidRDefault="00B9632F" w:rsidP="00B9632F">
            <w:pPr>
              <w:pStyle w:val="Marginlie"/>
              <w:rPr>
                <w:lang w:val="en-GB"/>
              </w:rPr>
            </w:pPr>
          </w:p>
        </w:tc>
        <w:tc>
          <w:tcPr>
            <w:tcW w:w="227" w:type="dxa"/>
            <w:vMerge/>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40" w:line="240" w:lineRule="auto"/>
              <w:rPr>
                <w:spacing w:val="-2"/>
                <w:lang w:val="en-GB"/>
              </w:rPr>
            </w:pPr>
            <w:r>
              <w:rPr>
                <w:noProof/>
              </w:rPr>
              <w:drawing>
                <wp:inline distT="0" distB="0" distL="0" distR="0" wp14:anchorId="7DF60583" wp14:editId="623E5EC9">
                  <wp:extent cx="4729541" cy="35280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9632F" w:rsidRPr="009C0696" w:rsidTr="00A91AF6">
        <w:tblPrEx>
          <w:tblCellMar>
            <w:left w:w="70" w:type="dxa"/>
            <w:right w:w="70" w:type="dxa"/>
          </w:tblCellMar>
        </w:tblPrEx>
        <w:trPr>
          <w:trHeight w:val="96"/>
        </w:trPr>
        <w:tc>
          <w:tcPr>
            <w:tcW w:w="1807" w:type="dxa"/>
            <w:vMerge/>
            <w:shd w:val="clear" w:color="auto" w:fill="auto"/>
          </w:tcPr>
          <w:p w:rsidR="00B9632F" w:rsidRPr="009C0696" w:rsidRDefault="00B9632F" w:rsidP="00B9632F">
            <w:pPr>
              <w:pStyle w:val="Marginlie"/>
              <w:rPr>
                <w:lang w:val="en-GB"/>
              </w:rPr>
            </w:pPr>
          </w:p>
        </w:tc>
        <w:tc>
          <w:tcPr>
            <w:tcW w:w="227" w:type="dxa"/>
            <w:vMerge/>
            <w:shd w:val="clear" w:color="auto" w:fill="auto"/>
          </w:tcPr>
          <w:p w:rsidR="00B9632F" w:rsidRPr="009C0696" w:rsidRDefault="00B9632F" w:rsidP="00B9632F">
            <w:pPr>
              <w:pStyle w:val="Textpoznpodarou"/>
              <w:jc w:val="both"/>
              <w:rPr>
                <w:spacing w:val="-4"/>
                <w:lang w:val="en-GB"/>
              </w:rPr>
            </w:pPr>
          </w:p>
        </w:tc>
        <w:tc>
          <w:tcPr>
            <w:tcW w:w="7610" w:type="dxa"/>
            <w:shd w:val="clear" w:color="auto" w:fill="auto"/>
          </w:tcPr>
          <w:p w:rsidR="00B9632F" w:rsidRPr="00A91AF6" w:rsidRDefault="00B9632F" w:rsidP="00B9632F">
            <w:pPr>
              <w:spacing w:after="200"/>
              <w:jc w:val="left"/>
              <w:rPr>
                <w:rFonts w:cs="Arial"/>
                <w:sz w:val="14"/>
                <w:szCs w:val="14"/>
                <w:lang w:val="en-GB"/>
              </w:rPr>
            </w:pPr>
            <w:r w:rsidRPr="009C0696">
              <w:rPr>
                <w:spacing w:val="-3"/>
                <w:sz w:val="16"/>
                <w:szCs w:val="16"/>
                <w:lang w:val="en-GB"/>
              </w:rPr>
              <w:t>*</w:t>
            </w:r>
            <w:r w:rsidRPr="009C0696">
              <w:rPr>
                <w:spacing w:val="-3"/>
                <w:sz w:val="14"/>
                <w:szCs w:val="14"/>
                <w:lang w:val="en-GB"/>
              </w:rPr>
              <w:t>*</w:t>
            </w:r>
            <w:r w:rsidRPr="009C0696">
              <w:rPr>
                <w:rFonts w:cs="Arial"/>
                <w:sz w:val="14"/>
                <w:szCs w:val="14"/>
                <w:lang w:val="en-GB"/>
              </w:rPr>
              <w:t xml:space="preserve">Share of seasonally non-adjusted GDP and employment (in the national accounts conception)                                                          </w:t>
            </w:r>
            <w:r w:rsidRPr="009C0696">
              <w:rPr>
                <w:spacing w:val="-3"/>
                <w:sz w:val="14"/>
                <w:szCs w:val="14"/>
                <w:lang w:val="en-GB"/>
              </w:rPr>
              <w:t>Source:</w:t>
            </w:r>
            <w:r w:rsidRPr="009C0696">
              <w:rPr>
                <w:rFonts w:cs="Arial"/>
                <w:sz w:val="14"/>
                <w:szCs w:val="14"/>
                <w:lang w:val="en-GB"/>
              </w:rPr>
              <w:t xml:space="preserve"> CZSO (national accounts)</w:t>
            </w:r>
            <w:r>
              <w:rPr>
                <w:noProof/>
              </w:rPr>
              <w:t xml:space="preserve"> </w:t>
            </w:r>
          </w:p>
        </w:tc>
      </w:tr>
      <w:tr w:rsidR="00B9632F" w:rsidRPr="009C0696" w:rsidTr="00DC002D">
        <w:trPr>
          <w:trHeight w:val="145"/>
        </w:trPr>
        <w:tc>
          <w:tcPr>
            <w:tcW w:w="1807" w:type="dxa"/>
            <w:shd w:val="clear" w:color="auto" w:fill="auto"/>
            <w:tcMar>
              <w:left w:w="0" w:type="dxa"/>
            </w:tcMar>
          </w:tcPr>
          <w:p w:rsidR="00B9632F" w:rsidRPr="009C0696" w:rsidRDefault="00B9632F" w:rsidP="00B9632F">
            <w:pPr>
              <w:pStyle w:val="Marginlie"/>
              <w:rPr>
                <w:lang w:val="en-GB"/>
              </w:rPr>
            </w:pPr>
            <w:r w:rsidRPr="009C0696">
              <w:rPr>
                <w:lang w:val="en-GB"/>
              </w:rPr>
              <w:t xml:space="preserve">Average earnings grew the fastest in education, it was the opposite in financial and insurance activities. </w:t>
            </w:r>
          </w:p>
          <w:p w:rsidR="00B9632F" w:rsidRPr="009C0696" w:rsidRDefault="00B9632F" w:rsidP="00B9632F">
            <w:pPr>
              <w:pStyle w:val="Marginlie"/>
              <w:rPr>
                <w:lang w:val="en-GB"/>
              </w:rPr>
            </w:pPr>
          </w:p>
          <w:p w:rsidR="00B9632F" w:rsidRPr="009C0696" w:rsidRDefault="00B9632F" w:rsidP="00B9632F">
            <w:pPr>
              <w:pStyle w:val="Marginlie"/>
              <w:rPr>
                <w:lang w:val="en-GB"/>
              </w:rPr>
            </w:pPr>
          </w:p>
          <w:p w:rsidR="00B9632F" w:rsidRPr="009C0696" w:rsidRDefault="00B9632F" w:rsidP="00B9632F">
            <w:pPr>
              <w:pStyle w:val="Marginlie"/>
              <w:rPr>
                <w:lang w:val="en-GB"/>
              </w:rPr>
            </w:pPr>
          </w:p>
          <w:p w:rsidR="00B9632F" w:rsidRPr="009C0696" w:rsidRDefault="00B9632F" w:rsidP="00B9632F">
            <w:pPr>
              <w:pStyle w:val="Marginlie"/>
              <w:rPr>
                <w:lang w:val="en-GB"/>
              </w:rPr>
            </w:pPr>
            <w:r w:rsidRPr="009C0696">
              <w:rPr>
                <w:rFonts w:cs="Arial"/>
                <w:color w:val="0D0D0D" w:themeColor="text1" w:themeTint="F2"/>
                <w:spacing w:val="-4"/>
                <w:lang w:val="en-GB"/>
              </w:rPr>
              <w:lastRenderedPageBreak/>
              <w:t xml:space="preserve">Volume of paid out wages in manufacturing slightly lagged behind the pace in the whole economy. </w:t>
            </w:r>
          </w:p>
          <w:p w:rsidR="00B9632F" w:rsidRPr="009C0696" w:rsidRDefault="00B9632F" w:rsidP="00B9632F">
            <w:pPr>
              <w:pStyle w:val="Marginlie"/>
              <w:rPr>
                <w:lang w:val="en-GB"/>
              </w:rPr>
            </w:pPr>
            <w:r w:rsidRPr="009C0696">
              <w:rPr>
                <w:lang w:val="en-GB"/>
              </w:rPr>
              <w:t xml:space="preserve"> </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9C0696" w:rsidRDefault="00B9632F" w:rsidP="00B9632F">
            <w:pPr>
              <w:spacing w:after="200"/>
              <w:rPr>
                <w:rFonts w:cs="Arial"/>
                <w:color w:val="0D0D0D" w:themeColor="text1" w:themeTint="F2"/>
                <w:spacing w:val="-4"/>
                <w:lang w:val="en-GB"/>
              </w:rPr>
            </w:pPr>
            <w:r w:rsidRPr="009C0696">
              <w:rPr>
                <w:spacing w:val="-2"/>
                <w:lang w:val="en-GB"/>
              </w:rPr>
              <w:t xml:space="preserve">While the year-on-year growth of wages did not differ much between the main economic branches in Q4 2018 (it moved between 5 and 8%, only the peripheral by weight mining and quarrying recorded weaker 3.7%), the development in branches varied more in the yearly perspective. Gross earnings rose the most in education last year (10.7%), however their average monthly size </w:t>
            </w:r>
            <w:r w:rsidRPr="009C0696">
              <w:rPr>
                <w:rFonts w:cs="Arial"/>
                <w:color w:val="0D0D0D" w:themeColor="text1" w:themeTint="F2"/>
                <w:spacing w:val="-4"/>
                <w:lang w:val="en-GB"/>
              </w:rPr>
              <w:t xml:space="preserve">(31.4 CZK thousand) still mildly lagged behind the level in the national economy. Employees in further branches with the dominance of public sector also </w:t>
            </w:r>
            <w:r w:rsidRPr="009C0696">
              <w:rPr>
                <w:rFonts w:cs="Arial"/>
                <w:color w:val="0D0D0D" w:themeColor="text1" w:themeTint="F2"/>
                <w:spacing w:val="-4"/>
                <w:lang w:val="en-GB"/>
              </w:rPr>
              <w:lastRenderedPageBreak/>
              <w:t xml:space="preserve">gained by a slightly weaker rate of growth. Among other branches, real estate activities, where the growth of average earrings (8.2%) was also accompanied by rising employment, thrived the most and volume of paid out wages thus grew the most in the whole economy (together with energy industry and education activities). Earnings increased by 7.4% in manufacturing and the volume of paid out wages lagged behind the rate of growth in the whole economy here for the first time in the last seven years. Earnings were still stimulated by the increase of the legal minimum wage in accommodation, food service activities and restaurants. Rate of growth of wages (7.6%) here still for the first time after three years lagged behind the development in the whole economy and their absolute size (18.7 CZK thousand) reached only one third of the level of information and communication branch. Financial and insurance activities ascribed the weakest growth among branches last year (5.2%), average earnings grew here by a lower rate of growth compared to the whole economy already fourth year in a row. From the view of the regions, the wage rates of growth did not differ much last year – it was the highest in the Central Bohemia region, Kralovehradecky region and Olomouc region (+8.8%), the lowest in Prague (7.2%). Below average wage growth given the simultaneous above average growth of the number of employees prevails in the capital city already since the end of the last recession.   </w:t>
            </w:r>
          </w:p>
        </w:tc>
      </w:tr>
      <w:tr w:rsidR="00B9632F" w:rsidRPr="009C0696" w:rsidTr="00DC002D">
        <w:trPr>
          <w:trHeight w:val="145"/>
        </w:trPr>
        <w:tc>
          <w:tcPr>
            <w:tcW w:w="1807" w:type="dxa"/>
            <w:shd w:val="clear" w:color="auto" w:fill="auto"/>
            <w:tcMar>
              <w:left w:w="0" w:type="dxa"/>
            </w:tcMar>
          </w:tcPr>
          <w:p w:rsidR="00B9632F" w:rsidRPr="009C0696" w:rsidRDefault="00B9632F" w:rsidP="00B9632F">
            <w:pPr>
              <w:pStyle w:val="Marginlie"/>
              <w:rPr>
                <w:lang w:val="en-GB"/>
              </w:rPr>
            </w:pPr>
            <w:r w:rsidRPr="009C0696">
              <w:rPr>
                <w:lang w:val="en-GB"/>
              </w:rPr>
              <w:lastRenderedPageBreak/>
              <w:t xml:space="preserve">Moderate decrease of the wage differentiation continued. Purchasing power of wages increased the most in the last sixteen years. </w:t>
            </w:r>
          </w:p>
        </w:tc>
        <w:tc>
          <w:tcPr>
            <w:tcW w:w="227" w:type="dxa"/>
            <w:shd w:val="clear" w:color="auto" w:fill="auto"/>
            <w:tcMar>
              <w:left w:w="0" w:type="dxa"/>
            </w:tcMar>
          </w:tcPr>
          <w:p w:rsidR="00B9632F" w:rsidRPr="009C0696" w:rsidRDefault="00B9632F" w:rsidP="00B9632F">
            <w:pPr>
              <w:pStyle w:val="Textpoznpodarou"/>
              <w:jc w:val="both"/>
              <w:rPr>
                <w:spacing w:val="-4"/>
                <w:lang w:val="en-GB"/>
              </w:rPr>
            </w:pPr>
          </w:p>
        </w:tc>
        <w:tc>
          <w:tcPr>
            <w:tcW w:w="7610" w:type="dxa"/>
            <w:shd w:val="clear" w:color="auto" w:fill="auto"/>
            <w:tcMar>
              <w:left w:w="0" w:type="dxa"/>
            </w:tcMar>
          </w:tcPr>
          <w:p w:rsidR="00B9632F" w:rsidRPr="00DC002D" w:rsidRDefault="00B9632F" w:rsidP="00B9632F">
            <w:pPr>
              <w:spacing w:after="0"/>
              <w:rPr>
                <w:color w:val="0D0D0D" w:themeColor="text1" w:themeTint="F2"/>
                <w:spacing w:val="-2"/>
                <w:lang w:val="en-GB"/>
              </w:rPr>
            </w:pPr>
            <w:r w:rsidRPr="009C0696">
              <w:rPr>
                <w:rFonts w:cs="Arial"/>
                <w:color w:val="0D0D0D" w:themeColor="text1" w:themeTint="F2"/>
                <w:spacing w:val="-4"/>
                <w:lang w:val="en-GB"/>
              </w:rPr>
              <w:t>Wage differentiation between both branches and region kept further shrinking slightly. Lead of the growth of the median wage ahead of the rate of growth of the average wage endures with slight fluctuations already three and a half years.</w:t>
            </w:r>
            <w:r w:rsidRPr="009C0696">
              <w:rPr>
                <w:color w:val="0D0D0D" w:themeColor="text1" w:themeTint="F2"/>
                <w:spacing w:val="-4"/>
                <w:lang w:val="en-GB"/>
              </w:rPr>
              <w:t xml:space="preserve"> It is connected both with the repeated shift of the size of the minimum wage (with the impact on the bands of the guaranteed wage) and the increase of salaries in the sphere regulated by state (especially education, culture or social services). The median wage of employee in the economy grew by 7.1% in Q4 2018, by 8.7% for the whole year. Strong growth of purchasing power of wages represented a positive trend.  It grew by 5.9% last year</w:t>
            </w:r>
            <w:r w:rsidRPr="009C0696">
              <w:rPr>
                <w:color w:val="0D0D0D" w:themeColor="text1" w:themeTint="F2"/>
                <w:spacing w:val="-2"/>
                <w:lang w:val="en-GB"/>
              </w:rPr>
              <w:t>, the most after year 2002.</w:t>
            </w:r>
          </w:p>
        </w:tc>
      </w:tr>
    </w:tbl>
    <w:p w:rsidR="00A50D73" w:rsidRPr="009110F7" w:rsidRDefault="00A50D73" w:rsidP="00314D43">
      <w:pPr>
        <w:pStyle w:val="Nadpis11"/>
        <w:rPr>
          <w:sz w:val="2"/>
          <w:szCs w:val="2"/>
        </w:rPr>
      </w:pPr>
      <w:bookmarkStart w:id="1" w:name="_GoBack"/>
      <w:bookmarkEnd w:id="1"/>
    </w:p>
    <w:sectPr w:rsidR="00A50D73" w:rsidRPr="009110F7" w:rsidSect="00A03B10">
      <w:headerReference w:type="even" r:id="rId12"/>
      <w:headerReference w:type="default" r:id="rId13"/>
      <w:footerReference w:type="even" r:id="rId14"/>
      <w:footerReference w:type="default" r:id="rId15"/>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1E" w:rsidRDefault="00AB421E" w:rsidP="00E71A58">
      <w:r>
        <w:separator/>
      </w:r>
    </w:p>
  </w:endnote>
  <w:endnote w:type="continuationSeparator" w:id="0">
    <w:p w:rsidR="00AB421E" w:rsidRDefault="00AB421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auto"/>
    <w:notTrueType/>
    <w:pitch w:val="variable"/>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A91AF6" w:rsidP="00A418BC">
    <w:pPr>
      <w:pStyle w:val="Zpat"/>
      <w:rPr>
        <w:szCs w:val="16"/>
      </w:rPr>
    </w:pPr>
    <w:r>
      <w:rPr>
        <w:szCs w:val="16"/>
        <w:lang w:eastAsia="cs-CZ"/>
      </w:rPr>
      <w:drawing>
        <wp:anchor distT="0" distB="0" distL="114300" distR="114300" simplePos="0" relativeHeight="251658240" behindDoc="0" locked="0" layoutInCell="1" allowOverlap="1" wp14:anchorId="54640964" wp14:editId="1CC92A28">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314D43">
      <w:rPr>
        <w:szCs w:val="16"/>
      </w:rPr>
      <w:t>4</w:t>
    </w:r>
    <w:r w:rsidRPr="00932443">
      <w:rPr>
        <w:szCs w:val="16"/>
      </w:rPr>
      <w:fldChar w:fldCharType="end"/>
    </w:r>
    <w:r w:rsidRPr="00932443">
      <w:rPr>
        <w:szCs w:val="16"/>
      </w:rPr>
      <w:tab/>
    </w:r>
    <w:r>
      <w:rPr>
        <w:szCs w:val="16"/>
      </w:rPr>
      <w:t xml:space="preserve">Year </w:t>
    </w:r>
    <w: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932443" w:rsidRDefault="007B3622" w:rsidP="00A418BC">
    <w:pPr>
      <w:pStyle w:val="Zpat"/>
      <w:rPr>
        <w:szCs w:val="16"/>
      </w:rPr>
    </w:pPr>
    <w:r>
      <w:rPr>
        <w:lang w:eastAsia="cs-CZ"/>
      </w:rPr>
      <w:drawing>
        <wp:anchor distT="0" distB="0" distL="114300" distR="114300" simplePos="0" relativeHeight="251660288" behindDoc="0" locked="0" layoutInCell="1" allowOverlap="1" wp14:anchorId="14528444" wp14:editId="3CA8CF0A">
          <wp:simplePos x="0" y="0"/>
          <wp:positionH relativeFrom="column">
            <wp:posOffset>0</wp:posOffset>
          </wp:positionH>
          <wp:positionV relativeFrom="paragraph">
            <wp:posOffset>0</wp:posOffset>
          </wp:positionV>
          <wp:extent cx="676910" cy="201930"/>
          <wp:effectExtent l="0" t="0" r="8890" b="1270"/>
          <wp:wrapNone/>
          <wp:docPr id="65"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AF6" w:rsidRPr="00932443">
      <w:rPr>
        <w:szCs w:val="16"/>
      </w:rPr>
      <w:tab/>
    </w:r>
    <w:r w:rsidR="00A91AF6">
      <w:t>Year 2018</w:t>
    </w:r>
    <w:r w:rsidR="00A91AF6" w:rsidRPr="00932443">
      <w:rPr>
        <w:szCs w:val="16"/>
      </w:rPr>
      <w:tab/>
    </w:r>
    <w:r w:rsidR="00A91AF6" w:rsidRPr="00932443">
      <w:rPr>
        <w:rStyle w:val="ZpatChar"/>
        <w:szCs w:val="16"/>
      </w:rPr>
      <w:fldChar w:fldCharType="begin"/>
    </w:r>
    <w:r w:rsidR="00A91AF6" w:rsidRPr="00932443">
      <w:rPr>
        <w:rStyle w:val="ZpatChar"/>
        <w:szCs w:val="16"/>
      </w:rPr>
      <w:instrText>PAGE   \* MERGEFORMAT</w:instrText>
    </w:r>
    <w:r w:rsidR="00A91AF6" w:rsidRPr="00932443">
      <w:rPr>
        <w:rStyle w:val="ZpatChar"/>
        <w:szCs w:val="16"/>
      </w:rPr>
      <w:fldChar w:fldCharType="separate"/>
    </w:r>
    <w:r w:rsidR="00314D43">
      <w:rPr>
        <w:rStyle w:val="ZpatChar"/>
        <w:szCs w:val="16"/>
      </w:rPr>
      <w:t>5</w:t>
    </w:r>
    <w:r w:rsidR="00A91AF6"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1E" w:rsidRDefault="00AB421E" w:rsidP="00E71A58">
      <w:r>
        <w:separator/>
      </w:r>
    </w:p>
  </w:footnote>
  <w:footnote w:type="continuationSeparator" w:id="0">
    <w:p w:rsidR="00AB421E" w:rsidRDefault="00AB421E" w:rsidP="00E71A58">
      <w:r>
        <w:continuationSeparator/>
      </w:r>
    </w:p>
  </w:footnote>
  <w:footnote w:id="1">
    <w:p w:rsidR="00A91AF6" w:rsidRPr="004D199B" w:rsidRDefault="00A91AF6" w:rsidP="006D1E89">
      <w:pPr>
        <w:pStyle w:val="Textpoznpodarou"/>
        <w:jc w:val="both"/>
        <w:rPr>
          <w:spacing w:val="-2"/>
          <w:sz w:val="16"/>
          <w:szCs w:val="16"/>
          <w:lang w:val="en-GB"/>
        </w:rPr>
      </w:pPr>
      <w:r w:rsidRPr="006A4CF3">
        <w:rPr>
          <w:rStyle w:val="Znakapoznpodarou"/>
          <w:spacing w:val="-2"/>
          <w:sz w:val="16"/>
          <w:szCs w:val="16"/>
        </w:rPr>
        <w:footnoteRef/>
      </w:r>
      <w:r w:rsidRPr="006A4CF3">
        <w:rPr>
          <w:spacing w:val="-2"/>
          <w:sz w:val="16"/>
          <w:szCs w:val="16"/>
        </w:rPr>
        <w:t xml:space="preserve"> </w:t>
      </w:r>
      <w:r w:rsidRPr="004D199B">
        <w:rPr>
          <w:spacing w:val="-2"/>
          <w:sz w:val="16"/>
          <w:szCs w:val="16"/>
          <w:lang w:val="en-GB"/>
        </w:rPr>
        <w:t xml:space="preserve">Unless stated otherwise, employment data in this chapter are in the national accounts conception adjusted for seasonal effects. </w:t>
      </w:r>
    </w:p>
  </w:footnote>
  <w:footnote w:id="2">
    <w:p w:rsidR="00A91AF6" w:rsidRPr="004D199B" w:rsidRDefault="00A91AF6" w:rsidP="006D1E89">
      <w:pPr>
        <w:pStyle w:val="Textpoznpodarou"/>
        <w:jc w:val="both"/>
        <w:rPr>
          <w:spacing w:val="-4"/>
          <w:sz w:val="16"/>
          <w:szCs w:val="16"/>
          <w:lang w:val="en-GB"/>
        </w:rPr>
      </w:pPr>
      <w:r w:rsidRPr="004D199B">
        <w:rPr>
          <w:rStyle w:val="Znakapoznpodarou"/>
          <w:spacing w:val="-4"/>
          <w:sz w:val="16"/>
          <w:szCs w:val="16"/>
          <w:lang w:val="en-GB"/>
        </w:rPr>
        <w:footnoteRef/>
      </w:r>
      <w:r w:rsidRPr="004D199B">
        <w:rPr>
          <w:spacing w:val="-4"/>
          <w:sz w:val="16"/>
          <w:szCs w:val="16"/>
          <w:lang w:val="en-GB"/>
        </w:rPr>
        <w:t xml:space="preserve"> According to the seasonally </w:t>
      </w:r>
      <w:r>
        <w:rPr>
          <w:spacing w:val="-4"/>
          <w:sz w:val="16"/>
          <w:szCs w:val="16"/>
          <w:lang w:val="en-GB"/>
        </w:rPr>
        <w:t xml:space="preserve">adjusted </w:t>
      </w:r>
      <w:r w:rsidRPr="004D199B">
        <w:rPr>
          <w:spacing w:val="-4"/>
          <w:sz w:val="16"/>
          <w:szCs w:val="16"/>
          <w:lang w:val="en-GB"/>
        </w:rPr>
        <w:t>data from the business cycle surveys, the balance of short-term expectations of employment in construction achieved  +15 points at the end of ye</w:t>
      </w:r>
      <w:r>
        <w:rPr>
          <w:spacing w:val="-4"/>
          <w:sz w:val="16"/>
          <w:szCs w:val="16"/>
          <w:lang w:val="en-GB"/>
        </w:rPr>
        <w:t>a</w:t>
      </w:r>
      <w:r w:rsidRPr="004D199B">
        <w:rPr>
          <w:spacing w:val="-4"/>
          <w:sz w:val="16"/>
          <w:szCs w:val="16"/>
          <w:lang w:val="en-GB"/>
        </w:rPr>
        <w:t>r 2018</w:t>
      </w:r>
      <w:r>
        <w:rPr>
          <w:spacing w:val="-4"/>
          <w:sz w:val="16"/>
          <w:szCs w:val="16"/>
          <w:lang w:val="en-GB"/>
        </w:rPr>
        <w:t xml:space="preserve">, however the share of businesses expecting growth resp. fall of employment </w:t>
      </w:r>
      <w:r w:rsidRPr="004D199B">
        <w:rPr>
          <w:spacing w:val="-4"/>
          <w:sz w:val="16"/>
          <w:szCs w:val="16"/>
          <w:lang w:val="en-GB"/>
        </w:rPr>
        <w:t xml:space="preserve">(in the nearest three months) </w:t>
      </w:r>
      <w:r>
        <w:rPr>
          <w:spacing w:val="-4"/>
          <w:sz w:val="16"/>
          <w:szCs w:val="16"/>
          <w:lang w:val="en-GB"/>
        </w:rPr>
        <w:t xml:space="preserve">was comparable in the preceding year. </w:t>
      </w:r>
    </w:p>
  </w:footnote>
  <w:footnote w:id="3">
    <w:p w:rsidR="00A91AF6" w:rsidRPr="004D199B" w:rsidRDefault="00A91AF6" w:rsidP="006D1E89">
      <w:pPr>
        <w:pStyle w:val="Textpoznpodarou"/>
        <w:jc w:val="both"/>
        <w:rPr>
          <w:spacing w:val="-2"/>
          <w:sz w:val="16"/>
          <w:szCs w:val="16"/>
          <w:lang w:val="en-GB"/>
        </w:rPr>
      </w:pPr>
      <w:r w:rsidRPr="004D199B">
        <w:rPr>
          <w:rStyle w:val="Znakapoznpodarou"/>
          <w:spacing w:val="-2"/>
          <w:sz w:val="16"/>
          <w:szCs w:val="16"/>
          <w:lang w:val="en-GB"/>
        </w:rPr>
        <w:footnoteRef/>
      </w:r>
      <w:r w:rsidRPr="004D199B">
        <w:rPr>
          <w:spacing w:val="-2"/>
          <w:sz w:val="16"/>
          <w:szCs w:val="16"/>
          <w:lang w:val="en-GB"/>
        </w:rPr>
        <w:t xml:space="preserve"> Proportion of businesses considering the lack of available labour force as the barrier of their growth reached </w:t>
      </w:r>
      <w:r>
        <w:rPr>
          <w:spacing w:val="-2"/>
          <w:sz w:val="16"/>
          <w:szCs w:val="16"/>
          <w:lang w:val="en-GB"/>
        </w:rPr>
        <w:t xml:space="preserve">a historical maximum in the main branches of economy in Q2 </w:t>
      </w:r>
      <w:r w:rsidRPr="004D199B">
        <w:rPr>
          <w:spacing w:val="-2"/>
          <w:sz w:val="16"/>
          <w:szCs w:val="16"/>
          <w:lang w:val="en-GB"/>
        </w:rPr>
        <w:t xml:space="preserve"> 2018</w:t>
      </w:r>
      <w:r>
        <w:rPr>
          <w:spacing w:val="-2"/>
          <w:sz w:val="16"/>
          <w:szCs w:val="16"/>
          <w:lang w:val="en-GB"/>
        </w:rPr>
        <w:t xml:space="preserve"> </w:t>
      </w:r>
      <w:r w:rsidRPr="004D199B">
        <w:rPr>
          <w:spacing w:val="-2"/>
          <w:sz w:val="16"/>
          <w:szCs w:val="16"/>
          <w:lang w:val="en-GB"/>
        </w:rPr>
        <w:t>(45%</w:t>
      </w:r>
      <w:r>
        <w:rPr>
          <w:spacing w:val="-2"/>
          <w:sz w:val="16"/>
          <w:szCs w:val="16"/>
          <w:lang w:val="en-GB"/>
        </w:rPr>
        <w:t xml:space="preserve"> in industry</w:t>
      </w:r>
      <w:r w:rsidRPr="004D199B">
        <w:rPr>
          <w:spacing w:val="-2"/>
          <w:sz w:val="16"/>
          <w:szCs w:val="16"/>
          <w:lang w:val="en-GB"/>
        </w:rPr>
        <w:t>, 41%</w:t>
      </w:r>
      <w:r>
        <w:rPr>
          <w:spacing w:val="-2"/>
          <w:sz w:val="16"/>
          <w:szCs w:val="16"/>
          <w:lang w:val="en-GB"/>
        </w:rPr>
        <w:t xml:space="preserve"> in construction</w:t>
      </w:r>
      <w:r w:rsidRPr="004D199B">
        <w:rPr>
          <w:spacing w:val="-2"/>
          <w:sz w:val="16"/>
          <w:szCs w:val="16"/>
          <w:lang w:val="en-GB"/>
        </w:rPr>
        <w:t>, 19%</w:t>
      </w:r>
      <w:r>
        <w:rPr>
          <w:spacing w:val="-2"/>
          <w:sz w:val="16"/>
          <w:szCs w:val="16"/>
          <w:lang w:val="en-GB"/>
        </w:rPr>
        <w:t xml:space="preserve"> in selected services</w:t>
      </w:r>
      <w:r w:rsidRPr="004D199B">
        <w:rPr>
          <w:spacing w:val="-2"/>
          <w:sz w:val="16"/>
          <w:szCs w:val="16"/>
          <w:lang w:val="en-GB"/>
        </w:rPr>
        <w:t>). A</w:t>
      </w:r>
      <w:r>
        <w:rPr>
          <w:spacing w:val="-2"/>
          <w:sz w:val="16"/>
          <w:szCs w:val="16"/>
          <w:lang w:val="en-GB"/>
        </w:rPr>
        <w:t>t</w:t>
      </w:r>
      <w:r w:rsidRPr="004D199B">
        <w:rPr>
          <w:spacing w:val="-2"/>
          <w:sz w:val="16"/>
          <w:szCs w:val="16"/>
          <w:lang w:val="en-GB"/>
        </w:rPr>
        <w:t xml:space="preserve"> the beginning of year 2019, this proportion lowered to 39% in industry.</w:t>
      </w:r>
    </w:p>
  </w:footnote>
  <w:footnote w:id="4">
    <w:p w:rsidR="00B9632F" w:rsidRPr="004D199B" w:rsidRDefault="00B9632F" w:rsidP="006D1E89">
      <w:pPr>
        <w:pStyle w:val="Textpoznpodarou"/>
        <w:jc w:val="both"/>
        <w:rPr>
          <w:sz w:val="16"/>
          <w:szCs w:val="16"/>
          <w:lang w:val="en-GB"/>
        </w:rPr>
      </w:pPr>
      <w:r w:rsidRPr="004D199B">
        <w:rPr>
          <w:rStyle w:val="Znakapoznpodarou"/>
          <w:spacing w:val="-2"/>
          <w:sz w:val="16"/>
          <w:szCs w:val="16"/>
          <w:lang w:val="en-GB"/>
        </w:rPr>
        <w:footnoteRef/>
      </w:r>
      <w:r w:rsidRPr="004D199B">
        <w:rPr>
          <w:spacing w:val="-2"/>
          <w:sz w:val="16"/>
          <w:szCs w:val="16"/>
          <w:lang w:val="en-GB"/>
        </w:rPr>
        <w:t xml:space="preserve"> There is</w:t>
      </w:r>
      <w:r>
        <w:rPr>
          <w:spacing w:val="-2"/>
          <w:sz w:val="16"/>
          <w:szCs w:val="16"/>
          <w:lang w:val="en-GB"/>
        </w:rPr>
        <w:t xml:space="preserve"> </w:t>
      </w:r>
      <w:r w:rsidRPr="004D199B">
        <w:rPr>
          <w:spacing w:val="-2"/>
          <w:sz w:val="16"/>
          <w:szCs w:val="16"/>
          <w:lang w:val="en-GB"/>
        </w:rPr>
        <w:t xml:space="preserve">also an indirect evidence in the form of growing addition to the number of foreigners. </w:t>
      </w:r>
      <w:r>
        <w:rPr>
          <w:spacing w:val="-2"/>
          <w:sz w:val="16"/>
          <w:szCs w:val="16"/>
          <w:lang w:val="en-GB"/>
        </w:rPr>
        <w:t xml:space="preserve">According to Alien Police Inspectorate there were legally 567 thousand foreigners in the CR at the end of year </w:t>
      </w:r>
      <w:r w:rsidRPr="004D199B">
        <w:rPr>
          <w:spacing w:val="-2"/>
          <w:sz w:val="16"/>
          <w:szCs w:val="16"/>
          <w:lang w:val="en-GB"/>
        </w:rPr>
        <w:t>2018</w:t>
      </w:r>
      <w:r>
        <w:rPr>
          <w:spacing w:val="-2"/>
          <w:sz w:val="16"/>
          <w:szCs w:val="16"/>
          <w:lang w:val="en-GB"/>
        </w:rPr>
        <w:t xml:space="preserve">, by </w:t>
      </w:r>
      <w:r w:rsidRPr="004D199B">
        <w:rPr>
          <w:spacing w:val="-2"/>
          <w:sz w:val="16"/>
          <w:szCs w:val="16"/>
          <w:lang w:val="en-GB"/>
        </w:rPr>
        <w:t>40 t</w:t>
      </w:r>
      <w:r>
        <w:rPr>
          <w:spacing w:val="-2"/>
          <w:sz w:val="16"/>
          <w:szCs w:val="16"/>
          <w:lang w:val="en-GB"/>
        </w:rPr>
        <w:t>housand more year-on-year</w:t>
      </w:r>
      <w:r w:rsidRPr="004D199B">
        <w:rPr>
          <w:spacing w:val="-2"/>
          <w:sz w:val="16"/>
          <w:szCs w:val="16"/>
          <w:lang w:val="en-GB"/>
        </w:rPr>
        <w:t xml:space="preserve">. </w:t>
      </w:r>
      <w:r>
        <w:rPr>
          <w:spacing w:val="-2"/>
          <w:sz w:val="16"/>
          <w:szCs w:val="16"/>
          <w:lang w:val="en-GB"/>
        </w:rPr>
        <w:t xml:space="preserve">During years </w:t>
      </w:r>
      <w:r w:rsidRPr="004D199B">
        <w:rPr>
          <w:spacing w:val="-2"/>
          <w:sz w:val="16"/>
          <w:szCs w:val="16"/>
          <w:lang w:val="en-GB"/>
        </w:rPr>
        <w:t xml:space="preserve">2016 </w:t>
      </w:r>
      <w:r>
        <w:rPr>
          <w:spacing w:val="-2"/>
          <w:sz w:val="16"/>
          <w:szCs w:val="16"/>
          <w:lang w:val="en-GB"/>
        </w:rPr>
        <w:t>and</w:t>
      </w:r>
      <w:r w:rsidRPr="004D199B">
        <w:rPr>
          <w:spacing w:val="-2"/>
          <w:sz w:val="16"/>
          <w:szCs w:val="16"/>
          <w:lang w:val="en-GB"/>
        </w:rPr>
        <w:t xml:space="preserve"> 2017</w:t>
      </w:r>
      <w:r>
        <w:rPr>
          <w:spacing w:val="-2"/>
          <w:sz w:val="16"/>
          <w:szCs w:val="16"/>
          <w:lang w:val="en-GB"/>
        </w:rPr>
        <w:t xml:space="preserve">, the addition to the number of foreigners was </w:t>
      </w:r>
      <w:r w:rsidRPr="004D199B">
        <w:rPr>
          <w:spacing w:val="-2"/>
          <w:sz w:val="16"/>
          <w:szCs w:val="16"/>
          <w:lang w:val="en-GB"/>
        </w:rPr>
        <w:t>„</w:t>
      </w:r>
      <w:r>
        <w:rPr>
          <w:spacing w:val="-2"/>
          <w:sz w:val="16"/>
          <w:szCs w:val="16"/>
          <w:lang w:val="en-GB"/>
        </w:rPr>
        <w:t>only</w:t>
      </w:r>
      <w:r w:rsidRPr="004D199B">
        <w:rPr>
          <w:spacing w:val="-2"/>
          <w:sz w:val="16"/>
          <w:szCs w:val="16"/>
          <w:lang w:val="en-GB"/>
        </w:rPr>
        <w:t>“ 30 t</w:t>
      </w:r>
      <w:r>
        <w:rPr>
          <w:spacing w:val="-2"/>
          <w:sz w:val="16"/>
          <w:szCs w:val="16"/>
          <w:lang w:val="en-GB"/>
        </w:rPr>
        <w:t xml:space="preserve">housand persons. More than one third from the last year´s addition to foreigners comprised of citizens of Ukraine only. </w:t>
      </w:r>
    </w:p>
  </w:footnote>
  <w:footnote w:id="5">
    <w:p w:rsidR="00B9632F" w:rsidRPr="00494C04" w:rsidRDefault="00B9632F" w:rsidP="005F68DB">
      <w:pPr>
        <w:pStyle w:val="Textpoznpodarou"/>
        <w:jc w:val="both"/>
        <w:rPr>
          <w:sz w:val="16"/>
          <w:szCs w:val="16"/>
          <w:lang w:val="en-GB"/>
        </w:rPr>
      </w:pPr>
      <w:r w:rsidRPr="00534F79">
        <w:rPr>
          <w:rStyle w:val="Znakapoznpodarou"/>
          <w:sz w:val="16"/>
          <w:szCs w:val="16"/>
        </w:rPr>
        <w:footnoteRef/>
      </w:r>
      <w:r w:rsidRPr="00494C04">
        <w:rPr>
          <w:spacing w:val="-2"/>
          <w:sz w:val="16"/>
          <w:szCs w:val="16"/>
          <w:lang w:val="en-GB"/>
        </w:rPr>
        <w:t xml:space="preserve">The more detailed data of the labour force sample survey (LFSS) suggest, that the number of entrepreneurs without employees (corresponding to the category of self-employed in the national accounts conception) did not change year-on-year last year </w:t>
      </w:r>
      <w:r w:rsidRPr="00494C04">
        <w:rPr>
          <w:sz w:val="16"/>
          <w:szCs w:val="16"/>
          <w:lang w:val="en-GB"/>
        </w:rPr>
        <w:t>(706 thousand). Number of entrepreneurs with employees slightly increased (+1.1%, to 166 thousand) in the same time period.</w:t>
      </w:r>
    </w:p>
  </w:footnote>
  <w:footnote w:id="6">
    <w:p w:rsidR="00B9632F" w:rsidRPr="00494C04" w:rsidRDefault="00B9632F" w:rsidP="005F68DB">
      <w:pPr>
        <w:pStyle w:val="Textpoznpodarou"/>
        <w:jc w:val="both"/>
        <w:rPr>
          <w:sz w:val="16"/>
          <w:szCs w:val="16"/>
          <w:lang w:val="en-GB"/>
        </w:rPr>
      </w:pPr>
      <w:r w:rsidRPr="00494C04">
        <w:rPr>
          <w:rStyle w:val="Znakapoznpodarou"/>
          <w:sz w:val="16"/>
          <w:szCs w:val="16"/>
          <w:lang w:val="en-GB"/>
        </w:rPr>
        <w:footnoteRef/>
      </w:r>
      <w:r w:rsidRPr="00494C04">
        <w:rPr>
          <w:sz w:val="16"/>
          <w:szCs w:val="16"/>
          <w:lang w:val="en-GB"/>
        </w:rPr>
        <w:t xml:space="preserve"> It</w:t>
      </w:r>
      <w:r>
        <w:rPr>
          <w:sz w:val="16"/>
          <w:szCs w:val="16"/>
          <w:lang w:val="en-GB"/>
        </w:rPr>
        <w:t xml:space="preserve"> </w:t>
      </w:r>
      <w:r w:rsidRPr="00494C04">
        <w:rPr>
          <w:sz w:val="16"/>
          <w:szCs w:val="16"/>
          <w:lang w:val="en-GB"/>
        </w:rPr>
        <w:t xml:space="preserve">is also evident from the LFSS data. Working in construction </w:t>
      </w:r>
      <w:r>
        <w:rPr>
          <w:sz w:val="16"/>
          <w:szCs w:val="16"/>
          <w:lang w:val="en-GB"/>
        </w:rPr>
        <w:t>was</w:t>
      </w:r>
      <w:r w:rsidRPr="00494C04">
        <w:rPr>
          <w:sz w:val="16"/>
          <w:szCs w:val="16"/>
          <w:lang w:val="en-GB"/>
        </w:rPr>
        <w:t xml:space="preserve"> by 3.4% less year-on-year in Q4 2018 (2% then for the whole year).</w:t>
      </w:r>
    </w:p>
  </w:footnote>
  <w:footnote w:id="7">
    <w:p w:rsidR="00B9632F" w:rsidRPr="00A915CB" w:rsidRDefault="00B9632F" w:rsidP="00A915CB">
      <w:pPr>
        <w:pStyle w:val="Textpoznpodarou"/>
        <w:jc w:val="both"/>
        <w:rPr>
          <w:spacing w:val="-2"/>
          <w:sz w:val="16"/>
          <w:szCs w:val="16"/>
          <w:lang w:val="en-GB"/>
        </w:rPr>
      </w:pPr>
      <w:r w:rsidRPr="00A915CB">
        <w:rPr>
          <w:rStyle w:val="Znakapoznpodarou"/>
          <w:spacing w:val="-2"/>
          <w:sz w:val="16"/>
          <w:szCs w:val="16"/>
          <w:lang w:val="en-GB"/>
        </w:rPr>
        <w:footnoteRef/>
      </w:r>
      <w:r w:rsidRPr="00A915CB">
        <w:rPr>
          <w:spacing w:val="-2"/>
          <w:sz w:val="16"/>
          <w:szCs w:val="16"/>
          <w:lang w:val="en-GB"/>
        </w:rPr>
        <w:t xml:space="preserve"> This growth transferred also into the beginning of year 2019. Further 8.7 thousand positions were added during January and February 2019, LO offered in total 333.1 thousand positions. </w:t>
      </w:r>
    </w:p>
  </w:footnote>
  <w:footnote w:id="8">
    <w:p w:rsidR="00B9632F" w:rsidRPr="00046EB3" w:rsidRDefault="00B9632F" w:rsidP="00A915CB">
      <w:pPr>
        <w:pStyle w:val="Textpoznpodarou"/>
        <w:jc w:val="both"/>
        <w:rPr>
          <w:spacing w:val="-2"/>
          <w:sz w:val="16"/>
          <w:szCs w:val="16"/>
          <w:lang w:val="en-GB"/>
        </w:rPr>
      </w:pPr>
      <w:r w:rsidRPr="00A915CB">
        <w:rPr>
          <w:rStyle w:val="Znakapoznpodarou"/>
          <w:spacing w:val="-2"/>
          <w:sz w:val="16"/>
          <w:szCs w:val="16"/>
          <w:lang w:val="en-GB"/>
        </w:rPr>
        <w:footnoteRef/>
      </w:r>
      <w:r w:rsidRPr="00A915CB">
        <w:rPr>
          <w:spacing w:val="-2"/>
          <w:sz w:val="16"/>
          <w:szCs w:val="16"/>
          <w:lang w:val="en-GB"/>
        </w:rPr>
        <w:t xml:space="preserve"> </w:t>
      </w:r>
      <w:r w:rsidRPr="00046EB3">
        <w:rPr>
          <w:spacing w:val="-2"/>
          <w:sz w:val="16"/>
          <w:szCs w:val="16"/>
          <w:lang w:val="en-GB"/>
        </w:rPr>
        <w:t xml:space="preserve">More than one quarter of countrywide additions of vacancies belonged only to the Plzen and Pardubice regions for year 2018.  </w:t>
      </w:r>
    </w:p>
  </w:footnote>
  <w:footnote w:id="9">
    <w:p w:rsidR="00B9632F" w:rsidRPr="00046EB3" w:rsidRDefault="00B9632F" w:rsidP="00A915CB">
      <w:pPr>
        <w:pStyle w:val="Textpoznpodarou"/>
        <w:jc w:val="both"/>
        <w:rPr>
          <w:spacing w:val="-2"/>
          <w:sz w:val="16"/>
          <w:szCs w:val="16"/>
          <w:lang w:val="en-GB"/>
        </w:rPr>
      </w:pPr>
      <w:r w:rsidRPr="00046EB3">
        <w:rPr>
          <w:rStyle w:val="Znakapoznpodarou"/>
          <w:spacing w:val="-2"/>
          <w:sz w:val="16"/>
          <w:szCs w:val="16"/>
          <w:lang w:val="en-GB"/>
        </w:rPr>
        <w:footnoteRef/>
      </w:r>
      <w:r w:rsidRPr="00046EB3">
        <w:rPr>
          <w:spacing w:val="-2"/>
          <w:sz w:val="16"/>
          <w:szCs w:val="16"/>
          <w:lang w:val="en-GB"/>
        </w:rPr>
        <w:t xml:space="preserve"> Positions filed under qualification classes</w:t>
      </w:r>
      <w:r>
        <w:rPr>
          <w:spacing w:val="-2"/>
          <w:sz w:val="16"/>
          <w:szCs w:val="16"/>
          <w:lang w:val="en-GB"/>
        </w:rPr>
        <w:t>.</w:t>
      </w:r>
      <w:r w:rsidRPr="00046EB3">
        <w:rPr>
          <w:spacing w:val="-2"/>
          <w:sz w:val="16"/>
          <w:szCs w:val="16"/>
          <w:lang w:val="en-GB"/>
        </w:rPr>
        <w:t xml:space="preserve"> Supporting and non-qualified staff shared only below 30% on the total growth of job vacancies in year 2018. On the contrary positions, where typically persons with lower secondary education (apprentices) work in the CR  – Machine and equipmen</w:t>
      </w:r>
      <w:r w:rsidR="00F55B87">
        <w:rPr>
          <w:spacing w:val="-2"/>
          <w:sz w:val="16"/>
          <w:szCs w:val="16"/>
          <w:lang w:val="en-GB"/>
        </w:rPr>
        <w:t>t operators, assemblers, resp. C</w:t>
      </w:r>
      <w:r w:rsidRPr="00046EB3">
        <w:rPr>
          <w:spacing w:val="-2"/>
          <w:sz w:val="16"/>
          <w:szCs w:val="16"/>
          <w:lang w:val="en-GB"/>
        </w:rPr>
        <w:t>raftsmen and repairmen – shared in the growth of job vacancies 42%, resp. 18%.</w:t>
      </w:r>
    </w:p>
  </w:footnote>
  <w:footnote w:id="10">
    <w:p w:rsidR="00B9632F" w:rsidRPr="00046EB3" w:rsidRDefault="00B9632F" w:rsidP="00A915CB">
      <w:pPr>
        <w:pStyle w:val="Textpoznpodarou"/>
        <w:jc w:val="both"/>
        <w:rPr>
          <w:spacing w:val="-2"/>
          <w:sz w:val="16"/>
          <w:szCs w:val="16"/>
          <w:lang w:val="en-GB"/>
        </w:rPr>
      </w:pPr>
      <w:r w:rsidRPr="00046EB3">
        <w:rPr>
          <w:rStyle w:val="Znakapoznpodarou"/>
          <w:spacing w:val="-2"/>
          <w:sz w:val="16"/>
          <w:szCs w:val="16"/>
          <w:lang w:val="en-GB"/>
        </w:rPr>
        <w:footnoteRef/>
      </w:r>
      <w:r w:rsidRPr="00046EB3">
        <w:rPr>
          <w:spacing w:val="-2"/>
          <w:sz w:val="16"/>
          <w:szCs w:val="16"/>
          <w:lang w:val="en-GB"/>
        </w:rPr>
        <w:t xml:space="preserve"> More than 2.5 job applicants per job vacancy was only in six regions (Karviná, Jeseník, Ústí nad Labem, Bruntál, Znojmo and Hodonín).</w:t>
      </w:r>
    </w:p>
  </w:footnote>
  <w:footnote w:id="11">
    <w:p w:rsidR="00B9632F" w:rsidRPr="00046EB3" w:rsidRDefault="00B9632F" w:rsidP="006D1E89">
      <w:pPr>
        <w:pStyle w:val="Textpoznpodarou"/>
        <w:jc w:val="both"/>
        <w:rPr>
          <w:spacing w:val="-2"/>
          <w:sz w:val="16"/>
          <w:szCs w:val="16"/>
          <w:lang w:val="en-GB"/>
        </w:rPr>
      </w:pPr>
      <w:r w:rsidRPr="00046EB3">
        <w:rPr>
          <w:rStyle w:val="Znakapoznpodarou"/>
          <w:spacing w:val="-2"/>
          <w:sz w:val="16"/>
          <w:szCs w:val="16"/>
          <w:lang w:val="en-GB"/>
        </w:rPr>
        <w:footnoteRef/>
      </w:r>
      <w:r w:rsidRPr="00046EB3">
        <w:rPr>
          <w:spacing w:val="-2"/>
          <w:sz w:val="16"/>
          <w:szCs w:val="16"/>
          <w:lang w:val="en-GB"/>
        </w:rPr>
        <w:t xml:space="preserve"> The average wage grew year-on-year by 12.8% in education during Q1 to </w:t>
      </w:r>
      <w:r w:rsidR="00F55B87">
        <w:rPr>
          <w:spacing w:val="-2"/>
          <w:sz w:val="16"/>
          <w:szCs w:val="16"/>
          <w:lang w:val="en-GB"/>
        </w:rPr>
        <w:t>Q</w:t>
      </w:r>
      <w:r w:rsidRPr="00046EB3">
        <w:rPr>
          <w:spacing w:val="-2"/>
          <w:sz w:val="16"/>
          <w:szCs w:val="16"/>
          <w:lang w:val="en-GB"/>
        </w:rPr>
        <w:t xml:space="preserve">3 2018, by 6.0% </w:t>
      </w:r>
      <w:r>
        <w:rPr>
          <w:spacing w:val="-2"/>
          <w:sz w:val="16"/>
          <w:szCs w:val="16"/>
          <w:lang w:val="en-GB"/>
        </w:rPr>
        <w:t>in</w:t>
      </w:r>
      <w:r w:rsidRPr="00046EB3">
        <w:rPr>
          <w:spacing w:val="-2"/>
          <w:sz w:val="16"/>
          <w:szCs w:val="16"/>
          <w:lang w:val="en-GB"/>
        </w:rPr>
        <w:t xml:space="preserve"> Q4. Analogous rates of growth in the branch of public administration were 11.8% and 5.1%. These differences were connected to the large comparative basis of 2017 year end (from November, the wages of teachers as well as public admini</w:t>
      </w:r>
      <w:r w:rsidR="00F55B87">
        <w:rPr>
          <w:spacing w:val="-2"/>
          <w:sz w:val="16"/>
          <w:szCs w:val="16"/>
          <w:lang w:val="en-GB"/>
        </w:rPr>
        <w:t>stration employees rose by 15%)</w:t>
      </w:r>
      <w:r w:rsidRPr="00046EB3">
        <w:rPr>
          <w:spacing w:val="-2"/>
          <w:sz w:val="16"/>
          <w:szCs w:val="16"/>
          <w:lang w:val="en-GB"/>
        </w:rPr>
        <w:t>. Further increase in the following year was implemented only as of 1</w:t>
      </w:r>
      <w:r w:rsidRPr="00046EB3">
        <w:rPr>
          <w:spacing w:val="-2"/>
          <w:sz w:val="16"/>
          <w:szCs w:val="16"/>
          <w:vertAlign w:val="superscript"/>
          <w:lang w:val="en-GB"/>
        </w:rPr>
        <w:t>st</w:t>
      </w:r>
      <w:r w:rsidRPr="00046EB3">
        <w:rPr>
          <w:spacing w:val="-2"/>
          <w:sz w:val="16"/>
          <w:szCs w:val="16"/>
          <w:lang w:val="en-GB"/>
        </w:rPr>
        <w:t xml:space="preserve"> January 2019.</w:t>
      </w:r>
    </w:p>
  </w:footnote>
  <w:footnote w:id="12">
    <w:p w:rsidR="00B9632F" w:rsidRPr="00046EB3" w:rsidRDefault="00B9632F" w:rsidP="006D1E89">
      <w:pPr>
        <w:pStyle w:val="Textpoznpodarou"/>
        <w:jc w:val="both"/>
        <w:rPr>
          <w:sz w:val="16"/>
          <w:szCs w:val="16"/>
          <w:lang w:val="en-GB"/>
        </w:rPr>
      </w:pPr>
      <w:r w:rsidRPr="00046EB3">
        <w:rPr>
          <w:rStyle w:val="Znakapoznpodarou"/>
          <w:spacing w:val="-2"/>
          <w:sz w:val="16"/>
          <w:szCs w:val="16"/>
          <w:lang w:val="en-GB"/>
        </w:rPr>
        <w:footnoteRef/>
      </w:r>
      <w:r w:rsidRPr="00046EB3">
        <w:rPr>
          <w:spacing w:val="-2"/>
          <w:sz w:val="16"/>
          <w:szCs w:val="16"/>
          <w:lang w:val="en-GB"/>
        </w:rPr>
        <w:t xml:space="preserve"> </w:t>
      </w:r>
      <w:r>
        <w:rPr>
          <w:spacing w:val="-2"/>
          <w:sz w:val="16"/>
          <w:szCs w:val="16"/>
          <w:lang w:val="en-GB"/>
        </w:rPr>
        <w:t>In the most weight significant branch of services</w:t>
      </w:r>
      <w:r w:rsidRPr="00046EB3">
        <w:rPr>
          <w:spacing w:val="-2"/>
          <w:sz w:val="16"/>
          <w:szCs w:val="16"/>
          <w:lang w:val="en-GB"/>
        </w:rPr>
        <w:t xml:space="preserve"> – </w:t>
      </w:r>
      <w:r>
        <w:rPr>
          <w:spacing w:val="-2"/>
          <w:sz w:val="16"/>
          <w:szCs w:val="16"/>
          <w:lang w:val="en-GB"/>
        </w:rPr>
        <w:t>Wholesale and retail, repairs and maintenance of motor vehicles – the average wages grew by 8.4% in Q</w:t>
      </w:r>
      <w:r w:rsidRPr="00046EB3">
        <w:rPr>
          <w:spacing w:val="-2"/>
          <w:sz w:val="16"/>
          <w:szCs w:val="16"/>
          <w:lang w:val="en-GB"/>
        </w:rPr>
        <w:t>1 2018</w:t>
      </w:r>
      <w:r>
        <w:rPr>
          <w:spacing w:val="-2"/>
          <w:sz w:val="16"/>
          <w:szCs w:val="16"/>
          <w:lang w:val="en-GB"/>
        </w:rPr>
        <w:t xml:space="preserve">, in the next part of the year they started losing pace </w:t>
      </w:r>
      <w:r w:rsidRPr="00046EB3">
        <w:rPr>
          <w:spacing w:val="-2"/>
          <w:sz w:val="16"/>
          <w:szCs w:val="16"/>
          <w:lang w:val="en-GB"/>
        </w:rPr>
        <w:t>a</w:t>
      </w:r>
      <w:r>
        <w:rPr>
          <w:spacing w:val="-2"/>
          <w:sz w:val="16"/>
          <w:szCs w:val="16"/>
          <w:lang w:val="en-GB"/>
        </w:rPr>
        <w:t>nd arrived at 7.6% in Q</w:t>
      </w:r>
      <w:r w:rsidRPr="00046EB3">
        <w:rPr>
          <w:spacing w:val="-2"/>
          <w:sz w:val="16"/>
          <w:szCs w:val="16"/>
          <w:lang w:val="en-GB"/>
        </w:rPr>
        <w:t>4.</w:t>
      </w:r>
      <w:r>
        <w:rPr>
          <w:spacing w:val="-2"/>
          <w:sz w:val="16"/>
          <w:szCs w:val="16"/>
          <w:lang w:val="en-GB"/>
        </w:rPr>
        <w:t xml:space="preserve"> Earnings grew in manufacturing by 7.8% in H</w:t>
      </w:r>
      <w:r w:rsidRPr="00046EB3">
        <w:rPr>
          <w:spacing w:val="-2"/>
          <w:sz w:val="16"/>
          <w:szCs w:val="16"/>
          <w:lang w:val="en-GB"/>
        </w:rPr>
        <w:t>1</w:t>
      </w:r>
      <w:r>
        <w:rPr>
          <w:spacing w:val="-2"/>
          <w:sz w:val="16"/>
          <w:szCs w:val="16"/>
          <w:lang w:val="en-GB"/>
        </w:rPr>
        <w:t>, by 7.1% then in the remaining part of the year</w:t>
      </w:r>
      <w:r w:rsidRPr="00046EB3">
        <w:rPr>
          <w:spacing w:val="-2"/>
          <w:sz w:val="16"/>
          <w:szCs w:val="16"/>
          <w:lang w:val="en-GB"/>
        </w:rPr>
        <w:t>.</w:t>
      </w:r>
    </w:p>
  </w:footnote>
  <w:footnote w:id="13">
    <w:p w:rsidR="00B9632F" w:rsidRPr="00046EB3" w:rsidRDefault="00B9632F" w:rsidP="00A81AF2">
      <w:pPr>
        <w:pStyle w:val="Textpoznpodarou"/>
        <w:jc w:val="both"/>
        <w:rPr>
          <w:spacing w:val="-2"/>
          <w:sz w:val="16"/>
          <w:szCs w:val="16"/>
          <w:lang w:val="en-GB"/>
        </w:rPr>
      </w:pPr>
      <w:r w:rsidRPr="00046EB3">
        <w:rPr>
          <w:rStyle w:val="Znakapoznpodarou"/>
          <w:spacing w:val="-2"/>
          <w:sz w:val="16"/>
          <w:szCs w:val="16"/>
          <w:lang w:val="en-GB"/>
        </w:rPr>
        <w:footnoteRef/>
      </w:r>
      <w:r w:rsidRPr="00046EB3">
        <w:rPr>
          <w:spacing w:val="-2"/>
          <w:sz w:val="16"/>
          <w:szCs w:val="16"/>
          <w:lang w:val="en-GB"/>
        </w:rPr>
        <w:t xml:space="preserve"> </w:t>
      </w:r>
      <w:r>
        <w:rPr>
          <w:spacing w:val="-2"/>
          <w:sz w:val="16"/>
          <w:szCs w:val="16"/>
          <w:lang w:val="en-GB"/>
        </w:rPr>
        <w:t>As also evidenced by the continuing fall of the number of economically inactive persons, which do not work, do not actively seek employment, however state, that they are interested in working. In Q</w:t>
      </w:r>
      <w:r w:rsidRPr="00046EB3">
        <w:rPr>
          <w:rFonts w:cs="Arial"/>
          <w:color w:val="0D0D0D" w:themeColor="text1" w:themeTint="F2"/>
          <w:spacing w:val="-2"/>
          <w:sz w:val="16"/>
          <w:szCs w:val="16"/>
          <w:lang w:val="en-GB"/>
        </w:rPr>
        <w:t>4</w:t>
      </w:r>
      <w:r>
        <w:rPr>
          <w:rFonts w:cs="Arial"/>
          <w:color w:val="0D0D0D" w:themeColor="text1" w:themeTint="F2"/>
          <w:spacing w:val="-2"/>
          <w:sz w:val="16"/>
          <w:szCs w:val="16"/>
          <w:lang w:val="en-GB"/>
        </w:rPr>
        <w:t xml:space="preserve"> </w:t>
      </w:r>
      <w:r w:rsidRPr="00046EB3">
        <w:rPr>
          <w:rFonts w:cs="Arial"/>
          <w:color w:val="0D0D0D" w:themeColor="text1" w:themeTint="F2"/>
          <w:spacing w:val="-2"/>
          <w:sz w:val="16"/>
          <w:szCs w:val="16"/>
          <w:lang w:val="en-GB"/>
        </w:rPr>
        <w:t>2018</w:t>
      </w:r>
      <w:r>
        <w:rPr>
          <w:rFonts w:cs="Arial"/>
          <w:color w:val="0D0D0D" w:themeColor="text1" w:themeTint="F2"/>
          <w:spacing w:val="-2"/>
          <w:sz w:val="16"/>
          <w:szCs w:val="16"/>
          <w:lang w:val="en-GB"/>
        </w:rPr>
        <w:t xml:space="preserve"> there were 102 thousand of these persons according to the LFSS </w:t>
      </w:r>
      <w:r w:rsidRPr="00046EB3">
        <w:rPr>
          <w:rFonts w:cs="Arial"/>
          <w:color w:val="0D0D0D" w:themeColor="text1" w:themeTint="F2"/>
          <w:spacing w:val="-2"/>
          <w:sz w:val="16"/>
          <w:szCs w:val="16"/>
          <w:lang w:val="en-GB"/>
        </w:rPr>
        <w:t>(</w:t>
      </w:r>
      <w:r>
        <w:rPr>
          <w:rFonts w:cs="Arial"/>
          <w:color w:val="0D0D0D" w:themeColor="text1" w:themeTint="F2"/>
          <w:spacing w:val="-2"/>
          <w:sz w:val="16"/>
          <w:szCs w:val="16"/>
          <w:lang w:val="en-GB"/>
        </w:rPr>
        <w:t>year-on-year decrease by one seventh</w:t>
      </w:r>
      <w:r w:rsidRPr="00046EB3">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This number was even by one half lower compared to the business cycle peak years of the last decade.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Pr="006F5416" w:rsidRDefault="00A91AF6" w:rsidP="00937AE2">
    <w:pPr>
      <w:pStyle w:val="Zhlav"/>
    </w:pPr>
    <w:r>
      <w:t>The Czech Economy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F6" w:rsidRDefault="00A91AF6" w:rsidP="00937AE2">
    <w:pPr>
      <w:pStyle w:val="Zhlav"/>
    </w:pPr>
    <w:r>
      <w:t>The Czech Economy Development</w:t>
    </w:r>
  </w:p>
  <w:p w:rsidR="00A91AF6" w:rsidRPr="006F5416" w:rsidRDefault="00A91AF6"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820"/>
    <w:rsid w:val="0000209D"/>
    <w:rsid w:val="0000377C"/>
    <w:rsid w:val="00003F5C"/>
    <w:rsid w:val="00004D28"/>
    <w:rsid w:val="00004D5A"/>
    <w:rsid w:val="000056D5"/>
    <w:rsid w:val="000063D5"/>
    <w:rsid w:val="00006ABD"/>
    <w:rsid w:val="00006B67"/>
    <w:rsid w:val="000073A0"/>
    <w:rsid w:val="0000767A"/>
    <w:rsid w:val="00010256"/>
    <w:rsid w:val="00010600"/>
    <w:rsid w:val="00010702"/>
    <w:rsid w:val="0001128E"/>
    <w:rsid w:val="00011912"/>
    <w:rsid w:val="00015BA8"/>
    <w:rsid w:val="00016420"/>
    <w:rsid w:val="00017296"/>
    <w:rsid w:val="00017B01"/>
    <w:rsid w:val="00017C20"/>
    <w:rsid w:val="0002047B"/>
    <w:rsid w:val="00020C84"/>
    <w:rsid w:val="00020F22"/>
    <w:rsid w:val="0002195D"/>
    <w:rsid w:val="000228AE"/>
    <w:rsid w:val="000233D1"/>
    <w:rsid w:val="000234D6"/>
    <w:rsid w:val="00023D29"/>
    <w:rsid w:val="00024348"/>
    <w:rsid w:val="0002620C"/>
    <w:rsid w:val="00026389"/>
    <w:rsid w:val="0002744A"/>
    <w:rsid w:val="00027A21"/>
    <w:rsid w:val="00031AE0"/>
    <w:rsid w:val="00031BB2"/>
    <w:rsid w:val="00031BDF"/>
    <w:rsid w:val="000322EF"/>
    <w:rsid w:val="00033CD3"/>
    <w:rsid w:val="00033FCD"/>
    <w:rsid w:val="00034BBA"/>
    <w:rsid w:val="00034DF7"/>
    <w:rsid w:val="00034E68"/>
    <w:rsid w:val="000350C8"/>
    <w:rsid w:val="00036195"/>
    <w:rsid w:val="000374B2"/>
    <w:rsid w:val="000376C0"/>
    <w:rsid w:val="000403A7"/>
    <w:rsid w:val="00040632"/>
    <w:rsid w:val="00041CEC"/>
    <w:rsid w:val="00044183"/>
    <w:rsid w:val="00044670"/>
    <w:rsid w:val="0004694F"/>
    <w:rsid w:val="00046EB3"/>
    <w:rsid w:val="00047B9C"/>
    <w:rsid w:val="00047D54"/>
    <w:rsid w:val="00047D5E"/>
    <w:rsid w:val="00050E97"/>
    <w:rsid w:val="000522E4"/>
    <w:rsid w:val="00053713"/>
    <w:rsid w:val="0005434E"/>
    <w:rsid w:val="00055CB6"/>
    <w:rsid w:val="00056DF4"/>
    <w:rsid w:val="000572DD"/>
    <w:rsid w:val="00057B1E"/>
    <w:rsid w:val="000610E1"/>
    <w:rsid w:val="000616AD"/>
    <w:rsid w:val="000622A6"/>
    <w:rsid w:val="00062C5C"/>
    <w:rsid w:val="00062EC5"/>
    <w:rsid w:val="00062F22"/>
    <w:rsid w:val="00063975"/>
    <w:rsid w:val="00063E6C"/>
    <w:rsid w:val="000645FC"/>
    <w:rsid w:val="00065190"/>
    <w:rsid w:val="0006533F"/>
    <w:rsid w:val="00065348"/>
    <w:rsid w:val="00065A75"/>
    <w:rsid w:val="00070A87"/>
    <w:rsid w:val="00071167"/>
    <w:rsid w:val="000712B3"/>
    <w:rsid w:val="000713AB"/>
    <w:rsid w:val="000730A8"/>
    <w:rsid w:val="0007450F"/>
    <w:rsid w:val="0007474E"/>
    <w:rsid w:val="00074B31"/>
    <w:rsid w:val="0007512B"/>
    <w:rsid w:val="00075551"/>
    <w:rsid w:val="000758E6"/>
    <w:rsid w:val="00076C79"/>
    <w:rsid w:val="00076D90"/>
    <w:rsid w:val="00077BA2"/>
    <w:rsid w:val="00077FF0"/>
    <w:rsid w:val="00081A55"/>
    <w:rsid w:val="0008263E"/>
    <w:rsid w:val="00082C19"/>
    <w:rsid w:val="000831A5"/>
    <w:rsid w:val="000837CD"/>
    <w:rsid w:val="00084BFF"/>
    <w:rsid w:val="00085395"/>
    <w:rsid w:val="00085F0D"/>
    <w:rsid w:val="0008616B"/>
    <w:rsid w:val="000864D5"/>
    <w:rsid w:val="00086896"/>
    <w:rsid w:val="00086AC1"/>
    <w:rsid w:val="00086D19"/>
    <w:rsid w:val="00087356"/>
    <w:rsid w:val="00087634"/>
    <w:rsid w:val="00087F2B"/>
    <w:rsid w:val="000901B9"/>
    <w:rsid w:val="00090694"/>
    <w:rsid w:val="000913B1"/>
    <w:rsid w:val="00091C64"/>
    <w:rsid w:val="00093241"/>
    <w:rsid w:val="00094A84"/>
    <w:rsid w:val="00095025"/>
    <w:rsid w:val="00095135"/>
    <w:rsid w:val="00095B5C"/>
    <w:rsid w:val="0009626E"/>
    <w:rsid w:val="0009636E"/>
    <w:rsid w:val="00097191"/>
    <w:rsid w:val="000974D1"/>
    <w:rsid w:val="0009799E"/>
    <w:rsid w:val="000A0BC0"/>
    <w:rsid w:val="000A1183"/>
    <w:rsid w:val="000A256D"/>
    <w:rsid w:val="000A3182"/>
    <w:rsid w:val="000A3A2C"/>
    <w:rsid w:val="000A4A54"/>
    <w:rsid w:val="000A4ED9"/>
    <w:rsid w:val="000A7377"/>
    <w:rsid w:val="000A7E75"/>
    <w:rsid w:val="000B03CC"/>
    <w:rsid w:val="000B253C"/>
    <w:rsid w:val="000B286D"/>
    <w:rsid w:val="000B4212"/>
    <w:rsid w:val="000B4B8F"/>
    <w:rsid w:val="000B61AE"/>
    <w:rsid w:val="000B6C5C"/>
    <w:rsid w:val="000B7344"/>
    <w:rsid w:val="000B75D3"/>
    <w:rsid w:val="000C0EA8"/>
    <w:rsid w:val="000C13A2"/>
    <w:rsid w:val="000C30C3"/>
    <w:rsid w:val="000C3408"/>
    <w:rsid w:val="000C35AB"/>
    <w:rsid w:val="000C41FA"/>
    <w:rsid w:val="000C4D56"/>
    <w:rsid w:val="000C6AFD"/>
    <w:rsid w:val="000C6C90"/>
    <w:rsid w:val="000D08EF"/>
    <w:rsid w:val="000D0A26"/>
    <w:rsid w:val="000D1221"/>
    <w:rsid w:val="000D1F28"/>
    <w:rsid w:val="000D2EB3"/>
    <w:rsid w:val="000D3058"/>
    <w:rsid w:val="000D310A"/>
    <w:rsid w:val="000D3EF4"/>
    <w:rsid w:val="000D5637"/>
    <w:rsid w:val="000D6F4E"/>
    <w:rsid w:val="000E0E96"/>
    <w:rsid w:val="000E20E6"/>
    <w:rsid w:val="000E2C7D"/>
    <w:rsid w:val="000E4237"/>
    <w:rsid w:val="000E440D"/>
    <w:rsid w:val="000E4AC5"/>
    <w:rsid w:val="000E5632"/>
    <w:rsid w:val="000E6253"/>
    <w:rsid w:val="000E6E4D"/>
    <w:rsid w:val="000E6FBD"/>
    <w:rsid w:val="000E6FCB"/>
    <w:rsid w:val="000F3F3B"/>
    <w:rsid w:val="000F4F77"/>
    <w:rsid w:val="000F70E4"/>
    <w:rsid w:val="00100E10"/>
    <w:rsid w:val="00100F5C"/>
    <w:rsid w:val="00101CDA"/>
    <w:rsid w:val="00102037"/>
    <w:rsid w:val="001026C4"/>
    <w:rsid w:val="00103DCB"/>
    <w:rsid w:val="001048F6"/>
    <w:rsid w:val="0010490F"/>
    <w:rsid w:val="00104C4C"/>
    <w:rsid w:val="001057C2"/>
    <w:rsid w:val="001125EF"/>
    <w:rsid w:val="00112CAB"/>
    <w:rsid w:val="00115525"/>
    <w:rsid w:val="00116D3F"/>
    <w:rsid w:val="0011755B"/>
    <w:rsid w:val="00117623"/>
    <w:rsid w:val="00117FEA"/>
    <w:rsid w:val="001200CF"/>
    <w:rsid w:val="001204EB"/>
    <w:rsid w:val="0012192F"/>
    <w:rsid w:val="00121F4B"/>
    <w:rsid w:val="00121F8C"/>
    <w:rsid w:val="00122994"/>
    <w:rsid w:val="00124B46"/>
    <w:rsid w:val="001257E0"/>
    <w:rsid w:val="00125D69"/>
    <w:rsid w:val="00127241"/>
    <w:rsid w:val="0012799C"/>
    <w:rsid w:val="00130ADC"/>
    <w:rsid w:val="00130D9F"/>
    <w:rsid w:val="00132C4D"/>
    <w:rsid w:val="00133FC1"/>
    <w:rsid w:val="00134659"/>
    <w:rsid w:val="00136561"/>
    <w:rsid w:val="00136BFB"/>
    <w:rsid w:val="001405FA"/>
    <w:rsid w:val="001408D0"/>
    <w:rsid w:val="00140D1A"/>
    <w:rsid w:val="00140DEB"/>
    <w:rsid w:val="00141315"/>
    <w:rsid w:val="00141568"/>
    <w:rsid w:val="00141AA0"/>
    <w:rsid w:val="00141B44"/>
    <w:rsid w:val="001425C3"/>
    <w:rsid w:val="0014262D"/>
    <w:rsid w:val="0014334D"/>
    <w:rsid w:val="0014459E"/>
    <w:rsid w:val="001447DD"/>
    <w:rsid w:val="0014593C"/>
    <w:rsid w:val="001459BC"/>
    <w:rsid w:val="0015044D"/>
    <w:rsid w:val="00150DF0"/>
    <w:rsid w:val="00152F4F"/>
    <w:rsid w:val="001544A1"/>
    <w:rsid w:val="001553B8"/>
    <w:rsid w:val="00155427"/>
    <w:rsid w:val="001554C2"/>
    <w:rsid w:val="00155750"/>
    <w:rsid w:val="00155C0B"/>
    <w:rsid w:val="001571C0"/>
    <w:rsid w:val="0015753D"/>
    <w:rsid w:val="001578B3"/>
    <w:rsid w:val="00157CC9"/>
    <w:rsid w:val="001603C7"/>
    <w:rsid w:val="001612F4"/>
    <w:rsid w:val="00161553"/>
    <w:rsid w:val="0016256B"/>
    <w:rsid w:val="00163793"/>
    <w:rsid w:val="00165262"/>
    <w:rsid w:val="001659F7"/>
    <w:rsid w:val="00167485"/>
    <w:rsid w:val="00167CA0"/>
    <w:rsid w:val="00167CB9"/>
    <w:rsid w:val="00167DD8"/>
    <w:rsid w:val="00170326"/>
    <w:rsid w:val="001705AD"/>
    <w:rsid w:val="001706D6"/>
    <w:rsid w:val="001714F2"/>
    <w:rsid w:val="00171DA4"/>
    <w:rsid w:val="00171FEA"/>
    <w:rsid w:val="00173823"/>
    <w:rsid w:val="00175388"/>
    <w:rsid w:val="00175B9F"/>
    <w:rsid w:val="001762F4"/>
    <w:rsid w:val="00176B1A"/>
    <w:rsid w:val="00177F6E"/>
    <w:rsid w:val="00180750"/>
    <w:rsid w:val="00181BBC"/>
    <w:rsid w:val="001832A9"/>
    <w:rsid w:val="0018385F"/>
    <w:rsid w:val="00184017"/>
    <w:rsid w:val="00184B08"/>
    <w:rsid w:val="00185010"/>
    <w:rsid w:val="001853B1"/>
    <w:rsid w:val="00185C22"/>
    <w:rsid w:val="001862E4"/>
    <w:rsid w:val="00186B61"/>
    <w:rsid w:val="00191E60"/>
    <w:rsid w:val="00192F05"/>
    <w:rsid w:val="00194729"/>
    <w:rsid w:val="00195234"/>
    <w:rsid w:val="00196016"/>
    <w:rsid w:val="001972B0"/>
    <w:rsid w:val="00197A70"/>
    <w:rsid w:val="00197C0F"/>
    <w:rsid w:val="001A0487"/>
    <w:rsid w:val="001A1D45"/>
    <w:rsid w:val="001A1F68"/>
    <w:rsid w:val="001A38DB"/>
    <w:rsid w:val="001A4EF0"/>
    <w:rsid w:val="001A552F"/>
    <w:rsid w:val="001A6F94"/>
    <w:rsid w:val="001A75B3"/>
    <w:rsid w:val="001A7D4E"/>
    <w:rsid w:val="001B2B99"/>
    <w:rsid w:val="001B2CA9"/>
    <w:rsid w:val="001B3110"/>
    <w:rsid w:val="001B3E38"/>
    <w:rsid w:val="001B3EC5"/>
    <w:rsid w:val="001B40F5"/>
    <w:rsid w:val="001B4729"/>
    <w:rsid w:val="001B4A29"/>
    <w:rsid w:val="001B4F0E"/>
    <w:rsid w:val="001B55D7"/>
    <w:rsid w:val="001B6310"/>
    <w:rsid w:val="001B679B"/>
    <w:rsid w:val="001B686C"/>
    <w:rsid w:val="001B6C09"/>
    <w:rsid w:val="001B7AA5"/>
    <w:rsid w:val="001C05CD"/>
    <w:rsid w:val="001C0A2B"/>
    <w:rsid w:val="001C0F17"/>
    <w:rsid w:val="001C1B66"/>
    <w:rsid w:val="001C31A2"/>
    <w:rsid w:val="001C3A69"/>
    <w:rsid w:val="001C4BB8"/>
    <w:rsid w:val="001C5E46"/>
    <w:rsid w:val="001C614E"/>
    <w:rsid w:val="001D0EF1"/>
    <w:rsid w:val="001D22C2"/>
    <w:rsid w:val="001D2C99"/>
    <w:rsid w:val="001D50CE"/>
    <w:rsid w:val="001D54C1"/>
    <w:rsid w:val="001D556E"/>
    <w:rsid w:val="001D5DF2"/>
    <w:rsid w:val="001D68B2"/>
    <w:rsid w:val="001D7EFD"/>
    <w:rsid w:val="001D7F60"/>
    <w:rsid w:val="001E0784"/>
    <w:rsid w:val="001E105C"/>
    <w:rsid w:val="001E13CF"/>
    <w:rsid w:val="001E504C"/>
    <w:rsid w:val="001E5A17"/>
    <w:rsid w:val="001E61F9"/>
    <w:rsid w:val="001E6862"/>
    <w:rsid w:val="001E74C5"/>
    <w:rsid w:val="001F1236"/>
    <w:rsid w:val="001F2549"/>
    <w:rsid w:val="001F2947"/>
    <w:rsid w:val="001F2F90"/>
    <w:rsid w:val="001F4597"/>
    <w:rsid w:val="001F4826"/>
    <w:rsid w:val="001F7CE0"/>
    <w:rsid w:val="00200085"/>
    <w:rsid w:val="00200941"/>
    <w:rsid w:val="00201033"/>
    <w:rsid w:val="00201DD6"/>
    <w:rsid w:val="00202FC2"/>
    <w:rsid w:val="00203332"/>
    <w:rsid w:val="00203CD5"/>
    <w:rsid w:val="00203D8F"/>
    <w:rsid w:val="00203DA4"/>
    <w:rsid w:val="00205186"/>
    <w:rsid w:val="002071D5"/>
    <w:rsid w:val="0020789F"/>
    <w:rsid w:val="00207D4D"/>
    <w:rsid w:val="00210E56"/>
    <w:rsid w:val="002111E5"/>
    <w:rsid w:val="002118B9"/>
    <w:rsid w:val="002142C0"/>
    <w:rsid w:val="00217C5B"/>
    <w:rsid w:val="00220A43"/>
    <w:rsid w:val="0022139E"/>
    <w:rsid w:val="00221DEA"/>
    <w:rsid w:val="00222729"/>
    <w:rsid w:val="002233D6"/>
    <w:rsid w:val="0022441D"/>
    <w:rsid w:val="00224574"/>
    <w:rsid w:val="002245B7"/>
    <w:rsid w:val="002252E0"/>
    <w:rsid w:val="002255F6"/>
    <w:rsid w:val="0022665E"/>
    <w:rsid w:val="00227605"/>
    <w:rsid w:val="00227704"/>
    <w:rsid w:val="00227850"/>
    <w:rsid w:val="00227A53"/>
    <w:rsid w:val="00227E2E"/>
    <w:rsid w:val="00227F53"/>
    <w:rsid w:val="00230469"/>
    <w:rsid w:val="00230C6E"/>
    <w:rsid w:val="002316A8"/>
    <w:rsid w:val="002326C1"/>
    <w:rsid w:val="00233603"/>
    <w:rsid w:val="002340EF"/>
    <w:rsid w:val="00234482"/>
    <w:rsid w:val="00236443"/>
    <w:rsid w:val="00236552"/>
    <w:rsid w:val="00240AF3"/>
    <w:rsid w:val="002418D5"/>
    <w:rsid w:val="00241B06"/>
    <w:rsid w:val="002436BA"/>
    <w:rsid w:val="00244807"/>
    <w:rsid w:val="00244A15"/>
    <w:rsid w:val="002452D9"/>
    <w:rsid w:val="00245F55"/>
    <w:rsid w:val="00247319"/>
    <w:rsid w:val="0024799E"/>
    <w:rsid w:val="00247E60"/>
    <w:rsid w:val="002505E3"/>
    <w:rsid w:val="00251253"/>
    <w:rsid w:val="0025190D"/>
    <w:rsid w:val="00251C53"/>
    <w:rsid w:val="00252AB9"/>
    <w:rsid w:val="0025329C"/>
    <w:rsid w:val="00253C0F"/>
    <w:rsid w:val="002558C1"/>
    <w:rsid w:val="00256165"/>
    <w:rsid w:val="00256207"/>
    <w:rsid w:val="002602D8"/>
    <w:rsid w:val="002603E1"/>
    <w:rsid w:val="00260D10"/>
    <w:rsid w:val="0026120E"/>
    <w:rsid w:val="0026291D"/>
    <w:rsid w:val="00264309"/>
    <w:rsid w:val="00267B49"/>
    <w:rsid w:val="00267E79"/>
    <w:rsid w:val="0027025F"/>
    <w:rsid w:val="002709CC"/>
    <w:rsid w:val="00271022"/>
    <w:rsid w:val="00271465"/>
    <w:rsid w:val="002715E1"/>
    <w:rsid w:val="00272A4B"/>
    <w:rsid w:val="00272DF4"/>
    <w:rsid w:val="0027583D"/>
    <w:rsid w:val="00275DEF"/>
    <w:rsid w:val="00276B33"/>
    <w:rsid w:val="00276CE2"/>
    <w:rsid w:val="002809BC"/>
    <w:rsid w:val="002812E3"/>
    <w:rsid w:val="00283018"/>
    <w:rsid w:val="002837AE"/>
    <w:rsid w:val="00283C13"/>
    <w:rsid w:val="00283D3B"/>
    <w:rsid w:val="002853FA"/>
    <w:rsid w:val="00285412"/>
    <w:rsid w:val="00291640"/>
    <w:rsid w:val="0029237E"/>
    <w:rsid w:val="00292997"/>
    <w:rsid w:val="00293D24"/>
    <w:rsid w:val="00294828"/>
    <w:rsid w:val="00294EC7"/>
    <w:rsid w:val="0029588F"/>
    <w:rsid w:val="00295B9F"/>
    <w:rsid w:val="00296FB1"/>
    <w:rsid w:val="00297256"/>
    <w:rsid w:val="00297A5C"/>
    <w:rsid w:val="00297D51"/>
    <w:rsid w:val="002A0122"/>
    <w:rsid w:val="002A016B"/>
    <w:rsid w:val="002A0BC4"/>
    <w:rsid w:val="002A16D4"/>
    <w:rsid w:val="002A1E4F"/>
    <w:rsid w:val="002A230C"/>
    <w:rsid w:val="002A2AF7"/>
    <w:rsid w:val="002A33A7"/>
    <w:rsid w:val="002A3EA2"/>
    <w:rsid w:val="002A466F"/>
    <w:rsid w:val="002A532A"/>
    <w:rsid w:val="002A5846"/>
    <w:rsid w:val="002A5D97"/>
    <w:rsid w:val="002A603E"/>
    <w:rsid w:val="002A63B9"/>
    <w:rsid w:val="002B4845"/>
    <w:rsid w:val="002B58E4"/>
    <w:rsid w:val="002B72AA"/>
    <w:rsid w:val="002C01FD"/>
    <w:rsid w:val="002C0E8E"/>
    <w:rsid w:val="002C159B"/>
    <w:rsid w:val="002C22A4"/>
    <w:rsid w:val="002C27A6"/>
    <w:rsid w:val="002C368F"/>
    <w:rsid w:val="002C40D2"/>
    <w:rsid w:val="002C43BD"/>
    <w:rsid w:val="002C5245"/>
    <w:rsid w:val="002C621D"/>
    <w:rsid w:val="002D0E59"/>
    <w:rsid w:val="002D1D5F"/>
    <w:rsid w:val="002D40BE"/>
    <w:rsid w:val="002D41E1"/>
    <w:rsid w:val="002E02A1"/>
    <w:rsid w:val="002E196A"/>
    <w:rsid w:val="002E20C7"/>
    <w:rsid w:val="002E20CD"/>
    <w:rsid w:val="002E222E"/>
    <w:rsid w:val="002E28D8"/>
    <w:rsid w:val="002E37D1"/>
    <w:rsid w:val="002E3BEE"/>
    <w:rsid w:val="002E4E4C"/>
    <w:rsid w:val="002E4EA7"/>
    <w:rsid w:val="002E5846"/>
    <w:rsid w:val="002E792B"/>
    <w:rsid w:val="002F1307"/>
    <w:rsid w:val="002F1DCB"/>
    <w:rsid w:val="002F1F1E"/>
    <w:rsid w:val="002F20DC"/>
    <w:rsid w:val="002F333D"/>
    <w:rsid w:val="002F351A"/>
    <w:rsid w:val="002F498A"/>
    <w:rsid w:val="002F4AD8"/>
    <w:rsid w:val="002F5820"/>
    <w:rsid w:val="002F6361"/>
    <w:rsid w:val="002F6A9F"/>
    <w:rsid w:val="00300C31"/>
    <w:rsid w:val="003034E0"/>
    <w:rsid w:val="00303BB4"/>
    <w:rsid w:val="00304771"/>
    <w:rsid w:val="00304F1F"/>
    <w:rsid w:val="003052D4"/>
    <w:rsid w:val="00306C5B"/>
    <w:rsid w:val="00307DB3"/>
    <w:rsid w:val="00307ED2"/>
    <w:rsid w:val="0031076D"/>
    <w:rsid w:val="00311AA6"/>
    <w:rsid w:val="00311C4D"/>
    <w:rsid w:val="003121AB"/>
    <w:rsid w:val="0031239E"/>
    <w:rsid w:val="00314A42"/>
    <w:rsid w:val="00314D43"/>
    <w:rsid w:val="003151BD"/>
    <w:rsid w:val="003153C8"/>
    <w:rsid w:val="00315524"/>
    <w:rsid w:val="0032058C"/>
    <w:rsid w:val="003208D0"/>
    <w:rsid w:val="003209D6"/>
    <w:rsid w:val="00320A0F"/>
    <w:rsid w:val="003217B9"/>
    <w:rsid w:val="00321924"/>
    <w:rsid w:val="00321EB6"/>
    <w:rsid w:val="00321EC5"/>
    <w:rsid w:val="003220A5"/>
    <w:rsid w:val="00322302"/>
    <w:rsid w:val="00323A1C"/>
    <w:rsid w:val="00324B59"/>
    <w:rsid w:val="00325F21"/>
    <w:rsid w:val="0032656E"/>
    <w:rsid w:val="00332190"/>
    <w:rsid w:val="00333CD0"/>
    <w:rsid w:val="00333D26"/>
    <w:rsid w:val="0033448D"/>
    <w:rsid w:val="00334AD2"/>
    <w:rsid w:val="00336DDB"/>
    <w:rsid w:val="0033709C"/>
    <w:rsid w:val="003370C5"/>
    <w:rsid w:val="00337568"/>
    <w:rsid w:val="0033778D"/>
    <w:rsid w:val="00341D26"/>
    <w:rsid w:val="00341F05"/>
    <w:rsid w:val="0034335E"/>
    <w:rsid w:val="00343A89"/>
    <w:rsid w:val="00344668"/>
    <w:rsid w:val="003462D9"/>
    <w:rsid w:val="00347247"/>
    <w:rsid w:val="00347DD4"/>
    <w:rsid w:val="00347E18"/>
    <w:rsid w:val="00352B43"/>
    <w:rsid w:val="00352C28"/>
    <w:rsid w:val="00355C86"/>
    <w:rsid w:val="0036077F"/>
    <w:rsid w:val="00360C86"/>
    <w:rsid w:val="00360F7A"/>
    <w:rsid w:val="00360FBC"/>
    <w:rsid w:val="00361537"/>
    <w:rsid w:val="003622EE"/>
    <w:rsid w:val="0036242A"/>
    <w:rsid w:val="00362C23"/>
    <w:rsid w:val="00362E90"/>
    <w:rsid w:val="00363817"/>
    <w:rsid w:val="00364884"/>
    <w:rsid w:val="00364FA0"/>
    <w:rsid w:val="003657F3"/>
    <w:rsid w:val="003661B2"/>
    <w:rsid w:val="00367F84"/>
    <w:rsid w:val="00370739"/>
    <w:rsid w:val="003712BC"/>
    <w:rsid w:val="00372164"/>
    <w:rsid w:val="00372CA1"/>
    <w:rsid w:val="00372F99"/>
    <w:rsid w:val="003738BD"/>
    <w:rsid w:val="00373AA6"/>
    <w:rsid w:val="003746F0"/>
    <w:rsid w:val="00374A20"/>
    <w:rsid w:val="00374E21"/>
    <w:rsid w:val="0037599A"/>
    <w:rsid w:val="00376D08"/>
    <w:rsid w:val="00377F40"/>
    <w:rsid w:val="00380C34"/>
    <w:rsid w:val="003818DC"/>
    <w:rsid w:val="00382513"/>
    <w:rsid w:val="00382CDE"/>
    <w:rsid w:val="00382FC6"/>
    <w:rsid w:val="00383388"/>
    <w:rsid w:val="003834F8"/>
    <w:rsid w:val="003838D0"/>
    <w:rsid w:val="003840C2"/>
    <w:rsid w:val="00384327"/>
    <w:rsid w:val="00384A89"/>
    <w:rsid w:val="00385086"/>
    <w:rsid w:val="00385D98"/>
    <w:rsid w:val="003861EF"/>
    <w:rsid w:val="00390306"/>
    <w:rsid w:val="003908A6"/>
    <w:rsid w:val="003927F6"/>
    <w:rsid w:val="003934E5"/>
    <w:rsid w:val="00393E85"/>
    <w:rsid w:val="003944BD"/>
    <w:rsid w:val="00394B51"/>
    <w:rsid w:val="003966F8"/>
    <w:rsid w:val="00396739"/>
    <w:rsid w:val="00397E51"/>
    <w:rsid w:val="003A04F6"/>
    <w:rsid w:val="003A2B4D"/>
    <w:rsid w:val="003A2D12"/>
    <w:rsid w:val="003A45E3"/>
    <w:rsid w:val="003A478C"/>
    <w:rsid w:val="003A5525"/>
    <w:rsid w:val="003A5889"/>
    <w:rsid w:val="003A6085"/>
    <w:rsid w:val="003A6B38"/>
    <w:rsid w:val="003A6B83"/>
    <w:rsid w:val="003A722F"/>
    <w:rsid w:val="003B039F"/>
    <w:rsid w:val="003B0DF4"/>
    <w:rsid w:val="003B1F9D"/>
    <w:rsid w:val="003B2AD1"/>
    <w:rsid w:val="003B2D2E"/>
    <w:rsid w:val="003B359C"/>
    <w:rsid w:val="003B461F"/>
    <w:rsid w:val="003B483F"/>
    <w:rsid w:val="003B4998"/>
    <w:rsid w:val="003B5A32"/>
    <w:rsid w:val="003C2CFE"/>
    <w:rsid w:val="003C3490"/>
    <w:rsid w:val="003C3756"/>
    <w:rsid w:val="003C3D2C"/>
    <w:rsid w:val="003C6221"/>
    <w:rsid w:val="003C68CC"/>
    <w:rsid w:val="003C6C63"/>
    <w:rsid w:val="003C7E62"/>
    <w:rsid w:val="003D017F"/>
    <w:rsid w:val="003D12B9"/>
    <w:rsid w:val="003D1CDF"/>
    <w:rsid w:val="003D242B"/>
    <w:rsid w:val="003D2492"/>
    <w:rsid w:val="003D29AA"/>
    <w:rsid w:val="003D2A99"/>
    <w:rsid w:val="003D444C"/>
    <w:rsid w:val="003D6920"/>
    <w:rsid w:val="003E09B5"/>
    <w:rsid w:val="003E1EF8"/>
    <w:rsid w:val="003E4C91"/>
    <w:rsid w:val="003E52D8"/>
    <w:rsid w:val="003F0B9F"/>
    <w:rsid w:val="003F0D62"/>
    <w:rsid w:val="003F2481"/>
    <w:rsid w:val="003F2F7D"/>
    <w:rsid w:val="003F313C"/>
    <w:rsid w:val="003F37FC"/>
    <w:rsid w:val="003F447B"/>
    <w:rsid w:val="003F4B2C"/>
    <w:rsid w:val="003F551C"/>
    <w:rsid w:val="003F626D"/>
    <w:rsid w:val="003F72ED"/>
    <w:rsid w:val="003F7D23"/>
    <w:rsid w:val="00400050"/>
    <w:rsid w:val="004002C8"/>
    <w:rsid w:val="00400468"/>
    <w:rsid w:val="0040099D"/>
    <w:rsid w:val="00401B23"/>
    <w:rsid w:val="00402ADB"/>
    <w:rsid w:val="0040368D"/>
    <w:rsid w:val="00404D76"/>
    <w:rsid w:val="004059D2"/>
    <w:rsid w:val="00405B98"/>
    <w:rsid w:val="00406C2E"/>
    <w:rsid w:val="00406EB0"/>
    <w:rsid w:val="00407711"/>
    <w:rsid w:val="00407C13"/>
    <w:rsid w:val="00410638"/>
    <w:rsid w:val="00412511"/>
    <w:rsid w:val="004125C2"/>
    <w:rsid w:val="00412DFA"/>
    <w:rsid w:val="00413026"/>
    <w:rsid w:val="00413465"/>
    <w:rsid w:val="00414F2C"/>
    <w:rsid w:val="0041501E"/>
    <w:rsid w:val="0041586B"/>
    <w:rsid w:val="004159C3"/>
    <w:rsid w:val="00415A57"/>
    <w:rsid w:val="00416DAC"/>
    <w:rsid w:val="004178C3"/>
    <w:rsid w:val="00420880"/>
    <w:rsid w:val="00421179"/>
    <w:rsid w:val="0042330F"/>
    <w:rsid w:val="0042359D"/>
    <w:rsid w:val="0042568B"/>
    <w:rsid w:val="004257C3"/>
    <w:rsid w:val="00427B59"/>
    <w:rsid w:val="00431BFF"/>
    <w:rsid w:val="00432637"/>
    <w:rsid w:val="00432A58"/>
    <w:rsid w:val="004331C3"/>
    <w:rsid w:val="00433841"/>
    <w:rsid w:val="00433C00"/>
    <w:rsid w:val="00434617"/>
    <w:rsid w:val="00435051"/>
    <w:rsid w:val="004357AF"/>
    <w:rsid w:val="00435C69"/>
    <w:rsid w:val="00436082"/>
    <w:rsid w:val="004360FB"/>
    <w:rsid w:val="004364C1"/>
    <w:rsid w:val="00437CED"/>
    <w:rsid w:val="0044075B"/>
    <w:rsid w:val="0044076A"/>
    <w:rsid w:val="00440900"/>
    <w:rsid w:val="0044121D"/>
    <w:rsid w:val="0044139A"/>
    <w:rsid w:val="00441682"/>
    <w:rsid w:val="00441A7C"/>
    <w:rsid w:val="00441BF6"/>
    <w:rsid w:val="0044274F"/>
    <w:rsid w:val="004441A0"/>
    <w:rsid w:val="00445861"/>
    <w:rsid w:val="00445A8E"/>
    <w:rsid w:val="00446D44"/>
    <w:rsid w:val="004473B6"/>
    <w:rsid w:val="0044761F"/>
    <w:rsid w:val="0045078A"/>
    <w:rsid w:val="0045086D"/>
    <w:rsid w:val="00451EF1"/>
    <w:rsid w:val="00452906"/>
    <w:rsid w:val="00452E60"/>
    <w:rsid w:val="00455FC1"/>
    <w:rsid w:val="00456FE5"/>
    <w:rsid w:val="00457490"/>
    <w:rsid w:val="00457953"/>
    <w:rsid w:val="00460FB3"/>
    <w:rsid w:val="00464851"/>
    <w:rsid w:val="004656CD"/>
    <w:rsid w:val="00467B14"/>
    <w:rsid w:val="004707FE"/>
    <w:rsid w:val="0047276D"/>
    <w:rsid w:val="00472AF6"/>
    <w:rsid w:val="00474016"/>
    <w:rsid w:val="00474A04"/>
    <w:rsid w:val="00475407"/>
    <w:rsid w:val="0047553A"/>
    <w:rsid w:val="00476240"/>
    <w:rsid w:val="00476439"/>
    <w:rsid w:val="004769E0"/>
    <w:rsid w:val="00476D7D"/>
    <w:rsid w:val="0047735C"/>
    <w:rsid w:val="004776BC"/>
    <w:rsid w:val="00477820"/>
    <w:rsid w:val="00477B96"/>
    <w:rsid w:val="00480840"/>
    <w:rsid w:val="00480D99"/>
    <w:rsid w:val="0048139F"/>
    <w:rsid w:val="00481B18"/>
    <w:rsid w:val="00481E40"/>
    <w:rsid w:val="00482405"/>
    <w:rsid w:val="004826A7"/>
    <w:rsid w:val="0048368C"/>
    <w:rsid w:val="00484ECE"/>
    <w:rsid w:val="0048586B"/>
    <w:rsid w:val="00486251"/>
    <w:rsid w:val="00486A4D"/>
    <w:rsid w:val="004900AB"/>
    <w:rsid w:val="0049094C"/>
    <w:rsid w:val="004915CB"/>
    <w:rsid w:val="004924DC"/>
    <w:rsid w:val="00492879"/>
    <w:rsid w:val="00493A4C"/>
    <w:rsid w:val="00494C04"/>
    <w:rsid w:val="0049789B"/>
    <w:rsid w:val="004979A5"/>
    <w:rsid w:val="00497F35"/>
    <w:rsid w:val="004A05E6"/>
    <w:rsid w:val="004A0FD3"/>
    <w:rsid w:val="004A14E4"/>
    <w:rsid w:val="004A1C10"/>
    <w:rsid w:val="004A204E"/>
    <w:rsid w:val="004A26A5"/>
    <w:rsid w:val="004A27F0"/>
    <w:rsid w:val="004A3212"/>
    <w:rsid w:val="004A37CD"/>
    <w:rsid w:val="004A40D9"/>
    <w:rsid w:val="004A4F8A"/>
    <w:rsid w:val="004A5494"/>
    <w:rsid w:val="004A5AF4"/>
    <w:rsid w:val="004A61C5"/>
    <w:rsid w:val="004A62A0"/>
    <w:rsid w:val="004A77DF"/>
    <w:rsid w:val="004B1417"/>
    <w:rsid w:val="004B305C"/>
    <w:rsid w:val="004B320E"/>
    <w:rsid w:val="004B339A"/>
    <w:rsid w:val="004B5201"/>
    <w:rsid w:val="004B55B7"/>
    <w:rsid w:val="004B6468"/>
    <w:rsid w:val="004B6EF8"/>
    <w:rsid w:val="004B7125"/>
    <w:rsid w:val="004B756A"/>
    <w:rsid w:val="004B7FB1"/>
    <w:rsid w:val="004C2734"/>
    <w:rsid w:val="004C384C"/>
    <w:rsid w:val="004C3867"/>
    <w:rsid w:val="004C393C"/>
    <w:rsid w:val="004C3DB0"/>
    <w:rsid w:val="004C4720"/>
    <w:rsid w:val="004C4951"/>
    <w:rsid w:val="004C4CD0"/>
    <w:rsid w:val="004C5060"/>
    <w:rsid w:val="004C5165"/>
    <w:rsid w:val="004C6322"/>
    <w:rsid w:val="004C6E0E"/>
    <w:rsid w:val="004C70DC"/>
    <w:rsid w:val="004D0211"/>
    <w:rsid w:val="004D0794"/>
    <w:rsid w:val="004D199B"/>
    <w:rsid w:val="004D3296"/>
    <w:rsid w:val="004D499A"/>
    <w:rsid w:val="004D530C"/>
    <w:rsid w:val="004D5B0F"/>
    <w:rsid w:val="004D5E77"/>
    <w:rsid w:val="004D6ED7"/>
    <w:rsid w:val="004D7626"/>
    <w:rsid w:val="004E1A40"/>
    <w:rsid w:val="004E200A"/>
    <w:rsid w:val="004E23FC"/>
    <w:rsid w:val="004E2409"/>
    <w:rsid w:val="004E261D"/>
    <w:rsid w:val="004E4273"/>
    <w:rsid w:val="004E4C0C"/>
    <w:rsid w:val="004E6D1D"/>
    <w:rsid w:val="004E6DCE"/>
    <w:rsid w:val="004E6DE6"/>
    <w:rsid w:val="004E765E"/>
    <w:rsid w:val="004E7815"/>
    <w:rsid w:val="004F06F5"/>
    <w:rsid w:val="004F12A4"/>
    <w:rsid w:val="004F1C56"/>
    <w:rsid w:val="004F1C89"/>
    <w:rsid w:val="004F253F"/>
    <w:rsid w:val="004F2DDD"/>
    <w:rsid w:val="004F33A0"/>
    <w:rsid w:val="004F3BD2"/>
    <w:rsid w:val="004F4665"/>
    <w:rsid w:val="004F730C"/>
    <w:rsid w:val="00500592"/>
    <w:rsid w:val="00501171"/>
    <w:rsid w:val="00502129"/>
    <w:rsid w:val="0050387A"/>
    <w:rsid w:val="00504812"/>
    <w:rsid w:val="005048E2"/>
    <w:rsid w:val="00504CA4"/>
    <w:rsid w:val="0050648F"/>
    <w:rsid w:val="00506603"/>
    <w:rsid w:val="0050689D"/>
    <w:rsid w:val="00506EEE"/>
    <w:rsid w:val="00507012"/>
    <w:rsid w:val="00507394"/>
    <w:rsid w:val="005077F5"/>
    <w:rsid w:val="005108C0"/>
    <w:rsid w:val="0051094F"/>
    <w:rsid w:val="00511873"/>
    <w:rsid w:val="00512461"/>
    <w:rsid w:val="00512A2F"/>
    <w:rsid w:val="00513B7E"/>
    <w:rsid w:val="0051475D"/>
    <w:rsid w:val="00514B11"/>
    <w:rsid w:val="00515BE9"/>
    <w:rsid w:val="00515C74"/>
    <w:rsid w:val="00516F6A"/>
    <w:rsid w:val="00517113"/>
    <w:rsid w:val="00517588"/>
    <w:rsid w:val="0052007E"/>
    <w:rsid w:val="00522C8D"/>
    <w:rsid w:val="00522E01"/>
    <w:rsid w:val="0052337A"/>
    <w:rsid w:val="00524385"/>
    <w:rsid w:val="005246BE"/>
    <w:rsid w:val="00525137"/>
    <w:rsid w:val="005251DD"/>
    <w:rsid w:val="0053009D"/>
    <w:rsid w:val="005301A6"/>
    <w:rsid w:val="005309A2"/>
    <w:rsid w:val="00530A68"/>
    <w:rsid w:val="00530AD4"/>
    <w:rsid w:val="00531409"/>
    <w:rsid w:val="0053183A"/>
    <w:rsid w:val="00532CE7"/>
    <w:rsid w:val="00532D8B"/>
    <w:rsid w:val="005331EF"/>
    <w:rsid w:val="0053324C"/>
    <w:rsid w:val="00534A28"/>
    <w:rsid w:val="00535018"/>
    <w:rsid w:val="0053595E"/>
    <w:rsid w:val="00537571"/>
    <w:rsid w:val="0053761B"/>
    <w:rsid w:val="00540168"/>
    <w:rsid w:val="005410E2"/>
    <w:rsid w:val="00541508"/>
    <w:rsid w:val="00541AE3"/>
    <w:rsid w:val="00543498"/>
    <w:rsid w:val="00544BE5"/>
    <w:rsid w:val="00547F7A"/>
    <w:rsid w:val="00550160"/>
    <w:rsid w:val="005523A8"/>
    <w:rsid w:val="00552F2C"/>
    <w:rsid w:val="005534F4"/>
    <w:rsid w:val="00553A25"/>
    <w:rsid w:val="0055451B"/>
    <w:rsid w:val="005547EB"/>
    <w:rsid w:val="005555E0"/>
    <w:rsid w:val="0055599F"/>
    <w:rsid w:val="00556D68"/>
    <w:rsid w:val="005570D6"/>
    <w:rsid w:val="00557E45"/>
    <w:rsid w:val="005600FF"/>
    <w:rsid w:val="005612FC"/>
    <w:rsid w:val="00561F44"/>
    <w:rsid w:val="00563AC8"/>
    <w:rsid w:val="00563EB8"/>
    <w:rsid w:val="005647BF"/>
    <w:rsid w:val="00564AF1"/>
    <w:rsid w:val="005651B0"/>
    <w:rsid w:val="005655DB"/>
    <w:rsid w:val="005678DC"/>
    <w:rsid w:val="00570270"/>
    <w:rsid w:val="00570BC3"/>
    <w:rsid w:val="0057182A"/>
    <w:rsid w:val="00571E59"/>
    <w:rsid w:val="00572079"/>
    <w:rsid w:val="00572350"/>
    <w:rsid w:val="00573602"/>
    <w:rsid w:val="0057364B"/>
    <w:rsid w:val="00574552"/>
    <w:rsid w:val="00574682"/>
    <w:rsid w:val="00574773"/>
    <w:rsid w:val="0057496F"/>
    <w:rsid w:val="00575F37"/>
    <w:rsid w:val="005761EC"/>
    <w:rsid w:val="005765CD"/>
    <w:rsid w:val="005773E1"/>
    <w:rsid w:val="00577C07"/>
    <w:rsid w:val="00577DB1"/>
    <w:rsid w:val="00580D5C"/>
    <w:rsid w:val="00580DE7"/>
    <w:rsid w:val="00583E52"/>
    <w:rsid w:val="00583FFD"/>
    <w:rsid w:val="0058519A"/>
    <w:rsid w:val="005856BD"/>
    <w:rsid w:val="00586BCA"/>
    <w:rsid w:val="00587632"/>
    <w:rsid w:val="00590B28"/>
    <w:rsid w:val="005911BE"/>
    <w:rsid w:val="00591273"/>
    <w:rsid w:val="005927A4"/>
    <w:rsid w:val="00593152"/>
    <w:rsid w:val="00594157"/>
    <w:rsid w:val="005956A3"/>
    <w:rsid w:val="00595958"/>
    <w:rsid w:val="00595CAB"/>
    <w:rsid w:val="00597BBF"/>
    <w:rsid w:val="005A10F2"/>
    <w:rsid w:val="005A1F58"/>
    <w:rsid w:val="005A21E0"/>
    <w:rsid w:val="005A28FF"/>
    <w:rsid w:val="005A2C09"/>
    <w:rsid w:val="005A3778"/>
    <w:rsid w:val="005A3AD8"/>
    <w:rsid w:val="005A3DF8"/>
    <w:rsid w:val="005A5549"/>
    <w:rsid w:val="005A7CF8"/>
    <w:rsid w:val="005B121D"/>
    <w:rsid w:val="005B3309"/>
    <w:rsid w:val="005B41C9"/>
    <w:rsid w:val="005B4853"/>
    <w:rsid w:val="005B66CC"/>
    <w:rsid w:val="005B6CA1"/>
    <w:rsid w:val="005B770C"/>
    <w:rsid w:val="005B7814"/>
    <w:rsid w:val="005C02E4"/>
    <w:rsid w:val="005C06ED"/>
    <w:rsid w:val="005C09B2"/>
    <w:rsid w:val="005C11B8"/>
    <w:rsid w:val="005C2609"/>
    <w:rsid w:val="005C43EC"/>
    <w:rsid w:val="005C45DD"/>
    <w:rsid w:val="005D21F1"/>
    <w:rsid w:val="005D2FDA"/>
    <w:rsid w:val="005D3F06"/>
    <w:rsid w:val="005D4B73"/>
    <w:rsid w:val="005D5575"/>
    <w:rsid w:val="005D5802"/>
    <w:rsid w:val="005D5AA9"/>
    <w:rsid w:val="005D66E6"/>
    <w:rsid w:val="005D690B"/>
    <w:rsid w:val="005D7119"/>
    <w:rsid w:val="005D76C8"/>
    <w:rsid w:val="005D7890"/>
    <w:rsid w:val="005E1026"/>
    <w:rsid w:val="005E19C1"/>
    <w:rsid w:val="005E2194"/>
    <w:rsid w:val="005E24F0"/>
    <w:rsid w:val="005E36FE"/>
    <w:rsid w:val="005E490F"/>
    <w:rsid w:val="005E4BC9"/>
    <w:rsid w:val="005E5314"/>
    <w:rsid w:val="005E7074"/>
    <w:rsid w:val="005E7C78"/>
    <w:rsid w:val="005F04A7"/>
    <w:rsid w:val="005F114F"/>
    <w:rsid w:val="005F18C5"/>
    <w:rsid w:val="005F2097"/>
    <w:rsid w:val="005F2A08"/>
    <w:rsid w:val="005F36CC"/>
    <w:rsid w:val="005F3EB1"/>
    <w:rsid w:val="005F466B"/>
    <w:rsid w:val="005F46D8"/>
    <w:rsid w:val="005F5469"/>
    <w:rsid w:val="005F57FA"/>
    <w:rsid w:val="005F63F3"/>
    <w:rsid w:val="005F68DB"/>
    <w:rsid w:val="005F6D7F"/>
    <w:rsid w:val="00600C2F"/>
    <w:rsid w:val="00601EEF"/>
    <w:rsid w:val="00602A4D"/>
    <w:rsid w:val="00604307"/>
    <w:rsid w:val="0060487F"/>
    <w:rsid w:val="006048BE"/>
    <w:rsid w:val="00604EAD"/>
    <w:rsid w:val="0060513F"/>
    <w:rsid w:val="006072CF"/>
    <w:rsid w:val="006104FB"/>
    <w:rsid w:val="006115B5"/>
    <w:rsid w:val="00612A2F"/>
    <w:rsid w:val="00612AAE"/>
    <w:rsid w:val="00612FD9"/>
    <w:rsid w:val="00612FE6"/>
    <w:rsid w:val="006139E0"/>
    <w:rsid w:val="006156B4"/>
    <w:rsid w:val="00615DAF"/>
    <w:rsid w:val="00616E05"/>
    <w:rsid w:val="00617985"/>
    <w:rsid w:val="0062131B"/>
    <w:rsid w:val="006227DF"/>
    <w:rsid w:val="00623321"/>
    <w:rsid w:val="006236C8"/>
    <w:rsid w:val="00624093"/>
    <w:rsid w:val="00624E09"/>
    <w:rsid w:val="00626025"/>
    <w:rsid w:val="00626E7E"/>
    <w:rsid w:val="00630EE9"/>
    <w:rsid w:val="00631643"/>
    <w:rsid w:val="00631698"/>
    <w:rsid w:val="00631E44"/>
    <w:rsid w:val="00633329"/>
    <w:rsid w:val="006335AF"/>
    <w:rsid w:val="00634C57"/>
    <w:rsid w:val="00634CE7"/>
    <w:rsid w:val="006350D5"/>
    <w:rsid w:val="0063642C"/>
    <w:rsid w:val="00637858"/>
    <w:rsid w:val="00637C3D"/>
    <w:rsid w:val="00637EFD"/>
    <w:rsid w:val="006404A7"/>
    <w:rsid w:val="00640715"/>
    <w:rsid w:val="00640A38"/>
    <w:rsid w:val="00641787"/>
    <w:rsid w:val="00642489"/>
    <w:rsid w:val="00642910"/>
    <w:rsid w:val="00644137"/>
    <w:rsid w:val="0064478C"/>
    <w:rsid w:val="006451E4"/>
    <w:rsid w:val="00645B33"/>
    <w:rsid w:val="00647D47"/>
    <w:rsid w:val="006510C7"/>
    <w:rsid w:val="006516CB"/>
    <w:rsid w:val="0065224C"/>
    <w:rsid w:val="0065267E"/>
    <w:rsid w:val="006538D9"/>
    <w:rsid w:val="00653BD0"/>
    <w:rsid w:val="00654110"/>
    <w:rsid w:val="0065517D"/>
    <w:rsid w:val="00656C5D"/>
    <w:rsid w:val="00656CFB"/>
    <w:rsid w:val="00656DA5"/>
    <w:rsid w:val="00657C02"/>
    <w:rsid w:val="00657E87"/>
    <w:rsid w:val="00660D2D"/>
    <w:rsid w:val="00661EDB"/>
    <w:rsid w:val="00662469"/>
    <w:rsid w:val="00664647"/>
    <w:rsid w:val="00664803"/>
    <w:rsid w:val="00665982"/>
    <w:rsid w:val="00665BA4"/>
    <w:rsid w:val="006674BE"/>
    <w:rsid w:val="00667AF2"/>
    <w:rsid w:val="0067017A"/>
    <w:rsid w:val="00670489"/>
    <w:rsid w:val="006710C9"/>
    <w:rsid w:val="00671D05"/>
    <w:rsid w:val="00672866"/>
    <w:rsid w:val="006741CD"/>
    <w:rsid w:val="00674D89"/>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354"/>
    <w:rsid w:val="00686718"/>
    <w:rsid w:val="00686BFA"/>
    <w:rsid w:val="00686DED"/>
    <w:rsid w:val="006875A0"/>
    <w:rsid w:val="00687D27"/>
    <w:rsid w:val="00690E9E"/>
    <w:rsid w:val="00695065"/>
    <w:rsid w:val="00695BEF"/>
    <w:rsid w:val="00695EFF"/>
    <w:rsid w:val="006966C7"/>
    <w:rsid w:val="006968C1"/>
    <w:rsid w:val="006977F6"/>
    <w:rsid w:val="00697A13"/>
    <w:rsid w:val="006A072C"/>
    <w:rsid w:val="006A109C"/>
    <w:rsid w:val="006A5898"/>
    <w:rsid w:val="006A6354"/>
    <w:rsid w:val="006A6565"/>
    <w:rsid w:val="006A7691"/>
    <w:rsid w:val="006A7808"/>
    <w:rsid w:val="006A7E9D"/>
    <w:rsid w:val="006A7EE2"/>
    <w:rsid w:val="006B0514"/>
    <w:rsid w:val="006B0F92"/>
    <w:rsid w:val="006B1975"/>
    <w:rsid w:val="006B2785"/>
    <w:rsid w:val="006B344A"/>
    <w:rsid w:val="006B39B8"/>
    <w:rsid w:val="006B39F9"/>
    <w:rsid w:val="006B4006"/>
    <w:rsid w:val="006B58C9"/>
    <w:rsid w:val="006B60ED"/>
    <w:rsid w:val="006B6CC5"/>
    <w:rsid w:val="006B74AC"/>
    <w:rsid w:val="006B78D8"/>
    <w:rsid w:val="006B79EA"/>
    <w:rsid w:val="006C0512"/>
    <w:rsid w:val="006C0C5D"/>
    <w:rsid w:val="006C113F"/>
    <w:rsid w:val="006C123E"/>
    <w:rsid w:val="006C15A1"/>
    <w:rsid w:val="006C1752"/>
    <w:rsid w:val="006C28CA"/>
    <w:rsid w:val="006C2BBF"/>
    <w:rsid w:val="006C2FBD"/>
    <w:rsid w:val="006C4355"/>
    <w:rsid w:val="006C469D"/>
    <w:rsid w:val="006C46B5"/>
    <w:rsid w:val="006C474D"/>
    <w:rsid w:val="006C484F"/>
    <w:rsid w:val="006C52EC"/>
    <w:rsid w:val="006C56D4"/>
    <w:rsid w:val="006C6681"/>
    <w:rsid w:val="006C683C"/>
    <w:rsid w:val="006C6924"/>
    <w:rsid w:val="006C6C1E"/>
    <w:rsid w:val="006C7076"/>
    <w:rsid w:val="006C7746"/>
    <w:rsid w:val="006C7CA6"/>
    <w:rsid w:val="006D0AC4"/>
    <w:rsid w:val="006D18B3"/>
    <w:rsid w:val="006D1E89"/>
    <w:rsid w:val="006D3CD4"/>
    <w:rsid w:val="006D3E8A"/>
    <w:rsid w:val="006D61F6"/>
    <w:rsid w:val="006E1332"/>
    <w:rsid w:val="006E279A"/>
    <w:rsid w:val="006E2A88"/>
    <w:rsid w:val="006E313B"/>
    <w:rsid w:val="006E3A45"/>
    <w:rsid w:val="006E4789"/>
    <w:rsid w:val="006E47E7"/>
    <w:rsid w:val="006E53AD"/>
    <w:rsid w:val="006E58CB"/>
    <w:rsid w:val="006E7227"/>
    <w:rsid w:val="006F0741"/>
    <w:rsid w:val="006F0BA8"/>
    <w:rsid w:val="006F1C27"/>
    <w:rsid w:val="006F40DF"/>
    <w:rsid w:val="006F42BB"/>
    <w:rsid w:val="006F438E"/>
    <w:rsid w:val="006F440B"/>
    <w:rsid w:val="006F4B69"/>
    <w:rsid w:val="006F5323"/>
    <w:rsid w:val="006F5416"/>
    <w:rsid w:val="006F624B"/>
    <w:rsid w:val="006F6D87"/>
    <w:rsid w:val="007006CB"/>
    <w:rsid w:val="0070398A"/>
    <w:rsid w:val="00705242"/>
    <w:rsid w:val="007055E0"/>
    <w:rsid w:val="00705C4B"/>
    <w:rsid w:val="007065C5"/>
    <w:rsid w:val="00706AA0"/>
    <w:rsid w:val="00706AD4"/>
    <w:rsid w:val="00707150"/>
    <w:rsid w:val="00707EFA"/>
    <w:rsid w:val="00713549"/>
    <w:rsid w:val="007136DB"/>
    <w:rsid w:val="007140BE"/>
    <w:rsid w:val="00715502"/>
    <w:rsid w:val="00715E4D"/>
    <w:rsid w:val="00716514"/>
    <w:rsid w:val="00716F48"/>
    <w:rsid w:val="00717114"/>
    <w:rsid w:val="0071779F"/>
    <w:rsid w:val="007211F5"/>
    <w:rsid w:val="00723435"/>
    <w:rsid w:val="00723436"/>
    <w:rsid w:val="007240E2"/>
    <w:rsid w:val="0072583E"/>
    <w:rsid w:val="00725BB5"/>
    <w:rsid w:val="00727735"/>
    <w:rsid w:val="00727C02"/>
    <w:rsid w:val="00730AE8"/>
    <w:rsid w:val="00730F1B"/>
    <w:rsid w:val="007313D5"/>
    <w:rsid w:val="0073186D"/>
    <w:rsid w:val="00732136"/>
    <w:rsid w:val="0073333D"/>
    <w:rsid w:val="007341C8"/>
    <w:rsid w:val="007343D9"/>
    <w:rsid w:val="00735448"/>
    <w:rsid w:val="00736BF2"/>
    <w:rsid w:val="00737DEC"/>
    <w:rsid w:val="00737FBD"/>
    <w:rsid w:val="00741493"/>
    <w:rsid w:val="007434E5"/>
    <w:rsid w:val="0074499B"/>
    <w:rsid w:val="007465A7"/>
    <w:rsid w:val="007477BD"/>
    <w:rsid w:val="00750B47"/>
    <w:rsid w:val="00752157"/>
    <w:rsid w:val="00752180"/>
    <w:rsid w:val="00752323"/>
    <w:rsid w:val="00753122"/>
    <w:rsid w:val="007532B7"/>
    <w:rsid w:val="00753CAB"/>
    <w:rsid w:val="00754A70"/>
    <w:rsid w:val="00754BC9"/>
    <w:rsid w:val="00755202"/>
    <w:rsid w:val="00755D3A"/>
    <w:rsid w:val="00756554"/>
    <w:rsid w:val="007566A0"/>
    <w:rsid w:val="0075751D"/>
    <w:rsid w:val="007578D3"/>
    <w:rsid w:val="007602CF"/>
    <w:rsid w:val="00760391"/>
    <w:rsid w:val="007609C6"/>
    <w:rsid w:val="007615F3"/>
    <w:rsid w:val="0076175D"/>
    <w:rsid w:val="007629D5"/>
    <w:rsid w:val="007634FE"/>
    <w:rsid w:val="00763B85"/>
    <w:rsid w:val="00764974"/>
    <w:rsid w:val="00764D18"/>
    <w:rsid w:val="0076521E"/>
    <w:rsid w:val="00765795"/>
    <w:rsid w:val="007661E9"/>
    <w:rsid w:val="00767062"/>
    <w:rsid w:val="00767777"/>
    <w:rsid w:val="0077108A"/>
    <w:rsid w:val="00771972"/>
    <w:rsid w:val="00772DAB"/>
    <w:rsid w:val="007740FE"/>
    <w:rsid w:val="00774D2C"/>
    <w:rsid w:val="00776169"/>
    <w:rsid w:val="00776527"/>
    <w:rsid w:val="00776533"/>
    <w:rsid w:val="00777040"/>
    <w:rsid w:val="00777CE6"/>
    <w:rsid w:val="00777F8B"/>
    <w:rsid w:val="007803F7"/>
    <w:rsid w:val="00780EF1"/>
    <w:rsid w:val="00781A91"/>
    <w:rsid w:val="00785778"/>
    <w:rsid w:val="00786C87"/>
    <w:rsid w:val="0078721E"/>
    <w:rsid w:val="0078755E"/>
    <w:rsid w:val="007877C9"/>
    <w:rsid w:val="00790764"/>
    <w:rsid w:val="0079085F"/>
    <w:rsid w:val="00791005"/>
    <w:rsid w:val="00793D78"/>
    <w:rsid w:val="0079453C"/>
    <w:rsid w:val="00794677"/>
    <w:rsid w:val="007A1616"/>
    <w:rsid w:val="007A170B"/>
    <w:rsid w:val="007A1CD6"/>
    <w:rsid w:val="007A33E2"/>
    <w:rsid w:val="007A342C"/>
    <w:rsid w:val="007A3CAF"/>
    <w:rsid w:val="007A516D"/>
    <w:rsid w:val="007A55BA"/>
    <w:rsid w:val="007A5E65"/>
    <w:rsid w:val="007A65E1"/>
    <w:rsid w:val="007A775D"/>
    <w:rsid w:val="007B02AC"/>
    <w:rsid w:val="007B0834"/>
    <w:rsid w:val="007B0E83"/>
    <w:rsid w:val="007B11FA"/>
    <w:rsid w:val="007B1396"/>
    <w:rsid w:val="007B16D6"/>
    <w:rsid w:val="007B2011"/>
    <w:rsid w:val="007B2CB3"/>
    <w:rsid w:val="007B2CFE"/>
    <w:rsid w:val="007B309B"/>
    <w:rsid w:val="007B35A5"/>
    <w:rsid w:val="007B3622"/>
    <w:rsid w:val="007B3D5E"/>
    <w:rsid w:val="007B3DCB"/>
    <w:rsid w:val="007B5725"/>
    <w:rsid w:val="007B6689"/>
    <w:rsid w:val="007B6747"/>
    <w:rsid w:val="007B6F72"/>
    <w:rsid w:val="007B780E"/>
    <w:rsid w:val="007C1F0C"/>
    <w:rsid w:val="007C1FFB"/>
    <w:rsid w:val="007C2812"/>
    <w:rsid w:val="007C2D94"/>
    <w:rsid w:val="007C5F92"/>
    <w:rsid w:val="007C6227"/>
    <w:rsid w:val="007C6BBD"/>
    <w:rsid w:val="007C6D89"/>
    <w:rsid w:val="007C7BE4"/>
    <w:rsid w:val="007D0382"/>
    <w:rsid w:val="007D1A1F"/>
    <w:rsid w:val="007D2E18"/>
    <w:rsid w:val="007D3A5A"/>
    <w:rsid w:val="007D40DF"/>
    <w:rsid w:val="007D42E5"/>
    <w:rsid w:val="007D4458"/>
    <w:rsid w:val="007E0D4A"/>
    <w:rsid w:val="007E1788"/>
    <w:rsid w:val="007E2618"/>
    <w:rsid w:val="007E29B4"/>
    <w:rsid w:val="007E2A0F"/>
    <w:rsid w:val="007E2F12"/>
    <w:rsid w:val="007E435A"/>
    <w:rsid w:val="007E49F7"/>
    <w:rsid w:val="007E4C70"/>
    <w:rsid w:val="007E4EFE"/>
    <w:rsid w:val="007E61A2"/>
    <w:rsid w:val="007E78B6"/>
    <w:rsid w:val="007E79B4"/>
    <w:rsid w:val="007E7E61"/>
    <w:rsid w:val="007F0845"/>
    <w:rsid w:val="007F08A4"/>
    <w:rsid w:val="007F20F3"/>
    <w:rsid w:val="007F2390"/>
    <w:rsid w:val="007F2CAC"/>
    <w:rsid w:val="007F4740"/>
    <w:rsid w:val="007F524A"/>
    <w:rsid w:val="007F595A"/>
    <w:rsid w:val="007F6E7E"/>
    <w:rsid w:val="007F708D"/>
    <w:rsid w:val="008006B3"/>
    <w:rsid w:val="00801E13"/>
    <w:rsid w:val="00803008"/>
    <w:rsid w:val="00803069"/>
    <w:rsid w:val="008067D4"/>
    <w:rsid w:val="00807145"/>
    <w:rsid w:val="0080734C"/>
    <w:rsid w:val="0080798E"/>
    <w:rsid w:val="00807C82"/>
    <w:rsid w:val="00811791"/>
    <w:rsid w:val="008117CC"/>
    <w:rsid w:val="008125A4"/>
    <w:rsid w:val="00813DCA"/>
    <w:rsid w:val="00814A0E"/>
    <w:rsid w:val="008161A6"/>
    <w:rsid w:val="00816905"/>
    <w:rsid w:val="00817A17"/>
    <w:rsid w:val="00817EC1"/>
    <w:rsid w:val="0082112D"/>
    <w:rsid w:val="0082121F"/>
    <w:rsid w:val="00821FF6"/>
    <w:rsid w:val="0082248B"/>
    <w:rsid w:val="00822574"/>
    <w:rsid w:val="00822CDC"/>
    <w:rsid w:val="00822F08"/>
    <w:rsid w:val="00823DBB"/>
    <w:rsid w:val="00825C4D"/>
    <w:rsid w:val="00826A08"/>
    <w:rsid w:val="00827186"/>
    <w:rsid w:val="00827776"/>
    <w:rsid w:val="00827C8E"/>
    <w:rsid w:val="00827D1E"/>
    <w:rsid w:val="00830AEA"/>
    <w:rsid w:val="00830E86"/>
    <w:rsid w:val="0083143E"/>
    <w:rsid w:val="008315D5"/>
    <w:rsid w:val="00831CDE"/>
    <w:rsid w:val="00834304"/>
    <w:rsid w:val="00834FAA"/>
    <w:rsid w:val="008354FB"/>
    <w:rsid w:val="00836086"/>
    <w:rsid w:val="0083630F"/>
    <w:rsid w:val="00836A06"/>
    <w:rsid w:val="008373F2"/>
    <w:rsid w:val="008374BC"/>
    <w:rsid w:val="00840293"/>
    <w:rsid w:val="008408D4"/>
    <w:rsid w:val="008417B5"/>
    <w:rsid w:val="00841901"/>
    <w:rsid w:val="00841C18"/>
    <w:rsid w:val="008458BD"/>
    <w:rsid w:val="00846121"/>
    <w:rsid w:val="008466C6"/>
    <w:rsid w:val="0084708F"/>
    <w:rsid w:val="008477C8"/>
    <w:rsid w:val="008478A6"/>
    <w:rsid w:val="0085114D"/>
    <w:rsid w:val="008520A8"/>
    <w:rsid w:val="00852217"/>
    <w:rsid w:val="008532BF"/>
    <w:rsid w:val="008537E8"/>
    <w:rsid w:val="00853F59"/>
    <w:rsid w:val="00855408"/>
    <w:rsid w:val="00855BD0"/>
    <w:rsid w:val="00855EFE"/>
    <w:rsid w:val="008562D8"/>
    <w:rsid w:val="00856D65"/>
    <w:rsid w:val="00861B41"/>
    <w:rsid w:val="00861B9F"/>
    <w:rsid w:val="00861BE3"/>
    <w:rsid w:val="008625D3"/>
    <w:rsid w:val="008630BD"/>
    <w:rsid w:val="00863434"/>
    <w:rsid w:val="0086344F"/>
    <w:rsid w:val="008637E8"/>
    <w:rsid w:val="008641AC"/>
    <w:rsid w:val="00865E4C"/>
    <w:rsid w:val="0086796D"/>
    <w:rsid w:val="00867DAB"/>
    <w:rsid w:val="0087000B"/>
    <w:rsid w:val="008701E4"/>
    <w:rsid w:val="008704E9"/>
    <w:rsid w:val="0087116C"/>
    <w:rsid w:val="008727DE"/>
    <w:rsid w:val="008734E7"/>
    <w:rsid w:val="0087368D"/>
    <w:rsid w:val="00874FE8"/>
    <w:rsid w:val="00875944"/>
    <w:rsid w:val="00875A32"/>
    <w:rsid w:val="00876086"/>
    <w:rsid w:val="00876E83"/>
    <w:rsid w:val="008772BC"/>
    <w:rsid w:val="008778F6"/>
    <w:rsid w:val="0088056A"/>
    <w:rsid w:val="00882911"/>
    <w:rsid w:val="0088419D"/>
    <w:rsid w:val="0088522F"/>
    <w:rsid w:val="00885D40"/>
    <w:rsid w:val="00886D96"/>
    <w:rsid w:val="008873D4"/>
    <w:rsid w:val="0088793C"/>
    <w:rsid w:val="00891EDF"/>
    <w:rsid w:val="00892872"/>
    <w:rsid w:val="0089296D"/>
    <w:rsid w:val="00893E85"/>
    <w:rsid w:val="00894031"/>
    <w:rsid w:val="00894C5D"/>
    <w:rsid w:val="00895508"/>
    <w:rsid w:val="008967E9"/>
    <w:rsid w:val="00896A5C"/>
    <w:rsid w:val="0089708C"/>
    <w:rsid w:val="008972D2"/>
    <w:rsid w:val="008974F1"/>
    <w:rsid w:val="0089754C"/>
    <w:rsid w:val="008A0ADD"/>
    <w:rsid w:val="008A0D27"/>
    <w:rsid w:val="008A2414"/>
    <w:rsid w:val="008A37E2"/>
    <w:rsid w:val="008A388E"/>
    <w:rsid w:val="008A3CBA"/>
    <w:rsid w:val="008A3DD6"/>
    <w:rsid w:val="008A4B59"/>
    <w:rsid w:val="008A63E1"/>
    <w:rsid w:val="008B1581"/>
    <w:rsid w:val="008B165B"/>
    <w:rsid w:val="008B27DF"/>
    <w:rsid w:val="008B3A80"/>
    <w:rsid w:val="008B3C07"/>
    <w:rsid w:val="008B3F7B"/>
    <w:rsid w:val="008B42C9"/>
    <w:rsid w:val="008B6106"/>
    <w:rsid w:val="008B692D"/>
    <w:rsid w:val="008B74AE"/>
    <w:rsid w:val="008B7C02"/>
    <w:rsid w:val="008B7D2B"/>
    <w:rsid w:val="008B7EF9"/>
    <w:rsid w:val="008C0049"/>
    <w:rsid w:val="008C0E88"/>
    <w:rsid w:val="008C198E"/>
    <w:rsid w:val="008C4B50"/>
    <w:rsid w:val="008C66EF"/>
    <w:rsid w:val="008C7569"/>
    <w:rsid w:val="008C7DDC"/>
    <w:rsid w:val="008D0DBD"/>
    <w:rsid w:val="008D127E"/>
    <w:rsid w:val="008D1CA8"/>
    <w:rsid w:val="008D1E6A"/>
    <w:rsid w:val="008D2A16"/>
    <w:rsid w:val="008D33F5"/>
    <w:rsid w:val="008D35E4"/>
    <w:rsid w:val="008D6C3A"/>
    <w:rsid w:val="008E292B"/>
    <w:rsid w:val="008E2C57"/>
    <w:rsid w:val="008E31FF"/>
    <w:rsid w:val="008E3287"/>
    <w:rsid w:val="008E5B5B"/>
    <w:rsid w:val="008E6DCB"/>
    <w:rsid w:val="008E6F06"/>
    <w:rsid w:val="008E79BB"/>
    <w:rsid w:val="008E7B8E"/>
    <w:rsid w:val="008E7FC9"/>
    <w:rsid w:val="008F029B"/>
    <w:rsid w:val="008F0E4E"/>
    <w:rsid w:val="008F2A5D"/>
    <w:rsid w:val="008F3636"/>
    <w:rsid w:val="008F3CF6"/>
    <w:rsid w:val="008F3FC9"/>
    <w:rsid w:val="008F4632"/>
    <w:rsid w:val="008F49E6"/>
    <w:rsid w:val="008F585B"/>
    <w:rsid w:val="008F6075"/>
    <w:rsid w:val="008F6351"/>
    <w:rsid w:val="009003A8"/>
    <w:rsid w:val="00900496"/>
    <w:rsid w:val="009021DA"/>
    <w:rsid w:val="00902500"/>
    <w:rsid w:val="00902EA5"/>
    <w:rsid w:val="00902EFF"/>
    <w:rsid w:val="00903A8E"/>
    <w:rsid w:val="0090406B"/>
    <w:rsid w:val="0090432C"/>
    <w:rsid w:val="00904F96"/>
    <w:rsid w:val="009052A3"/>
    <w:rsid w:val="009056D7"/>
    <w:rsid w:val="009057B8"/>
    <w:rsid w:val="00905B8D"/>
    <w:rsid w:val="00906401"/>
    <w:rsid w:val="009065CB"/>
    <w:rsid w:val="00906B79"/>
    <w:rsid w:val="00906FE2"/>
    <w:rsid w:val="0090786F"/>
    <w:rsid w:val="009110F7"/>
    <w:rsid w:val="0091155E"/>
    <w:rsid w:val="00912437"/>
    <w:rsid w:val="00912A92"/>
    <w:rsid w:val="009134A0"/>
    <w:rsid w:val="00915D07"/>
    <w:rsid w:val="009162AE"/>
    <w:rsid w:val="00916856"/>
    <w:rsid w:val="00917251"/>
    <w:rsid w:val="0091728D"/>
    <w:rsid w:val="00917DD4"/>
    <w:rsid w:val="009203CC"/>
    <w:rsid w:val="00920EC4"/>
    <w:rsid w:val="0092180B"/>
    <w:rsid w:val="00921F14"/>
    <w:rsid w:val="009225C2"/>
    <w:rsid w:val="00923CB0"/>
    <w:rsid w:val="00924871"/>
    <w:rsid w:val="00924AC8"/>
    <w:rsid w:val="00925429"/>
    <w:rsid w:val="0092597A"/>
    <w:rsid w:val="0092626B"/>
    <w:rsid w:val="00926520"/>
    <w:rsid w:val="00926CF0"/>
    <w:rsid w:val="009273A9"/>
    <w:rsid w:val="0093033E"/>
    <w:rsid w:val="009305FC"/>
    <w:rsid w:val="00930FB1"/>
    <w:rsid w:val="0093139F"/>
    <w:rsid w:val="00932443"/>
    <w:rsid w:val="00932B32"/>
    <w:rsid w:val="00932B66"/>
    <w:rsid w:val="00933562"/>
    <w:rsid w:val="00933F4A"/>
    <w:rsid w:val="00934F44"/>
    <w:rsid w:val="00934FF2"/>
    <w:rsid w:val="00935238"/>
    <w:rsid w:val="00935BD4"/>
    <w:rsid w:val="009373B2"/>
    <w:rsid w:val="00937AE2"/>
    <w:rsid w:val="00940449"/>
    <w:rsid w:val="009407A7"/>
    <w:rsid w:val="00941CD3"/>
    <w:rsid w:val="0094416B"/>
    <w:rsid w:val="0094427A"/>
    <w:rsid w:val="00944C7C"/>
    <w:rsid w:val="00945245"/>
    <w:rsid w:val="00945523"/>
    <w:rsid w:val="00950921"/>
    <w:rsid w:val="00952D37"/>
    <w:rsid w:val="009568DC"/>
    <w:rsid w:val="00957445"/>
    <w:rsid w:val="0095759C"/>
    <w:rsid w:val="00957C1B"/>
    <w:rsid w:val="009618EE"/>
    <w:rsid w:val="009624D2"/>
    <w:rsid w:val="009628D9"/>
    <w:rsid w:val="00962DA7"/>
    <w:rsid w:val="009637AE"/>
    <w:rsid w:val="00964776"/>
    <w:rsid w:val="009647FD"/>
    <w:rsid w:val="00964A4E"/>
    <w:rsid w:val="00964B35"/>
    <w:rsid w:val="009651C7"/>
    <w:rsid w:val="00965797"/>
    <w:rsid w:val="00965A10"/>
    <w:rsid w:val="009670A3"/>
    <w:rsid w:val="009674BE"/>
    <w:rsid w:val="00971C77"/>
    <w:rsid w:val="00972FCD"/>
    <w:rsid w:val="009741FC"/>
    <w:rsid w:val="00974923"/>
    <w:rsid w:val="00975909"/>
    <w:rsid w:val="00976378"/>
    <w:rsid w:val="00977C3D"/>
    <w:rsid w:val="00980D3D"/>
    <w:rsid w:val="0098103E"/>
    <w:rsid w:val="00983101"/>
    <w:rsid w:val="00983E41"/>
    <w:rsid w:val="00986EC6"/>
    <w:rsid w:val="00987A30"/>
    <w:rsid w:val="00990312"/>
    <w:rsid w:val="009908B9"/>
    <w:rsid w:val="0099182E"/>
    <w:rsid w:val="00992AAE"/>
    <w:rsid w:val="00992CF3"/>
    <w:rsid w:val="0099321E"/>
    <w:rsid w:val="00993AEB"/>
    <w:rsid w:val="00994868"/>
    <w:rsid w:val="00994D28"/>
    <w:rsid w:val="00994F2C"/>
    <w:rsid w:val="009957CC"/>
    <w:rsid w:val="0099584E"/>
    <w:rsid w:val="009968D6"/>
    <w:rsid w:val="00996E2F"/>
    <w:rsid w:val="009971E0"/>
    <w:rsid w:val="00997953"/>
    <w:rsid w:val="009A04FD"/>
    <w:rsid w:val="009A10A0"/>
    <w:rsid w:val="009A1CAB"/>
    <w:rsid w:val="009A2359"/>
    <w:rsid w:val="009A24F1"/>
    <w:rsid w:val="009A2F94"/>
    <w:rsid w:val="009A35A6"/>
    <w:rsid w:val="009A3E7C"/>
    <w:rsid w:val="009A4D57"/>
    <w:rsid w:val="009A60D1"/>
    <w:rsid w:val="009A64F5"/>
    <w:rsid w:val="009B00D2"/>
    <w:rsid w:val="009B05B3"/>
    <w:rsid w:val="009B284F"/>
    <w:rsid w:val="009B3764"/>
    <w:rsid w:val="009B4430"/>
    <w:rsid w:val="009B5F4B"/>
    <w:rsid w:val="009B66CE"/>
    <w:rsid w:val="009B6FD3"/>
    <w:rsid w:val="009B756A"/>
    <w:rsid w:val="009B7DB2"/>
    <w:rsid w:val="009C0696"/>
    <w:rsid w:val="009C1750"/>
    <w:rsid w:val="009C2A74"/>
    <w:rsid w:val="009C2E29"/>
    <w:rsid w:val="009C3E8F"/>
    <w:rsid w:val="009C554B"/>
    <w:rsid w:val="009C5EB3"/>
    <w:rsid w:val="009C656C"/>
    <w:rsid w:val="009C7126"/>
    <w:rsid w:val="009C719E"/>
    <w:rsid w:val="009C7799"/>
    <w:rsid w:val="009D07A9"/>
    <w:rsid w:val="009D0AE2"/>
    <w:rsid w:val="009D0EBB"/>
    <w:rsid w:val="009D3ACD"/>
    <w:rsid w:val="009D587D"/>
    <w:rsid w:val="009D75BE"/>
    <w:rsid w:val="009D7731"/>
    <w:rsid w:val="009E1120"/>
    <w:rsid w:val="009E178F"/>
    <w:rsid w:val="009E1922"/>
    <w:rsid w:val="009E1A3D"/>
    <w:rsid w:val="009E3B41"/>
    <w:rsid w:val="009E4715"/>
    <w:rsid w:val="009E5273"/>
    <w:rsid w:val="009E57A8"/>
    <w:rsid w:val="009E5B85"/>
    <w:rsid w:val="009E5DDB"/>
    <w:rsid w:val="009F4059"/>
    <w:rsid w:val="009F4982"/>
    <w:rsid w:val="009F4CA7"/>
    <w:rsid w:val="009F703C"/>
    <w:rsid w:val="009F74E1"/>
    <w:rsid w:val="009F7D36"/>
    <w:rsid w:val="009F7FC7"/>
    <w:rsid w:val="00A00E71"/>
    <w:rsid w:val="00A01CB0"/>
    <w:rsid w:val="00A02D00"/>
    <w:rsid w:val="00A0306F"/>
    <w:rsid w:val="00A03B10"/>
    <w:rsid w:val="00A03E2E"/>
    <w:rsid w:val="00A04616"/>
    <w:rsid w:val="00A04717"/>
    <w:rsid w:val="00A05EE4"/>
    <w:rsid w:val="00A076C8"/>
    <w:rsid w:val="00A10857"/>
    <w:rsid w:val="00A10D66"/>
    <w:rsid w:val="00A127B4"/>
    <w:rsid w:val="00A132EF"/>
    <w:rsid w:val="00A14114"/>
    <w:rsid w:val="00A1412D"/>
    <w:rsid w:val="00A1575D"/>
    <w:rsid w:val="00A16413"/>
    <w:rsid w:val="00A16545"/>
    <w:rsid w:val="00A16AED"/>
    <w:rsid w:val="00A16E1D"/>
    <w:rsid w:val="00A17A15"/>
    <w:rsid w:val="00A17D5B"/>
    <w:rsid w:val="00A201E1"/>
    <w:rsid w:val="00A20FE1"/>
    <w:rsid w:val="00A22900"/>
    <w:rsid w:val="00A22E10"/>
    <w:rsid w:val="00A23E43"/>
    <w:rsid w:val="00A24ED9"/>
    <w:rsid w:val="00A25216"/>
    <w:rsid w:val="00A2628E"/>
    <w:rsid w:val="00A2731E"/>
    <w:rsid w:val="00A309AC"/>
    <w:rsid w:val="00A30F65"/>
    <w:rsid w:val="00A319BC"/>
    <w:rsid w:val="00A3279E"/>
    <w:rsid w:val="00A34B0B"/>
    <w:rsid w:val="00A34B5F"/>
    <w:rsid w:val="00A35900"/>
    <w:rsid w:val="00A35ACA"/>
    <w:rsid w:val="00A37DAD"/>
    <w:rsid w:val="00A40EAC"/>
    <w:rsid w:val="00A418BC"/>
    <w:rsid w:val="00A41FCF"/>
    <w:rsid w:val="00A43CF8"/>
    <w:rsid w:val="00A43DF2"/>
    <w:rsid w:val="00A445A8"/>
    <w:rsid w:val="00A44B0D"/>
    <w:rsid w:val="00A44D21"/>
    <w:rsid w:val="00A45087"/>
    <w:rsid w:val="00A45489"/>
    <w:rsid w:val="00A45C56"/>
    <w:rsid w:val="00A465E9"/>
    <w:rsid w:val="00A468E7"/>
    <w:rsid w:val="00A46DE0"/>
    <w:rsid w:val="00A47CE8"/>
    <w:rsid w:val="00A50D73"/>
    <w:rsid w:val="00A52A88"/>
    <w:rsid w:val="00A52CAD"/>
    <w:rsid w:val="00A53FC7"/>
    <w:rsid w:val="00A54056"/>
    <w:rsid w:val="00A54698"/>
    <w:rsid w:val="00A54E18"/>
    <w:rsid w:val="00A55569"/>
    <w:rsid w:val="00A567D3"/>
    <w:rsid w:val="00A60276"/>
    <w:rsid w:val="00A61C55"/>
    <w:rsid w:val="00A626FF"/>
    <w:rsid w:val="00A62CE1"/>
    <w:rsid w:val="00A655D3"/>
    <w:rsid w:val="00A65FEF"/>
    <w:rsid w:val="00A662D9"/>
    <w:rsid w:val="00A66828"/>
    <w:rsid w:val="00A66B08"/>
    <w:rsid w:val="00A66B98"/>
    <w:rsid w:val="00A6741E"/>
    <w:rsid w:val="00A7016A"/>
    <w:rsid w:val="00A7018D"/>
    <w:rsid w:val="00A70337"/>
    <w:rsid w:val="00A7191D"/>
    <w:rsid w:val="00A722F9"/>
    <w:rsid w:val="00A72742"/>
    <w:rsid w:val="00A72D42"/>
    <w:rsid w:val="00A745F9"/>
    <w:rsid w:val="00A74D81"/>
    <w:rsid w:val="00A75E40"/>
    <w:rsid w:val="00A76DD3"/>
    <w:rsid w:val="00A76F33"/>
    <w:rsid w:val="00A77697"/>
    <w:rsid w:val="00A77D1D"/>
    <w:rsid w:val="00A81652"/>
    <w:rsid w:val="00A81AF2"/>
    <w:rsid w:val="00A82BFF"/>
    <w:rsid w:val="00A83150"/>
    <w:rsid w:val="00A83398"/>
    <w:rsid w:val="00A83D6E"/>
    <w:rsid w:val="00A8521A"/>
    <w:rsid w:val="00A857C0"/>
    <w:rsid w:val="00A90F2C"/>
    <w:rsid w:val="00A90FED"/>
    <w:rsid w:val="00A915CB"/>
    <w:rsid w:val="00A9189D"/>
    <w:rsid w:val="00A91AF6"/>
    <w:rsid w:val="00A91E71"/>
    <w:rsid w:val="00A925B1"/>
    <w:rsid w:val="00A92D10"/>
    <w:rsid w:val="00A934F9"/>
    <w:rsid w:val="00A95F1A"/>
    <w:rsid w:val="00A96116"/>
    <w:rsid w:val="00A9614E"/>
    <w:rsid w:val="00A96C0F"/>
    <w:rsid w:val="00A97162"/>
    <w:rsid w:val="00AA0D8A"/>
    <w:rsid w:val="00AA212F"/>
    <w:rsid w:val="00AA2199"/>
    <w:rsid w:val="00AA2996"/>
    <w:rsid w:val="00AA2AF4"/>
    <w:rsid w:val="00AA4282"/>
    <w:rsid w:val="00AA441B"/>
    <w:rsid w:val="00AA52BF"/>
    <w:rsid w:val="00AA559A"/>
    <w:rsid w:val="00AA619D"/>
    <w:rsid w:val="00AA6C31"/>
    <w:rsid w:val="00AA7CE8"/>
    <w:rsid w:val="00AB1457"/>
    <w:rsid w:val="00AB2AF1"/>
    <w:rsid w:val="00AB325B"/>
    <w:rsid w:val="00AB421E"/>
    <w:rsid w:val="00AB503F"/>
    <w:rsid w:val="00AB5A64"/>
    <w:rsid w:val="00AB5CA1"/>
    <w:rsid w:val="00AB6456"/>
    <w:rsid w:val="00AC044E"/>
    <w:rsid w:val="00AC2395"/>
    <w:rsid w:val="00AC24FA"/>
    <w:rsid w:val="00AC2960"/>
    <w:rsid w:val="00AC2AC4"/>
    <w:rsid w:val="00AC4284"/>
    <w:rsid w:val="00AC45BD"/>
    <w:rsid w:val="00AC50BB"/>
    <w:rsid w:val="00AC6149"/>
    <w:rsid w:val="00AC6259"/>
    <w:rsid w:val="00AD0EE7"/>
    <w:rsid w:val="00AD168E"/>
    <w:rsid w:val="00AD1F05"/>
    <w:rsid w:val="00AD306C"/>
    <w:rsid w:val="00AD44CD"/>
    <w:rsid w:val="00AD5AD2"/>
    <w:rsid w:val="00AD6462"/>
    <w:rsid w:val="00AD66C5"/>
    <w:rsid w:val="00AD68C4"/>
    <w:rsid w:val="00AD71F9"/>
    <w:rsid w:val="00AE019D"/>
    <w:rsid w:val="00AE09B3"/>
    <w:rsid w:val="00AE1A83"/>
    <w:rsid w:val="00AE30BE"/>
    <w:rsid w:val="00AE354B"/>
    <w:rsid w:val="00AE3707"/>
    <w:rsid w:val="00AE3E6A"/>
    <w:rsid w:val="00AE43E0"/>
    <w:rsid w:val="00AE797C"/>
    <w:rsid w:val="00AE7CE7"/>
    <w:rsid w:val="00AE7FAB"/>
    <w:rsid w:val="00AF0DE4"/>
    <w:rsid w:val="00AF10C1"/>
    <w:rsid w:val="00AF1E87"/>
    <w:rsid w:val="00AF28D4"/>
    <w:rsid w:val="00AF36D6"/>
    <w:rsid w:val="00AF436B"/>
    <w:rsid w:val="00AF5179"/>
    <w:rsid w:val="00AF5CC2"/>
    <w:rsid w:val="00AF6776"/>
    <w:rsid w:val="00AF6F98"/>
    <w:rsid w:val="00B00913"/>
    <w:rsid w:val="00B01593"/>
    <w:rsid w:val="00B01FF9"/>
    <w:rsid w:val="00B023F2"/>
    <w:rsid w:val="00B02D10"/>
    <w:rsid w:val="00B02D4D"/>
    <w:rsid w:val="00B038CA"/>
    <w:rsid w:val="00B05945"/>
    <w:rsid w:val="00B06DB4"/>
    <w:rsid w:val="00B10A4D"/>
    <w:rsid w:val="00B10C90"/>
    <w:rsid w:val="00B11002"/>
    <w:rsid w:val="00B111F5"/>
    <w:rsid w:val="00B121B2"/>
    <w:rsid w:val="00B141B6"/>
    <w:rsid w:val="00B14BC1"/>
    <w:rsid w:val="00B166B2"/>
    <w:rsid w:val="00B16EB8"/>
    <w:rsid w:val="00B17E71"/>
    <w:rsid w:val="00B17FDE"/>
    <w:rsid w:val="00B20632"/>
    <w:rsid w:val="00B20C52"/>
    <w:rsid w:val="00B212C6"/>
    <w:rsid w:val="00B2379C"/>
    <w:rsid w:val="00B23D5D"/>
    <w:rsid w:val="00B2687D"/>
    <w:rsid w:val="00B26A61"/>
    <w:rsid w:val="00B26ED6"/>
    <w:rsid w:val="00B3108D"/>
    <w:rsid w:val="00B314FA"/>
    <w:rsid w:val="00B315BE"/>
    <w:rsid w:val="00B32DDB"/>
    <w:rsid w:val="00B32F57"/>
    <w:rsid w:val="00B3345C"/>
    <w:rsid w:val="00B34528"/>
    <w:rsid w:val="00B34931"/>
    <w:rsid w:val="00B34CC9"/>
    <w:rsid w:val="00B35177"/>
    <w:rsid w:val="00B35496"/>
    <w:rsid w:val="00B3563B"/>
    <w:rsid w:val="00B35AAF"/>
    <w:rsid w:val="00B35EDB"/>
    <w:rsid w:val="00B37027"/>
    <w:rsid w:val="00B37D3A"/>
    <w:rsid w:val="00B402FC"/>
    <w:rsid w:val="00B405D1"/>
    <w:rsid w:val="00B422E2"/>
    <w:rsid w:val="00B42D5F"/>
    <w:rsid w:val="00B42F6E"/>
    <w:rsid w:val="00B436C1"/>
    <w:rsid w:val="00B439DA"/>
    <w:rsid w:val="00B4411A"/>
    <w:rsid w:val="00B46604"/>
    <w:rsid w:val="00B46CB8"/>
    <w:rsid w:val="00B47089"/>
    <w:rsid w:val="00B47587"/>
    <w:rsid w:val="00B52151"/>
    <w:rsid w:val="00B52818"/>
    <w:rsid w:val="00B530CD"/>
    <w:rsid w:val="00B53C7D"/>
    <w:rsid w:val="00B53E56"/>
    <w:rsid w:val="00B552ED"/>
    <w:rsid w:val="00B55A97"/>
    <w:rsid w:val="00B55F5E"/>
    <w:rsid w:val="00B560AD"/>
    <w:rsid w:val="00B5649D"/>
    <w:rsid w:val="00B56B6F"/>
    <w:rsid w:val="00B5752E"/>
    <w:rsid w:val="00B60234"/>
    <w:rsid w:val="00B60AC1"/>
    <w:rsid w:val="00B62316"/>
    <w:rsid w:val="00B63A11"/>
    <w:rsid w:val="00B63B09"/>
    <w:rsid w:val="00B64425"/>
    <w:rsid w:val="00B64C24"/>
    <w:rsid w:val="00B65336"/>
    <w:rsid w:val="00B65CEF"/>
    <w:rsid w:val="00B6608F"/>
    <w:rsid w:val="00B679FB"/>
    <w:rsid w:val="00B732FE"/>
    <w:rsid w:val="00B73A14"/>
    <w:rsid w:val="00B73B11"/>
    <w:rsid w:val="00B7592B"/>
    <w:rsid w:val="00B7680F"/>
    <w:rsid w:val="00B76D1E"/>
    <w:rsid w:val="00B77543"/>
    <w:rsid w:val="00B77584"/>
    <w:rsid w:val="00B77CE4"/>
    <w:rsid w:val="00B80EC6"/>
    <w:rsid w:val="00B81288"/>
    <w:rsid w:val="00B81AA0"/>
    <w:rsid w:val="00B81D70"/>
    <w:rsid w:val="00B8203E"/>
    <w:rsid w:val="00B831FB"/>
    <w:rsid w:val="00B833B9"/>
    <w:rsid w:val="00B83E07"/>
    <w:rsid w:val="00B84CF6"/>
    <w:rsid w:val="00B85016"/>
    <w:rsid w:val="00B8561A"/>
    <w:rsid w:val="00B86643"/>
    <w:rsid w:val="00B86E56"/>
    <w:rsid w:val="00B90131"/>
    <w:rsid w:val="00B92951"/>
    <w:rsid w:val="00B92D1D"/>
    <w:rsid w:val="00B92E9A"/>
    <w:rsid w:val="00B930CE"/>
    <w:rsid w:val="00B938C5"/>
    <w:rsid w:val="00B94BA6"/>
    <w:rsid w:val="00B9554A"/>
    <w:rsid w:val="00B95940"/>
    <w:rsid w:val="00B95ACA"/>
    <w:rsid w:val="00B95B92"/>
    <w:rsid w:val="00B9632F"/>
    <w:rsid w:val="00B97ACC"/>
    <w:rsid w:val="00BA0495"/>
    <w:rsid w:val="00BA098F"/>
    <w:rsid w:val="00BA1866"/>
    <w:rsid w:val="00BA3787"/>
    <w:rsid w:val="00BA46E8"/>
    <w:rsid w:val="00BA554E"/>
    <w:rsid w:val="00BA6436"/>
    <w:rsid w:val="00BA684E"/>
    <w:rsid w:val="00BA6C2B"/>
    <w:rsid w:val="00BA7B64"/>
    <w:rsid w:val="00BB02A3"/>
    <w:rsid w:val="00BB0351"/>
    <w:rsid w:val="00BB15C3"/>
    <w:rsid w:val="00BB1AF4"/>
    <w:rsid w:val="00BB2202"/>
    <w:rsid w:val="00BB3C6B"/>
    <w:rsid w:val="00BB3FD6"/>
    <w:rsid w:val="00BB453F"/>
    <w:rsid w:val="00BB46F3"/>
    <w:rsid w:val="00BB4CB1"/>
    <w:rsid w:val="00BB4F98"/>
    <w:rsid w:val="00BB5ABF"/>
    <w:rsid w:val="00BB6EA2"/>
    <w:rsid w:val="00BB7B5B"/>
    <w:rsid w:val="00BC003F"/>
    <w:rsid w:val="00BC327F"/>
    <w:rsid w:val="00BC3816"/>
    <w:rsid w:val="00BC4291"/>
    <w:rsid w:val="00BC5332"/>
    <w:rsid w:val="00BC5C12"/>
    <w:rsid w:val="00BC7154"/>
    <w:rsid w:val="00BC731E"/>
    <w:rsid w:val="00BC7614"/>
    <w:rsid w:val="00BD25BB"/>
    <w:rsid w:val="00BD2AF8"/>
    <w:rsid w:val="00BD305F"/>
    <w:rsid w:val="00BD366B"/>
    <w:rsid w:val="00BD4A73"/>
    <w:rsid w:val="00BD4F09"/>
    <w:rsid w:val="00BD59F1"/>
    <w:rsid w:val="00BD6C75"/>
    <w:rsid w:val="00BD6D50"/>
    <w:rsid w:val="00BE0AD1"/>
    <w:rsid w:val="00BE0EF9"/>
    <w:rsid w:val="00BE1093"/>
    <w:rsid w:val="00BE117B"/>
    <w:rsid w:val="00BE18B9"/>
    <w:rsid w:val="00BE190A"/>
    <w:rsid w:val="00BE2495"/>
    <w:rsid w:val="00BE24DD"/>
    <w:rsid w:val="00BE3745"/>
    <w:rsid w:val="00BE386D"/>
    <w:rsid w:val="00BE4314"/>
    <w:rsid w:val="00BE557B"/>
    <w:rsid w:val="00BE5B92"/>
    <w:rsid w:val="00BE6F74"/>
    <w:rsid w:val="00BF02C8"/>
    <w:rsid w:val="00BF1578"/>
    <w:rsid w:val="00BF1D12"/>
    <w:rsid w:val="00BF1D3A"/>
    <w:rsid w:val="00BF2B5B"/>
    <w:rsid w:val="00BF32DC"/>
    <w:rsid w:val="00BF430C"/>
    <w:rsid w:val="00BF4E43"/>
    <w:rsid w:val="00BF5C4C"/>
    <w:rsid w:val="00BF5D23"/>
    <w:rsid w:val="00BF6F62"/>
    <w:rsid w:val="00BF717A"/>
    <w:rsid w:val="00C009D1"/>
    <w:rsid w:val="00C00BD7"/>
    <w:rsid w:val="00C01410"/>
    <w:rsid w:val="00C02F64"/>
    <w:rsid w:val="00C04B78"/>
    <w:rsid w:val="00C052AA"/>
    <w:rsid w:val="00C06EE3"/>
    <w:rsid w:val="00C07749"/>
    <w:rsid w:val="00C07ADB"/>
    <w:rsid w:val="00C07F12"/>
    <w:rsid w:val="00C11A15"/>
    <w:rsid w:val="00C11D48"/>
    <w:rsid w:val="00C125A0"/>
    <w:rsid w:val="00C1493E"/>
    <w:rsid w:val="00C15AE9"/>
    <w:rsid w:val="00C15DBD"/>
    <w:rsid w:val="00C17E2F"/>
    <w:rsid w:val="00C2010D"/>
    <w:rsid w:val="00C20CB5"/>
    <w:rsid w:val="00C20F4B"/>
    <w:rsid w:val="00C21430"/>
    <w:rsid w:val="00C21E61"/>
    <w:rsid w:val="00C21F94"/>
    <w:rsid w:val="00C223C3"/>
    <w:rsid w:val="00C23334"/>
    <w:rsid w:val="00C233A6"/>
    <w:rsid w:val="00C234DB"/>
    <w:rsid w:val="00C2479A"/>
    <w:rsid w:val="00C24903"/>
    <w:rsid w:val="00C24CEC"/>
    <w:rsid w:val="00C255C4"/>
    <w:rsid w:val="00C2590D"/>
    <w:rsid w:val="00C25D9C"/>
    <w:rsid w:val="00C27913"/>
    <w:rsid w:val="00C303A4"/>
    <w:rsid w:val="00C31F21"/>
    <w:rsid w:val="00C32631"/>
    <w:rsid w:val="00C33301"/>
    <w:rsid w:val="00C33311"/>
    <w:rsid w:val="00C33B68"/>
    <w:rsid w:val="00C35570"/>
    <w:rsid w:val="00C36A79"/>
    <w:rsid w:val="00C401D2"/>
    <w:rsid w:val="00C4031A"/>
    <w:rsid w:val="00C405D4"/>
    <w:rsid w:val="00C419D5"/>
    <w:rsid w:val="00C43D63"/>
    <w:rsid w:val="00C44A31"/>
    <w:rsid w:val="00C4513B"/>
    <w:rsid w:val="00C50E79"/>
    <w:rsid w:val="00C525FB"/>
    <w:rsid w:val="00C5385B"/>
    <w:rsid w:val="00C5390B"/>
    <w:rsid w:val="00C53DBC"/>
    <w:rsid w:val="00C54257"/>
    <w:rsid w:val="00C54697"/>
    <w:rsid w:val="00C550CE"/>
    <w:rsid w:val="00C553A5"/>
    <w:rsid w:val="00C55402"/>
    <w:rsid w:val="00C5603B"/>
    <w:rsid w:val="00C568D3"/>
    <w:rsid w:val="00C6014A"/>
    <w:rsid w:val="00C608AF"/>
    <w:rsid w:val="00C61F47"/>
    <w:rsid w:val="00C62828"/>
    <w:rsid w:val="00C638ED"/>
    <w:rsid w:val="00C719A3"/>
    <w:rsid w:val="00C71AC9"/>
    <w:rsid w:val="00C71D2F"/>
    <w:rsid w:val="00C72161"/>
    <w:rsid w:val="00C72984"/>
    <w:rsid w:val="00C73101"/>
    <w:rsid w:val="00C73885"/>
    <w:rsid w:val="00C73C93"/>
    <w:rsid w:val="00C7435A"/>
    <w:rsid w:val="00C747B1"/>
    <w:rsid w:val="00C75A58"/>
    <w:rsid w:val="00C77454"/>
    <w:rsid w:val="00C82191"/>
    <w:rsid w:val="00C82778"/>
    <w:rsid w:val="00C83134"/>
    <w:rsid w:val="00C832F3"/>
    <w:rsid w:val="00C85545"/>
    <w:rsid w:val="00C855B5"/>
    <w:rsid w:val="00C85F0E"/>
    <w:rsid w:val="00C90CF4"/>
    <w:rsid w:val="00C922DE"/>
    <w:rsid w:val="00C92843"/>
    <w:rsid w:val="00C92EB6"/>
    <w:rsid w:val="00C93389"/>
    <w:rsid w:val="00CA0346"/>
    <w:rsid w:val="00CA1BD6"/>
    <w:rsid w:val="00CA1E35"/>
    <w:rsid w:val="00CA37FF"/>
    <w:rsid w:val="00CA423A"/>
    <w:rsid w:val="00CA44A3"/>
    <w:rsid w:val="00CA5554"/>
    <w:rsid w:val="00CA6AB4"/>
    <w:rsid w:val="00CB04F1"/>
    <w:rsid w:val="00CB172B"/>
    <w:rsid w:val="00CB2351"/>
    <w:rsid w:val="00CB4930"/>
    <w:rsid w:val="00CB4C63"/>
    <w:rsid w:val="00CB5A48"/>
    <w:rsid w:val="00CB5CA9"/>
    <w:rsid w:val="00CB5E10"/>
    <w:rsid w:val="00CB613B"/>
    <w:rsid w:val="00CB6152"/>
    <w:rsid w:val="00CC04E9"/>
    <w:rsid w:val="00CC0834"/>
    <w:rsid w:val="00CC20FE"/>
    <w:rsid w:val="00CC2E7D"/>
    <w:rsid w:val="00CC655F"/>
    <w:rsid w:val="00CC6F86"/>
    <w:rsid w:val="00CC6FE5"/>
    <w:rsid w:val="00CC76BD"/>
    <w:rsid w:val="00CD10A5"/>
    <w:rsid w:val="00CD1129"/>
    <w:rsid w:val="00CD1262"/>
    <w:rsid w:val="00CD15D7"/>
    <w:rsid w:val="00CD1A80"/>
    <w:rsid w:val="00CD1CB5"/>
    <w:rsid w:val="00CD1CFD"/>
    <w:rsid w:val="00CD2076"/>
    <w:rsid w:val="00CD24CE"/>
    <w:rsid w:val="00CD29B5"/>
    <w:rsid w:val="00CD2B78"/>
    <w:rsid w:val="00CD37B1"/>
    <w:rsid w:val="00CD3FAB"/>
    <w:rsid w:val="00CD5456"/>
    <w:rsid w:val="00CD5798"/>
    <w:rsid w:val="00CD5C3E"/>
    <w:rsid w:val="00CD6331"/>
    <w:rsid w:val="00CE0BC4"/>
    <w:rsid w:val="00CE0D1A"/>
    <w:rsid w:val="00CE14BE"/>
    <w:rsid w:val="00CE17A4"/>
    <w:rsid w:val="00CE1BA9"/>
    <w:rsid w:val="00CE2A6D"/>
    <w:rsid w:val="00CE2BC4"/>
    <w:rsid w:val="00CE2D8F"/>
    <w:rsid w:val="00CE38E2"/>
    <w:rsid w:val="00CE47B8"/>
    <w:rsid w:val="00CE62FA"/>
    <w:rsid w:val="00CE670B"/>
    <w:rsid w:val="00CE6833"/>
    <w:rsid w:val="00CE69DA"/>
    <w:rsid w:val="00CE7483"/>
    <w:rsid w:val="00CF4908"/>
    <w:rsid w:val="00CF51EC"/>
    <w:rsid w:val="00CF545D"/>
    <w:rsid w:val="00CF5873"/>
    <w:rsid w:val="00CF6B3C"/>
    <w:rsid w:val="00CF73AE"/>
    <w:rsid w:val="00D01462"/>
    <w:rsid w:val="00D0242D"/>
    <w:rsid w:val="00D03A72"/>
    <w:rsid w:val="00D040DD"/>
    <w:rsid w:val="00D05C65"/>
    <w:rsid w:val="00D06ACE"/>
    <w:rsid w:val="00D06D68"/>
    <w:rsid w:val="00D06E66"/>
    <w:rsid w:val="00D075BE"/>
    <w:rsid w:val="00D07D13"/>
    <w:rsid w:val="00D10C15"/>
    <w:rsid w:val="00D11476"/>
    <w:rsid w:val="00D11C6C"/>
    <w:rsid w:val="00D12C25"/>
    <w:rsid w:val="00D1316D"/>
    <w:rsid w:val="00D133B4"/>
    <w:rsid w:val="00D13986"/>
    <w:rsid w:val="00D14C5B"/>
    <w:rsid w:val="00D15FED"/>
    <w:rsid w:val="00D214EF"/>
    <w:rsid w:val="00D21D6D"/>
    <w:rsid w:val="00D21D83"/>
    <w:rsid w:val="00D22F7B"/>
    <w:rsid w:val="00D235B7"/>
    <w:rsid w:val="00D23FAE"/>
    <w:rsid w:val="00D25F28"/>
    <w:rsid w:val="00D26071"/>
    <w:rsid w:val="00D269B9"/>
    <w:rsid w:val="00D27973"/>
    <w:rsid w:val="00D31537"/>
    <w:rsid w:val="00D31E1E"/>
    <w:rsid w:val="00D32663"/>
    <w:rsid w:val="00D32824"/>
    <w:rsid w:val="00D334E2"/>
    <w:rsid w:val="00D35AD6"/>
    <w:rsid w:val="00D35BBB"/>
    <w:rsid w:val="00D35E1A"/>
    <w:rsid w:val="00D35E5F"/>
    <w:rsid w:val="00D36DFB"/>
    <w:rsid w:val="00D36E1C"/>
    <w:rsid w:val="00D373AF"/>
    <w:rsid w:val="00D37A6A"/>
    <w:rsid w:val="00D4026D"/>
    <w:rsid w:val="00D40556"/>
    <w:rsid w:val="00D41ED8"/>
    <w:rsid w:val="00D41F74"/>
    <w:rsid w:val="00D4399E"/>
    <w:rsid w:val="00D43ED2"/>
    <w:rsid w:val="00D50F46"/>
    <w:rsid w:val="00D53057"/>
    <w:rsid w:val="00D5384E"/>
    <w:rsid w:val="00D53DF6"/>
    <w:rsid w:val="00D544E7"/>
    <w:rsid w:val="00D56409"/>
    <w:rsid w:val="00D56FBF"/>
    <w:rsid w:val="00D57677"/>
    <w:rsid w:val="00D57BAD"/>
    <w:rsid w:val="00D60415"/>
    <w:rsid w:val="00D61291"/>
    <w:rsid w:val="00D61B52"/>
    <w:rsid w:val="00D6215F"/>
    <w:rsid w:val="00D635D3"/>
    <w:rsid w:val="00D63BE5"/>
    <w:rsid w:val="00D63F6B"/>
    <w:rsid w:val="00D6475F"/>
    <w:rsid w:val="00D66223"/>
    <w:rsid w:val="00D6670E"/>
    <w:rsid w:val="00D66756"/>
    <w:rsid w:val="00D667B8"/>
    <w:rsid w:val="00D66B08"/>
    <w:rsid w:val="00D671CD"/>
    <w:rsid w:val="00D6758B"/>
    <w:rsid w:val="00D70289"/>
    <w:rsid w:val="00D70822"/>
    <w:rsid w:val="00D72076"/>
    <w:rsid w:val="00D726A9"/>
    <w:rsid w:val="00D743E0"/>
    <w:rsid w:val="00D75CB7"/>
    <w:rsid w:val="00D76025"/>
    <w:rsid w:val="00D77252"/>
    <w:rsid w:val="00D8084C"/>
    <w:rsid w:val="00D81809"/>
    <w:rsid w:val="00D82EF1"/>
    <w:rsid w:val="00D84246"/>
    <w:rsid w:val="00D84F43"/>
    <w:rsid w:val="00D85821"/>
    <w:rsid w:val="00D8598C"/>
    <w:rsid w:val="00D85B26"/>
    <w:rsid w:val="00D864D0"/>
    <w:rsid w:val="00D87C06"/>
    <w:rsid w:val="00D915EA"/>
    <w:rsid w:val="00D922A1"/>
    <w:rsid w:val="00D924E9"/>
    <w:rsid w:val="00D928BE"/>
    <w:rsid w:val="00D95C5D"/>
    <w:rsid w:val="00D97D00"/>
    <w:rsid w:val="00DA06E8"/>
    <w:rsid w:val="00DA096C"/>
    <w:rsid w:val="00DA1AB6"/>
    <w:rsid w:val="00DA26C4"/>
    <w:rsid w:val="00DA35CD"/>
    <w:rsid w:val="00DA368A"/>
    <w:rsid w:val="00DA3BCB"/>
    <w:rsid w:val="00DA3BE9"/>
    <w:rsid w:val="00DA544C"/>
    <w:rsid w:val="00DA5F8E"/>
    <w:rsid w:val="00DA6364"/>
    <w:rsid w:val="00DA6520"/>
    <w:rsid w:val="00DA653C"/>
    <w:rsid w:val="00DA6792"/>
    <w:rsid w:val="00DA69EF"/>
    <w:rsid w:val="00DA7114"/>
    <w:rsid w:val="00DA7C0C"/>
    <w:rsid w:val="00DA7C4E"/>
    <w:rsid w:val="00DB08A9"/>
    <w:rsid w:val="00DB08D8"/>
    <w:rsid w:val="00DB0C5D"/>
    <w:rsid w:val="00DB212F"/>
    <w:rsid w:val="00DB2DFA"/>
    <w:rsid w:val="00DB2EC8"/>
    <w:rsid w:val="00DB33D2"/>
    <w:rsid w:val="00DB38E0"/>
    <w:rsid w:val="00DB459B"/>
    <w:rsid w:val="00DB5D35"/>
    <w:rsid w:val="00DB5E9A"/>
    <w:rsid w:val="00DB657E"/>
    <w:rsid w:val="00DB7342"/>
    <w:rsid w:val="00DB7DA2"/>
    <w:rsid w:val="00DC002D"/>
    <w:rsid w:val="00DC169F"/>
    <w:rsid w:val="00DC17D0"/>
    <w:rsid w:val="00DC2B41"/>
    <w:rsid w:val="00DC3683"/>
    <w:rsid w:val="00DC435B"/>
    <w:rsid w:val="00DC53D8"/>
    <w:rsid w:val="00DC56FE"/>
    <w:rsid w:val="00DC5B3B"/>
    <w:rsid w:val="00DC6C2D"/>
    <w:rsid w:val="00DC7B1A"/>
    <w:rsid w:val="00DD129F"/>
    <w:rsid w:val="00DD32DD"/>
    <w:rsid w:val="00DD3F86"/>
    <w:rsid w:val="00DD5287"/>
    <w:rsid w:val="00DD59A0"/>
    <w:rsid w:val="00DD6C73"/>
    <w:rsid w:val="00DD7150"/>
    <w:rsid w:val="00DE0D8B"/>
    <w:rsid w:val="00DE1237"/>
    <w:rsid w:val="00DE140F"/>
    <w:rsid w:val="00DE2491"/>
    <w:rsid w:val="00DE3B58"/>
    <w:rsid w:val="00DE7AC8"/>
    <w:rsid w:val="00DF1857"/>
    <w:rsid w:val="00DF358E"/>
    <w:rsid w:val="00DF3613"/>
    <w:rsid w:val="00DF3643"/>
    <w:rsid w:val="00DF42FF"/>
    <w:rsid w:val="00DF4369"/>
    <w:rsid w:val="00DF4423"/>
    <w:rsid w:val="00DF4ADF"/>
    <w:rsid w:val="00DF5D1E"/>
    <w:rsid w:val="00E01C0E"/>
    <w:rsid w:val="00E0368F"/>
    <w:rsid w:val="00E03D73"/>
    <w:rsid w:val="00E03F9A"/>
    <w:rsid w:val="00E04694"/>
    <w:rsid w:val="00E06050"/>
    <w:rsid w:val="00E129E7"/>
    <w:rsid w:val="00E12ABE"/>
    <w:rsid w:val="00E12B1E"/>
    <w:rsid w:val="00E13BA4"/>
    <w:rsid w:val="00E1444C"/>
    <w:rsid w:val="00E161D9"/>
    <w:rsid w:val="00E16A95"/>
    <w:rsid w:val="00E17262"/>
    <w:rsid w:val="00E20016"/>
    <w:rsid w:val="00E2009B"/>
    <w:rsid w:val="00E20154"/>
    <w:rsid w:val="00E20BB9"/>
    <w:rsid w:val="00E21661"/>
    <w:rsid w:val="00E2251C"/>
    <w:rsid w:val="00E22716"/>
    <w:rsid w:val="00E2363D"/>
    <w:rsid w:val="00E2385F"/>
    <w:rsid w:val="00E238E5"/>
    <w:rsid w:val="00E23C6A"/>
    <w:rsid w:val="00E253A2"/>
    <w:rsid w:val="00E256D7"/>
    <w:rsid w:val="00E260F6"/>
    <w:rsid w:val="00E27127"/>
    <w:rsid w:val="00E27233"/>
    <w:rsid w:val="00E31771"/>
    <w:rsid w:val="00E31A3E"/>
    <w:rsid w:val="00E32080"/>
    <w:rsid w:val="00E3309D"/>
    <w:rsid w:val="00E33FE9"/>
    <w:rsid w:val="00E364EF"/>
    <w:rsid w:val="00E378B1"/>
    <w:rsid w:val="00E417BE"/>
    <w:rsid w:val="00E41CD5"/>
    <w:rsid w:val="00E43673"/>
    <w:rsid w:val="00E43A9E"/>
    <w:rsid w:val="00E44766"/>
    <w:rsid w:val="00E453F9"/>
    <w:rsid w:val="00E45D7D"/>
    <w:rsid w:val="00E4665D"/>
    <w:rsid w:val="00E46661"/>
    <w:rsid w:val="00E47854"/>
    <w:rsid w:val="00E47DFE"/>
    <w:rsid w:val="00E47EBA"/>
    <w:rsid w:val="00E50156"/>
    <w:rsid w:val="00E5076C"/>
    <w:rsid w:val="00E50D2E"/>
    <w:rsid w:val="00E50E4A"/>
    <w:rsid w:val="00E53470"/>
    <w:rsid w:val="00E539F6"/>
    <w:rsid w:val="00E54698"/>
    <w:rsid w:val="00E55791"/>
    <w:rsid w:val="00E578A2"/>
    <w:rsid w:val="00E61740"/>
    <w:rsid w:val="00E61EB5"/>
    <w:rsid w:val="00E6326B"/>
    <w:rsid w:val="00E6519D"/>
    <w:rsid w:val="00E66062"/>
    <w:rsid w:val="00E67305"/>
    <w:rsid w:val="00E67696"/>
    <w:rsid w:val="00E702E4"/>
    <w:rsid w:val="00E70DC9"/>
    <w:rsid w:val="00E71A58"/>
    <w:rsid w:val="00E72A26"/>
    <w:rsid w:val="00E72A7A"/>
    <w:rsid w:val="00E747DC"/>
    <w:rsid w:val="00E75C94"/>
    <w:rsid w:val="00E76110"/>
    <w:rsid w:val="00E76B9B"/>
    <w:rsid w:val="00E76E61"/>
    <w:rsid w:val="00E771F0"/>
    <w:rsid w:val="00E77929"/>
    <w:rsid w:val="00E80CA3"/>
    <w:rsid w:val="00E82618"/>
    <w:rsid w:val="00E8277F"/>
    <w:rsid w:val="00E8593F"/>
    <w:rsid w:val="00E90CA8"/>
    <w:rsid w:val="00E90E6E"/>
    <w:rsid w:val="00E919CC"/>
    <w:rsid w:val="00E92118"/>
    <w:rsid w:val="00E930A1"/>
    <w:rsid w:val="00E93820"/>
    <w:rsid w:val="00E94A86"/>
    <w:rsid w:val="00E96143"/>
    <w:rsid w:val="00E96833"/>
    <w:rsid w:val="00E96BA3"/>
    <w:rsid w:val="00EA01E3"/>
    <w:rsid w:val="00EA0C68"/>
    <w:rsid w:val="00EA1504"/>
    <w:rsid w:val="00EA1D0E"/>
    <w:rsid w:val="00EA2841"/>
    <w:rsid w:val="00EA32BC"/>
    <w:rsid w:val="00EA35A7"/>
    <w:rsid w:val="00EA3B32"/>
    <w:rsid w:val="00EA3D05"/>
    <w:rsid w:val="00EA4402"/>
    <w:rsid w:val="00EA513E"/>
    <w:rsid w:val="00EA596C"/>
    <w:rsid w:val="00EA7419"/>
    <w:rsid w:val="00EB0E32"/>
    <w:rsid w:val="00EB4511"/>
    <w:rsid w:val="00EB4A8E"/>
    <w:rsid w:val="00EB4BC5"/>
    <w:rsid w:val="00EB5BF7"/>
    <w:rsid w:val="00EB5E79"/>
    <w:rsid w:val="00EB6081"/>
    <w:rsid w:val="00EB6FAC"/>
    <w:rsid w:val="00EC03D7"/>
    <w:rsid w:val="00EC13A7"/>
    <w:rsid w:val="00EC1829"/>
    <w:rsid w:val="00EC1A2B"/>
    <w:rsid w:val="00EC2EB6"/>
    <w:rsid w:val="00EC7BC7"/>
    <w:rsid w:val="00ED0495"/>
    <w:rsid w:val="00ED0EF0"/>
    <w:rsid w:val="00ED12B9"/>
    <w:rsid w:val="00ED16B8"/>
    <w:rsid w:val="00ED2EA1"/>
    <w:rsid w:val="00ED3F10"/>
    <w:rsid w:val="00ED4D04"/>
    <w:rsid w:val="00ED5990"/>
    <w:rsid w:val="00ED5F5B"/>
    <w:rsid w:val="00ED62C6"/>
    <w:rsid w:val="00ED64C1"/>
    <w:rsid w:val="00ED6516"/>
    <w:rsid w:val="00EE0A6C"/>
    <w:rsid w:val="00EE3446"/>
    <w:rsid w:val="00EE3E78"/>
    <w:rsid w:val="00EE4B1B"/>
    <w:rsid w:val="00EE5FBA"/>
    <w:rsid w:val="00EE6E06"/>
    <w:rsid w:val="00EF0C83"/>
    <w:rsid w:val="00EF150D"/>
    <w:rsid w:val="00EF1F5A"/>
    <w:rsid w:val="00EF47BF"/>
    <w:rsid w:val="00EF5A13"/>
    <w:rsid w:val="00EF5FF9"/>
    <w:rsid w:val="00EF6BDC"/>
    <w:rsid w:val="00EF7CC7"/>
    <w:rsid w:val="00F01084"/>
    <w:rsid w:val="00F0160B"/>
    <w:rsid w:val="00F017E4"/>
    <w:rsid w:val="00F03F8D"/>
    <w:rsid w:val="00F040BC"/>
    <w:rsid w:val="00F04811"/>
    <w:rsid w:val="00F0488C"/>
    <w:rsid w:val="00F073ED"/>
    <w:rsid w:val="00F07C4C"/>
    <w:rsid w:val="00F10941"/>
    <w:rsid w:val="00F10F11"/>
    <w:rsid w:val="00F12CFB"/>
    <w:rsid w:val="00F12CFF"/>
    <w:rsid w:val="00F15AAA"/>
    <w:rsid w:val="00F15BEF"/>
    <w:rsid w:val="00F17898"/>
    <w:rsid w:val="00F20242"/>
    <w:rsid w:val="00F207C2"/>
    <w:rsid w:val="00F20BA9"/>
    <w:rsid w:val="00F219A1"/>
    <w:rsid w:val="00F23E20"/>
    <w:rsid w:val="00F23E40"/>
    <w:rsid w:val="00F24407"/>
    <w:rsid w:val="00F24FAA"/>
    <w:rsid w:val="00F25040"/>
    <w:rsid w:val="00F2665F"/>
    <w:rsid w:val="00F27071"/>
    <w:rsid w:val="00F27331"/>
    <w:rsid w:val="00F27EE5"/>
    <w:rsid w:val="00F30C65"/>
    <w:rsid w:val="00F32053"/>
    <w:rsid w:val="00F325F9"/>
    <w:rsid w:val="00F33523"/>
    <w:rsid w:val="00F3364D"/>
    <w:rsid w:val="00F3404D"/>
    <w:rsid w:val="00F349BF"/>
    <w:rsid w:val="00F34DDC"/>
    <w:rsid w:val="00F379A9"/>
    <w:rsid w:val="00F37EDC"/>
    <w:rsid w:val="00F432EE"/>
    <w:rsid w:val="00F437CC"/>
    <w:rsid w:val="00F44537"/>
    <w:rsid w:val="00F44640"/>
    <w:rsid w:val="00F46185"/>
    <w:rsid w:val="00F46423"/>
    <w:rsid w:val="00F4696A"/>
    <w:rsid w:val="00F46F70"/>
    <w:rsid w:val="00F47067"/>
    <w:rsid w:val="00F47B07"/>
    <w:rsid w:val="00F500AA"/>
    <w:rsid w:val="00F508F3"/>
    <w:rsid w:val="00F525EB"/>
    <w:rsid w:val="00F52CB5"/>
    <w:rsid w:val="00F5392C"/>
    <w:rsid w:val="00F53A68"/>
    <w:rsid w:val="00F55A92"/>
    <w:rsid w:val="00F55B87"/>
    <w:rsid w:val="00F57E16"/>
    <w:rsid w:val="00F602CF"/>
    <w:rsid w:val="00F614F7"/>
    <w:rsid w:val="00F6217C"/>
    <w:rsid w:val="00F62BFF"/>
    <w:rsid w:val="00F63AAE"/>
    <w:rsid w:val="00F63DDE"/>
    <w:rsid w:val="00F63FB7"/>
    <w:rsid w:val="00F6421B"/>
    <w:rsid w:val="00F649D2"/>
    <w:rsid w:val="00F64C6F"/>
    <w:rsid w:val="00F655EF"/>
    <w:rsid w:val="00F6602B"/>
    <w:rsid w:val="00F7150B"/>
    <w:rsid w:val="00F71DE6"/>
    <w:rsid w:val="00F72D71"/>
    <w:rsid w:val="00F7381C"/>
    <w:rsid w:val="00F73A0C"/>
    <w:rsid w:val="00F7549F"/>
    <w:rsid w:val="00F75580"/>
    <w:rsid w:val="00F756DB"/>
    <w:rsid w:val="00F767A8"/>
    <w:rsid w:val="00F768CC"/>
    <w:rsid w:val="00F8184A"/>
    <w:rsid w:val="00F83FF0"/>
    <w:rsid w:val="00F84E7D"/>
    <w:rsid w:val="00F85066"/>
    <w:rsid w:val="00F85761"/>
    <w:rsid w:val="00F87A4D"/>
    <w:rsid w:val="00F90814"/>
    <w:rsid w:val="00F913B7"/>
    <w:rsid w:val="00F93688"/>
    <w:rsid w:val="00F939F3"/>
    <w:rsid w:val="00F93D8A"/>
    <w:rsid w:val="00F959CC"/>
    <w:rsid w:val="00F9644E"/>
    <w:rsid w:val="00F97E48"/>
    <w:rsid w:val="00FA0105"/>
    <w:rsid w:val="00FA05A0"/>
    <w:rsid w:val="00FA08BA"/>
    <w:rsid w:val="00FA17CC"/>
    <w:rsid w:val="00FA1F01"/>
    <w:rsid w:val="00FA26DF"/>
    <w:rsid w:val="00FA38FB"/>
    <w:rsid w:val="00FA5112"/>
    <w:rsid w:val="00FA5526"/>
    <w:rsid w:val="00FA5BC0"/>
    <w:rsid w:val="00FA5D4D"/>
    <w:rsid w:val="00FA6637"/>
    <w:rsid w:val="00FA70D3"/>
    <w:rsid w:val="00FA7AEC"/>
    <w:rsid w:val="00FB0AEA"/>
    <w:rsid w:val="00FB0EE2"/>
    <w:rsid w:val="00FB1762"/>
    <w:rsid w:val="00FB1A79"/>
    <w:rsid w:val="00FB208B"/>
    <w:rsid w:val="00FB256A"/>
    <w:rsid w:val="00FB2B2D"/>
    <w:rsid w:val="00FB5302"/>
    <w:rsid w:val="00FB542E"/>
    <w:rsid w:val="00FB564F"/>
    <w:rsid w:val="00FB662B"/>
    <w:rsid w:val="00FB6977"/>
    <w:rsid w:val="00FB7473"/>
    <w:rsid w:val="00FB7DBB"/>
    <w:rsid w:val="00FC05F8"/>
    <w:rsid w:val="00FC0E5F"/>
    <w:rsid w:val="00FC1266"/>
    <w:rsid w:val="00FC16F6"/>
    <w:rsid w:val="00FC1A95"/>
    <w:rsid w:val="00FC1ED4"/>
    <w:rsid w:val="00FC36BA"/>
    <w:rsid w:val="00FC3BEC"/>
    <w:rsid w:val="00FC440B"/>
    <w:rsid w:val="00FC56DE"/>
    <w:rsid w:val="00FC5A83"/>
    <w:rsid w:val="00FC64DE"/>
    <w:rsid w:val="00FC684B"/>
    <w:rsid w:val="00FC7132"/>
    <w:rsid w:val="00FC7D98"/>
    <w:rsid w:val="00FD1135"/>
    <w:rsid w:val="00FD3265"/>
    <w:rsid w:val="00FD3CF7"/>
    <w:rsid w:val="00FD4916"/>
    <w:rsid w:val="00FD4D12"/>
    <w:rsid w:val="00FD4DCD"/>
    <w:rsid w:val="00FD4F73"/>
    <w:rsid w:val="00FD595E"/>
    <w:rsid w:val="00FD6633"/>
    <w:rsid w:val="00FD7AFE"/>
    <w:rsid w:val="00FE27C7"/>
    <w:rsid w:val="00FE2C7E"/>
    <w:rsid w:val="00FE2E2B"/>
    <w:rsid w:val="00FE2F78"/>
    <w:rsid w:val="00FE3137"/>
    <w:rsid w:val="00FE3942"/>
    <w:rsid w:val="00FE3B9E"/>
    <w:rsid w:val="00FE48E4"/>
    <w:rsid w:val="00FE634C"/>
    <w:rsid w:val="00FE6E69"/>
    <w:rsid w:val="00FE6F59"/>
    <w:rsid w:val="00FE7013"/>
    <w:rsid w:val="00FF036B"/>
    <w:rsid w:val="00FF2C2F"/>
    <w:rsid w:val="00FF2EF4"/>
    <w:rsid w:val="00FF3D7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227B688-5359-4AB5-96D5-D86FA480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79868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8\QMakro\Celorok-2018\Odv&#283;tv&#237;\Aktualizace-duben\Grafy-trh%20pr&#225;ce-rok-2018-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8\QMakro\Celorok-2018\Odv&#283;tv&#237;\Aktualizace-duben\Grafy-trh%20pr&#225;ce-rok-2018-ENG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18\QMakro\Celorok-2018\Odv&#283;tv&#237;\Aktualizace-duben\Grafy-trh%20pr&#225;ce-rok-2018-EN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306663279993532E-2"/>
          <c:y val="1.6549886621315367E-2"/>
          <c:w val="0.92698007507126057"/>
          <c:h val="0.71362200523083152"/>
        </c:manualLayout>
      </c:layout>
      <c:barChart>
        <c:barDir val="col"/>
        <c:grouping val="stacked"/>
        <c:varyColors val="0"/>
        <c:ser>
          <c:idx val="0"/>
          <c:order val="0"/>
          <c:tx>
            <c:strRef>
              <c:f>'Trh práce 1'!$AC$7</c:f>
              <c:strCache>
                <c:ptCount val="1"/>
                <c:pt idx="0">
                  <c:v>Agriculture, forestry and fishing</c:v>
                </c:pt>
              </c:strCache>
            </c:strRef>
          </c:tx>
          <c:spPr>
            <a:solidFill>
              <a:srgbClr val="7DBB2D"/>
            </a:solidFill>
            <a:ln>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1'!$AC$8:$AC$43</c:f>
              <c:numCache>
                <c:formatCode>#\ ##0.0</c:formatCode>
                <c:ptCount val="36"/>
                <c:pt idx="0">
                  <c:v>-0.23356174217311171</c:v>
                </c:pt>
                <c:pt idx="1">
                  <c:v>-0.1747122966562005</c:v>
                </c:pt>
                <c:pt idx="2">
                  <c:v>-0.13915962469226037</c:v>
                </c:pt>
                <c:pt idx="3">
                  <c:v>-0.14143959200405862</c:v>
                </c:pt>
                <c:pt idx="4">
                  <c:v>0.12025721096249922</c:v>
                </c:pt>
                <c:pt idx="5">
                  <c:v>9.358106375492109E-2</c:v>
                </c:pt>
                <c:pt idx="6">
                  <c:v>5.2909479039819948E-2</c:v>
                </c:pt>
                <c:pt idx="7">
                  <c:v>3.2200235806622762E-2</c:v>
                </c:pt>
                <c:pt idx="8">
                  <c:v>3.6416042268804891E-2</c:v>
                </c:pt>
                <c:pt idx="9">
                  <c:v>3.2594485393274086E-2</c:v>
                </c:pt>
                <c:pt idx="10">
                  <c:v>6.1848773312858325E-2</c:v>
                </c:pt>
                <c:pt idx="11">
                  <c:v>7.0937478899476325E-2</c:v>
                </c:pt>
                <c:pt idx="12">
                  <c:v>3.254323494845611E-2</c:v>
                </c:pt>
                <c:pt idx="13">
                  <c:v>7.6321874707195578E-2</c:v>
                </c:pt>
                <c:pt idx="14">
                  <c:v>2.3410924481669548E-2</c:v>
                </c:pt>
                <c:pt idx="15">
                  <c:v>-7.4800499194880665E-4</c:v>
                </c:pt>
                <c:pt idx="16">
                  <c:v>-6.3249219119214373E-4</c:v>
                </c:pt>
                <c:pt idx="17">
                  <c:v>-6.4752296459134953E-2</c:v>
                </c:pt>
                <c:pt idx="18">
                  <c:v>-3.5218637577225362E-2</c:v>
                </c:pt>
                <c:pt idx="19">
                  <c:v>-2.0958984742843256E-2</c:v>
                </c:pt>
                <c:pt idx="20">
                  <c:v>-2.3426406788155177E-2</c:v>
                </c:pt>
                <c:pt idx="21">
                  <c:v>-2.7474299959347057E-2</c:v>
                </c:pt>
                <c:pt idx="22">
                  <c:v>-4.4382342156993569E-2</c:v>
                </c:pt>
                <c:pt idx="23">
                  <c:v>-8.1709652130563096E-2</c:v>
                </c:pt>
                <c:pt idx="24">
                  <c:v>-0.1349012302557534</c:v>
                </c:pt>
                <c:pt idx="25">
                  <c:v>-5.8568195523339348E-2</c:v>
                </c:pt>
                <c:pt idx="26">
                  <c:v>-5.6239326192333558E-2</c:v>
                </c:pt>
                <c:pt idx="27">
                  <c:v>6.6170821514596537E-2</c:v>
                </c:pt>
                <c:pt idx="28">
                  <c:v>0.11723741570217129</c:v>
                </c:pt>
                <c:pt idx="29">
                  <c:v>4.0126527757696755E-2</c:v>
                </c:pt>
                <c:pt idx="30">
                  <c:v>3.1187617642086975E-2</c:v>
                </c:pt>
                <c:pt idx="31">
                  <c:v>-7.4823625304738392E-2</c:v>
                </c:pt>
                <c:pt idx="32">
                  <c:v>-5.6457958029779425E-2</c:v>
                </c:pt>
                <c:pt idx="33">
                  <c:v>-6.2853327364797804E-2</c:v>
                </c:pt>
                <c:pt idx="34">
                  <c:v>-7.0464313820449265E-2</c:v>
                </c:pt>
                <c:pt idx="35">
                  <c:v>-1.2232566219237755E-2</c:v>
                </c:pt>
              </c:numCache>
            </c:numRef>
          </c:val>
          <c:extLst>
            <c:ext xmlns:c16="http://schemas.microsoft.com/office/drawing/2014/chart" uri="{C3380CC4-5D6E-409C-BE32-E72D297353CC}">
              <c16:uniqueId val="{00000000-A8C7-4B91-B5E8-D178FC7675C1}"/>
            </c:ext>
          </c:extLst>
        </c:ser>
        <c:ser>
          <c:idx val="1"/>
          <c:order val="1"/>
          <c:tx>
            <c:strRef>
              <c:f>'Trh práce 1'!$AD$7</c:f>
              <c:strCache>
                <c:ptCount val="1"/>
                <c:pt idx="0">
                  <c:v>Manufacturing</c:v>
                </c:pt>
              </c:strCache>
            </c:strRef>
          </c:tx>
          <c:spPr>
            <a:solidFill>
              <a:srgbClr val="A6CDE8"/>
            </a:solidFill>
            <a:ln>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1'!$AD$8:$AD$43</c:f>
              <c:numCache>
                <c:formatCode>#\ ##0.0</c:formatCode>
                <c:ptCount val="36"/>
                <c:pt idx="0">
                  <c:v>-1.8468131005586972</c:v>
                </c:pt>
                <c:pt idx="1">
                  <c:v>-0.84788747706839906</c:v>
                </c:pt>
                <c:pt idx="2">
                  <c:v>-0.30139112378533134</c:v>
                </c:pt>
                <c:pt idx="3">
                  <c:v>-0.1425635369007866</c:v>
                </c:pt>
                <c:pt idx="4">
                  <c:v>0.97844827072395646</c:v>
                </c:pt>
                <c:pt idx="5">
                  <c:v>1.063786603492519</c:v>
                </c:pt>
                <c:pt idx="6">
                  <c:v>0.95643299792444314</c:v>
                </c:pt>
                <c:pt idx="7">
                  <c:v>0.57769272501294466</c:v>
                </c:pt>
                <c:pt idx="8">
                  <c:v>0.15443577162715652</c:v>
                </c:pt>
                <c:pt idx="9">
                  <c:v>0.13176409830306832</c:v>
                </c:pt>
                <c:pt idx="10">
                  <c:v>0.310669774882741</c:v>
                </c:pt>
                <c:pt idx="11">
                  <c:v>0.42067990356315849</c:v>
                </c:pt>
                <c:pt idx="12">
                  <c:v>-4.6819370352935923E-2</c:v>
                </c:pt>
                <c:pt idx="13">
                  <c:v>4.2064995953618928E-2</c:v>
                </c:pt>
                <c:pt idx="14">
                  <c:v>-0.1041687774205378</c:v>
                </c:pt>
                <c:pt idx="15">
                  <c:v>-5.5135841643404702E-2</c:v>
                </c:pt>
                <c:pt idx="16">
                  <c:v>0.20301022799169485</c:v>
                </c:pt>
                <c:pt idx="17">
                  <c:v>0.19724032346706391</c:v>
                </c:pt>
                <c:pt idx="18">
                  <c:v>0.39740852145595407</c:v>
                </c:pt>
                <c:pt idx="19">
                  <c:v>0.53497562558633682</c:v>
                </c:pt>
                <c:pt idx="20">
                  <c:v>0.89708201699004209</c:v>
                </c:pt>
                <c:pt idx="21">
                  <c:v>0.95891386110790222</c:v>
                </c:pt>
                <c:pt idx="22">
                  <c:v>0.81128655463120936</c:v>
                </c:pt>
                <c:pt idx="23">
                  <c:v>0.98230949962927161</c:v>
                </c:pt>
                <c:pt idx="24">
                  <c:v>0.87235611440990379</c:v>
                </c:pt>
                <c:pt idx="25">
                  <c:v>0.65986062735229012</c:v>
                </c:pt>
                <c:pt idx="26">
                  <c:v>0.73012796808490243</c:v>
                </c:pt>
                <c:pt idx="27">
                  <c:v>0.59894211322673929</c:v>
                </c:pt>
                <c:pt idx="28">
                  <c:v>0.19150433793723556</c:v>
                </c:pt>
                <c:pt idx="29">
                  <c:v>0.31407747649739137</c:v>
                </c:pt>
                <c:pt idx="30">
                  <c:v>0.44293254775485197</c:v>
                </c:pt>
                <c:pt idx="31">
                  <c:v>0.42858338027908338</c:v>
                </c:pt>
                <c:pt idx="32">
                  <c:v>0.6416396084024838</c:v>
                </c:pt>
                <c:pt idx="33">
                  <c:v>0.55147093281985682</c:v>
                </c:pt>
                <c:pt idx="34">
                  <c:v>0.39112071414268845</c:v>
                </c:pt>
                <c:pt idx="35">
                  <c:v>0.34532329629863218</c:v>
                </c:pt>
              </c:numCache>
            </c:numRef>
          </c:val>
          <c:extLst>
            <c:ext xmlns:c16="http://schemas.microsoft.com/office/drawing/2014/chart" uri="{C3380CC4-5D6E-409C-BE32-E72D297353CC}">
              <c16:uniqueId val="{00000001-A8C7-4B91-B5E8-D178FC7675C1}"/>
            </c:ext>
          </c:extLst>
        </c:ser>
        <c:ser>
          <c:idx val="2"/>
          <c:order val="2"/>
          <c:tx>
            <c:strRef>
              <c:f>'Trh práce 1'!$AE$7</c:f>
              <c:strCache>
                <c:ptCount val="1"/>
                <c:pt idx="0">
                  <c:v>Construction</c:v>
                </c:pt>
              </c:strCache>
            </c:strRef>
          </c:tx>
          <c:spPr>
            <a:solidFill>
              <a:srgbClr val="48AEE7"/>
            </a:solidFill>
            <a:ln w="19050">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1'!$AE$8:$AE$43</c:f>
              <c:numCache>
                <c:formatCode>#\ ##0.0</c:formatCode>
                <c:ptCount val="36"/>
                <c:pt idx="0">
                  <c:v>9.1805397291672322E-2</c:v>
                </c:pt>
                <c:pt idx="1">
                  <c:v>0.14233137183665134</c:v>
                </c:pt>
                <c:pt idx="2">
                  <c:v>0.18536243119285936</c:v>
                </c:pt>
                <c:pt idx="3">
                  <c:v>0.18846781268294879</c:v>
                </c:pt>
                <c:pt idx="4">
                  <c:v>-0.46608857908148404</c:v>
                </c:pt>
                <c:pt idx="5">
                  <c:v>-0.46105406019246514</c:v>
                </c:pt>
                <c:pt idx="6">
                  <c:v>-0.50213718404433083</c:v>
                </c:pt>
                <c:pt idx="7">
                  <c:v>-0.48550624820548732</c:v>
                </c:pt>
                <c:pt idx="8">
                  <c:v>-8.7100822625494942E-2</c:v>
                </c:pt>
                <c:pt idx="9">
                  <c:v>-5.7664119966716589E-2</c:v>
                </c:pt>
                <c:pt idx="10">
                  <c:v>-0.14694777392936498</c:v>
                </c:pt>
                <c:pt idx="11">
                  <c:v>-0.16362090947726265</c:v>
                </c:pt>
                <c:pt idx="12">
                  <c:v>-0.21164023265136817</c:v>
                </c:pt>
                <c:pt idx="13">
                  <c:v>-0.32390837579697213</c:v>
                </c:pt>
                <c:pt idx="14">
                  <c:v>-0.19120233196415506</c:v>
                </c:pt>
                <c:pt idx="15">
                  <c:v>-9.5508426866765084E-2</c:v>
                </c:pt>
                <c:pt idx="16">
                  <c:v>-0.43207122810811094</c:v>
                </c:pt>
                <c:pt idx="17">
                  <c:v>-0.30623380701892161</c:v>
                </c:pt>
                <c:pt idx="18">
                  <c:v>-0.361619939409007</c:v>
                </c:pt>
                <c:pt idx="19">
                  <c:v>-0.44866003208200655</c:v>
                </c:pt>
                <c:pt idx="20">
                  <c:v>-1.1988345755684198E-2</c:v>
                </c:pt>
                <c:pt idx="21">
                  <c:v>-4.8830126266074855E-3</c:v>
                </c:pt>
                <c:pt idx="22">
                  <c:v>-5.0789652116277763E-2</c:v>
                </c:pt>
                <c:pt idx="23">
                  <c:v>-8.1280730072134724E-2</c:v>
                </c:pt>
                <c:pt idx="24">
                  <c:v>-0.17435091395971647</c:v>
                </c:pt>
                <c:pt idx="25">
                  <c:v>-0.20154859782266646</c:v>
                </c:pt>
                <c:pt idx="26">
                  <c:v>-8.8031800957899836E-2</c:v>
                </c:pt>
                <c:pt idx="27">
                  <c:v>-6.5305214837806186E-2</c:v>
                </c:pt>
                <c:pt idx="28">
                  <c:v>-2.2163527088411759E-3</c:v>
                </c:pt>
                <c:pt idx="29">
                  <c:v>-6.9727441700161638E-3</c:v>
                </c:pt>
                <c:pt idx="30">
                  <c:v>6.3305925457414092E-2</c:v>
                </c:pt>
                <c:pt idx="31">
                  <c:v>-8.1773421900432991E-2</c:v>
                </c:pt>
                <c:pt idx="32">
                  <c:v>-3.220250441325003E-3</c:v>
                </c:pt>
                <c:pt idx="33">
                  <c:v>-5.6517382047379244E-2</c:v>
                </c:pt>
                <c:pt idx="34">
                  <c:v>-5.76119806097403E-2</c:v>
                </c:pt>
                <c:pt idx="35">
                  <c:v>-5.4366960974389271E-3</c:v>
                </c:pt>
              </c:numCache>
            </c:numRef>
          </c:val>
          <c:extLst>
            <c:ext xmlns:c16="http://schemas.microsoft.com/office/drawing/2014/chart" uri="{C3380CC4-5D6E-409C-BE32-E72D297353CC}">
              <c16:uniqueId val="{00000002-A8C7-4B91-B5E8-D178FC7675C1}"/>
            </c:ext>
          </c:extLst>
        </c:ser>
        <c:ser>
          <c:idx val="3"/>
          <c:order val="3"/>
          <c:tx>
            <c:strRef>
              <c:f>'Trh práce 1'!$AF$7</c:f>
              <c:strCache>
                <c:ptCount val="1"/>
                <c:pt idx="0">
                  <c:v>Trade,transport,accommodat.,restaurants</c:v>
                </c:pt>
              </c:strCache>
            </c:strRef>
          </c:tx>
          <c:spPr>
            <a:solidFill>
              <a:srgbClr val="FDDEB3"/>
            </a:solidFill>
            <a:ln w="19050">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1'!$AF$8:$AF$43</c:f>
              <c:numCache>
                <c:formatCode>#\ ##0.0</c:formatCode>
                <c:ptCount val="36"/>
                <c:pt idx="0">
                  <c:v>-0.32992745808419799</c:v>
                </c:pt>
                <c:pt idx="1">
                  <c:v>-0.13169415981863533</c:v>
                </c:pt>
                <c:pt idx="2">
                  <c:v>0.1363839128402832</c:v>
                </c:pt>
                <c:pt idx="3">
                  <c:v>0.26629606719849908</c:v>
                </c:pt>
                <c:pt idx="4">
                  <c:v>-4.4602253198547499E-2</c:v>
                </c:pt>
                <c:pt idx="5">
                  <c:v>-8.3343778532470478E-2</c:v>
                </c:pt>
                <c:pt idx="6">
                  <c:v>-8.9490576176930112E-2</c:v>
                </c:pt>
                <c:pt idx="7">
                  <c:v>-0.17073613404442001</c:v>
                </c:pt>
                <c:pt idx="8">
                  <c:v>-0.13093899013055701</c:v>
                </c:pt>
                <c:pt idx="9">
                  <c:v>-9.8654754695802052E-2</c:v>
                </c:pt>
                <c:pt idx="10">
                  <c:v>-8.3732505144657896E-2</c:v>
                </c:pt>
                <c:pt idx="11">
                  <c:v>-0.19994359954085053</c:v>
                </c:pt>
                <c:pt idx="12">
                  <c:v>0.20870161228994447</c:v>
                </c:pt>
                <c:pt idx="13">
                  <c:v>0.15908791702758593</c:v>
                </c:pt>
                <c:pt idx="14">
                  <c:v>1.2571076255283883E-2</c:v>
                </c:pt>
                <c:pt idx="15">
                  <c:v>1.6731690609384169E-2</c:v>
                </c:pt>
                <c:pt idx="16">
                  <c:v>-4.7436914339410621E-2</c:v>
                </c:pt>
                <c:pt idx="17">
                  <c:v>-0.23822328648818419</c:v>
                </c:pt>
                <c:pt idx="18">
                  <c:v>-0.10860390136816096</c:v>
                </c:pt>
                <c:pt idx="19">
                  <c:v>0.12986698621410456</c:v>
                </c:pt>
                <c:pt idx="20">
                  <c:v>0.13077123386609546</c:v>
                </c:pt>
                <c:pt idx="21">
                  <c:v>0.38187511999169982</c:v>
                </c:pt>
                <c:pt idx="22">
                  <c:v>0.21771179724458325</c:v>
                </c:pt>
                <c:pt idx="23">
                  <c:v>8.2353035218203058E-2</c:v>
                </c:pt>
                <c:pt idx="24">
                  <c:v>8.3575891644353945E-2</c:v>
                </c:pt>
                <c:pt idx="25">
                  <c:v>0.22999435517457698</c:v>
                </c:pt>
                <c:pt idx="26">
                  <c:v>-6.0153136002780421E-3</c:v>
                </c:pt>
                <c:pt idx="27">
                  <c:v>0.12124264186235174</c:v>
                </c:pt>
                <c:pt idx="28">
                  <c:v>0.30899013799470437</c:v>
                </c:pt>
                <c:pt idx="29">
                  <c:v>0.15780821001677431</c:v>
                </c:pt>
                <c:pt idx="30">
                  <c:v>0.50460501698984073</c:v>
                </c:pt>
                <c:pt idx="31">
                  <c:v>0.37073765481002691</c:v>
                </c:pt>
                <c:pt idx="32">
                  <c:v>0.25564268854377808</c:v>
                </c:pt>
                <c:pt idx="33">
                  <c:v>0.52295917889148047</c:v>
                </c:pt>
                <c:pt idx="34">
                  <c:v>0.34963934304087885</c:v>
                </c:pt>
                <c:pt idx="35">
                  <c:v>0.37874408224008366</c:v>
                </c:pt>
              </c:numCache>
            </c:numRef>
          </c:val>
          <c:extLst>
            <c:ext xmlns:c16="http://schemas.microsoft.com/office/drawing/2014/chart" uri="{C3380CC4-5D6E-409C-BE32-E72D297353CC}">
              <c16:uniqueId val="{00000003-A8C7-4B91-B5E8-D178FC7675C1}"/>
            </c:ext>
          </c:extLst>
        </c:ser>
        <c:ser>
          <c:idx val="4"/>
          <c:order val="4"/>
          <c:tx>
            <c:strRef>
              <c:f>'Trh práce 1'!$AG$7</c:f>
              <c:strCache>
                <c:ptCount val="1"/>
                <c:pt idx="0">
                  <c:v>Information and communication</c:v>
                </c:pt>
              </c:strCache>
            </c:strRef>
          </c:tx>
          <c:spPr>
            <a:solidFill>
              <a:srgbClr val="F8A124"/>
            </a:solidFill>
            <a:ln w="19050">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1'!$AG$8:$AG$43</c:f>
              <c:numCache>
                <c:formatCode>#\ ##0.0</c:formatCode>
                <c:ptCount val="36"/>
                <c:pt idx="0">
                  <c:v>-6.5544918462082921E-2</c:v>
                </c:pt>
                <c:pt idx="1">
                  <c:v>-7.6376746585239866E-2</c:v>
                </c:pt>
                <c:pt idx="2">
                  <c:v>-6.7365148634448022E-2</c:v>
                </c:pt>
                <c:pt idx="3">
                  <c:v>-8.1298680863339648E-2</c:v>
                </c:pt>
                <c:pt idx="4">
                  <c:v>-4.2754587475846345E-2</c:v>
                </c:pt>
                <c:pt idx="5">
                  <c:v>-8.4571460706150903E-2</c:v>
                </c:pt>
                <c:pt idx="6">
                  <c:v>-0.13311180898948402</c:v>
                </c:pt>
                <c:pt idx="7">
                  <c:v>-0.16297181769937</c:v>
                </c:pt>
                <c:pt idx="8">
                  <c:v>2.048030279095709E-2</c:v>
                </c:pt>
                <c:pt idx="9">
                  <c:v>3.5782645872203221E-2</c:v>
                </c:pt>
                <c:pt idx="10">
                  <c:v>5.3511170506353962E-2</c:v>
                </c:pt>
                <c:pt idx="11">
                  <c:v>7.1751710880125247E-2</c:v>
                </c:pt>
                <c:pt idx="12">
                  <c:v>4.0922274087106726E-2</c:v>
                </c:pt>
                <c:pt idx="13">
                  <c:v>7.4542810028706205E-2</c:v>
                </c:pt>
                <c:pt idx="14">
                  <c:v>3.1221123657486902E-2</c:v>
                </c:pt>
                <c:pt idx="15">
                  <c:v>3.1416209661862315E-2</c:v>
                </c:pt>
                <c:pt idx="16">
                  <c:v>0.10163358897218235</c:v>
                </c:pt>
                <c:pt idx="17">
                  <c:v>6.6224385648111464E-2</c:v>
                </c:pt>
                <c:pt idx="18">
                  <c:v>8.507895204899954E-2</c:v>
                </c:pt>
                <c:pt idx="19">
                  <c:v>8.2438673321849676E-2</c:v>
                </c:pt>
                <c:pt idx="20">
                  <c:v>8.1363526932014367E-3</c:v>
                </c:pt>
                <c:pt idx="21">
                  <c:v>5.196780506229165E-2</c:v>
                </c:pt>
                <c:pt idx="22">
                  <c:v>7.5696116134837246E-2</c:v>
                </c:pt>
                <c:pt idx="23">
                  <c:v>9.8730059267280498E-2</c:v>
                </c:pt>
                <c:pt idx="24">
                  <c:v>0.13556098886172266</c:v>
                </c:pt>
                <c:pt idx="25">
                  <c:v>0.11844690019297284</c:v>
                </c:pt>
                <c:pt idx="26">
                  <c:v>0.14205394425269552</c:v>
                </c:pt>
                <c:pt idx="27">
                  <c:v>0.1723519072008087</c:v>
                </c:pt>
                <c:pt idx="28">
                  <c:v>9.117616488441338E-2</c:v>
                </c:pt>
                <c:pt idx="29">
                  <c:v>7.4933250699032117E-2</c:v>
                </c:pt>
                <c:pt idx="30">
                  <c:v>9.0599839313492886E-2</c:v>
                </c:pt>
                <c:pt idx="31">
                  <c:v>6.5909755758085858E-2</c:v>
                </c:pt>
                <c:pt idx="32">
                  <c:v>0.11351853602518676</c:v>
                </c:pt>
                <c:pt idx="33">
                  <c:v>0.12467565771048955</c:v>
                </c:pt>
                <c:pt idx="34">
                  <c:v>0.1292683949019077</c:v>
                </c:pt>
                <c:pt idx="35">
                  <c:v>0.14219194553473155</c:v>
                </c:pt>
              </c:numCache>
            </c:numRef>
          </c:val>
          <c:extLst>
            <c:ext xmlns:c16="http://schemas.microsoft.com/office/drawing/2014/chart" uri="{C3380CC4-5D6E-409C-BE32-E72D297353CC}">
              <c16:uniqueId val="{00000004-A8C7-4B91-B5E8-D178FC7675C1}"/>
            </c:ext>
          </c:extLst>
        </c:ser>
        <c:ser>
          <c:idx val="5"/>
          <c:order val="5"/>
          <c:tx>
            <c:strRef>
              <c:f>'Trh práce 1'!$AH$7</c:f>
              <c:strCache>
                <c:ptCount val="1"/>
                <c:pt idx="0">
                  <c:v>Professional,scientific,technic.,admin.act.</c:v>
                </c:pt>
              </c:strCache>
            </c:strRef>
          </c:tx>
          <c:spPr>
            <a:solidFill>
              <a:srgbClr val="E8C0BE"/>
            </a:solidFill>
            <a:ln w="19050">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1'!$AH$8:$AH$43</c:f>
              <c:numCache>
                <c:formatCode>#\ ##0.0</c:formatCode>
                <c:ptCount val="36"/>
                <c:pt idx="0">
                  <c:v>-0.14301236484017521</c:v>
                </c:pt>
                <c:pt idx="1">
                  <c:v>-6.1261737596404291E-2</c:v>
                </c:pt>
                <c:pt idx="2">
                  <c:v>-5.7089109012243349E-3</c:v>
                </c:pt>
                <c:pt idx="3">
                  <c:v>-5.3554988412522542E-2</c:v>
                </c:pt>
                <c:pt idx="4">
                  <c:v>-0.2067200198355853</c:v>
                </c:pt>
                <c:pt idx="5">
                  <c:v>-0.23613080517931392</c:v>
                </c:pt>
                <c:pt idx="6">
                  <c:v>-0.38896256600127194</c:v>
                </c:pt>
                <c:pt idx="7">
                  <c:v>-0.29327044631221588</c:v>
                </c:pt>
                <c:pt idx="8">
                  <c:v>0.12079806500829224</c:v>
                </c:pt>
                <c:pt idx="9">
                  <c:v>0.13786318791493057</c:v>
                </c:pt>
                <c:pt idx="10">
                  <c:v>0.20517236359949115</c:v>
                </c:pt>
                <c:pt idx="11">
                  <c:v>0.246156229271838</c:v>
                </c:pt>
                <c:pt idx="12">
                  <c:v>4.8586513678384492E-2</c:v>
                </c:pt>
                <c:pt idx="13">
                  <c:v>0.15669606340428388</c:v>
                </c:pt>
                <c:pt idx="14">
                  <c:v>0.21355091197354684</c:v>
                </c:pt>
                <c:pt idx="15">
                  <c:v>0.20194166348436518</c:v>
                </c:pt>
                <c:pt idx="16">
                  <c:v>0.32444872870057895</c:v>
                </c:pt>
                <c:pt idx="17">
                  <c:v>0.23009735416503094</c:v>
                </c:pt>
                <c:pt idx="18">
                  <c:v>0.12021897659591836</c:v>
                </c:pt>
                <c:pt idx="19">
                  <c:v>8.6689509664060513E-2</c:v>
                </c:pt>
                <c:pt idx="20">
                  <c:v>0.11212051235438299</c:v>
                </c:pt>
                <c:pt idx="21">
                  <c:v>0.10889706472109727</c:v>
                </c:pt>
                <c:pt idx="22">
                  <c:v>0.21462534915444087</c:v>
                </c:pt>
                <c:pt idx="23">
                  <c:v>0.35403616631803658</c:v>
                </c:pt>
                <c:pt idx="24">
                  <c:v>0.28965343268521748</c:v>
                </c:pt>
                <c:pt idx="25">
                  <c:v>0.25529874501404182</c:v>
                </c:pt>
                <c:pt idx="26">
                  <c:v>0.24628082028826492</c:v>
                </c:pt>
                <c:pt idx="27">
                  <c:v>0.25598874788263026</c:v>
                </c:pt>
                <c:pt idx="28">
                  <c:v>0.23116940882994805</c:v>
                </c:pt>
                <c:pt idx="29">
                  <c:v>0.15482531945902892</c:v>
                </c:pt>
                <c:pt idx="30">
                  <c:v>9.278411216905956E-2</c:v>
                </c:pt>
                <c:pt idx="31">
                  <c:v>-4.4059444178685847E-2</c:v>
                </c:pt>
                <c:pt idx="32">
                  <c:v>0.11901744321154208</c:v>
                </c:pt>
                <c:pt idx="33">
                  <c:v>9.2171133508114345E-2</c:v>
                </c:pt>
                <c:pt idx="34">
                  <c:v>1.9539271794250693E-2</c:v>
                </c:pt>
                <c:pt idx="35">
                  <c:v>0.17991367941627653</c:v>
                </c:pt>
              </c:numCache>
            </c:numRef>
          </c:val>
          <c:extLst>
            <c:ext xmlns:c16="http://schemas.microsoft.com/office/drawing/2014/chart" uri="{C3380CC4-5D6E-409C-BE32-E72D297353CC}">
              <c16:uniqueId val="{00000005-A8C7-4B91-B5E8-D178FC7675C1}"/>
            </c:ext>
          </c:extLst>
        </c:ser>
        <c:ser>
          <c:idx val="6"/>
          <c:order val="6"/>
          <c:tx>
            <c:strRef>
              <c:f>'Trh práce 1'!$AI$7</c:f>
              <c:strCache>
                <c:ptCount val="1"/>
                <c:pt idx="0">
                  <c:v>Public admin.,education,health,soc.care</c:v>
                </c:pt>
              </c:strCache>
            </c:strRef>
          </c:tx>
          <c:spPr>
            <a:solidFill>
              <a:srgbClr val="D58D8B"/>
            </a:solidFill>
            <a:ln>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1'!$AI$8:$AI$43</c:f>
              <c:numCache>
                <c:formatCode>#\ ##0.0</c:formatCode>
                <c:ptCount val="36"/>
                <c:pt idx="0">
                  <c:v>-2.0907901466973439E-2</c:v>
                </c:pt>
                <c:pt idx="1">
                  <c:v>-6.2962909371343301E-2</c:v>
                </c:pt>
                <c:pt idx="2">
                  <c:v>-2.8209894211911567E-2</c:v>
                </c:pt>
                <c:pt idx="3">
                  <c:v>-2.2340869613912382E-2</c:v>
                </c:pt>
                <c:pt idx="4">
                  <c:v>-9.5105116285723379E-2</c:v>
                </c:pt>
                <c:pt idx="5">
                  <c:v>-0.14678722505612299</c:v>
                </c:pt>
                <c:pt idx="6">
                  <c:v>-0.16744479557477174</c:v>
                </c:pt>
                <c:pt idx="7">
                  <c:v>-0.1288994751598026</c:v>
                </c:pt>
                <c:pt idx="8">
                  <c:v>-0.43673451891530518</c:v>
                </c:pt>
                <c:pt idx="9">
                  <c:v>-0.32576663378174864</c:v>
                </c:pt>
                <c:pt idx="10">
                  <c:v>-5.8957348111554328E-2</c:v>
                </c:pt>
                <c:pt idx="11">
                  <c:v>3.9857648418602898E-2</c:v>
                </c:pt>
                <c:pt idx="12">
                  <c:v>0.15165663730097972</c:v>
                </c:pt>
                <c:pt idx="13">
                  <c:v>0.37473032344581875</c:v>
                </c:pt>
                <c:pt idx="14">
                  <c:v>0.18752347240275047</c:v>
                </c:pt>
                <c:pt idx="15">
                  <c:v>0.15316386427252701</c:v>
                </c:pt>
                <c:pt idx="16">
                  <c:v>0.26533047420509104</c:v>
                </c:pt>
                <c:pt idx="17">
                  <c:v>0.16561984768783769</c:v>
                </c:pt>
                <c:pt idx="18">
                  <c:v>0.34577941380228444</c:v>
                </c:pt>
                <c:pt idx="19">
                  <c:v>0.35604690325588367</c:v>
                </c:pt>
                <c:pt idx="20">
                  <c:v>0.26073669367319835</c:v>
                </c:pt>
                <c:pt idx="21">
                  <c:v>0.23875774589939752</c:v>
                </c:pt>
                <c:pt idx="22">
                  <c:v>9.980166640848423E-2</c:v>
                </c:pt>
                <c:pt idx="23">
                  <c:v>9.8593584066869605E-2</c:v>
                </c:pt>
                <c:pt idx="24">
                  <c:v>0.37561609810998425</c:v>
                </c:pt>
                <c:pt idx="25">
                  <c:v>0.36534296891607143</c:v>
                </c:pt>
                <c:pt idx="26">
                  <c:v>0.44871925875912344</c:v>
                </c:pt>
                <c:pt idx="27">
                  <c:v>0.54529373496970024</c:v>
                </c:pt>
                <c:pt idx="28">
                  <c:v>0.50744923788037166</c:v>
                </c:pt>
                <c:pt idx="29">
                  <c:v>0.561448400458187</c:v>
                </c:pt>
                <c:pt idx="30">
                  <c:v>0.64859608236418231</c:v>
                </c:pt>
                <c:pt idx="31">
                  <c:v>0.65218553161883674</c:v>
                </c:pt>
                <c:pt idx="32">
                  <c:v>0.43955476930389625</c:v>
                </c:pt>
                <c:pt idx="33">
                  <c:v>0.4662168520399318</c:v>
                </c:pt>
                <c:pt idx="34">
                  <c:v>0.40427107247132682</c:v>
                </c:pt>
                <c:pt idx="35">
                  <c:v>0.4249559990683125</c:v>
                </c:pt>
              </c:numCache>
            </c:numRef>
          </c:val>
          <c:extLst>
            <c:ext xmlns:c16="http://schemas.microsoft.com/office/drawing/2014/chart" uri="{C3380CC4-5D6E-409C-BE32-E72D297353CC}">
              <c16:uniqueId val="{00000006-A8C7-4B91-B5E8-D178FC7675C1}"/>
            </c:ext>
          </c:extLst>
        </c:ser>
        <c:ser>
          <c:idx val="7"/>
          <c:order val="7"/>
          <c:tx>
            <c:strRef>
              <c:f>'Trh práce 1'!$AJ$7</c:f>
              <c:strCache>
                <c:ptCount val="1"/>
                <c:pt idx="0">
                  <c:v>Other branches*</c:v>
                </c:pt>
              </c:strCache>
            </c:strRef>
          </c:tx>
          <c:spPr>
            <a:solidFill>
              <a:schemeClr val="bg1">
                <a:lumMod val="85000"/>
              </a:schemeClr>
            </a:solidFill>
            <a:ln>
              <a:noFill/>
            </a:ln>
          </c:spPr>
          <c:invertIfNegative val="0"/>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1'!$AJ$8:$AJ$43</c:f>
              <c:numCache>
                <c:formatCode>#\ ##0.0</c:formatCode>
                <c:ptCount val="36"/>
                <c:pt idx="0">
                  <c:v>-0.1901420983687783</c:v>
                </c:pt>
                <c:pt idx="1">
                  <c:v>-3.799283630699439E-2</c:v>
                </c:pt>
                <c:pt idx="2">
                  <c:v>4.5809088507411368E-2</c:v>
                </c:pt>
                <c:pt idx="3">
                  <c:v>4.7047939010411724E-2</c:v>
                </c:pt>
                <c:pt idx="4">
                  <c:v>-0.13197896124630437</c:v>
                </c:pt>
                <c:pt idx="5">
                  <c:v>-0.15009404639490076</c:v>
                </c:pt>
                <c:pt idx="6">
                  <c:v>-0.15241795135995928</c:v>
                </c:pt>
                <c:pt idx="7">
                  <c:v>-0.13857531101112103</c:v>
                </c:pt>
                <c:pt idx="8">
                  <c:v>0.27082819010483822</c:v>
                </c:pt>
                <c:pt idx="9">
                  <c:v>0.3204002270128683</c:v>
                </c:pt>
                <c:pt idx="10">
                  <c:v>0.32552298653328626</c:v>
                </c:pt>
                <c:pt idx="11">
                  <c:v>0.40308454905449781</c:v>
                </c:pt>
                <c:pt idx="12">
                  <c:v>0.2322105751813254</c:v>
                </c:pt>
                <c:pt idx="13">
                  <c:v>0.15133910198349895</c:v>
                </c:pt>
                <c:pt idx="14">
                  <c:v>-7.2219751069082586E-2</c:v>
                </c:pt>
                <c:pt idx="15">
                  <c:v>-0.22877142148506568</c:v>
                </c:pt>
                <c:pt idx="16">
                  <c:v>0.15741149408293634</c:v>
                </c:pt>
                <c:pt idx="17">
                  <c:v>3.8568736751197499E-2</c:v>
                </c:pt>
                <c:pt idx="18">
                  <c:v>0.16498909735535922</c:v>
                </c:pt>
                <c:pt idx="19">
                  <c:v>0.21998078070938992</c:v>
                </c:pt>
                <c:pt idx="20">
                  <c:v>-9.3528749920159276E-2</c:v>
                </c:pt>
                <c:pt idx="21">
                  <c:v>4.7320118345400244E-2</c:v>
                </c:pt>
                <c:pt idx="22">
                  <c:v>-3.2427239428080012E-3</c:v>
                </c:pt>
                <c:pt idx="23">
                  <c:v>-9.7462789549197376E-2</c:v>
                </c:pt>
                <c:pt idx="24">
                  <c:v>0.113090386929018</c:v>
                </c:pt>
                <c:pt idx="25">
                  <c:v>6.7491221034133714E-2</c:v>
                </c:pt>
                <c:pt idx="26">
                  <c:v>8.9786267424647681E-2</c:v>
                </c:pt>
                <c:pt idx="27">
                  <c:v>0.1606565992121825</c:v>
                </c:pt>
                <c:pt idx="28">
                  <c:v>1.2935092964532574E-2</c:v>
                </c:pt>
                <c:pt idx="29">
                  <c:v>5.8232863436240317E-2</c:v>
                </c:pt>
                <c:pt idx="30">
                  <c:v>9.6867752725118106E-2</c:v>
                </c:pt>
                <c:pt idx="31">
                  <c:v>0.11455833192795077</c:v>
                </c:pt>
                <c:pt idx="32">
                  <c:v>0.21835557817054407</c:v>
                </c:pt>
                <c:pt idx="33">
                  <c:v>0.22080207069190425</c:v>
                </c:pt>
                <c:pt idx="34">
                  <c:v>8.1956907430603219E-3</c:v>
                </c:pt>
                <c:pt idx="35">
                  <c:v>4.2990860578720841E-2</c:v>
                </c:pt>
              </c:numCache>
            </c:numRef>
          </c:val>
          <c:extLst>
            <c:ext xmlns:c16="http://schemas.microsoft.com/office/drawing/2014/chart" uri="{C3380CC4-5D6E-409C-BE32-E72D297353CC}">
              <c16:uniqueId val="{00000007-A8C7-4B91-B5E8-D178FC7675C1}"/>
            </c:ext>
          </c:extLst>
        </c:ser>
        <c:dLbls>
          <c:showLegendKey val="0"/>
          <c:showVal val="0"/>
          <c:showCatName val="0"/>
          <c:showSerName val="0"/>
          <c:showPercent val="0"/>
          <c:showBubbleSize val="0"/>
        </c:dLbls>
        <c:gapWidth val="47"/>
        <c:overlap val="100"/>
        <c:axId val="184299520"/>
        <c:axId val="184301056"/>
      </c:barChart>
      <c:lineChart>
        <c:grouping val="standard"/>
        <c:varyColors val="0"/>
        <c:ser>
          <c:idx val="8"/>
          <c:order val="8"/>
          <c:tx>
            <c:strRef>
              <c:f>'Trh práce 1'!$AK$7</c:f>
              <c:strCache>
                <c:ptCount val="1"/>
                <c:pt idx="0">
                  <c:v>Total employment</c:v>
                </c:pt>
              </c:strCache>
            </c:strRef>
          </c:tx>
          <c:spPr>
            <a:ln w="22225">
              <a:solidFill>
                <a:schemeClr val="tx1">
                  <a:lumMod val="95000"/>
                  <a:lumOff val="5000"/>
                </a:schemeClr>
              </a:solidFill>
            </a:ln>
          </c:spPr>
          <c:marker>
            <c:symbol val="none"/>
          </c:marker>
          <c:cat>
            <c:multiLvlStrRef>
              <c:f>'Trh práce 1'!$AA$8:$AB$43</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1'!$AK$8:$AK$43</c:f>
              <c:numCache>
                <c:formatCode>#\ ##0.0</c:formatCode>
                <c:ptCount val="36"/>
                <c:pt idx="0">
                  <c:v>-2.7381041866623406</c:v>
                </c:pt>
                <c:pt idx="1">
                  <c:v>-1.2505567915665665</c:v>
                </c:pt>
                <c:pt idx="2">
                  <c:v>-0.17427926968461804</c:v>
                </c:pt>
                <c:pt idx="3">
                  <c:v>6.0614151097240665E-2</c:v>
                </c:pt>
                <c:pt idx="4">
                  <c:v>0.11145596456296403</c:v>
                </c:pt>
                <c:pt idx="5">
                  <c:v>-4.6137088139772686E-3</c:v>
                </c:pt>
                <c:pt idx="6">
                  <c:v>-0.42422240518249055</c:v>
                </c:pt>
                <c:pt idx="7">
                  <c:v>-0.77006647161285002</c:v>
                </c:pt>
                <c:pt idx="8">
                  <c:v>-5.1815959871305495E-2</c:v>
                </c:pt>
                <c:pt idx="9">
                  <c:v>0.17631913605207217</c:v>
                </c:pt>
                <c:pt idx="10">
                  <c:v>0.66708744164915856</c:v>
                </c:pt>
                <c:pt idx="11">
                  <c:v>0.88890301106958702</c:v>
                </c:pt>
                <c:pt idx="12">
                  <c:v>0.45616124448189055</c:v>
                </c:pt>
                <c:pt idx="13">
                  <c:v>0.71087471075372832</c:v>
                </c:pt>
                <c:pt idx="14">
                  <c:v>0.10068664831696594</c:v>
                </c:pt>
                <c:pt idx="15">
                  <c:v>2.3089733040947635E-2</c:v>
                </c:pt>
                <c:pt idx="16">
                  <c:v>0.57169387931377003</c:v>
                </c:pt>
                <c:pt idx="17">
                  <c:v>8.8541257752993374E-2</c:v>
                </c:pt>
                <c:pt idx="18">
                  <c:v>0.60803248290413592</c:v>
                </c:pt>
                <c:pt idx="19">
                  <c:v>0.94037946192678135</c:v>
                </c:pt>
                <c:pt idx="20">
                  <c:v>1.2799033071129173</c:v>
                </c:pt>
                <c:pt idx="21">
                  <c:v>1.7553744025418325</c:v>
                </c:pt>
                <c:pt idx="22">
                  <c:v>1.3207067653574711</c:v>
                </c:pt>
                <c:pt idx="23">
                  <c:v>1.3555691727477779</c:v>
                </c:pt>
                <c:pt idx="24">
                  <c:v>1.5606007684247203</c:v>
                </c:pt>
                <c:pt idx="25">
                  <c:v>1.4363180243380782</c:v>
                </c:pt>
                <c:pt idx="26">
                  <c:v>1.5066818180591355</c:v>
                </c:pt>
                <c:pt idx="27">
                  <c:v>1.8553413510311998</c:v>
                </c:pt>
                <c:pt idx="28">
                  <c:v>1.4582454434845431</c:v>
                </c:pt>
                <c:pt idx="29">
                  <c:v>1.3544793041543386</c:v>
                </c:pt>
                <c:pt idx="30">
                  <c:v>1.970878894416046</c:v>
                </c:pt>
                <c:pt idx="31">
                  <c:v>1.4313181630101184</c:v>
                </c:pt>
                <c:pt idx="32">
                  <c:v>1.7280504151863312</c:v>
                </c:pt>
                <c:pt idx="33">
                  <c:v>1.8589251162496083</c:v>
                </c:pt>
                <c:pt idx="34">
                  <c:v>1.1739581926639318</c:v>
                </c:pt>
                <c:pt idx="35">
                  <c:v>1.4964506008200829</c:v>
                </c:pt>
              </c:numCache>
            </c:numRef>
          </c:val>
          <c:smooth val="0"/>
          <c:extLst>
            <c:ext xmlns:c16="http://schemas.microsoft.com/office/drawing/2014/chart" uri="{C3380CC4-5D6E-409C-BE32-E72D297353CC}">
              <c16:uniqueId val="{00000008-A8C7-4B91-B5E8-D178FC7675C1}"/>
            </c:ext>
          </c:extLst>
        </c:ser>
        <c:dLbls>
          <c:showLegendKey val="0"/>
          <c:showVal val="0"/>
          <c:showCatName val="0"/>
          <c:showSerName val="0"/>
          <c:showPercent val="0"/>
          <c:showBubbleSize val="0"/>
        </c:dLbls>
        <c:marker val="1"/>
        <c:smooth val="0"/>
        <c:axId val="184299520"/>
        <c:axId val="184301056"/>
      </c:lineChart>
      <c:catAx>
        <c:axId val="184299520"/>
        <c:scaling>
          <c:orientation val="minMax"/>
        </c:scaling>
        <c:delete val="0"/>
        <c:axPos val="b"/>
        <c:numFmt formatCode="General" sourceLinked="1"/>
        <c:majorTickMark val="out"/>
        <c:minorTickMark val="none"/>
        <c:tickLblPos val="low"/>
        <c:spPr>
          <a:ln>
            <a:solidFill>
              <a:schemeClr val="tx1"/>
            </a:solidFill>
          </a:ln>
        </c:spPr>
        <c:crossAx val="184301056"/>
        <c:crosses val="autoZero"/>
        <c:auto val="1"/>
        <c:lblAlgn val="ctr"/>
        <c:lblOffset val="10"/>
        <c:noMultiLvlLbl val="0"/>
      </c:catAx>
      <c:valAx>
        <c:axId val="184301056"/>
        <c:scaling>
          <c:orientation val="minMax"/>
          <c:max val="2"/>
          <c:min val="-3"/>
        </c:scaling>
        <c:delete val="0"/>
        <c:axPos val="l"/>
        <c:majorGridlines>
          <c:spPr>
            <a:ln w="6350">
              <a:solidFill>
                <a:schemeClr val="bg1">
                  <a:lumMod val="75000"/>
                </a:schemeClr>
              </a:solidFill>
            </a:ln>
          </c:spPr>
        </c:majorGridlines>
        <c:numFmt formatCode="0.0" sourceLinked="0"/>
        <c:majorTickMark val="out"/>
        <c:minorTickMark val="none"/>
        <c:tickLblPos val="nextTo"/>
        <c:spPr>
          <a:ln>
            <a:solidFill>
              <a:schemeClr val="tx1"/>
            </a:solidFill>
          </a:ln>
        </c:spPr>
        <c:crossAx val="184299520"/>
        <c:crosses val="autoZero"/>
        <c:crossBetween val="between"/>
        <c:majorUnit val="0.5"/>
      </c:valAx>
      <c:spPr>
        <a:ln>
          <a:solidFill>
            <a:schemeClr val="tx1"/>
          </a:solidFill>
        </a:ln>
      </c:spPr>
    </c:plotArea>
    <c:legend>
      <c:legendPos val="b"/>
      <c:layout>
        <c:manualLayout>
          <c:xMode val="edge"/>
          <c:yMode val="edge"/>
          <c:x val="5.5582430822068714E-2"/>
          <c:y val="0.83458955395312773"/>
          <c:w val="0.9272008319203987"/>
          <c:h val="0.1618145565003873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183922558922563E-2"/>
          <c:y val="1.643251153889452E-2"/>
          <c:w val="0.8957392676767677"/>
          <c:h val="0.70307526191312719"/>
        </c:manualLayout>
      </c:layout>
      <c:barChart>
        <c:barDir val="col"/>
        <c:grouping val="clustered"/>
        <c:varyColors val="0"/>
        <c:ser>
          <c:idx val="0"/>
          <c:order val="0"/>
          <c:tx>
            <c:strRef>
              <c:f>'Trh práce-2'!$A$32</c:f>
              <c:strCache>
                <c:ptCount val="1"/>
                <c:pt idx="0">
                  <c:v>Unemployment rate – males (left axis)</c:v>
                </c:pt>
              </c:strCache>
            </c:strRef>
          </c:tx>
          <c:spPr>
            <a:solidFill>
              <a:srgbClr val="BCBCBC"/>
            </a:solidFill>
          </c:spPr>
          <c:invertIfNegative val="0"/>
          <c:cat>
            <c:multiLvlStrRef>
              <c:f>'Trh práce-2'!$B$30:$AK$31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práce-2'!$B$32:$AK$32</c:f>
              <c:numCache>
                <c:formatCode>0.0</c:formatCode>
                <c:ptCount val="36"/>
                <c:pt idx="0">
                  <c:v>7.0984261964423681</c:v>
                </c:pt>
                <c:pt idx="1">
                  <c:v>6.5135583821211851</c:v>
                </c:pt>
                <c:pt idx="2">
                  <c:v>6.1925174973206412</c:v>
                </c:pt>
                <c:pt idx="3">
                  <c:v>6.0751752494425988</c:v>
                </c:pt>
                <c:pt idx="4">
                  <c:v>6.0585504123063769</c:v>
                </c:pt>
                <c:pt idx="5">
                  <c:v>6.0037781675822162</c:v>
                </c:pt>
                <c:pt idx="6">
                  <c:v>5.7771123440108241</c:v>
                </c:pt>
                <c:pt idx="7">
                  <c:v>5.6914303332293281</c:v>
                </c:pt>
                <c:pt idx="8">
                  <c:v>5.999444560507885</c:v>
                </c:pt>
                <c:pt idx="9">
                  <c:v>5.9934774990686046</c:v>
                </c:pt>
                <c:pt idx="10">
                  <c:v>6.0666122060007597</c:v>
                </c:pt>
                <c:pt idx="11">
                  <c:v>6.252704068775639</c:v>
                </c:pt>
                <c:pt idx="12">
                  <c:v>6.2702270348516764</c:v>
                </c:pt>
                <c:pt idx="13">
                  <c:v>5.9057854548173836</c:v>
                </c:pt>
                <c:pt idx="14">
                  <c:v>5.9365078922261789</c:v>
                </c:pt>
                <c:pt idx="15">
                  <c:v>5.7576462287734786</c:v>
                </c:pt>
                <c:pt idx="16">
                  <c:v>5.5339334646450906</c:v>
                </c:pt>
                <c:pt idx="17">
                  <c:v>5.2282751984916649</c:v>
                </c:pt>
                <c:pt idx="18">
                  <c:v>4.9463964293731832</c:v>
                </c:pt>
                <c:pt idx="19">
                  <c:v>5.024899902558472</c:v>
                </c:pt>
                <c:pt idx="20">
                  <c:v>4.9895127892003819</c:v>
                </c:pt>
                <c:pt idx="21">
                  <c:v>4.3828206559983309</c:v>
                </c:pt>
                <c:pt idx="22">
                  <c:v>4.0788029838950886</c:v>
                </c:pt>
                <c:pt idx="23">
                  <c:v>3.7650503471565702</c:v>
                </c:pt>
                <c:pt idx="24">
                  <c:v>3.6073351390851784</c:v>
                </c:pt>
                <c:pt idx="25">
                  <c:v>3.5996652175846702</c:v>
                </c:pt>
                <c:pt idx="26">
                  <c:v>3.3951063649934792</c:v>
                </c:pt>
                <c:pt idx="27">
                  <c:v>3.1389186356449676</c:v>
                </c:pt>
                <c:pt idx="28">
                  <c:v>2.6662526129550046</c:v>
                </c:pt>
                <c:pt idx="29">
                  <c:v>2.5216779992488747</c:v>
                </c:pt>
                <c:pt idx="30">
                  <c:v>2.2664041897869676</c:v>
                </c:pt>
                <c:pt idx="31">
                  <c:v>2.0320842331450564</c:v>
                </c:pt>
                <c:pt idx="32">
                  <c:v>1.8733469612730087</c:v>
                </c:pt>
                <c:pt idx="33">
                  <c:v>1.8640033624857522</c:v>
                </c:pt>
                <c:pt idx="34">
                  <c:v>1.9071135231680394</c:v>
                </c:pt>
                <c:pt idx="35">
                  <c:v>1.6519589460728878</c:v>
                </c:pt>
              </c:numCache>
            </c:numRef>
          </c:val>
          <c:extLst>
            <c:ext xmlns:c16="http://schemas.microsoft.com/office/drawing/2014/chart" uri="{C3380CC4-5D6E-409C-BE32-E72D297353CC}">
              <c16:uniqueId val="{00000000-53C3-4347-B53C-18D09FCF393E}"/>
            </c:ext>
          </c:extLst>
        </c:ser>
        <c:ser>
          <c:idx val="1"/>
          <c:order val="1"/>
          <c:tx>
            <c:strRef>
              <c:f>'Trh práce-2'!$A$33</c:f>
              <c:strCache>
                <c:ptCount val="1"/>
                <c:pt idx="0">
                  <c:v>Unemployment rate -females (left axis)</c:v>
                </c:pt>
              </c:strCache>
            </c:strRef>
          </c:tx>
          <c:spPr>
            <a:solidFill>
              <a:srgbClr val="DBDBDB"/>
            </a:solidFill>
          </c:spPr>
          <c:invertIfNegative val="0"/>
          <c:cat>
            <c:multiLvlStrRef>
              <c:f>'Trh práce-2'!$B$30:$AK$31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práce-2'!$B$33:$AK$33</c:f>
              <c:numCache>
                <c:formatCode>0.0</c:formatCode>
                <c:ptCount val="36"/>
                <c:pt idx="0">
                  <c:v>8.7633696101973779</c:v>
                </c:pt>
                <c:pt idx="1">
                  <c:v>8.6310295790753013</c:v>
                </c:pt>
                <c:pt idx="2">
                  <c:v>8.4858096938064556</c:v>
                </c:pt>
                <c:pt idx="3">
                  <c:v>8.3010704919620277</c:v>
                </c:pt>
                <c:pt idx="4">
                  <c:v>8.1745626452512052</c:v>
                </c:pt>
                <c:pt idx="5">
                  <c:v>8.1868732965665512</c:v>
                </c:pt>
                <c:pt idx="6">
                  <c:v>7.7763311994031126</c:v>
                </c:pt>
                <c:pt idx="7">
                  <c:v>7.728281834271491</c:v>
                </c:pt>
                <c:pt idx="8">
                  <c:v>8.0311636412730021</c:v>
                </c:pt>
                <c:pt idx="9">
                  <c:v>8.2407929954465864</c:v>
                </c:pt>
                <c:pt idx="10">
                  <c:v>8.3049407606014238</c:v>
                </c:pt>
                <c:pt idx="11">
                  <c:v>8.5479216720113502</c:v>
                </c:pt>
                <c:pt idx="12">
                  <c:v>8.4753243348388825</c:v>
                </c:pt>
                <c:pt idx="13">
                  <c:v>8.4592364247587515</c:v>
                </c:pt>
                <c:pt idx="14">
                  <c:v>8.3592289534544673</c:v>
                </c:pt>
                <c:pt idx="15">
                  <c:v>8.2500639941225327</c:v>
                </c:pt>
                <c:pt idx="16">
                  <c:v>8.0240692285867024</c:v>
                </c:pt>
                <c:pt idx="17">
                  <c:v>7.6998248722356237</c:v>
                </c:pt>
                <c:pt idx="18">
                  <c:v>7.2762005720021952</c:v>
                </c:pt>
                <c:pt idx="19">
                  <c:v>7.0072976233268598</c:v>
                </c:pt>
                <c:pt idx="20">
                  <c:v>6.9060385283823491</c:v>
                </c:pt>
                <c:pt idx="21">
                  <c:v>6.2608308369461865</c:v>
                </c:pt>
                <c:pt idx="22">
                  <c:v>5.933528937116729</c:v>
                </c:pt>
                <c:pt idx="23">
                  <c:v>5.6186615875899149</c:v>
                </c:pt>
                <c:pt idx="24">
                  <c:v>5.1175314592534695</c:v>
                </c:pt>
                <c:pt idx="25">
                  <c:v>4.8514367476859439</c:v>
                </c:pt>
                <c:pt idx="26">
                  <c:v>4.7843125946435121</c:v>
                </c:pt>
                <c:pt idx="27">
                  <c:v>4.3218514532585237</c:v>
                </c:pt>
                <c:pt idx="28">
                  <c:v>4.3358388222216275</c:v>
                </c:pt>
                <c:pt idx="29">
                  <c:v>3.929492039085563</c:v>
                </c:pt>
                <c:pt idx="30">
                  <c:v>3.3798364906482892</c:v>
                </c:pt>
                <c:pt idx="31">
                  <c:v>2.965262464140936</c:v>
                </c:pt>
                <c:pt idx="32">
                  <c:v>3.0204080900762871</c:v>
                </c:pt>
                <c:pt idx="33">
                  <c:v>2.9041871494445224</c:v>
                </c:pt>
                <c:pt idx="34">
                  <c:v>2.8378548971947644</c:v>
                </c:pt>
                <c:pt idx="35">
                  <c:v>2.59784094406429</c:v>
                </c:pt>
              </c:numCache>
            </c:numRef>
          </c:val>
          <c:extLst>
            <c:ext xmlns:c16="http://schemas.microsoft.com/office/drawing/2014/chart" uri="{C3380CC4-5D6E-409C-BE32-E72D297353CC}">
              <c16:uniqueId val="{00000001-53C3-4347-B53C-18D09FCF393E}"/>
            </c:ext>
          </c:extLst>
        </c:ser>
        <c:dLbls>
          <c:showLegendKey val="0"/>
          <c:showVal val="0"/>
          <c:showCatName val="0"/>
          <c:showSerName val="0"/>
          <c:showPercent val="0"/>
          <c:showBubbleSize val="0"/>
        </c:dLbls>
        <c:gapWidth val="68"/>
        <c:axId val="188511744"/>
        <c:axId val="188513280"/>
      </c:barChart>
      <c:lineChart>
        <c:grouping val="standard"/>
        <c:varyColors val="0"/>
        <c:ser>
          <c:idx val="2"/>
          <c:order val="2"/>
          <c:tx>
            <c:strRef>
              <c:f>'Trh práce-2'!$A$34</c:f>
              <c:strCache>
                <c:ptCount val="1"/>
                <c:pt idx="0">
                  <c:v>% share of long-term unemployed &gt;1 year (in %, right axis)</c:v>
                </c:pt>
              </c:strCache>
            </c:strRef>
          </c:tx>
          <c:spPr>
            <a:ln w="19050">
              <a:solidFill>
                <a:srgbClr val="00B050"/>
              </a:solidFill>
              <a:prstDash val="solid"/>
            </a:ln>
          </c:spPr>
          <c:marker>
            <c:symbol val="none"/>
          </c:marker>
          <c:cat>
            <c:multiLvlStrRef>
              <c:f>'Trh práce-2'!$B$30:$AK$31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práce-2'!$B$34:$AK$34</c:f>
              <c:numCache>
                <c:formatCode>0.0</c:formatCode>
                <c:ptCount val="36"/>
                <c:pt idx="0">
                  <c:v>35.78199052132701</c:v>
                </c:pt>
                <c:pt idx="1">
                  <c:v>41.6</c:v>
                </c:pt>
                <c:pt idx="2">
                  <c:v>43.048128342245988</c:v>
                </c:pt>
                <c:pt idx="3">
                  <c:v>44.0771349862259</c:v>
                </c:pt>
                <c:pt idx="4">
                  <c:v>39.946380697050934</c:v>
                </c:pt>
                <c:pt idx="5">
                  <c:v>39.03133903133903</c:v>
                </c:pt>
                <c:pt idx="6">
                  <c:v>40.233236151603499</c:v>
                </c:pt>
                <c:pt idx="7">
                  <c:v>42.985074626865668</c:v>
                </c:pt>
                <c:pt idx="8">
                  <c:v>43.089430894308947</c:v>
                </c:pt>
                <c:pt idx="9">
                  <c:v>44.444444444444443</c:v>
                </c:pt>
                <c:pt idx="10">
                  <c:v>43.20652173913043</c:v>
                </c:pt>
                <c:pt idx="11">
                  <c:v>42.744063324538253</c:v>
                </c:pt>
                <c:pt idx="12">
                  <c:v>43.256997455470739</c:v>
                </c:pt>
                <c:pt idx="13">
                  <c:v>43.922651933701658</c:v>
                </c:pt>
                <c:pt idx="14">
                  <c:v>43.78378378378379</c:v>
                </c:pt>
                <c:pt idx="15">
                  <c:v>42.25352112676056</c:v>
                </c:pt>
                <c:pt idx="16">
                  <c:v>41.061452513966479</c:v>
                </c:pt>
                <c:pt idx="17">
                  <c:v>43.260188087774296</c:v>
                </c:pt>
                <c:pt idx="18">
                  <c:v>43.769968051118212</c:v>
                </c:pt>
                <c:pt idx="19">
                  <c:v>46.229508196721312</c:v>
                </c:pt>
                <c:pt idx="20">
                  <c:v>45.741324921135643</c:v>
                </c:pt>
                <c:pt idx="21">
                  <c:v>46.564885496183209</c:v>
                </c:pt>
                <c:pt idx="22">
                  <c:v>48.638132295719842</c:v>
                </c:pt>
                <c:pt idx="23">
                  <c:v>48.52320675105485</c:v>
                </c:pt>
                <c:pt idx="24">
                  <c:v>45.887445887445885</c:v>
                </c:pt>
                <c:pt idx="25">
                  <c:v>43.333333333333336</c:v>
                </c:pt>
                <c:pt idx="26">
                  <c:v>39.436619718309856</c:v>
                </c:pt>
                <c:pt idx="27">
                  <c:v>39.0625</c:v>
                </c:pt>
                <c:pt idx="28">
                  <c:v>36.95652173913043</c:v>
                </c:pt>
                <c:pt idx="29">
                  <c:v>37.106918238993707</c:v>
                </c:pt>
                <c:pt idx="30">
                  <c:v>32.666666666666664</c:v>
                </c:pt>
                <c:pt idx="31">
                  <c:v>31.007751937984494</c:v>
                </c:pt>
                <c:pt idx="32">
                  <c:v>31.538461538461537</c:v>
                </c:pt>
                <c:pt idx="33">
                  <c:v>30.508474576271187</c:v>
                </c:pt>
                <c:pt idx="34">
                  <c:v>29.133858267716533</c:v>
                </c:pt>
                <c:pt idx="35">
                  <c:v>31.441441441441441</c:v>
                </c:pt>
              </c:numCache>
            </c:numRef>
          </c:val>
          <c:smooth val="0"/>
          <c:extLst>
            <c:ext xmlns:c16="http://schemas.microsoft.com/office/drawing/2014/chart" uri="{C3380CC4-5D6E-409C-BE32-E72D297353CC}">
              <c16:uniqueId val="{00000002-53C3-4347-B53C-18D09FCF393E}"/>
            </c:ext>
          </c:extLst>
        </c:ser>
        <c:ser>
          <c:idx val="3"/>
          <c:order val="3"/>
          <c:tx>
            <c:strRef>
              <c:f>'Trh práce-2'!$A$36</c:f>
              <c:strCache>
                <c:ptCount val="1"/>
                <c:pt idx="0">
                  <c:v>% share of unemployed persons aged 50 years and more (in %, right axis)</c:v>
                </c:pt>
              </c:strCache>
            </c:strRef>
          </c:tx>
          <c:spPr>
            <a:ln w="19050"/>
          </c:spPr>
          <c:marker>
            <c:symbol val="none"/>
          </c:marker>
          <c:cat>
            <c:multiLvlStrRef>
              <c:f>'Trh práce-2'!$B$30:$AK$31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práce-2'!$B$36:$AK$36</c:f>
              <c:numCache>
                <c:formatCode>0.0</c:formatCode>
                <c:ptCount val="36"/>
                <c:pt idx="0">
                  <c:v>22.485207100591715</c:v>
                </c:pt>
                <c:pt idx="1">
                  <c:v>23.791722296395193</c:v>
                </c:pt>
                <c:pt idx="2">
                  <c:v>23.656776263031272</c:v>
                </c:pt>
                <c:pt idx="3">
                  <c:v>24.221548635987876</c:v>
                </c:pt>
                <c:pt idx="4">
                  <c:v>24.577408103031928</c:v>
                </c:pt>
                <c:pt idx="5">
                  <c:v>23.107569721115539</c:v>
                </c:pt>
                <c:pt idx="6">
                  <c:v>22.935512109716953</c:v>
                </c:pt>
                <c:pt idx="7">
                  <c:v>22.875037280047721</c:v>
                </c:pt>
                <c:pt idx="8">
                  <c:v>22.914409534127845</c:v>
                </c:pt>
                <c:pt idx="9">
                  <c:v>22.969506982046166</c:v>
                </c:pt>
                <c:pt idx="10">
                  <c:v>20.76651263930416</c:v>
                </c:pt>
                <c:pt idx="11">
                  <c:v>23.912470340100185</c:v>
                </c:pt>
                <c:pt idx="12">
                  <c:v>22.969187675070028</c:v>
                </c:pt>
                <c:pt idx="13">
                  <c:v>22.793296089385471</c:v>
                </c:pt>
                <c:pt idx="14">
                  <c:v>21.13095238095238</c:v>
                </c:pt>
                <c:pt idx="15">
                  <c:v>22.059651097355097</c:v>
                </c:pt>
                <c:pt idx="16">
                  <c:v>23.141419787590831</c:v>
                </c:pt>
                <c:pt idx="17">
                  <c:v>21.720025109855616</c:v>
                </c:pt>
                <c:pt idx="18">
                  <c:v>22.161816437480013</c:v>
                </c:pt>
                <c:pt idx="19">
                  <c:v>20.962987225679658</c:v>
                </c:pt>
                <c:pt idx="20">
                  <c:v>23.213156230234031</c:v>
                </c:pt>
                <c:pt idx="21">
                  <c:v>24.140565317035907</c:v>
                </c:pt>
                <c:pt idx="22">
                  <c:v>22.451361867704282</c:v>
                </c:pt>
                <c:pt idx="23">
                  <c:v>23.954372623574148</c:v>
                </c:pt>
                <c:pt idx="24">
                  <c:v>28.157439446366784</c:v>
                </c:pt>
                <c:pt idx="25">
                  <c:v>26.180257510729614</c:v>
                </c:pt>
                <c:pt idx="26">
                  <c:v>22.86384976525822</c:v>
                </c:pt>
                <c:pt idx="27">
                  <c:v>24.947807933194156</c:v>
                </c:pt>
                <c:pt idx="28">
                  <c:v>26.138828633405641</c:v>
                </c:pt>
                <c:pt idx="29">
                  <c:v>24.763705103969755</c:v>
                </c:pt>
                <c:pt idx="30">
                  <c:v>23.380093520374086</c:v>
                </c:pt>
                <c:pt idx="31">
                  <c:v>23.931623931623935</c:v>
                </c:pt>
                <c:pt idx="32">
                  <c:v>25.808936825885976</c:v>
                </c:pt>
                <c:pt idx="33">
                  <c:v>24.957698815566832</c:v>
                </c:pt>
                <c:pt idx="34">
                  <c:v>24.311565696302122</c:v>
                </c:pt>
                <c:pt idx="35">
                  <c:v>23.285198555956679</c:v>
                </c:pt>
              </c:numCache>
            </c:numRef>
          </c:val>
          <c:smooth val="0"/>
          <c:extLst>
            <c:ext xmlns:c16="http://schemas.microsoft.com/office/drawing/2014/chart" uri="{C3380CC4-5D6E-409C-BE32-E72D297353CC}">
              <c16:uniqueId val="{00000003-53C3-4347-B53C-18D09FCF393E}"/>
            </c:ext>
          </c:extLst>
        </c:ser>
        <c:ser>
          <c:idx val="4"/>
          <c:order val="4"/>
          <c:tx>
            <c:strRef>
              <c:f>'Trh práce-2'!$A$37</c:f>
              <c:strCache>
                <c:ptCount val="1"/>
                <c:pt idx="0">
                  <c:v>% share of unemployed persons aged 24 years and less  (in %, right axis)</c:v>
                </c:pt>
              </c:strCache>
            </c:strRef>
          </c:tx>
          <c:spPr>
            <a:ln w="19050"/>
          </c:spPr>
          <c:marker>
            <c:symbol val="none"/>
          </c:marker>
          <c:cat>
            <c:multiLvlStrRef>
              <c:f>'Trh práce-2'!$B$30:$AK$31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práce-2'!$B$37:$AK$37</c:f>
              <c:numCache>
                <c:formatCode>0.0</c:formatCode>
                <c:ptCount val="36"/>
                <c:pt idx="0">
                  <c:v>18.34319526627219</c:v>
                </c:pt>
                <c:pt idx="1">
                  <c:v>18.477970627503339</c:v>
                </c:pt>
                <c:pt idx="2">
                  <c:v>20.502539427960436</c:v>
                </c:pt>
                <c:pt idx="3">
                  <c:v>19.3717277486911</c:v>
                </c:pt>
                <c:pt idx="4">
                  <c:v>16.930507110276363</c:v>
                </c:pt>
                <c:pt idx="5">
                  <c:v>18.639726807057485</c:v>
                </c:pt>
                <c:pt idx="6">
                  <c:v>20.747009045812664</c:v>
                </c:pt>
                <c:pt idx="7">
                  <c:v>20.131225767968981</c:v>
                </c:pt>
                <c:pt idx="8">
                  <c:v>19.312026002166846</c:v>
                </c:pt>
                <c:pt idx="9">
                  <c:v>20.091194072385296</c:v>
                </c:pt>
                <c:pt idx="10">
                  <c:v>20.331611851046478</c:v>
                </c:pt>
                <c:pt idx="11">
                  <c:v>19.746902188241499</c:v>
                </c:pt>
                <c:pt idx="12">
                  <c:v>17.672523554876499</c:v>
                </c:pt>
                <c:pt idx="13">
                  <c:v>17.486033519553075</c:v>
                </c:pt>
                <c:pt idx="14">
                  <c:v>19.669913419913421</c:v>
                </c:pt>
                <c:pt idx="15">
                  <c:v>19.752391671356222</c:v>
                </c:pt>
                <c:pt idx="16">
                  <c:v>16.014533258803802</c:v>
                </c:pt>
                <c:pt idx="17">
                  <c:v>17.043314500941616</c:v>
                </c:pt>
                <c:pt idx="18">
                  <c:v>19.059801726894786</c:v>
                </c:pt>
                <c:pt idx="19">
                  <c:v>17.851293809367835</c:v>
                </c:pt>
                <c:pt idx="20">
                  <c:v>15.528146742567998</c:v>
                </c:pt>
                <c:pt idx="21">
                  <c:v>15.699006875477464</c:v>
                </c:pt>
                <c:pt idx="22">
                  <c:v>17.548638132295721</c:v>
                </c:pt>
                <c:pt idx="23">
                  <c:v>16.603295310519645</c:v>
                </c:pt>
                <c:pt idx="24">
                  <c:v>13.711072664359861</c:v>
                </c:pt>
                <c:pt idx="25">
                  <c:v>15.450643776824036</c:v>
                </c:pt>
                <c:pt idx="26">
                  <c:v>18.122065727699532</c:v>
                </c:pt>
                <c:pt idx="27">
                  <c:v>18.684759916492691</c:v>
                </c:pt>
                <c:pt idx="28">
                  <c:v>14.75054229934924</c:v>
                </c:pt>
                <c:pt idx="29">
                  <c:v>16.320100819155638</c:v>
                </c:pt>
                <c:pt idx="30">
                  <c:v>18.837675350701407</c:v>
                </c:pt>
                <c:pt idx="31">
                  <c:v>14.996114996114999</c:v>
                </c:pt>
                <c:pt idx="32">
                  <c:v>14.560862865947611</c:v>
                </c:pt>
                <c:pt idx="33">
                  <c:v>17.00507614213198</c:v>
                </c:pt>
                <c:pt idx="34">
                  <c:v>18.09598741148702</c:v>
                </c:pt>
                <c:pt idx="35">
                  <c:v>16.15523465703971</c:v>
                </c:pt>
              </c:numCache>
            </c:numRef>
          </c:val>
          <c:smooth val="0"/>
          <c:extLst>
            <c:ext xmlns:c16="http://schemas.microsoft.com/office/drawing/2014/chart" uri="{C3380CC4-5D6E-409C-BE32-E72D297353CC}">
              <c16:uniqueId val="{00000004-53C3-4347-B53C-18D09FCF393E}"/>
            </c:ext>
          </c:extLst>
        </c:ser>
        <c:ser>
          <c:idx val="5"/>
          <c:order val="5"/>
          <c:tx>
            <c:strRef>
              <c:f>'Trh práce-2'!$A$38</c:f>
              <c:strCache>
                <c:ptCount val="1"/>
                <c:pt idx="0">
                  <c:v>Economically inactive persons seeking employm. (right axis) *</c:v>
                </c:pt>
              </c:strCache>
            </c:strRef>
          </c:tx>
          <c:spPr>
            <a:ln w="19050">
              <a:solidFill>
                <a:srgbClr val="F6882E"/>
              </a:solidFill>
            </a:ln>
          </c:spPr>
          <c:marker>
            <c:symbol val="none"/>
          </c:marker>
          <c:cat>
            <c:multiLvlStrRef>
              <c:f>'Trh práce-2'!$B$30:$AK$31</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práce-2'!$B$38:$AK$38</c:f>
              <c:numCache>
                <c:formatCode>0.0</c:formatCode>
                <c:ptCount val="36"/>
                <c:pt idx="0">
                  <c:v>183.00000000000003</c:v>
                </c:pt>
                <c:pt idx="1">
                  <c:v>183.20000000000002</c:v>
                </c:pt>
                <c:pt idx="2">
                  <c:v>172.5</c:v>
                </c:pt>
                <c:pt idx="3">
                  <c:v>172.00000000000003</c:v>
                </c:pt>
                <c:pt idx="4">
                  <c:v>193.70000000000002</c:v>
                </c:pt>
                <c:pt idx="5">
                  <c:v>184.4</c:v>
                </c:pt>
                <c:pt idx="6">
                  <c:v>188.9</c:v>
                </c:pt>
                <c:pt idx="7">
                  <c:v>183.20000000000002</c:v>
                </c:pt>
                <c:pt idx="8">
                  <c:v>196.60000000000002</c:v>
                </c:pt>
                <c:pt idx="9">
                  <c:v>176.5</c:v>
                </c:pt>
                <c:pt idx="10">
                  <c:v>166.9</c:v>
                </c:pt>
                <c:pt idx="11">
                  <c:v>154.60000000000002</c:v>
                </c:pt>
                <c:pt idx="12">
                  <c:v>167.8</c:v>
                </c:pt>
                <c:pt idx="13">
                  <c:v>147.19999999999999</c:v>
                </c:pt>
                <c:pt idx="14">
                  <c:v>138.80000000000001</c:v>
                </c:pt>
                <c:pt idx="15">
                  <c:v>139.30000000000001</c:v>
                </c:pt>
                <c:pt idx="16">
                  <c:v>145.4</c:v>
                </c:pt>
                <c:pt idx="17">
                  <c:v>137.1</c:v>
                </c:pt>
                <c:pt idx="18">
                  <c:v>129</c:v>
                </c:pt>
                <c:pt idx="19">
                  <c:v>127.10000000000001</c:v>
                </c:pt>
                <c:pt idx="20" formatCode="General">
                  <c:v>138.5</c:v>
                </c:pt>
                <c:pt idx="21" formatCode="General">
                  <c:v>141.4</c:v>
                </c:pt>
                <c:pt idx="22" formatCode="General">
                  <c:v>137.1</c:v>
                </c:pt>
                <c:pt idx="23" formatCode="General">
                  <c:v>130.4</c:v>
                </c:pt>
                <c:pt idx="24" formatCode="General">
                  <c:v>141</c:v>
                </c:pt>
                <c:pt idx="25" formatCode="General">
                  <c:v>126.4</c:v>
                </c:pt>
                <c:pt idx="26" formatCode="General">
                  <c:v>129.69999999999999</c:v>
                </c:pt>
                <c:pt idx="27" formatCode="General">
                  <c:v>127.1</c:v>
                </c:pt>
                <c:pt idx="28">
                  <c:v>133.1</c:v>
                </c:pt>
                <c:pt idx="29">
                  <c:v>120.1</c:v>
                </c:pt>
                <c:pt idx="30">
                  <c:v>121.3</c:v>
                </c:pt>
                <c:pt idx="31">
                  <c:v>119.1</c:v>
                </c:pt>
                <c:pt idx="32">
                  <c:v>113.5</c:v>
                </c:pt>
                <c:pt idx="33">
                  <c:v>108.4</c:v>
                </c:pt>
                <c:pt idx="34">
                  <c:v>110.3</c:v>
                </c:pt>
                <c:pt idx="35">
                  <c:v>101.7</c:v>
                </c:pt>
              </c:numCache>
            </c:numRef>
          </c:val>
          <c:smooth val="0"/>
          <c:extLst>
            <c:ext xmlns:c16="http://schemas.microsoft.com/office/drawing/2014/chart" uri="{C3380CC4-5D6E-409C-BE32-E72D297353CC}">
              <c16:uniqueId val="{00000005-53C3-4347-B53C-18D09FCF393E}"/>
            </c:ext>
          </c:extLst>
        </c:ser>
        <c:dLbls>
          <c:showLegendKey val="0"/>
          <c:showVal val="0"/>
          <c:showCatName val="0"/>
          <c:showSerName val="0"/>
          <c:showPercent val="0"/>
          <c:showBubbleSize val="0"/>
        </c:dLbls>
        <c:marker val="1"/>
        <c:smooth val="0"/>
        <c:axId val="188537088"/>
        <c:axId val="188535552"/>
      </c:lineChart>
      <c:catAx>
        <c:axId val="188511744"/>
        <c:scaling>
          <c:orientation val="minMax"/>
        </c:scaling>
        <c:delete val="0"/>
        <c:axPos val="b"/>
        <c:numFmt formatCode="General" sourceLinked="0"/>
        <c:majorTickMark val="out"/>
        <c:minorTickMark val="none"/>
        <c:tickLblPos val="low"/>
        <c:spPr>
          <a:ln>
            <a:solidFill>
              <a:schemeClr val="tx1"/>
            </a:solidFill>
          </a:ln>
        </c:spPr>
        <c:crossAx val="188513280"/>
        <c:crossesAt val="-50"/>
        <c:auto val="1"/>
        <c:lblAlgn val="ctr"/>
        <c:lblOffset val="0"/>
        <c:noMultiLvlLbl val="0"/>
      </c:catAx>
      <c:valAx>
        <c:axId val="188513280"/>
        <c:scaling>
          <c:orientation val="minMax"/>
          <c:max val="10"/>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88511744"/>
        <c:crosses val="autoZero"/>
        <c:crossBetween val="between"/>
        <c:majorUnit val="1"/>
      </c:valAx>
      <c:valAx>
        <c:axId val="188535552"/>
        <c:scaling>
          <c:orientation val="minMax"/>
          <c:max val="200"/>
        </c:scaling>
        <c:delete val="0"/>
        <c:axPos val="r"/>
        <c:numFmt formatCode="0" sourceLinked="0"/>
        <c:majorTickMark val="out"/>
        <c:minorTickMark val="none"/>
        <c:tickLblPos val="nextTo"/>
        <c:crossAx val="188537088"/>
        <c:crosses val="max"/>
        <c:crossBetween val="between"/>
        <c:majorUnit val="20"/>
      </c:valAx>
      <c:catAx>
        <c:axId val="188537088"/>
        <c:scaling>
          <c:orientation val="minMax"/>
        </c:scaling>
        <c:delete val="1"/>
        <c:axPos val="b"/>
        <c:numFmt formatCode="General" sourceLinked="1"/>
        <c:majorTickMark val="out"/>
        <c:minorTickMark val="none"/>
        <c:tickLblPos val="none"/>
        <c:crossAx val="188535552"/>
        <c:crosses val="autoZero"/>
        <c:auto val="1"/>
        <c:lblAlgn val="ctr"/>
        <c:lblOffset val="100"/>
        <c:noMultiLvlLbl val="0"/>
      </c:catAx>
      <c:spPr>
        <a:ln>
          <a:solidFill>
            <a:schemeClr val="tx1"/>
          </a:solidFill>
        </a:ln>
      </c:spPr>
    </c:plotArea>
    <c:legend>
      <c:legendPos val="b"/>
      <c:layout>
        <c:manualLayout>
          <c:xMode val="edge"/>
          <c:yMode val="edge"/>
          <c:x val="4.4636930522445627E-2"/>
          <c:y val="0.81186737262976016"/>
          <c:w val="0.89492054145151811"/>
          <c:h val="0.177333347436586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66E-2"/>
          <c:w val="0.94100987714831674"/>
          <c:h val="0.79275028344671217"/>
        </c:manualLayout>
      </c:layout>
      <c:barChart>
        <c:barDir val="col"/>
        <c:grouping val="clustered"/>
        <c:varyColors val="0"/>
        <c:ser>
          <c:idx val="5"/>
          <c:order val="2"/>
          <c:tx>
            <c:strRef>
              <c:f>'Trh práce 3'!$E$8</c:f>
              <c:strCache>
                <c:ptCount val="1"/>
                <c:pt idx="0">
                  <c:v>Average wage (real)</c:v>
                </c:pt>
              </c:strCache>
            </c:strRef>
          </c:tx>
          <c:spPr>
            <a:solidFill>
              <a:srgbClr val="A6A6A6"/>
            </a:solidFill>
            <a:ln>
              <a:noFill/>
            </a:ln>
          </c:spPr>
          <c:invertIfNegative val="0"/>
          <c:cat>
            <c:multiLvlStrRef>
              <c:f>'Trh práce 3'!$A$9:$B$44</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3'!$E$9:$E$44</c:f>
              <c:numCache>
                <c:formatCode>#\ ##0.0</c:formatCode>
                <c:ptCount val="36"/>
                <c:pt idx="0">
                  <c:v>2.0999999999999943</c:v>
                </c:pt>
                <c:pt idx="1">
                  <c:v>1.9000000000000057</c:v>
                </c:pt>
                <c:pt idx="2">
                  <c:v>0.29999999999999716</c:v>
                </c:pt>
                <c:pt idx="3">
                  <c:v>-1.4000000000000057</c:v>
                </c:pt>
                <c:pt idx="4">
                  <c:v>1.0999999999999943</c:v>
                </c:pt>
                <c:pt idx="5">
                  <c:v>0.79999999999999716</c:v>
                </c:pt>
                <c:pt idx="6">
                  <c:v>0.29999999999999716</c:v>
                </c:pt>
                <c:pt idx="7">
                  <c:v>0</c:v>
                </c:pt>
                <c:pt idx="8">
                  <c:v>-0.5</c:v>
                </c:pt>
                <c:pt idx="9">
                  <c:v>-1.2999999999999972</c:v>
                </c:pt>
                <c:pt idx="10">
                  <c:v>-1.7999999999999972</c:v>
                </c:pt>
                <c:pt idx="11">
                  <c:v>0.40000000000000568</c:v>
                </c:pt>
                <c:pt idx="12">
                  <c:v>-2.4000000000000057</c:v>
                </c:pt>
                <c:pt idx="13">
                  <c:v>-0.5</c:v>
                </c:pt>
                <c:pt idx="14">
                  <c:v>0</c:v>
                </c:pt>
                <c:pt idx="15">
                  <c:v>-3.0999999999999943</c:v>
                </c:pt>
                <c:pt idx="16">
                  <c:v>3.7000000000000028</c:v>
                </c:pt>
                <c:pt idx="17">
                  <c:v>2.5999999999999943</c:v>
                </c:pt>
                <c:pt idx="18">
                  <c:v>1.5999999999999943</c:v>
                </c:pt>
                <c:pt idx="19">
                  <c:v>2.2999999999999972</c:v>
                </c:pt>
                <c:pt idx="20">
                  <c:v>2.2000000000000028</c:v>
                </c:pt>
                <c:pt idx="21">
                  <c:v>2.5999999999999943</c:v>
                </c:pt>
                <c:pt idx="22">
                  <c:v>3.0999999999999943</c:v>
                </c:pt>
                <c:pt idx="23">
                  <c:v>3.5999999999999943</c:v>
                </c:pt>
                <c:pt idx="24">
                  <c:v>4.2000000000000028</c:v>
                </c:pt>
                <c:pt idx="25">
                  <c:v>3.7999999999999972</c:v>
                </c:pt>
                <c:pt idx="26">
                  <c:v>4.2000000000000028</c:v>
                </c:pt>
                <c:pt idx="27">
                  <c:v>3</c:v>
                </c:pt>
                <c:pt idx="28">
                  <c:v>2.0999999999999943</c:v>
                </c:pt>
                <c:pt idx="29">
                  <c:v>4.5999999999999943</c:v>
                </c:pt>
                <c:pt idx="30">
                  <c:v>3.5</c:v>
                </c:pt>
                <c:pt idx="31">
                  <c:v>4.7000000000000028</c:v>
                </c:pt>
                <c:pt idx="32">
                  <c:v>6.5999999999999943</c:v>
                </c:pt>
                <c:pt idx="33">
                  <c:v>6.2999999999999972</c:v>
                </c:pt>
                <c:pt idx="34">
                  <c:v>6</c:v>
                </c:pt>
                <c:pt idx="35">
                  <c:v>4.7000000000000028</c:v>
                </c:pt>
              </c:numCache>
            </c:numRef>
          </c:val>
          <c:extLst>
            <c:ext xmlns:c16="http://schemas.microsoft.com/office/drawing/2014/chart" uri="{C3380CC4-5D6E-409C-BE32-E72D297353CC}">
              <c16:uniqueId val="{00000000-1DF6-4204-A4FB-E25B1FD364D4}"/>
            </c:ext>
          </c:extLst>
        </c:ser>
        <c:dLbls>
          <c:showLegendKey val="0"/>
          <c:showVal val="0"/>
          <c:showCatName val="0"/>
          <c:showSerName val="0"/>
          <c:showPercent val="0"/>
          <c:showBubbleSize val="0"/>
        </c:dLbls>
        <c:gapWidth val="39"/>
        <c:axId val="185182464"/>
        <c:axId val="185192832"/>
      </c:barChart>
      <c:lineChart>
        <c:grouping val="standard"/>
        <c:varyColors val="0"/>
        <c:ser>
          <c:idx val="0"/>
          <c:order val="0"/>
          <c:tx>
            <c:strRef>
              <c:f>'Trh práce 3'!$C$8</c:f>
              <c:strCache>
                <c:ptCount val="1"/>
                <c:pt idx="0">
                  <c:v>Average wage (nominal)</c:v>
                </c:pt>
              </c:strCache>
            </c:strRef>
          </c:tx>
          <c:spPr>
            <a:ln w="19050">
              <a:solidFill>
                <a:srgbClr val="0071BC"/>
              </a:solidFill>
            </a:ln>
          </c:spPr>
          <c:marker>
            <c:symbol val="none"/>
          </c:marker>
          <c:cat>
            <c:multiLvlStrRef>
              <c:f>'Trh práce 3'!$A$9:$B$44</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3'!$C$9:$C$44</c:f>
              <c:numCache>
                <c:formatCode>0.0</c:formatCode>
                <c:ptCount val="36"/>
                <c:pt idx="0">
                  <c:v>2.7999999999999972</c:v>
                </c:pt>
                <c:pt idx="1">
                  <c:v>3.0999999999999943</c:v>
                </c:pt>
                <c:pt idx="2">
                  <c:v>2.2000000000000028</c:v>
                </c:pt>
                <c:pt idx="3">
                  <c:v>0.70000000000000284</c:v>
                </c:pt>
                <c:pt idx="4">
                  <c:v>2.7999999999999972</c:v>
                </c:pt>
                <c:pt idx="5">
                  <c:v>2.5999999999999943</c:v>
                </c:pt>
                <c:pt idx="6">
                  <c:v>2.0999999999999943</c:v>
                </c:pt>
                <c:pt idx="7">
                  <c:v>2.4000000000000057</c:v>
                </c:pt>
                <c:pt idx="8">
                  <c:v>3.2000000000000028</c:v>
                </c:pt>
                <c:pt idx="9">
                  <c:v>2.0999999999999943</c:v>
                </c:pt>
                <c:pt idx="10">
                  <c:v>1.4000000000000057</c:v>
                </c:pt>
                <c:pt idx="11">
                  <c:v>3.2000000000000028</c:v>
                </c:pt>
                <c:pt idx="12">
                  <c:v>-0.59999999999999432</c:v>
                </c:pt>
                <c:pt idx="13">
                  <c:v>1</c:v>
                </c:pt>
                <c:pt idx="14">
                  <c:v>1.2000000000000028</c:v>
                </c:pt>
                <c:pt idx="15">
                  <c:v>-2</c:v>
                </c:pt>
                <c:pt idx="16">
                  <c:v>3.9000000000000057</c:v>
                </c:pt>
                <c:pt idx="17">
                  <c:v>2.7999999999999972</c:v>
                </c:pt>
                <c:pt idx="18">
                  <c:v>2.2000000000000028</c:v>
                </c:pt>
                <c:pt idx="19">
                  <c:v>2.7999999999999972</c:v>
                </c:pt>
                <c:pt idx="20">
                  <c:v>2.2999999999999972</c:v>
                </c:pt>
                <c:pt idx="21">
                  <c:v>3.2999999999999972</c:v>
                </c:pt>
                <c:pt idx="22">
                  <c:v>3.5</c:v>
                </c:pt>
                <c:pt idx="23">
                  <c:v>3.7000000000000028</c:v>
                </c:pt>
                <c:pt idx="24">
                  <c:v>4.7000000000000028</c:v>
                </c:pt>
                <c:pt idx="25">
                  <c:v>4</c:v>
                </c:pt>
                <c:pt idx="26">
                  <c:v>4.7000000000000028</c:v>
                </c:pt>
                <c:pt idx="27">
                  <c:v>4.4000000000000057</c:v>
                </c:pt>
                <c:pt idx="28">
                  <c:v>4.5</c:v>
                </c:pt>
                <c:pt idx="29">
                  <c:v>6.9000000000000057</c:v>
                </c:pt>
                <c:pt idx="30">
                  <c:v>6.0999999999999943</c:v>
                </c:pt>
                <c:pt idx="31">
                  <c:v>7.4000000000000057</c:v>
                </c:pt>
                <c:pt idx="32">
                  <c:v>8.5999999999999943</c:v>
                </c:pt>
                <c:pt idx="33">
                  <c:v>8.7000000000000028</c:v>
                </c:pt>
                <c:pt idx="34">
                  <c:v>8.5</c:v>
                </c:pt>
                <c:pt idx="35">
                  <c:v>6.9000000000000057</c:v>
                </c:pt>
              </c:numCache>
            </c:numRef>
          </c:val>
          <c:smooth val="0"/>
          <c:extLst>
            <c:ext xmlns:c16="http://schemas.microsoft.com/office/drawing/2014/chart" uri="{C3380CC4-5D6E-409C-BE32-E72D297353CC}">
              <c16:uniqueId val="{00000001-1DF6-4204-A4FB-E25B1FD364D4}"/>
            </c:ext>
          </c:extLst>
        </c:ser>
        <c:ser>
          <c:idx val="4"/>
          <c:order val="1"/>
          <c:tx>
            <c:strRef>
              <c:f>'Trh práce 3'!$D$8</c:f>
              <c:strCache>
                <c:ptCount val="1"/>
                <c:pt idx="0">
                  <c:v>Median wage (nominal)</c:v>
                </c:pt>
              </c:strCache>
            </c:strRef>
          </c:tx>
          <c:spPr>
            <a:ln w="19050">
              <a:solidFill>
                <a:srgbClr val="BD1B21"/>
              </a:solidFill>
            </a:ln>
          </c:spPr>
          <c:marker>
            <c:symbol val="none"/>
          </c:marker>
          <c:cat>
            <c:multiLvlStrRef>
              <c:f>'Trh práce 3'!$A$9:$B$44</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3'!$D$9:$D$44</c:f>
              <c:numCache>
                <c:formatCode>0.0</c:formatCode>
                <c:ptCount val="36"/>
                <c:pt idx="0">
                  <c:v>3.2000000000000028</c:v>
                </c:pt>
                <c:pt idx="1">
                  <c:v>2.5999999999999943</c:v>
                </c:pt>
                <c:pt idx="2">
                  <c:v>2.7999999999999972</c:v>
                </c:pt>
                <c:pt idx="3">
                  <c:v>1.7999999999999972</c:v>
                </c:pt>
                <c:pt idx="4">
                  <c:v>2.7999999999999972</c:v>
                </c:pt>
                <c:pt idx="5">
                  <c:v>2.2000000000000028</c:v>
                </c:pt>
                <c:pt idx="6">
                  <c:v>1.7000000000000028</c:v>
                </c:pt>
                <c:pt idx="7">
                  <c:v>2.2000000000000028</c:v>
                </c:pt>
                <c:pt idx="8">
                  <c:v>1.4000000000000057</c:v>
                </c:pt>
                <c:pt idx="9">
                  <c:v>1.2999999999999972</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6.7000000000000028</c:v>
                </c:pt>
                <c:pt idx="25">
                  <c:v>4.5999999999999943</c:v>
                </c:pt>
                <c:pt idx="26">
                  <c:v>5.2999999999999972</c:v>
                </c:pt>
                <c:pt idx="27">
                  <c:v>6.2000000000000028</c:v>
                </c:pt>
                <c:pt idx="28">
                  <c:v>4.4000000000000057</c:v>
                </c:pt>
                <c:pt idx="29">
                  <c:v>7.4000000000000057</c:v>
                </c:pt>
                <c:pt idx="30">
                  <c:v>6.5999999999999943</c:v>
                </c:pt>
                <c:pt idx="31">
                  <c:v>8.4000000000000057</c:v>
                </c:pt>
                <c:pt idx="32">
                  <c:v>8.4000000000000057</c:v>
                </c:pt>
                <c:pt idx="33">
                  <c:v>9.5</c:v>
                </c:pt>
                <c:pt idx="34">
                  <c:v>9.7999999999999972</c:v>
                </c:pt>
                <c:pt idx="35">
                  <c:v>7.0999999999999943</c:v>
                </c:pt>
              </c:numCache>
            </c:numRef>
          </c:val>
          <c:smooth val="0"/>
          <c:extLst>
            <c:ext xmlns:c16="http://schemas.microsoft.com/office/drawing/2014/chart" uri="{C3380CC4-5D6E-409C-BE32-E72D297353CC}">
              <c16:uniqueId val="{00000002-1DF6-4204-A4FB-E25B1FD364D4}"/>
            </c:ext>
          </c:extLst>
        </c:ser>
        <c:ser>
          <c:idx val="1"/>
          <c:order val="3"/>
          <c:tx>
            <c:strRef>
              <c:f>'Trh práce 3'!$F$8</c:f>
              <c:strCache>
                <c:ptCount val="1"/>
                <c:pt idx="0">
                  <c:v>Labour productivity in economy (real)**</c:v>
                </c:pt>
              </c:strCache>
            </c:strRef>
          </c:tx>
          <c:spPr>
            <a:ln w="19050">
              <a:noFill/>
              <a:prstDash val="solid"/>
            </a:ln>
          </c:spPr>
          <c:marker>
            <c:symbol val="diamond"/>
            <c:size val="5"/>
            <c:spPr>
              <a:solidFill>
                <a:srgbClr val="FFFF00"/>
              </a:solidFill>
              <a:ln>
                <a:solidFill>
                  <a:schemeClr val="tx1">
                    <a:lumMod val="95000"/>
                    <a:lumOff val="5000"/>
                  </a:schemeClr>
                </a:solidFill>
              </a:ln>
            </c:spPr>
          </c:marker>
          <c:cat>
            <c:multiLvlStrRef>
              <c:f>'Trh práce 3'!$A$9:$B$44</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3'!$F$9:$F$44</c:f>
              <c:numCache>
                <c:formatCode>0.0</c:formatCode>
                <c:ptCount val="36"/>
                <c:pt idx="0">
                  <c:v>3.5332846838865208</c:v>
                </c:pt>
                <c:pt idx="1">
                  <c:v>4.425122650740704</c:v>
                </c:pt>
                <c:pt idx="2">
                  <c:v>2.3152819998793319</c:v>
                </c:pt>
                <c:pt idx="3">
                  <c:v>2.9717863026053948</c:v>
                </c:pt>
                <c:pt idx="4">
                  <c:v>2.9527260280244576</c:v>
                </c:pt>
                <c:pt idx="5">
                  <c:v>2.0923191727528945</c:v>
                </c:pt>
                <c:pt idx="6">
                  <c:v>1.8080251400873806</c:v>
                </c:pt>
                <c:pt idx="7">
                  <c:v>1.5019620723850409</c:v>
                </c:pt>
                <c:pt idx="8">
                  <c:v>0.41537995919813397</c:v>
                </c:pt>
                <c:pt idx="9">
                  <c:v>-1.2819231607881107</c:v>
                </c:pt>
                <c:pt idx="10">
                  <c:v>-1.8249350322319771</c:v>
                </c:pt>
                <c:pt idx="11">
                  <c:v>-2.0588258996494346</c:v>
                </c:pt>
                <c:pt idx="12">
                  <c:v>-2.8802810421720295</c:v>
                </c:pt>
                <c:pt idx="13">
                  <c:v>-1.8279480046633836</c:v>
                </c:pt>
                <c:pt idx="14">
                  <c:v>0.4046193699375209</c:v>
                </c:pt>
                <c:pt idx="15">
                  <c:v>0.95515229453815209</c:v>
                </c:pt>
                <c:pt idx="16">
                  <c:v>1.7448585072078089</c:v>
                </c:pt>
                <c:pt idx="17">
                  <c:v>2.7515963261383547</c:v>
                </c:pt>
                <c:pt idx="18">
                  <c:v>3.0294730201186439</c:v>
                </c:pt>
                <c:pt idx="19">
                  <c:v>1.0840279704352724</c:v>
                </c:pt>
                <c:pt idx="20">
                  <c:v>3.7518410336967918</c:v>
                </c:pt>
                <c:pt idx="21">
                  <c:v>4.1202609165826658</c:v>
                </c:pt>
                <c:pt idx="22">
                  <c:v>3.76028698995718</c:v>
                </c:pt>
                <c:pt idx="23">
                  <c:v>3.6745015563024737</c:v>
                </c:pt>
                <c:pt idx="24">
                  <c:v>1.4752745888902723</c:v>
                </c:pt>
                <c:pt idx="25">
                  <c:v>2.0687313721092977</c:v>
                </c:pt>
                <c:pt idx="26">
                  <c:v>6.7689948363209851E-2</c:v>
                </c:pt>
                <c:pt idx="27">
                  <c:v>-0.12588932224844029</c:v>
                </c:pt>
                <c:pt idx="28">
                  <c:v>2.1515124153600311</c:v>
                </c:pt>
                <c:pt idx="29">
                  <c:v>2.3231135835342371</c:v>
                </c:pt>
                <c:pt idx="30">
                  <c:v>2.9467476194007958</c:v>
                </c:pt>
                <c:pt idx="31">
                  <c:v>3.5413178743205265</c:v>
                </c:pt>
                <c:pt idx="32">
                  <c:v>1.6945670414427525</c:v>
                </c:pt>
                <c:pt idx="33">
                  <c:v>0.79998776266418758</c:v>
                </c:pt>
                <c:pt idx="34">
                  <c:v>1.5089786634906517</c:v>
                </c:pt>
                <c:pt idx="35">
                  <c:v>1.6715158361527926</c:v>
                </c:pt>
              </c:numCache>
            </c:numRef>
          </c:val>
          <c:smooth val="0"/>
          <c:extLst>
            <c:ext xmlns:c16="http://schemas.microsoft.com/office/drawing/2014/chart" uri="{C3380CC4-5D6E-409C-BE32-E72D297353CC}">
              <c16:uniqueId val="{00000003-1DF6-4204-A4FB-E25B1FD364D4}"/>
            </c:ext>
          </c:extLst>
        </c:ser>
        <c:dLbls>
          <c:showLegendKey val="0"/>
          <c:showVal val="0"/>
          <c:showCatName val="0"/>
          <c:showSerName val="0"/>
          <c:showPercent val="0"/>
          <c:showBubbleSize val="0"/>
        </c:dLbls>
        <c:marker val="1"/>
        <c:smooth val="0"/>
        <c:axId val="185182464"/>
        <c:axId val="185192832"/>
      </c:lineChart>
      <c:catAx>
        <c:axId val="185182464"/>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85192832"/>
        <c:crosses val="autoZero"/>
        <c:auto val="1"/>
        <c:lblAlgn val="ctr"/>
        <c:lblOffset val="0"/>
        <c:tickMarkSkip val="4"/>
        <c:noMultiLvlLbl val="0"/>
      </c:catAx>
      <c:valAx>
        <c:axId val="185192832"/>
        <c:scaling>
          <c:orientation val="minMax"/>
          <c:max val="10"/>
          <c:min val="-4"/>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85182464"/>
        <c:crosses val="autoZero"/>
        <c:crossBetween val="between"/>
        <c:majorUnit val="1"/>
      </c:valAx>
      <c:spPr>
        <a:ln>
          <a:solidFill>
            <a:schemeClr val="tx1"/>
          </a:solidFill>
        </a:ln>
      </c:spPr>
    </c:plotArea>
    <c:legend>
      <c:legendPos val="b"/>
      <c:layout>
        <c:manualLayout>
          <c:xMode val="edge"/>
          <c:yMode val="edge"/>
          <c:x val="4.4672385016341888E-2"/>
          <c:y val="0.90098015873015869"/>
          <c:w val="0.94307265361592563"/>
          <c:h val="8.822052154195012E-2"/>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64A9-54E8-48FB-97E3-CD32BE3DBD10}">
  <ds:schemaRefs>
    <ds:schemaRef ds:uri="http://schemas.openxmlformats.org/officeDocument/2006/bibliography"/>
  </ds:schemaRefs>
</ds:datastoreItem>
</file>

<file path=customXml/itemProps2.xml><?xml version="1.0" encoding="utf-8"?>
<ds:datastoreItem xmlns:ds="http://schemas.openxmlformats.org/officeDocument/2006/customXml" ds:itemID="{507A3B0C-FAFA-437F-971F-91951581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5</Pages>
  <Words>1900</Words>
  <Characters>11212</Characters>
  <Application>Microsoft Office Word</Application>
  <DocSecurity>0</DocSecurity>
  <Lines>93</Lines>
  <Paragraphs>26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13086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kamenicky3604</cp:lastModifiedBy>
  <cp:revision>3</cp:revision>
  <cp:lastPrinted>2019-05-10T12:21:00Z</cp:lastPrinted>
  <dcterms:created xsi:type="dcterms:W3CDTF">2019-05-10T12:35:00Z</dcterms:created>
  <dcterms:modified xsi:type="dcterms:W3CDTF">2019-05-10T12:35:00Z</dcterms:modified>
</cp:coreProperties>
</file>