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4A59E" w14:textId="7F7C0696" w:rsidR="004E1DB2" w:rsidRPr="009110F7" w:rsidRDefault="004E1DB2" w:rsidP="004E1DB2">
      <w:pPr>
        <w:pStyle w:val="Nadpis1"/>
      </w:pPr>
      <w:bookmarkStart w:id="0" w:name="_Toc114134048"/>
      <w:bookmarkStart w:id="1" w:name="_Toc97736119"/>
      <w:bookmarkStart w:id="2" w:name="_Toc74643859"/>
      <w:bookmarkStart w:id="3" w:name="_Toc90395915"/>
      <w:bookmarkStart w:id="4" w:name="_Toc98245446"/>
      <w:bookmarkStart w:id="5" w:name="_Toc74643860"/>
      <w:bookmarkStart w:id="6" w:name="_Toc137721909"/>
      <w:r w:rsidRPr="0077605B">
        <w:t>2</w:t>
      </w:r>
      <w:r>
        <w:t>. </w:t>
      </w:r>
      <w:r w:rsidRPr="0077605B">
        <w:t>Souhrnná výkonnost</w:t>
      </w:r>
      <w:bookmarkEnd w:id="6"/>
    </w:p>
    <w:tbl>
      <w:tblPr>
        <w:tblW w:w="9639" w:type="dxa"/>
        <w:tblInd w:w="-20" w:type="dxa"/>
        <w:tblCellMar>
          <w:left w:w="0" w:type="dxa"/>
          <w:right w:w="0" w:type="dxa"/>
        </w:tblCellMar>
        <w:tblLook w:val="00A0" w:firstRow="1" w:lastRow="0" w:firstColumn="1" w:lastColumn="0" w:noHBand="0" w:noVBand="0"/>
      </w:tblPr>
      <w:tblGrid>
        <w:gridCol w:w="1806"/>
        <w:gridCol w:w="223"/>
        <w:gridCol w:w="7610"/>
      </w:tblGrid>
      <w:tr w:rsidR="004E1DB2" w:rsidRPr="009110F7" w14:paraId="77D65B92" w14:textId="77777777" w:rsidTr="004E1DB2">
        <w:trPr>
          <w:trHeight w:val="145"/>
        </w:trPr>
        <w:tc>
          <w:tcPr>
            <w:tcW w:w="1806" w:type="dxa"/>
            <w:shd w:val="clear" w:color="auto" w:fill="auto"/>
            <w:tcMar>
              <w:left w:w="0" w:type="dxa"/>
            </w:tcMar>
          </w:tcPr>
          <w:p w14:paraId="437277CA" w14:textId="77777777" w:rsidR="004E1DB2" w:rsidRDefault="004E1DB2" w:rsidP="004E1DB2">
            <w:pPr>
              <w:pStyle w:val="Marginlie"/>
            </w:pPr>
            <w:r>
              <w:t>Česká ekonomika mezičtvrtletně stagnovala.</w:t>
            </w:r>
          </w:p>
        </w:tc>
        <w:tc>
          <w:tcPr>
            <w:tcW w:w="223" w:type="dxa"/>
            <w:shd w:val="clear" w:color="auto" w:fill="auto"/>
            <w:tcMar>
              <w:left w:w="0" w:type="dxa"/>
            </w:tcMar>
          </w:tcPr>
          <w:p w14:paraId="196A4E9C" w14:textId="77777777" w:rsidR="004E1DB2" w:rsidRDefault="004E1DB2" w:rsidP="004E1DB2">
            <w:pPr>
              <w:pStyle w:val="Textpoznpodarou"/>
              <w:jc w:val="both"/>
              <w:rPr>
                <w:spacing w:val="-4"/>
              </w:rPr>
            </w:pPr>
          </w:p>
        </w:tc>
        <w:tc>
          <w:tcPr>
            <w:tcW w:w="7610" w:type="dxa"/>
            <w:shd w:val="clear" w:color="auto" w:fill="auto"/>
            <w:tcMar>
              <w:left w:w="0" w:type="dxa"/>
            </w:tcMar>
          </w:tcPr>
          <w:p w14:paraId="1E56826D" w14:textId="77777777" w:rsidR="004E1DB2" w:rsidRPr="00014ED0" w:rsidRDefault="004E1DB2" w:rsidP="004E1DB2">
            <w:pPr>
              <w:rPr>
                <w:spacing w:val="-2"/>
              </w:rPr>
            </w:pPr>
            <w:r>
              <w:rPr>
                <w:spacing w:val="-2"/>
              </w:rPr>
              <w:t>Česká ekonomika v 1. čtvrtletí 2023 mezikvartálně stagnovala. Tato stagnace navázala na předchozí dva poklesy hrubého domácího produktu (HDP)</w:t>
            </w:r>
            <w:r w:rsidRPr="00014ED0">
              <w:rPr>
                <w:rStyle w:val="Znakapoznpodarou"/>
                <w:rFonts w:cs="Arial"/>
                <w:spacing w:val="-2"/>
              </w:rPr>
              <w:footnoteReference w:id="1"/>
            </w:r>
            <w:r>
              <w:rPr>
                <w:spacing w:val="-2"/>
              </w:rPr>
              <w:t xml:space="preserve">. Ve směru mezičtvrtletního růstu HDP působila především zahraniční poptávka a také spotřeba vládních institucí. Dál ale trval propad spotřeby domácností a nižší byly i kapitálové výdaje. Meziročně HDP zaostával o 0,4 %. Šlo o první meziroční pokles od 1. kvartálu 2021. Na snížení měl největší podíl propad výdajů na tvorbu hrubého kapitálu. Vlivem propadající se spotřeby domácností meziročně zaostávala i spotřeba, oproti tomu spotřeba sektoru vládních institucí naopak rostla. Meziroční vývoj HDP ovlivňovala pozitivně také zahraniční poptávka.   </w:t>
            </w:r>
          </w:p>
        </w:tc>
      </w:tr>
      <w:tr w:rsidR="004E1DB2" w:rsidRPr="009110F7" w14:paraId="44DA19A2" w14:textId="77777777" w:rsidTr="004E1DB2">
        <w:trPr>
          <w:trHeight w:val="145"/>
        </w:trPr>
        <w:tc>
          <w:tcPr>
            <w:tcW w:w="1806" w:type="dxa"/>
            <w:shd w:val="clear" w:color="auto" w:fill="auto"/>
            <w:tcMar>
              <w:left w:w="0" w:type="dxa"/>
            </w:tcMar>
          </w:tcPr>
          <w:p w14:paraId="7583F748" w14:textId="77777777" w:rsidR="004E1DB2" w:rsidRDefault="004E1DB2" w:rsidP="004E1DB2">
            <w:pPr>
              <w:pStyle w:val="Marginlie"/>
            </w:pPr>
            <w:r>
              <w:t>Hrubý domácí produkt v EU mírně rostl.</w:t>
            </w:r>
          </w:p>
        </w:tc>
        <w:tc>
          <w:tcPr>
            <w:tcW w:w="223" w:type="dxa"/>
            <w:shd w:val="clear" w:color="auto" w:fill="auto"/>
            <w:tcMar>
              <w:left w:w="0" w:type="dxa"/>
            </w:tcMar>
          </w:tcPr>
          <w:p w14:paraId="62B2801D" w14:textId="77777777" w:rsidR="004E1DB2" w:rsidRDefault="004E1DB2" w:rsidP="004E1DB2">
            <w:pPr>
              <w:pStyle w:val="Textpoznpodarou"/>
              <w:jc w:val="both"/>
              <w:rPr>
                <w:spacing w:val="-4"/>
              </w:rPr>
            </w:pPr>
          </w:p>
        </w:tc>
        <w:tc>
          <w:tcPr>
            <w:tcW w:w="7610" w:type="dxa"/>
            <w:shd w:val="clear" w:color="auto" w:fill="auto"/>
            <w:tcMar>
              <w:left w:w="0" w:type="dxa"/>
            </w:tcMar>
          </w:tcPr>
          <w:p w14:paraId="74E9B538" w14:textId="222C8A71" w:rsidR="004E1DB2" w:rsidRDefault="004E1DB2" w:rsidP="0062415E">
            <w:pPr>
              <w:spacing w:after="160" w:line="259" w:lineRule="auto"/>
              <w:rPr>
                <w:spacing w:val="-2"/>
              </w:rPr>
            </w:pPr>
            <w:r>
              <w:rPr>
                <w:bCs/>
              </w:rPr>
              <w:t xml:space="preserve">Hrubý domácí produkt v EU </w:t>
            </w:r>
            <w:r w:rsidRPr="001A41C8">
              <w:rPr>
                <w:bCs/>
              </w:rPr>
              <w:t xml:space="preserve">v 1. </w:t>
            </w:r>
            <w:r>
              <w:rPr>
                <w:bCs/>
              </w:rPr>
              <w:t>kvartálu</w:t>
            </w:r>
            <w:r w:rsidRPr="001A41C8">
              <w:rPr>
                <w:bCs/>
              </w:rPr>
              <w:t xml:space="preserve"> vzrostl mezičtvrtletně o 0,</w:t>
            </w:r>
            <w:r w:rsidR="00F1152E">
              <w:rPr>
                <w:bCs/>
              </w:rPr>
              <w:t>1</w:t>
            </w:r>
            <w:r w:rsidRPr="001A41C8">
              <w:rPr>
                <w:bCs/>
              </w:rPr>
              <w:t xml:space="preserve"> %</w:t>
            </w:r>
            <w:r>
              <w:rPr>
                <w:bCs/>
              </w:rPr>
              <w:t>.</w:t>
            </w:r>
            <w:r w:rsidRPr="001A41C8">
              <w:t xml:space="preserve"> U</w:t>
            </w:r>
            <w:r>
              <w:t>nie</w:t>
            </w:r>
            <w:r w:rsidRPr="001A41C8">
              <w:t xml:space="preserve"> se tak vyhnula technické recesi (na konci roku 2022 zde HDP mezičtvrtletně poklesl)</w:t>
            </w:r>
            <w:r>
              <w:t xml:space="preserve"> </w:t>
            </w:r>
            <w:r>
              <w:br/>
              <w:t>a v řadě zemí došlo v 1. čtvrtletí k oživení ekonomického růstu po předchozím poklesu. Nejvíce mezičtvrtletně rostly ekonomiky Polska (3,8 %), Lucemburska (2,0 %) a Portugalska (1,6 %). Naopak HDP klesal v Irsku (−</w:t>
            </w:r>
            <w:r w:rsidR="00F1152E">
              <w:t>4,6</w:t>
            </w:r>
            <w:r>
              <w:t xml:space="preserve"> %), Litvě (−2,1 %), Nizozemsku (−0,7 %)</w:t>
            </w:r>
            <w:r w:rsidR="00F1152E">
              <w:t>, Estonsku (</w:t>
            </w:r>
            <w:r w:rsidR="00DE27CD">
              <w:t>−</w:t>
            </w:r>
            <w:r w:rsidR="00F1152E">
              <w:t>0,6 %)</w:t>
            </w:r>
            <w:r>
              <w:t>, na Maltě (−0,5 %)</w:t>
            </w:r>
            <w:r w:rsidR="00F1152E">
              <w:t>, v Maďarsku (</w:t>
            </w:r>
            <w:r w:rsidR="00DE27CD">
              <w:t>−</w:t>
            </w:r>
            <w:r w:rsidR="00F1152E">
              <w:t xml:space="preserve">0,3 %), </w:t>
            </w:r>
            <w:r>
              <w:t>Německu (−0,3 %)</w:t>
            </w:r>
            <w:r w:rsidR="00F1152E">
              <w:t xml:space="preserve"> a v Řecku (</w:t>
            </w:r>
            <w:r w:rsidR="00DE27CD">
              <w:t>−</w:t>
            </w:r>
            <w:r w:rsidR="00F1152E">
              <w:t>0,1 %)</w:t>
            </w:r>
            <w:r>
              <w:t xml:space="preserve">. </w:t>
            </w:r>
            <w:r w:rsidRPr="001A41C8">
              <w:rPr>
                <w:bCs/>
              </w:rPr>
              <w:t xml:space="preserve">Meziročně </w:t>
            </w:r>
            <w:r>
              <w:rPr>
                <w:bCs/>
              </w:rPr>
              <w:t>HDP v EU narostl o 1,</w:t>
            </w:r>
            <w:r w:rsidR="00F1152E">
              <w:rPr>
                <w:bCs/>
              </w:rPr>
              <w:t>0</w:t>
            </w:r>
            <w:r>
              <w:rPr>
                <w:bCs/>
              </w:rPr>
              <w:t> </w:t>
            </w:r>
            <w:r w:rsidRPr="001A41C8">
              <w:rPr>
                <w:bCs/>
              </w:rPr>
              <w:t>%</w:t>
            </w:r>
            <w:r w:rsidRPr="001A41C8">
              <w:t>. Většina ekonomik EU dál alespoň mírně rostla.</w:t>
            </w:r>
            <w:r>
              <w:t xml:space="preserve"> Nejvýrazněji vzrostl HDP ve Španělsku (3,8 %), na Kypru (3,4 %) a na Maltě (3,2 %). Meziročně nižší byl HDP v</w:t>
            </w:r>
            <w:r w:rsidR="00F1152E">
              <w:t> Estonsku (</w:t>
            </w:r>
            <w:r w:rsidR="00DE27CD">
              <w:t>−</w:t>
            </w:r>
            <w:r w:rsidR="00F1152E">
              <w:t xml:space="preserve">3,7 %), </w:t>
            </w:r>
            <w:r>
              <w:t xml:space="preserve">Litvě (−2,7 %), </w:t>
            </w:r>
            <w:r w:rsidR="00F1152E">
              <w:t>Maďarsku (</w:t>
            </w:r>
            <w:r w:rsidR="00DE27CD">
              <w:t>−</w:t>
            </w:r>
            <w:r w:rsidR="00F1152E">
              <w:t xml:space="preserve">1,1 %), </w:t>
            </w:r>
            <w:r>
              <w:t>Německu (−0,5 %), Lucembursku (−0,4 %), Česku (−0,4 %)</w:t>
            </w:r>
            <w:r w:rsidR="00F1152E">
              <w:t xml:space="preserve">, </w:t>
            </w:r>
            <w:r>
              <w:t>ve Finsku (−0,3 %)</w:t>
            </w:r>
            <w:r w:rsidR="00F1152E">
              <w:t xml:space="preserve"> a v Irsku (</w:t>
            </w:r>
            <w:r w:rsidR="00DE27CD">
              <w:t>−</w:t>
            </w:r>
            <w:r w:rsidR="00F1152E">
              <w:t>0,3 %)</w:t>
            </w:r>
            <w:r>
              <w:t xml:space="preserve">. </w:t>
            </w:r>
            <w:r w:rsidRPr="001A41C8">
              <w:t xml:space="preserve"> </w:t>
            </w:r>
          </w:p>
        </w:tc>
      </w:tr>
      <w:tr w:rsidR="004E1DB2" w:rsidRPr="009110F7" w14:paraId="15284612" w14:textId="77777777" w:rsidTr="004E1DB2">
        <w:trPr>
          <w:trHeight w:val="170"/>
        </w:trPr>
        <w:tc>
          <w:tcPr>
            <w:tcW w:w="1806" w:type="dxa"/>
            <w:vMerge w:val="restart"/>
            <w:shd w:val="clear" w:color="auto" w:fill="auto"/>
            <w:tcMar>
              <w:left w:w="0" w:type="dxa"/>
            </w:tcMar>
          </w:tcPr>
          <w:p w14:paraId="7E163217" w14:textId="77777777" w:rsidR="004E1DB2" w:rsidRDefault="004E1DB2" w:rsidP="004E1DB2">
            <w:pPr>
              <w:pStyle w:val="Marginlie"/>
            </w:pPr>
          </w:p>
        </w:tc>
        <w:tc>
          <w:tcPr>
            <w:tcW w:w="223" w:type="dxa"/>
            <w:vMerge w:val="restart"/>
            <w:shd w:val="clear" w:color="auto" w:fill="auto"/>
            <w:tcMar>
              <w:left w:w="0" w:type="dxa"/>
            </w:tcMar>
          </w:tcPr>
          <w:p w14:paraId="348C9F2E" w14:textId="77777777" w:rsidR="004E1DB2" w:rsidRDefault="004E1DB2" w:rsidP="004E1DB2">
            <w:pPr>
              <w:pStyle w:val="Textpoznpodarou"/>
              <w:jc w:val="both"/>
              <w:rPr>
                <w:spacing w:val="-4"/>
              </w:rPr>
            </w:pPr>
          </w:p>
        </w:tc>
        <w:tc>
          <w:tcPr>
            <w:tcW w:w="7610" w:type="dxa"/>
            <w:shd w:val="clear" w:color="auto" w:fill="auto"/>
            <w:tcMar>
              <w:left w:w="0" w:type="dxa"/>
            </w:tcMar>
          </w:tcPr>
          <w:p w14:paraId="11C3873F" w14:textId="77777777" w:rsidR="004E1DB2" w:rsidRPr="00D721B4" w:rsidRDefault="004E1DB2" w:rsidP="004E1DB2">
            <w:pPr>
              <w:spacing w:after="0"/>
              <w:rPr>
                <w:b/>
                <w:szCs w:val="20"/>
              </w:rPr>
            </w:pPr>
            <w:r w:rsidRPr="00D721B4">
              <w:rPr>
                <w:rFonts w:cs="Arial"/>
                <w:b/>
                <w:bCs/>
                <w:color w:val="000000"/>
                <w:szCs w:val="20"/>
              </w:rPr>
              <w:t>Graf č. 1</w:t>
            </w:r>
            <w:r>
              <w:rPr>
                <w:rFonts w:cs="Arial"/>
                <w:b/>
                <w:bCs/>
                <w:color w:val="000000"/>
                <w:szCs w:val="20"/>
              </w:rPr>
              <w:t xml:space="preserve"> </w:t>
            </w:r>
            <w:r w:rsidRPr="00D721B4">
              <w:rPr>
                <w:rFonts w:cs="Arial"/>
                <w:b/>
                <w:szCs w:val="20"/>
                <w:lang w:eastAsia="en-US"/>
              </w:rPr>
              <w:t xml:space="preserve">HDP </w:t>
            </w:r>
            <w:r w:rsidRPr="00D721B4">
              <w:rPr>
                <w:rFonts w:cs="Arial"/>
                <w:bCs/>
                <w:szCs w:val="20"/>
                <w:lang w:eastAsia="en-US"/>
              </w:rPr>
              <w:t>(objemové indexy, očištěno o sezónní a kalendářní vlivy, v %)</w:t>
            </w:r>
          </w:p>
        </w:tc>
      </w:tr>
      <w:tr w:rsidR="004E1DB2" w:rsidRPr="009110F7" w14:paraId="3BB04D6E" w14:textId="77777777" w:rsidTr="004E1DB2">
        <w:tblPrEx>
          <w:tblCellMar>
            <w:left w:w="70" w:type="dxa"/>
            <w:right w:w="70" w:type="dxa"/>
          </w:tblCellMar>
        </w:tblPrEx>
        <w:trPr>
          <w:trHeight w:val="170"/>
        </w:trPr>
        <w:tc>
          <w:tcPr>
            <w:tcW w:w="1806" w:type="dxa"/>
            <w:vMerge/>
          </w:tcPr>
          <w:p w14:paraId="4514CD45" w14:textId="77777777" w:rsidR="004E1DB2" w:rsidRPr="009110F7" w:rsidRDefault="004E1DB2" w:rsidP="004E1DB2">
            <w:pPr>
              <w:pStyle w:val="Marginlie"/>
            </w:pPr>
          </w:p>
        </w:tc>
        <w:tc>
          <w:tcPr>
            <w:tcW w:w="223" w:type="dxa"/>
            <w:vMerge/>
          </w:tcPr>
          <w:p w14:paraId="4A13BAC4" w14:textId="77777777" w:rsidR="004E1DB2" w:rsidRPr="009110F7" w:rsidRDefault="004E1DB2" w:rsidP="004E1DB2">
            <w:pPr>
              <w:pStyle w:val="Textpoznpodarou"/>
              <w:jc w:val="both"/>
              <w:rPr>
                <w:spacing w:val="-4"/>
              </w:rPr>
            </w:pPr>
          </w:p>
        </w:tc>
        <w:tc>
          <w:tcPr>
            <w:tcW w:w="7610" w:type="dxa"/>
            <w:shd w:val="clear" w:color="auto" w:fill="auto"/>
          </w:tcPr>
          <w:p w14:paraId="71F0BDDA" w14:textId="77777777" w:rsidR="004E1DB2" w:rsidRPr="009110F7" w:rsidRDefault="004E1DB2" w:rsidP="004E1DB2">
            <w:pPr>
              <w:spacing w:after="0"/>
            </w:pPr>
            <w:r>
              <w:rPr>
                <w:noProof/>
              </w:rPr>
              <w:drawing>
                <wp:inline distT="0" distB="0" distL="0" distR="0" wp14:anchorId="5D37DA36" wp14:editId="42BB276D">
                  <wp:extent cx="4737600" cy="3553200"/>
                  <wp:effectExtent l="0" t="0" r="6350" b="0"/>
                  <wp:docPr id="21" name="Graf 2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4E1DB2" w:rsidRPr="009110F7" w14:paraId="3B2E62CD" w14:textId="77777777" w:rsidTr="004E1DB2">
        <w:trPr>
          <w:trHeight w:val="170"/>
        </w:trPr>
        <w:tc>
          <w:tcPr>
            <w:tcW w:w="1806" w:type="dxa"/>
            <w:vMerge/>
            <w:tcMar>
              <w:left w:w="0" w:type="dxa"/>
            </w:tcMar>
          </w:tcPr>
          <w:p w14:paraId="75974AE7" w14:textId="77777777" w:rsidR="004E1DB2" w:rsidRPr="009110F7" w:rsidRDefault="004E1DB2" w:rsidP="004E1DB2">
            <w:pPr>
              <w:pStyle w:val="Marginlie"/>
            </w:pPr>
          </w:p>
        </w:tc>
        <w:tc>
          <w:tcPr>
            <w:tcW w:w="223" w:type="dxa"/>
            <w:vMerge/>
            <w:tcMar>
              <w:left w:w="0" w:type="dxa"/>
            </w:tcMar>
          </w:tcPr>
          <w:p w14:paraId="482166DF" w14:textId="77777777" w:rsidR="004E1DB2" w:rsidRPr="009110F7" w:rsidRDefault="004E1DB2" w:rsidP="004E1DB2">
            <w:pPr>
              <w:pStyle w:val="Textpoznpodarou"/>
              <w:jc w:val="both"/>
              <w:rPr>
                <w:spacing w:val="-4"/>
              </w:rPr>
            </w:pPr>
          </w:p>
        </w:tc>
        <w:tc>
          <w:tcPr>
            <w:tcW w:w="7610" w:type="dxa"/>
            <w:shd w:val="clear" w:color="auto" w:fill="auto"/>
            <w:tcMar>
              <w:left w:w="0" w:type="dxa"/>
            </w:tcMar>
          </w:tcPr>
          <w:p w14:paraId="447442AB" w14:textId="77777777" w:rsidR="004E1DB2" w:rsidRPr="009110F7" w:rsidRDefault="004E1DB2" w:rsidP="004E1DB2">
            <w:pPr>
              <w:spacing w:after="220"/>
              <w:rPr>
                <w:sz w:val="14"/>
                <w:szCs w:val="14"/>
              </w:rPr>
            </w:pPr>
            <w:r>
              <w:rPr>
                <w:sz w:val="14"/>
                <w:szCs w:val="14"/>
              </w:rPr>
              <w:t>Zdroj: ČSÚ, Eurostat</w:t>
            </w:r>
          </w:p>
        </w:tc>
      </w:tr>
      <w:tr w:rsidR="004E1DB2" w:rsidRPr="009110F7" w14:paraId="3DC84D09" w14:textId="77777777" w:rsidTr="004E1DB2">
        <w:trPr>
          <w:trHeight w:val="145"/>
        </w:trPr>
        <w:tc>
          <w:tcPr>
            <w:tcW w:w="1806" w:type="dxa"/>
            <w:shd w:val="clear" w:color="auto" w:fill="auto"/>
            <w:tcMar>
              <w:left w:w="0" w:type="dxa"/>
            </w:tcMar>
          </w:tcPr>
          <w:p w14:paraId="7D9133A7" w14:textId="77777777" w:rsidR="004E1DB2" w:rsidRDefault="004E1DB2" w:rsidP="004E1DB2">
            <w:pPr>
              <w:pStyle w:val="Marginlie"/>
            </w:pPr>
            <w:r>
              <w:t xml:space="preserve">Objem mezd a platů výrazně meziročně nominálně rostl. Reálně však poklesl. </w:t>
            </w:r>
          </w:p>
        </w:tc>
        <w:tc>
          <w:tcPr>
            <w:tcW w:w="223" w:type="dxa"/>
            <w:shd w:val="clear" w:color="auto" w:fill="auto"/>
            <w:tcMar>
              <w:left w:w="0" w:type="dxa"/>
            </w:tcMar>
          </w:tcPr>
          <w:p w14:paraId="46777E0F" w14:textId="77777777" w:rsidR="004E1DB2" w:rsidRDefault="004E1DB2" w:rsidP="004E1DB2">
            <w:pPr>
              <w:pStyle w:val="Textpoznpodarou"/>
              <w:jc w:val="both"/>
              <w:rPr>
                <w:spacing w:val="-4"/>
              </w:rPr>
            </w:pPr>
          </w:p>
        </w:tc>
        <w:tc>
          <w:tcPr>
            <w:tcW w:w="7610" w:type="dxa"/>
            <w:shd w:val="clear" w:color="auto" w:fill="auto"/>
            <w:tcMar>
              <w:left w:w="0" w:type="dxa"/>
            </w:tcMar>
          </w:tcPr>
          <w:p w14:paraId="712BF0F8" w14:textId="77777777" w:rsidR="004E1DB2" w:rsidRPr="00014ED0" w:rsidRDefault="004E1DB2" w:rsidP="004E1DB2">
            <w:r>
              <w:t>Pnutí na trhu práce a tlak na dorovnání inflace trval a nominální dynamika objemu vyplacených mezd a platů v 1. čtvrtletí zůstala silná. Meziročně se mzdy a platy zvýšily o 10,2 % za současného nárůstu celkové zaměstnanosti o 1,4 %</w:t>
            </w:r>
            <w:r w:rsidRPr="00014ED0">
              <w:rPr>
                <w:rStyle w:val="Znakapoznpodarou"/>
                <w:spacing w:val="-2"/>
              </w:rPr>
              <w:footnoteReference w:id="2"/>
            </w:r>
            <w:r>
              <w:t xml:space="preserve">. Po očištění o vliv </w:t>
            </w:r>
            <w:r>
              <w:lastRenderedPageBreak/>
              <w:t>silného růstu cenové hladiny mzdy a platy reálně klesly o 4,7 %</w:t>
            </w:r>
            <w:r>
              <w:rPr>
                <w:rStyle w:val="Znakapoznpodarou"/>
                <w:spacing w:val="-2"/>
              </w:rPr>
              <w:footnoteReference w:id="3"/>
            </w:r>
            <w:r>
              <w:t>. Mezera mezi meziročním nominálním růstem mezd a navýšením cen se tak oproti předchozím čtvrtletím zmírnila. Meziroční dynamika mezd a platů byla silná napříč celou ekonomikou a s výjimkou peněžnictví a pojišťovnictví (3,6 % při současném růstu zaměstnanosti o 1,9 %) se přírůstek u všech ostatních odvětví pohyboval okolo 10 % (další výjimkou v opačném směru byly činnosti v oblasti nemovitostí – 24,1 % při růstu zaměstnanosti o 1,5 %). Nejvíce k celkovému růstu objemu mezd a platů přispívaly obory s velkým počtem zaměstnanců – veřejná správa a obrana, vzdělávání, zdravotní a sociální péče (10,2 %, zaměstnanost byla vyšší o 2,8 %), zpracovatelský průmysl (9,4 %, zaměstnanost vzrostla o 0,2 %) a uskupení obchod, doprava, ubytování a pohostinství (10,0 %, zaměstnanost byla vyšší o 0,3 %). Výrazný růst zaměstnanosti podpořil nárůst objemu mezd a platů v informačních a komunikačních činnostech (11,0 %, zaměstnanost o 5,4 %) a stavebnictví (10,0 %, zaměstnanost o 3,5 %). Přes mírně klesající zaměstnanost (−0,6 %) byl naopak výrazný růst mezd a platů v ostatních činnostech</w:t>
            </w:r>
            <w:r>
              <w:rPr>
                <w:rStyle w:val="Znakapoznpodarou"/>
                <w:spacing w:val="-2"/>
              </w:rPr>
              <w:footnoteReference w:id="4"/>
            </w:r>
            <w:r>
              <w:t xml:space="preserve"> (12,2 %).</w:t>
            </w:r>
          </w:p>
        </w:tc>
      </w:tr>
      <w:tr w:rsidR="004E1DB2" w:rsidRPr="009110F7" w14:paraId="2E1E52D7" w14:textId="77777777" w:rsidTr="004E1DB2">
        <w:trPr>
          <w:trHeight w:val="145"/>
        </w:trPr>
        <w:tc>
          <w:tcPr>
            <w:tcW w:w="1806" w:type="dxa"/>
            <w:shd w:val="clear" w:color="auto" w:fill="auto"/>
            <w:tcMar>
              <w:left w:w="0" w:type="dxa"/>
            </w:tcMar>
          </w:tcPr>
          <w:p w14:paraId="48401E52" w14:textId="77777777" w:rsidR="004E1DB2" w:rsidRDefault="004E1DB2" w:rsidP="004E1DB2">
            <w:pPr>
              <w:pStyle w:val="Marginlie"/>
            </w:pPr>
            <w:r>
              <w:lastRenderedPageBreak/>
              <w:t xml:space="preserve">Nominální mzdy a platy klesly jen v peněžnictví </w:t>
            </w:r>
            <w:r>
              <w:br/>
              <w:t xml:space="preserve">a pojišťovnictví. </w:t>
            </w:r>
          </w:p>
        </w:tc>
        <w:tc>
          <w:tcPr>
            <w:tcW w:w="223" w:type="dxa"/>
            <w:shd w:val="clear" w:color="auto" w:fill="auto"/>
            <w:tcMar>
              <w:left w:w="0" w:type="dxa"/>
            </w:tcMar>
          </w:tcPr>
          <w:p w14:paraId="5ED817A3" w14:textId="77777777" w:rsidR="004E1DB2" w:rsidRDefault="004E1DB2" w:rsidP="004E1DB2">
            <w:pPr>
              <w:pStyle w:val="Textpoznpodarou"/>
              <w:jc w:val="both"/>
              <w:rPr>
                <w:spacing w:val="-4"/>
              </w:rPr>
            </w:pPr>
          </w:p>
        </w:tc>
        <w:tc>
          <w:tcPr>
            <w:tcW w:w="7610" w:type="dxa"/>
            <w:shd w:val="clear" w:color="auto" w:fill="auto"/>
            <w:tcMar>
              <w:left w:w="0" w:type="dxa"/>
            </w:tcMar>
          </w:tcPr>
          <w:p w14:paraId="230FBEFA" w14:textId="77777777" w:rsidR="004E1DB2" w:rsidRDefault="004E1DB2" w:rsidP="004E1DB2">
            <w:r>
              <w:t>Také mezičtvrtletní nominální přírůstek mezd a platů byl rovněž poměrně vysoký (3,1 %). Celková zaměstnanost mezičtvrtletně vzrostla o 0,4 %. Silné navýšení mezd a platů nejvíce ovlivnila aktualizace platových tarifů v odvětvích s převahou vládního sektoru</w:t>
            </w:r>
            <w:r>
              <w:rPr>
                <w:rStyle w:val="Znakapoznpodarou"/>
                <w:spacing w:val="-2"/>
              </w:rPr>
              <w:footnoteReference w:id="5"/>
            </w:r>
            <w:r>
              <w:t xml:space="preserve"> (4,8 %). Oproti tomu byla mzdová dynamika mírnější ve zpracovatelském průmyslu (2,2 %) i v uskupení obchod, doprava, ubytování a pohostinství (2,4 %). V profesních, vědeckých, technických a administrativních činnostech výdělky narostly o 3,1 %. Nadprůměrný byl přírůstek mezd a platů v činnostech v oblasti nemovitostí (10,8 %), v ostatních činnostech (6,2 %) a ve stavebnictví (4,9 %). Naopak mírný růst vykázaly informační a komunikační činnosti (1,5 %) a zemědělství, lesnictví a rybářství (1,3 %). V peněžnictví a pojišťovnictví došlo k mezičtvrtletnímu poklesu objemu vyplacených mezd a platů o 3,9 %. </w:t>
            </w:r>
          </w:p>
        </w:tc>
      </w:tr>
      <w:tr w:rsidR="004E1DB2" w:rsidRPr="009110F7" w14:paraId="2B8C25EE" w14:textId="77777777" w:rsidTr="004E1DB2">
        <w:trPr>
          <w:trHeight w:val="145"/>
        </w:trPr>
        <w:tc>
          <w:tcPr>
            <w:tcW w:w="1806" w:type="dxa"/>
            <w:shd w:val="clear" w:color="auto" w:fill="auto"/>
            <w:tcMar>
              <w:left w:w="0" w:type="dxa"/>
            </w:tcMar>
          </w:tcPr>
          <w:p w14:paraId="5C5CC9A9" w14:textId="77777777" w:rsidR="004E1DB2" w:rsidRDefault="004E1DB2" w:rsidP="004E1DB2">
            <w:pPr>
              <w:pStyle w:val="Marginlie"/>
            </w:pPr>
            <w:r>
              <w:t>Spotřeba domácností se nadále snižovala.</w:t>
            </w:r>
          </w:p>
        </w:tc>
        <w:tc>
          <w:tcPr>
            <w:tcW w:w="223" w:type="dxa"/>
            <w:shd w:val="clear" w:color="auto" w:fill="auto"/>
            <w:tcMar>
              <w:left w:w="0" w:type="dxa"/>
            </w:tcMar>
          </w:tcPr>
          <w:p w14:paraId="6EB14424" w14:textId="77777777" w:rsidR="004E1DB2" w:rsidRDefault="004E1DB2" w:rsidP="004E1DB2">
            <w:pPr>
              <w:pStyle w:val="Textpoznpodarou"/>
              <w:jc w:val="both"/>
              <w:rPr>
                <w:spacing w:val="-4"/>
              </w:rPr>
            </w:pPr>
          </w:p>
        </w:tc>
        <w:tc>
          <w:tcPr>
            <w:tcW w:w="7610" w:type="dxa"/>
            <w:shd w:val="clear" w:color="auto" w:fill="auto"/>
            <w:tcMar>
              <w:left w:w="0" w:type="dxa"/>
            </w:tcMar>
          </w:tcPr>
          <w:p w14:paraId="218FFA90" w14:textId="77777777" w:rsidR="004E1DB2" w:rsidRDefault="004E1DB2" w:rsidP="004E1DB2">
            <w:pPr>
              <w:rPr>
                <w:spacing w:val="-2"/>
              </w:rPr>
            </w:pPr>
            <w:r>
              <w:rPr>
                <w:spacing w:val="-2"/>
              </w:rPr>
              <w:t>Výdaje na konečnou spotřebu byly v 1. čtvrtletí meziročně nižší o 3,2 % a ve směru poklesu HDP působily 2,2 p. b.</w:t>
            </w:r>
            <w:r w:rsidRPr="00014ED0">
              <w:rPr>
                <w:rStyle w:val="Znakapoznpodarou"/>
                <w:spacing w:val="-2"/>
              </w:rPr>
              <w:footnoteReference w:id="6"/>
            </w:r>
            <w:r>
              <w:rPr>
                <w:spacing w:val="-2"/>
              </w:rPr>
              <w:t>. Propadala se jen spotřeba domácností (−6,4 %), zatímco vládní výdaje byly meziročně vyšší (3,9 %). Trval netypicky hluboký meziroční propad výdajů na předměty krátkodobé spotřeby (−8,4 %)</w:t>
            </w:r>
            <w:r>
              <w:rPr>
                <w:rStyle w:val="Znakapoznpodarou"/>
              </w:rPr>
              <w:footnoteReference w:id="7"/>
            </w:r>
            <w:r>
              <w:rPr>
                <w:spacing w:val="-2"/>
              </w:rPr>
              <w:t xml:space="preserve"> a poprvé od 1. kvartálu 2021 ovlivněného pandemií byla meziročně nižší i spotřeba služeb (−1,1 %). Zmírnil se meziroční pokles střednědobé (−5,0 %) i dlouhodobé (−14,4 %) spotřeby. Mezičtvrtletně se celkové výdaje na konečnou spotřebu snížily o 0,3 %. Přitom spotřeba domácností klesla o 1,2 %, pošesté v řadě. V rámci dostupné časové řady (od r. 1996) jde o nejdelší sekvenci poklesů. Spotřeba vlády byla mezičtvrtletně vyšší o 1,9 %. V 1. čtvrtletí dál mezičtvrtletně klesala spotřeba netrvanlivého zboží (−0,3 %) i služeb (−1,4 %). U trvanlivého zboží se ale spotřeba opět oživila. V případě zboží dlouhodobé spotřeby byly výdaje vyšší o 1,3 % a u střednědobé spotřeby přírůstek zrychlil na 1,3 %.        </w:t>
            </w:r>
          </w:p>
        </w:tc>
      </w:tr>
      <w:tr w:rsidR="004E1DB2" w:rsidRPr="009110F7" w14:paraId="4C1DEC8A" w14:textId="77777777" w:rsidTr="004E1DB2">
        <w:trPr>
          <w:trHeight w:val="145"/>
        </w:trPr>
        <w:tc>
          <w:tcPr>
            <w:tcW w:w="1806" w:type="dxa"/>
            <w:shd w:val="clear" w:color="auto" w:fill="auto"/>
            <w:tcMar>
              <w:left w:w="0" w:type="dxa"/>
            </w:tcMar>
          </w:tcPr>
          <w:p w14:paraId="3A97D71B" w14:textId="77777777" w:rsidR="004E1DB2" w:rsidRDefault="004E1DB2" w:rsidP="004E1DB2">
            <w:pPr>
              <w:pStyle w:val="Marginlie"/>
            </w:pPr>
            <w:r>
              <w:t>Vývoj investic nepřímo ukazuje na zvýšenou investiční aktivitu podniků.</w:t>
            </w:r>
          </w:p>
        </w:tc>
        <w:tc>
          <w:tcPr>
            <w:tcW w:w="223" w:type="dxa"/>
            <w:shd w:val="clear" w:color="auto" w:fill="auto"/>
            <w:tcMar>
              <w:left w:w="0" w:type="dxa"/>
            </w:tcMar>
          </w:tcPr>
          <w:p w14:paraId="6E23F0C3" w14:textId="77777777" w:rsidR="004E1DB2" w:rsidRDefault="004E1DB2" w:rsidP="004E1DB2">
            <w:pPr>
              <w:pStyle w:val="Textpoznpodarou"/>
              <w:jc w:val="both"/>
              <w:rPr>
                <w:spacing w:val="-4"/>
              </w:rPr>
            </w:pPr>
          </w:p>
        </w:tc>
        <w:tc>
          <w:tcPr>
            <w:tcW w:w="7610" w:type="dxa"/>
            <w:shd w:val="clear" w:color="auto" w:fill="auto"/>
            <w:tcMar>
              <w:left w:w="0" w:type="dxa"/>
            </w:tcMar>
          </w:tcPr>
          <w:p w14:paraId="73D84D64" w14:textId="77777777" w:rsidR="004E1DB2" w:rsidRDefault="004E1DB2" w:rsidP="004E1DB2">
            <w:pPr>
              <w:rPr>
                <w:spacing w:val="-2"/>
              </w:rPr>
            </w:pPr>
            <w:r>
              <w:t>Výdaje na tvorbu hrubého kapitálu byly v 1. čtvrtletí meziročně nižší o 8,4 % a k poklesu HDP přispěly 2,8 p. b. Za hlubokým propadem stála především změna zásob. Na začátku letošního roku totiž došlo k výraznému rozpouštění zásob naakumulovaných loni</w:t>
            </w:r>
            <w:r>
              <w:rPr>
                <w:rStyle w:val="Znakapoznpodarou"/>
              </w:rPr>
              <w:footnoteReference w:id="8"/>
            </w:r>
            <w:r>
              <w:t xml:space="preserve">. Samotné výdaje na tvorbu hrubého fixního kapitálu (investice) byly meziročně vyšší o 0,3 %. Meziroční dynamika investiční aktivity tak prudce oslabila. Z hlediska věcné struktury investic je patrné, že rostly převážně investice financované podniky do </w:t>
            </w:r>
            <w:r>
              <w:lastRenderedPageBreak/>
              <w:t xml:space="preserve">oblasti ICT a ostatních strojů a zařízení (10,9 %) a dopravních prostředků a zařízení (0,5 %). Na druhé straně se ale propadaly investice do obydlí (−9,2 %), kde jsou hlavními investory domácnosti. Nižší byly také výdaje na ostatní budovy a stavby (−1,6 %) a po sérii solidních meziročních přírůstků klesly také investice do produktů duševního vlastnictví (−3,1 %). K mezičtvrtletnímu propadu kapitálových výdajů (−8,1 %) přispěla z většiny také změna zásob. Investiční aktivita ale také reálně klesla, a to o 1,8 %. Investice do dopravních prostředků a zařízení (4,9 %) a ICT a ostatních strojů a zařízení (4,8 %) rostly i mezičtvrtletně. Propad výdajů na produkty duševního vlastnictví ale dosáhl 10,1 % a nižší byly také investice do obydlí (−3,2 %) a ostatních budov a staveb (−3,5 %).      </w:t>
            </w:r>
          </w:p>
        </w:tc>
      </w:tr>
      <w:tr w:rsidR="004E1DB2" w:rsidRPr="009110F7" w14:paraId="6F7AD6A6" w14:textId="77777777" w:rsidTr="004E1DB2">
        <w:trPr>
          <w:trHeight w:val="154"/>
        </w:trPr>
        <w:tc>
          <w:tcPr>
            <w:tcW w:w="1806" w:type="dxa"/>
            <w:vMerge w:val="restart"/>
            <w:shd w:val="clear" w:color="auto" w:fill="auto"/>
            <w:tcMar>
              <w:left w:w="0" w:type="dxa"/>
            </w:tcMar>
          </w:tcPr>
          <w:p w14:paraId="330843AC" w14:textId="77777777" w:rsidR="004E1DB2" w:rsidRDefault="004E1DB2" w:rsidP="004E1DB2">
            <w:pPr>
              <w:pStyle w:val="Marginlie"/>
            </w:pPr>
          </w:p>
        </w:tc>
        <w:tc>
          <w:tcPr>
            <w:tcW w:w="223" w:type="dxa"/>
            <w:vMerge w:val="restart"/>
            <w:shd w:val="clear" w:color="auto" w:fill="auto"/>
            <w:tcMar>
              <w:left w:w="0" w:type="dxa"/>
            </w:tcMar>
          </w:tcPr>
          <w:p w14:paraId="5F18F9A5" w14:textId="77777777" w:rsidR="004E1DB2" w:rsidRDefault="004E1DB2" w:rsidP="004E1DB2">
            <w:pPr>
              <w:pStyle w:val="Textpoznpodarou"/>
              <w:jc w:val="both"/>
              <w:rPr>
                <w:spacing w:val="-4"/>
              </w:rPr>
            </w:pPr>
          </w:p>
        </w:tc>
        <w:tc>
          <w:tcPr>
            <w:tcW w:w="7610" w:type="dxa"/>
            <w:shd w:val="clear" w:color="auto" w:fill="auto"/>
            <w:tcMar>
              <w:left w:w="0" w:type="dxa"/>
            </w:tcMar>
          </w:tcPr>
          <w:p w14:paraId="5C2E18D0" w14:textId="77777777" w:rsidR="004E1DB2" w:rsidRDefault="004E1DB2" w:rsidP="004E1DB2">
            <w:pPr>
              <w:spacing w:after="0"/>
            </w:pPr>
            <w:r w:rsidRPr="00D721B4">
              <w:rPr>
                <w:b/>
                <w:szCs w:val="20"/>
              </w:rPr>
              <w:t>Graf č. 2</w:t>
            </w:r>
            <w:r>
              <w:rPr>
                <w:b/>
                <w:szCs w:val="20"/>
              </w:rPr>
              <w:t xml:space="preserve"> </w:t>
            </w:r>
            <w:r w:rsidRPr="00D721B4">
              <w:rPr>
                <w:rFonts w:cs="Arial"/>
                <w:b/>
                <w:szCs w:val="20"/>
                <w:lang w:eastAsia="en-US"/>
              </w:rPr>
              <w:t xml:space="preserve">Příspěvky výdajových složek k reálné změně HDP* </w:t>
            </w:r>
            <w:r w:rsidRPr="00D721B4">
              <w:rPr>
                <w:rFonts w:cs="Arial"/>
                <w:bCs/>
                <w:szCs w:val="20"/>
                <w:lang w:eastAsia="en-US"/>
              </w:rPr>
              <w:t>(objemové indexy, meziroční růst, příspěvky v p. b., HDP v %)</w:t>
            </w:r>
          </w:p>
        </w:tc>
      </w:tr>
      <w:tr w:rsidR="004E1DB2" w:rsidRPr="009110F7" w14:paraId="361F4E2E" w14:textId="77777777" w:rsidTr="004E1DB2">
        <w:tblPrEx>
          <w:tblCellMar>
            <w:left w:w="70" w:type="dxa"/>
            <w:right w:w="70" w:type="dxa"/>
          </w:tblCellMar>
        </w:tblPrEx>
        <w:trPr>
          <w:trHeight w:val="154"/>
        </w:trPr>
        <w:tc>
          <w:tcPr>
            <w:tcW w:w="1806" w:type="dxa"/>
            <w:vMerge/>
          </w:tcPr>
          <w:p w14:paraId="56899E82" w14:textId="77777777" w:rsidR="004E1DB2" w:rsidRDefault="004E1DB2" w:rsidP="004E1DB2">
            <w:pPr>
              <w:pStyle w:val="Marginlie"/>
            </w:pPr>
          </w:p>
        </w:tc>
        <w:tc>
          <w:tcPr>
            <w:tcW w:w="223" w:type="dxa"/>
            <w:vMerge/>
          </w:tcPr>
          <w:p w14:paraId="7892B2F8" w14:textId="77777777" w:rsidR="004E1DB2" w:rsidRDefault="004E1DB2" w:rsidP="004E1DB2">
            <w:pPr>
              <w:pStyle w:val="Textpoznpodarou"/>
              <w:jc w:val="both"/>
              <w:rPr>
                <w:spacing w:val="-4"/>
              </w:rPr>
            </w:pPr>
          </w:p>
        </w:tc>
        <w:tc>
          <w:tcPr>
            <w:tcW w:w="7610" w:type="dxa"/>
            <w:shd w:val="clear" w:color="auto" w:fill="auto"/>
          </w:tcPr>
          <w:p w14:paraId="2EE8DAD1" w14:textId="77777777" w:rsidR="004E1DB2" w:rsidRDefault="004E1DB2" w:rsidP="004E1DB2">
            <w:pPr>
              <w:spacing w:after="0"/>
            </w:pPr>
            <w:r>
              <w:rPr>
                <w:noProof/>
              </w:rPr>
              <w:drawing>
                <wp:inline distT="0" distB="0" distL="0" distR="0" wp14:anchorId="20E46A53" wp14:editId="75CFB0F0">
                  <wp:extent cx="4737600" cy="3553200"/>
                  <wp:effectExtent l="0" t="0" r="6350" b="0"/>
                  <wp:docPr id="23" name="Graf 23">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4E1DB2" w:rsidRPr="009110F7" w14:paraId="2D6356EB" w14:textId="77777777" w:rsidTr="004E1DB2">
        <w:trPr>
          <w:trHeight w:val="154"/>
        </w:trPr>
        <w:tc>
          <w:tcPr>
            <w:tcW w:w="1806" w:type="dxa"/>
            <w:vMerge/>
            <w:tcMar>
              <w:left w:w="0" w:type="dxa"/>
            </w:tcMar>
          </w:tcPr>
          <w:p w14:paraId="6A0714C6" w14:textId="77777777" w:rsidR="004E1DB2" w:rsidRDefault="004E1DB2" w:rsidP="004E1DB2">
            <w:pPr>
              <w:pStyle w:val="Marginlie"/>
            </w:pPr>
          </w:p>
        </w:tc>
        <w:tc>
          <w:tcPr>
            <w:tcW w:w="223" w:type="dxa"/>
            <w:vMerge/>
            <w:tcMar>
              <w:left w:w="0" w:type="dxa"/>
            </w:tcMar>
          </w:tcPr>
          <w:p w14:paraId="2CB4D682" w14:textId="77777777" w:rsidR="004E1DB2" w:rsidRDefault="004E1DB2" w:rsidP="004E1DB2">
            <w:pPr>
              <w:pStyle w:val="Textpoznpodarou"/>
              <w:jc w:val="both"/>
              <w:rPr>
                <w:spacing w:val="-4"/>
              </w:rPr>
            </w:pPr>
          </w:p>
        </w:tc>
        <w:tc>
          <w:tcPr>
            <w:tcW w:w="7610" w:type="dxa"/>
            <w:shd w:val="clear" w:color="auto" w:fill="auto"/>
            <w:tcMar>
              <w:left w:w="0" w:type="dxa"/>
            </w:tcMar>
          </w:tcPr>
          <w:p w14:paraId="30960641" w14:textId="77777777" w:rsidR="004E1DB2" w:rsidRDefault="004E1DB2" w:rsidP="004E1DB2">
            <w:pPr>
              <w:spacing w:after="0"/>
              <w:rPr>
                <w:sz w:val="14"/>
                <w:szCs w:val="14"/>
              </w:rPr>
            </w:pPr>
            <w:r>
              <w:rPr>
                <w:sz w:val="14"/>
                <w:szCs w:val="14"/>
              </w:rPr>
              <w:t>Zdroj: ČSÚ</w:t>
            </w:r>
          </w:p>
          <w:p w14:paraId="067ABAF7" w14:textId="77777777" w:rsidR="004E1DB2" w:rsidRDefault="004E1DB2" w:rsidP="004E1DB2">
            <w:r>
              <w:rPr>
                <w:sz w:val="14"/>
                <w:szCs w:val="14"/>
              </w:rPr>
              <w:t>* po vyloučení dovozu pro konečné užití</w:t>
            </w:r>
          </w:p>
        </w:tc>
      </w:tr>
      <w:tr w:rsidR="004E1DB2" w:rsidRPr="009110F7" w14:paraId="16F15A7F" w14:textId="77777777" w:rsidTr="004E1DB2">
        <w:trPr>
          <w:trHeight w:val="145"/>
        </w:trPr>
        <w:tc>
          <w:tcPr>
            <w:tcW w:w="1806" w:type="dxa"/>
            <w:shd w:val="clear" w:color="auto" w:fill="auto"/>
            <w:tcMar>
              <w:left w:w="0" w:type="dxa"/>
            </w:tcMar>
          </w:tcPr>
          <w:p w14:paraId="570A5042" w14:textId="77777777" w:rsidR="004E1DB2" w:rsidRDefault="004E1DB2" w:rsidP="004E1DB2">
            <w:pPr>
              <w:pStyle w:val="Marginlie"/>
            </w:pPr>
            <w:r>
              <w:t>Exportérům se na počátku roku dařilo.</w:t>
            </w:r>
          </w:p>
        </w:tc>
        <w:tc>
          <w:tcPr>
            <w:tcW w:w="223" w:type="dxa"/>
            <w:shd w:val="clear" w:color="auto" w:fill="auto"/>
            <w:tcMar>
              <w:left w:w="0" w:type="dxa"/>
            </w:tcMar>
          </w:tcPr>
          <w:p w14:paraId="41B5DA7B" w14:textId="77777777" w:rsidR="004E1DB2" w:rsidRDefault="004E1DB2" w:rsidP="004E1DB2">
            <w:pPr>
              <w:pStyle w:val="Textpoznpodarou"/>
              <w:jc w:val="both"/>
              <w:rPr>
                <w:spacing w:val="-4"/>
              </w:rPr>
            </w:pPr>
          </w:p>
        </w:tc>
        <w:tc>
          <w:tcPr>
            <w:tcW w:w="7610" w:type="dxa"/>
            <w:shd w:val="clear" w:color="auto" w:fill="auto"/>
            <w:tcMar>
              <w:left w:w="0" w:type="dxa"/>
            </w:tcMar>
          </w:tcPr>
          <w:p w14:paraId="788B66BD" w14:textId="308385BE" w:rsidR="004E1DB2" w:rsidRDefault="004E1DB2" w:rsidP="0022521D">
            <w:r>
              <w:t>V 1. čtvrtletí přispěla zahraniční poptávka ve směru meziročního růstu HDP 4,6 p. b. Silný kladný příspěvek byl výsledkem výrazného růstu exportu zboží a služeb, který se reálně meziročně zvýšil o 9,5 %</w:t>
            </w:r>
            <w:r w:rsidRPr="009110F7">
              <w:rPr>
                <w:rStyle w:val="Znakapoznpodarou"/>
              </w:rPr>
              <w:footnoteReference w:id="9"/>
            </w:r>
            <w:r>
              <w:t xml:space="preserve">. Přitom vývoz zboží narostl o 8,1 % a služeb o 17,0 %. Naproti tomu dovoz rostl méně výrazně (3,3 %). Import zboží byl meziročně vyšší jen o 0,6 % a služeb o 20,9 %. Mezičtvrtletní přírůstek exportu zboží a služeb v 1. čtvrtletí posílil na 2,5 %. Za zrychlením tempa stál vývoz zboží (2,7 %), zatímco u služeb přírůstek zmírnil na 1,4 %. Dovoz mezičtvrtletně klesl o 1,3 % a nižší byl dovoz zboží (−1,2 %) i služeb (−1,3 %). Bilance zahraničního obchodu se zbožím </w:t>
            </w:r>
            <w:r>
              <w:br/>
              <w:t>v 1. čtvrtletí dosáhla přebytku 93,7 mld. korun a meziročně se zlepšila o 92,</w:t>
            </w:r>
            <w:r w:rsidR="0022521D">
              <w:t>7</w:t>
            </w:r>
            <w:r>
              <w:t xml:space="preserve"> mld. Toto prudké zlepšení souviselo zejména s poklesem cen ropy a zemního plynu </w:t>
            </w:r>
            <w:r>
              <w:br/>
              <w:t xml:space="preserve">a dalších surovin a také s nárůstem exportu motorových vozidel, který byl loni negativně ovlivněn narušením globálních dodavatelských řetězců. I proto bylo zlepšení celkové bilance spojeno výhradně s obchodem se zbožím (+93,8 mld. korun), zatímco u služeb se saldo mírně zhoršilo (−1,2 mld.). Mezičtvrtletně se bilance zahraničního </w:t>
            </w:r>
            <w:r>
              <w:lastRenderedPageBreak/>
              <w:t xml:space="preserve">obchodu zlepšila o 82,2 mld. korun. Z toho se přebytek bilance obchodu se zbožím zvýšil o 75,7 mld. korun a se službami o 6,5 mld.     </w:t>
            </w:r>
          </w:p>
        </w:tc>
      </w:tr>
      <w:tr w:rsidR="004E1DB2" w:rsidRPr="009110F7" w14:paraId="0EAE6C2B" w14:textId="77777777" w:rsidTr="004E1DB2">
        <w:trPr>
          <w:trHeight w:val="145"/>
        </w:trPr>
        <w:tc>
          <w:tcPr>
            <w:tcW w:w="1806" w:type="dxa"/>
            <w:shd w:val="clear" w:color="auto" w:fill="auto"/>
            <w:tcMar>
              <w:left w:w="0" w:type="dxa"/>
            </w:tcMar>
          </w:tcPr>
          <w:p w14:paraId="44297B1A" w14:textId="77777777" w:rsidR="004E1DB2" w:rsidRDefault="004E1DB2" w:rsidP="004E1DB2">
            <w:pPr>
              <w:pStyle w:val="Marginlie"/>
            </w:pPr>
            <w:r>
              <w:lastRenderedPageBreak/>
              <w:t>Hrubá přidaná hodnota rostla.</w:t>
            </w:r>
          </w:p>
        </w:tc>
        <w:tc>
          <w:tcPr>
            <w:tcW w:w="223" w:type="dxa"/>
            <w:shd w:val="clear" w:color="auto" w:fill="auto"/>
            <w:tcMar>
              <w:left w:w="0" w:type="dxa"/>
            </w:tcMar>
          </w:tcPr>
          <w:p w14:paraId="06645A6F" w14:textId="77777777" w:rsidR="004E1DB2" w:rsidRDefault="004E1DB2" w:rsidP="004E1DB2">
            <w:pPr>
              <w:pStyle w:val="Textpoznpodarou"/>
              <w:jc w:val="both"/>
              <w:rPr>
                <w:spacing w:val="-4"/>
              </w:rPr>
            </w:pPr>
          </w:p>
        </w:tc>
        <w:tc>
          <w:tcPr>
            <w:tcW w:w="7610" w:type="dxa"/>
            <w:shd w:val="clear" w:color="auto" w:fill="auto"/>
            <w:tcMar>
              <w:left w:w="0" w:type="dxa"/>
            </w:tcMar>
          </w:tcPr>
          <w:p w14:paraId="52EDFA76" w14:textId="77777777" w:rsidR="004E1DB2" w:rsidRPr="00F93F2C" w:rsidRDefault="004E1DB2" w:rsidP="004E1DB2">
            <w:r>
              <w:t xml:space="preserve">Hrubá přidaná hodnota (HPH) v 1. čtvrtletí 2023 mezičtvrtletně vzrostla o 0,8 %. Výrazný rozdíl mezi dynamikou HDP a HPH v 1. kvartálu byl způsoben vlivem různého ocenění HDP a HPH. Hlavní podíl na tom měly rostoucí dotace zachycující stropy cen elektřiny. Zároveň v souvislosti s propadající se spotřebou nadále klesaly daňové výnosy, které také prohlubovaly rozdíl mezi HPH a HDP. Mezičtvrtletní růst HPH byl výrazně podpořen vývojem ve zpracovatelském průmyslu (růst o 2,0 %). Zlepšení pozice exportérů napomohlo zejména výrobě motorových vozidel, strojírenství nebo elektrotechnice. Problémy ale přetrvávaly ve zbytku průmyslových odvětví, zejména těch energeticky náročných. HPH v celém průmyslu se tak zvyšovala mezičtvrtletně jen o 0,7 %. K mezičtvrtletnímu růstu HPH přispívaly také služby. V uskupení obchod, doprava, ubytování a pohostinství HPH vzrostla HPH po dvou mezičtvrtletních poklesech (1,5 %). K růstu v rámci tohoto uskupení přispívaly zejména služby spojené s cestovním ruchem – ubytování a pohostinství. Naopak maloobchodu se i v souvislosti s propadající se spotřebou domácností nedařilo. Po mezičtvrtletním poklesu z konce roku 2022 znovu oživily také informační a komunikační činnosti (3,7 %). Mírný mezičtvrtletní příspěvek měly profesní, vědecké, technické a administrativní činnosti (0,9 %), činnosti v oblasti nemovitostí (0,5 %) a rostla i HPH ve stavebnictví (1,9 %). Jediným oborem, kde HPH mezičtvrtletně klesla, bylo peněžnictví a pojišťovnictví (−7,0 %). </w:t>
            </w:r>
          </w:p>
        </w:tc>
      </w:tr>
      <w:tr w:rsidR="004E1DB2" w:rsidRPr="009110F7" w14:paraId="74AF3471" w14:textId="77777777" w:rsidTr="004E1DB2">
        <w:trPr>
          <w:trHeight w:val="142"/>
        </w:trPr>
        <w:tc>
          <w:tcPr>
            <w:tcW w:w="1806" w:type="dxa"/>
            <w:vMerge w:val="restart"/>
            <w:shd w:val="clear" w:color="auto" w:fill="auto"/>
            <w:tcMar>
              <w:left w:w="0" w:type="dxa"/>
            </w:tcMar>
          </w:tcPr>
          <w:p w14:paraId="5478654B" w14:textId="77777777" w:rsidR="004E1DB2" w:rsidRDefault="004E1DB2" w:rsidP="004E1DB2">
            <w:pPr>
              <w:pStyle w:val="Marginlie"/>
            </w:pPr>
          </w:p>
        </w:tc>
        <w:tc>
          <w:tcPr>
            <w:tcW w:w="223" w:type="dxa"/>
            <w:vMerge w:val="restart"/>
            <w:shd w:val="clear" w:color="auto" w:fill="auto"/>
            <w:tcMar>
              <w:left w:w="0" w:type="dxa"/>
            </w:tcMar>
          </w:tcPr>
          <w:p w14:paraId="29D2C683" w14:textId="77777777" w:rsidR="004E1DB2" w:rsidRDefault="004E1DB2" w:rsidP="004E1DB2">
            <w:pPr>
              <w:pStyle w:val="Textpoznpodarou"/>
              <w:jc w:val="both"/>
              <w:rPr>
                <w:spacing w:val="-4"/>
              </w:rPr>
            </w:pPr>
          </w:p>
        </w:tc>
        <w:tc>
          <w:tcPr>
            <w:tcW w:w="7610" w:type="dxa"/>
            <w:shd w:val="clear" w:color="auto" w:fill="auto"/>
            <w:tcMar>
              <w:left w:w="0" w:type="dxa"/>
            </w:tcMar>
          </w:tcPr>
          <w:p w14:paraId="16166862" w14:textId="77777777" w:rsidR="004E1DB2" w:rsidRDefault="004E1DB2" w:rsidP="004E1DB2">
            <w:pPr>
              <w:spacing w:after="0"/>
            </w:pPr>
            <w:r w:rsidRPr="00D721B4">
              <w:rPr>
                <w:b/>
                <w:szCs w:val="20"/>
              </w:rPr>
              <w:t>Graf č. 3</w:t>
            </w:r>
            <w:r>
              <w:rPr>
                <w:b/>
                <w:szCs w:val="20"/>
              </w:rPr>
              <w:t xml:space="preserve"> </w:t>
            </w:r>
            <w:r w:rsidRPr="00D721B4">
              <w:rPr>
                <w:rFonts w:cs="Arial"/>
                <w:b/>
                <w:szCs w:val="20"/>
                <w:lang w:eastAsia="en-US"/>
              </w:rPr>
              <w:t xml:space="preserve">Příspěvky odvětví k reálné změně HPH </w:t>
            </w:r>
            <w:r w:rsidRPr="00D721B4">
              <w:rPr>
                <w:rFonts w:cs="Arial"/>
                <w:bCs/>
                <w:szCs w:val="20"/>
                <w:lang w:eastAsia="en-US"/>
              </w:rPr>
              <w:t>(objemové indexy, meziroční příspěvky v p. b., HPH v %)</w:t>
            </w:r>
          </w:p>
        </w:tc>
      </w:tr>
      <w:tr w:rsidR="004E1DB2" w:rsidRPr="009110F7" w14:paraId="54FB248B" w14:textId="77777777" w:rsidTr="004E1DB2">
        <w:trPr>
          <w:trHeight w:val="142"/>
        </w:trPr>
        <w:tc>
          <w:tcPr>
            <w:tcW w:w="1806" w:type="dxa"/>
            <w:vMerge/>
            <w:shd w:val="clear" w:color="auto" w:fill="auto"/>
            <w:tcMar>
              <w:left w:w="0" w:type="dxa"/>
            </w:tcMar>
          </w:tcPr>
          <w:p w14:paraId="007BBFC7" w14:textId="77777777" w:rsidR="004E1DB2" w:rsidRDefault="004E1DB2" w:rsidP="004E1DB2">
            <w:pPr>
              <w:pStyle w:val="Marginlie"/>
            </w:pPr>
          </w:p>
        </w:tc>
        <w:tc>
          <w:tcPr>
            <w:tcW w:w="223" w:type="dxa"/>
            <w:vMerge/>
            <w:shd w:val="clear" w:color="auto" w:fill="auto"/>
            <w:tcMar>
              <w:left w:w="0" w:type="dxa"/>
            </w:tcMar>
          </w:tcPr>
          <w:p w14:paraId="2678D7FD" w14:textId="77777777" w:rsidR="004E1DB2" w:rsidRDefault="004E1DB2" w:rsidP="004E1DB2">
            <w:pPr>
              <w:pStyle w:val="Textpoznpodarou"/>
              <w:jc w:val="both"/>
              <w:rPr>
                <w:spacing w:val="-4"/>
              </w:rPr>
            </w:pPr>
          </w:p>
        </w:tc>
        <w:tc>
          <w:tcPr>
            <w:tcW w:w="7610" w:type="dxa"/>
            <w:shd w:val="clear" w:color="auto" w:fill="auto"/>
            <w:tcMar>
              <w:left w:w="0" w:type="dxa"/>
            </w:tcMar>
          </w:tcPr>
          <w:p w14:paraId="0502BC36" w14:textId="77777777" w:rsidR="004E1DB2" w:rsidRDefault="004E1DB2" w:rsidP="004E1DB2">
            <w:pPr>
              <w:spacing w:after="0"/>
            </w:pPr>
            <w:r>
              <w:rPr>
                <w:noProof/>
              </w:rPr>
              <w:drawing>
                <wp:inline distT="0" distB="0" distL="0" distR="0" wp14:anchorId="3BC3EFA2" wp14:editId="66CCEAD9">
                  <wp:extent cx="4737600" cy="3486525"/>
                  <wp:effectExtent l="0" t="0" r="6350" b="0"/>
                  <wp:docPr id="25" name="Graf 25">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4E1DB2" w:rsidRPr="009110F7" w14:paraId="25409F28" w14:textId="77777777" w:rsidTr="004E1DB2">
        <w:trPr>
          <w:trHeight w:val="142"/>
        </w:trPr>
        <w:tc>
          <w:tcPr>
            <w:tcW w:w="1806" w:type="dxa"/>
            <w:vMerge/>
            <w:shd w:val="clear" w:color="auto" w:fill="auto"/>
            <w:tcMar>
              <w:left w:w="0" w:type="dxa"/>
            </w:tcMar>
          </w:tcPr>
          <w:p w14:paraId="41B5BE2D" w14:textId="77777777" w:rsidR="004E1DB2" w:rsidRDefault="004E1DB2" w:rsidP="004E1DB2">
            <w:pPr>
              <w:pStyle w:val="Marginlie"/>
            </w:pPr>
          </w:p>
        </w:tc>
        <w:tc>
          <w:tcPr>
            <w:tcW w:w="223" w:type="dxa"/>
            <w:vMerge/>
            <w:shd w:val="clear" w:color="auto" w:fill="auto"/>
            <w:tcMar>
              <w:left w:w="0" w:type="dxa"/>
            </w:tcMar>
          </w:tcPr>
          <w:p w14:paraId="744DA60D" w14:textId="77777777" w:rsidR="004E1DB2" w:rsidRDefault="004E1DB2" w:rsidP="004E1DB2">
            <w:pPr>
              <w:pStyle w:val="Textpoznpodarou"/>
              <w:jc w:val="both"/>
              <w:rPr>
                <w:spacing w:val="-4"/>
              </w:rPr>
            </w:pPr>
          </w:p>
        </w:tc>
        <w:tc>
          <w:tcPr>
            <w:tcW w:w="7610" w:type="dxa"/>
            <w:shd w:val="clear" w:color="auto" w:fill="auto"/>
            <w:tcMar>
              <w:left w:w="0" w:type="dxa"/>
            </w:tcMar>
          </w:tcPr>
          <w:p w14:paraId="61E83B87" w14:textId="77777777" w:rsidR="004E1DB2" w:rsidRDefault="004E1DB2" w:rsidP="004E1DB2">
            <w:r w:rsidRPr="00A85DE1">
              <w:rPr>
                <w:sz w:val="14"/>
                <w:szCs w:val="14"/>
              </w:rPr>
              <w:t>Zdroj: ČSÚ</w:t>
            </w:r>
          </w:p>
        </w:tc>
      </w:tr>
      <w:tr w:rsidR="004E1DB2" w:rsidRPr="009110F7" w14:paraId="09022286" w14:textId="77777777" w:rsidTr="004E1DB2">
        <w:trPr>
          <w:trHeight w:val="145"/>
        </w:trPr>
        <w:tc>
          <w:tcPr>
            <w:tcW w:w="1806" w:type="dxa"/>
            <w:shd w:val="clear" w:color="auto" w:fill="auto"/>
            <w:tcMar>
              <w:left w:w="0" w:type="dxa"/>
            </w:tcMar>
          </w:tcPr>
          <w:p w14:paraId="3B2697B3" w14:textId="77777777" w:rsidR="004E1DB2" w:rsidRDefault="004E1DB2" w:rsidP="004E1DB2">
            <w:pPr>
              <w:pStyle w:val="Marginlie"/>
            </w:pPr>
            <w:r>
              <w:t>Zejména zpracovatelský průmysl přispěl k meziročnímu navýšení HPH.</w:t>
            </w:r>
          </w:p>
        </w:tc>
        <w:tc>
          <w:tcPr>
            <w:tcW w:w="223" w:type="dxa"/>
            <w:shd w:val="clear" w:color="auto" w:fill="auto"/>
            <w:tcMar>
              <w:left w:w="0" w:type="dxa"/>
            </w:tcMar>
          </w:tcPr>
          <w:p w14:paraId="52968385" w14:textId="77777777" w:rsidR="004E1DB2" w:rsidRDefault="004E1DB2" w:rsidP="004E1DB2">
            <w:pPr>
              <w:pStyle w:val="Textpoznpodarou"/>
              <w:jc w:val="both"/>
              <w:rPr>
                <w:spacing w:val="-4"/>
              </w:rPr>
            </w:pPr>
          </w:p>
        </w:tc>
        <w:tc>
          <w:tcPr>
            <w:tcW w:w="7610" w:type="dxa"/>
            <w:shd w:val="clear" w:color="auto" w:fill="auto"/>
            <w:tcMar>
              <w:left w:w="0" w:type="dxa"/>
            </w:tcMar>
          </w:tcPr>
          <w:p w14:paraId="734068D2" w14:textId="77777777" w:rsidR="004E1DB2" w:rsidRDefault="004E1DB2" w:rsidP="004E1DB2">
            <w:r>
              <w:t xml:space="preserve">Hrubá přidaná hodnota byla meziročně vyšší o 1,1 %. Nejvíce k meziročnímu růstu HPH přispíval průmysl jako celek (navýšení HPH o 1,6 %), ale z bližšího pohledu je opět patrné, že za tím stojí výhradně dobré výkony ve zpracovatelském průmyslu (4,4 %). Naopak výrazně negativně působilo uskupení obchod, doprava, ubytování a pohostinství, kde došlo k dalšímu meziročnímu propadu HPH (−2,8 %, třetí pokles v řadě). V obou případech se zčásti projevil vliv srovnávací základny. Zatímco výkon </w:t>
            </w:r>
            <w:r>
              <w:lastRenderedPageBreak/>
              <w:t xml:space="preserve">průmyslu v loňském 1. kvartálu tlumily narušené globální dodavatelské řetězce, u obchodu a služeb byla poptávka na začátku roku 2022 ještě relativně silná. Meziročně ale rostla HPH řady dalších služeb včetně těch navázaných na podnikovou sféru nebo obecně celkový ekonomický růst. Výrazně příznivý vliv na meziroční dynamiku HPH měly činnosti v oblasti nemovitostí (4,5 %), veřejná správa a obrana, vzdělávání, zdravotní a sociální péče (2,6 %) nebo informační a komunikační činnosti (5,1 %). Meziročně vyšší byla i HPH v profesních, vědeckých, technických a administrativních činnostech (2,9 %) nebo u ostatních činností (3,7 %) zahrnujících mimo jiné různé služby osobní péče. Meziročně klesala HPH ve stavebnictví (−3,8 %, zčásti kvůli vysoké srovnávací základně) a v peněžnictví a pojišťovnictví (−3,3 %).   </w:t>
            </w:r>
          </w:p>
        </w:tc>
      </w:tr>
    </w:tbl>
    <w:p w14:paraId="0E7F7A8C" w14:textId="77777777" w:rsidR="004E1DB2" w:rsidRDefault="004E1DB2" w:rsidP="00E87D5B">
      <w:pPr>
        <w:pStyle w:val="Nadpis11"/>
        <w:rPr>
          <w:szCs w:val="32"/>
        </w:rPr>
      </w:pPr>
    </w:p>
    <w:p w14:paraId="401E4657" w14:textId="77777777" w:rsidR="004A3BE4" w:rsidRPr="001C3855" w:rsidRDefault="004A3BE4" w:rsidP="004A3BE4">
      <w:pPr>
        <w:pStyle w:val="Nadpis11"/>
        <w:rPr>
          <w:sz w:val="2"/>
          <w:szCs w:val="2"/>
        </w:rPr>
      </w:pPr>
      <w:bookmarkStart w:id="7" w:name="_GoBack"/>
      <w:bookmarkEnd w:id="0"/>
      <w:bookmarkEnd w:id="1"/>
      <w:bookmarkEnd w:id="2"/>
      <w:bookmarkEnd w:id="3"/>
      <w:bookmarkEnd w:id="4"/>
      <w:bookmarkEnd w:id="5"/>
      <w:bookmarkEnd w:id="7"/>
    </w:p>
    <w:p w14:paraId="6D687C14" w14:textId="50D73027" w:rsidR="001C3855" w:rsidRPr="001C3855" w:rsidRDefault="001C3855" w:rsidP="00C15537">
      <w:pPr>
        <w:pStyle w:val="Nadpis11"/>
        <w:rPr>
          <w:sz w:val="2"/>
          <w:szCs w:val="2"/>
        </w:rPr>
      </w:pPr>
    </w:p>
    <w:sectPr w:rsidR="001C3855" w:rsidRPr="001C3855" w:rsidSect="000928B2">
      <w:headerReference w:type="even" r:id="rId15"/>
      <w:headerReference w:type="default" r:id="rId16"/>
      <w:footerReference w:type="even" r:id="rId17"/>
      <w:footerReference w:type="default" r:id="rId18"/>
      <w:pgSz w:w="11906" w:h="16838" w:code="9"/>
      <w:pgMar w:top="1134" w:right="1134" w:bottom="1418" w:left="1134" w:header="680" w:footer="737"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CEB16" w14:textId="77777777" w:rsidR="00226D63" w:rsidRDefault="00226D63" w:rsidP="00E71A58">
      <w:r>
        <w:separator/>
      </w:r>
    </w:p>
  </w:endnote>
  <w:endnote w:type="continuationSeparator" w:id="0">
    <w:p w14:paraId="50DD7D35" w14:textId="77777777" w:rsidR="00226D63" w:rsidRDefault="00226D63"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056F6C09" w:rsidR="00D652EB" w:rsidRPr="00932443" w:rsidRDefault="00D652EB"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0928B2">
      <w:rPr>
        <w:szCs w:val="16"/>
      </w:rPr>
      <w:t>10</w:t>
    </w:r>
    <w:r w:rsidRPr="00932443">
      <w:rPr>
        <w:szCs w:val="16"/>
      </w:rPr>
      <w:fldChar w:fldCharType="end"/>
    </w:r>
    <w:r w:rsidRPr="00932443">
      <w:rPr>
        <w:szCs w:val="16"/>
      </w:rPr>
      <w:tab/>
    </w:r>
    <w:r>
      <w:rPr>
        <w:szCs w:val="16"/>
      </w:rPr>
      <w:t>1. čtvrtletí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74FC9E56" w:rsidR="00D652EB" w:rsidRPr="00932443" w:rsidRDefault="00D652EB" w:rsidP="00FA6CB6">
    <w:pPr>
      <w:pStyle w:val="Zpat"/>
      <w:rPr>
        <w:szCs w:val="16"/>
      </w:rPr>
    </w:pPr>
    <w:r w:rsidRPr="00FA6CB6">
      <w:rPr>
        <w:szCs w:val="16"/>
      </w:rPr>
      <w:tab/>
    </w:r>
    <w:r>
      <w:rPr>
        <w:szCs w:val="16"/>
      </w:rPr>
      <w:t>1. čtvrtletí 202</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3</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0928B2">
      <w:rPr>
        <w:rStyle w:val="ZpatChar"/>
        <w:szCs w:val="16"/>
      </w:rPr>
      <w:t>9</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858E1" w14:textId="77777777" w:rsidR="00226D63" w:rsidRDefault="00226D63" w:rsidP="00A21B4D">
      <w:pPr>
        <w:spacing w:after="0"/>
      </w:pPr>
      <w:r>
        <w:separator/>
      </w:r>
    </w:p>
  </w:footnote>
  <w:footnote w:type="continuationSeparator" w:id="0">
    <w:p w14:paraId="4E7304B2" w14:textId="77777777" w:rsidR="00226D63" w:rsidRDefault="00226D63" w:rsidP="00E71A58">
      <w:r>
        <w:continuationSeparator/>
      </w:r>
    </w:p>
  </w:footnote>
  <w:footnote w:id="1">
    <w:p w14:paraId="5E5A6E3B" w14:textId="77777777" w:rsidR="00D652EB" w:rsidRPr="000348AF" w:rsidRDefault="00D652EB" w:rsidP="004E1DB2">
      <w:pPr>
        <w:pStyle w:val="Textpoznpodarou"/>
        <w:rPr>
          <w:sz w:val="16"/>
          <w:szCs w:val="16"/>
        </w:rPr>
      </w:pPr>
      <w:r w:rsidRPr="000348AF">
        <w:rPr>
          <w:rStyle w:val="Znakapoznpodarou"/>
          <w:sz w:val="16"/>
          <w:szCs w:val="16"/>
        </w:rPr>
        <w:footnoteRef/>
      </w:r>
      <w:r w:rsidRPr="000348AF">
        <w:rPr>
          <w:sz w:val="16"/>
          <w:szCs w:val="16"/>
        </w:rPr>
        <w:t xml:space="preserve"> Vývoj HDP, hrubé přidané hodnoty a jejich složek je vyjádřen prostřednictvím objemových indexů (tj. očištěn o vliv cen) a po očištění o sezónní a kalendářní vlivy. Údaje jsou platné k </w:t>
      </w:r>
      <w:r>
        <w:rPr>
          <w:sz w:val="16"/>
          <w:szCs w:val="16"/>
        </w:rPr>
        <w:t>30</w:t>
      </w:r>
      <w:r w:rsidRPr="000348AF">
        <w:rPr>
          <w:sz w:val="16"/>
          <w:szCs w:val="16"/>
        </w:rPr>
        <w:t>. </w:t>
      </w:r>
      <w:r>
        <w:rPr>
          <w:sz w:val="16"/>
          <w:szCs w:val="16"/>
        </w:rPr>
        <w:t>5</w:t>
      </w:r>
      <w:r w:rsidRPr="000348AF">
        <w:rPr>
          <w:sz w:val="16"/>
          <w:szCs w:val="16"/>
        </w:rPr>
        <w:t>. 202</w:t>
      </w:r>
      <w:r>
        <w:rPr>
          <w:sz w:val="16"/>
          <w:szCs w:val="16"/>
        </w:rPr>
        <w:t>3</w:t>
      </w:r>
      <w:r w:rsidRPr="000348AF">
        <w:rPr>
          <w:sz w:val="16"/>
          <w:szCs w:val="16"/>
        </w:rPr>
        <w:t>.</w:t>
      </w:r>
    </w:p>
  </w:footnote>
  <w:footnote w:id="2">
    <w:p w14:paraId="18464E22" w14:textId="77777777" w:rsidR="00D652EB" w:rsidRDefault="00D652EB" w:rsidP="004E1DB2">
      <w:pPr>
        <w:pStyle w:val="Textpoznpodarou"/>
      </w:pPr>
      <w:r w:rsidRPr="009C6EA8">
        <w:rPr>
          <w:rStyle w:val="Znakapoznpodarou"/>
          <w:sz w:val="16"/>
          <w:szCs w:val="16"/>
        </w:rPr>
        <w:footnoteRef/>
      </w:r>
      <w:r w:rsidRPr="009C6EA8">
        <w:rPr>
          <w:sz w:val="16"/>
          <w:szCs w:val="16"/>
        </w:rPr>
        <w:t xml:space="preserve"> </w:t>
      </w:r>
      <w:r>
        <w:rPr>
          <w:sz w:val="16"/>
          <w:szCs w:val="16"/>
        </w:rPr>
        <w:t>Zaměstnanost v</w:t>
      </w:r>
      <w:r w:rsidRPr="009C6EA8">
        <w:rPr>
          <w:sz w:val="16"/>
          <w:szCs w:val="16"/>
        </w:rPr>
        <w:t> pojetí národních účtů</w:t>
      </w:r>
      <w:r>
        <w:rPr>
          <w:sz w:val="16"/>
          <w:szCs w:val="16"/>
        </w:rPr>
        <w:t xml:space="preserve"> (osoby)</w:t>
      </w:r>
      <w:r w:rsidRPr="009C6EA8">
        <w:rPr>
          <w:sz w:val="16"/>
          <w:szCs w:val="16"/>
        </w:rPr>
        <w:t xml:space="preserve">, </w:t>
      </w:r>
      <w:r>
        <w:rPr>
          <w:sz w:val="16"/>
          <w:szCs w:val="16"/>
        </w:rPr>
        <w:t xml:space="preserve">údaj je </w:t>
      </w:r>
      <w:r w:rsidRPr="009C6EA8">
        <w:rPr>
          <w:sz w:val="16"/>
          <w:szCs w:val="16"/>
        </w:rPr>
        <w:t>sezónně očištěn</w:t>
      </w:r>
      <w:r w:rsidRPr="00004BA8">
        <w:rPr>
          <w:sz w:val="16"/>
        </w:rPr>
        <w:t>.</w:t>
      </w:r>
    </w:p>
  </w:footnote>
  <w:footnote w:id="3">
    <w:p w14:paraId="5C3033A9" w14:textId="77777777" w:rsidR="00D652EB" w:rsidRPr="005F75B1" w:rsidRDefault="00D652EB" w:rsidP="004E1DB2">
      <w:pPr>
        <w:pStyle w:val="Textpoznpodarou"/>
        <w:rPr>
          <w:sz w:val="16"/>
          <w:szCs w:val="16"/>
        </w:rPr>
      </w:pPr>
      <w:r w:rsidRPr="005F75B1">
        <w:rPr>
          <w:rStyle w:val="Znakapoznpodarou"/>
          <w:sz w:val="16"/>
          <w:szCs w:val="16"/>
        </w:rPr>
        <w:footnoteRef/>
      </w:r>
      <w:r w:rsidRPr="005F75B1">
        <w:rPr>
          <w:sz w:val="16"/>
          <w:szCs w:val="16"/>
        </w:rPr>
        <w:t xml:space="preserve"> Do reálného vyjádření převedeno s pomocí deflátoru spotřeby domácností.</w:t>
      </w:r>
    </w:p>
  </w:footnote>
  <w:footnote w:id="4">
    <w:p w14:paraId="403AB4E9" w14:textId="77777777" w:rsidR="00D652EB" w:rsidRPr="0053191D" w:rsidRDefault="00D652EB" w:rsidP="004E1DB2">
      <w:pPr>
        <w:pStyle w:val="Textpoznpodarou"/>
        <w:rPr>
          <w:sz w:val="16"/>
          <w:szCs w:val="16"/>
        </w:rPr>
      </w:pPr>
      <w:r w:rsidRPr="0053191D">
        <w:rPr>
          <w:rStyle w:val="Znakapoznpodarou"/>
          <w:sz w:val="16"/>
          <w:szCs w:val="16"/>
        </w:rPr>
        <w:footnoteRef/>
      </w:r>
      <w:r w:rsidRPr="0053191D">
        <w:rPr>
          <w:sz w:val="16"/>
          <w:szCs w:val="16"/>
        </w:rPr>
        <w:t xml:space="preserve"> Tato sekce zahrnuje činnosti organizací sdružujících osoby za účelem prosazování společných zájmů, opravy počítačů a výrobků pro osobní potřebu a převážně pro domácnost a řadu jiných osobních služeb</w:t>
      </w:r>
      <w:r>
        <w:rPr>
          <w:sz w:val="16"/>
          <w:szCs w:val="16"/>
        </w:rPr>
        <w:t xml:space="preserve"> (kosmetické, kadeřnické apod.).</w:t>
      </w:r>
    </w:p>
  </w:footnote>
  <w:footnote w:id="5">
    <w:p w14:paraId="273B124E" w14:textId="77777777" w:rsidR="00D652EB" w:rsidRPr="00771972" w:rsidRDefault="00D652EB" w:rsidP="004E1DB2">
      <w:pPr>
        <w:pStyle w:val="Textpoznpodarou"/>
        <w:rPr>
          <w:sz w:val="16"/>
          <w:szCs w:val="16"/>
        </w:rPr>
      </w:pPr>
      <w:r w:rsidRPr="00771972">
        <w:rPr>
          <w:rStyle w:val="Znakapoznpodarou"/>
          <w:sz w:val="16"/>
          <w:szCs w:val="16"/>
        </w:rPr>
        <w:footnoteRef/>
      </w:r>
      <w:r w:rsidRPr="00771972">
        <w:rPr>
          <w:sz w:val="16"/>
          <w:szCs w:val="16"/>
        </w:rPr>
        <w:t xml:space="preserve"> Veřejná správa a</w:t>
      </w:r>
      <w:r>
        <w:rPr>
          <w:sz w:val="16"/>
          <w:szCs w:val="16"/>
        </w:rPr>
        <w:t> </w:t>
      </w:r>
      <w:r w:rsidRPr="00771972">
        <w:rPr>
          <w:sz w:val="16"/>
          <w:szCs w:val="16"/>
        </w:rPr>
        <w:t>obrana, vzdělávání, zdravotní a</w:t>
      </w:r>
      <w:r>
        <w:rPr>
          <w:sz w:val="16"/>
          <w:szCs w:val="16"/>
        </w:rPr>
        <w:t> </w:t>
      </w:r>
      <w:r w:rsidRPr="00771972">
        <w:rPr>
          <w:sz w:val="16"/>
          <w:szCs w:val="16"/>
        </w:rPr>
        <w:t>sociální péče.</w:t>
      </w:r>
    </w:p>
  </w:footnote>
  <w:footnote w:id="6">
    <w:p w14:paraId="203A1500" w14:textId="77777777" w:rsidR="00D652EB" w:rsidRPr="009C6EA8" w:rsidRDefault="00D652EB" w:rsidP="004E1DB2">
      <w:pPr>
        <w:pStyle w:val="Textpoznpodarou"/>
        <w:rPr>
          <w:sz w:val="16"/>
          <w:szCs w:val="16"/>
        </w:rPr>
      </w:pPr>
      <w:r w:rsidRPr="009C6EA8">
        <w:rPr>
          <w:rStyle w:val="Znakapoznpodarou"/>
          <w:sz w:val="16"/>
          <w:szCs w:val="16"/>
        </w:rPr>
        <w:footnoteRef/>
      </w:r>
      <w:r w:rsidRPr="009C6EA8">
        <w:rPr>
          <w:sz w:val="16"/>
          <w:szCs w:val="16"/>
        </w:rPr>
        <w:t xml:space="preserve"> Příspěvky ke změně HDP po vyloučení dovozu pro konečné užití.</w:t>
      </w:r>
    </w:p>
  </w:footnote>
  <w:footnote w:id="7">
    <w:p w14:paraId="6F447298" w14:textId="77777777" w:rsidR="00D652EB" w:rsidRPr="00954992" w:rsidRDefault="00D652EB" w:rsidP="004E1DB2">
      <w:pPr>
        <w:pStyle w:val="Textpoznpodarou"/>
        <w:rPr>
          <w:sz w:val="16"/>
          <w:szCs w:val="16"/>
        </w:rPr>
      </w:pPr>
      <w:r w:rsidRPr="00954992">
        <w:rPr>
          <w:rStyle w:val="Znakapoznpodarou"/>
          <w:sz w:val="16"/>
          <w:szCs w:val="16"/>
        </w:rPr>
        <w:footnoteRef/>
      </w:r>
      <w:r w:rsidRPr="00954992">
        <w:rPr>
          <w:sz w:val="16"/>
          <w:szCs w:val="16"/>
        </w:rPr>
        <w:t xml:space="preserve"> Údaje o</w:t>
      </w:r>
      <w:r>
        <w:rPr>
          <w:sz w:val="16"/>
          <w:szCs w:val="16"/>
        </w:rPr>
        <w:t> </w:t>
      </w:r>
      <w:r w:rsidRPr="00954992">
        <w:rPr>
          <w:sz w:val="16"/>
          <w:szCs w:val="16"/>
        </w:rPr>
        <w:t>spotřebě dle trvanlivosti jsou v domácím pojetí</w:t>
      </w:r>
      <w:r>
        <w:rPr>
          <w:sz w:val="16"/>
          <w:szCs w:val="16"/>
        </w:rPr>
        <w:t>.</w:t>
      </w:r>
    </w:p>
  </w:footnote>
  <w:footnote w:id="8">
    <w:p w14:paraId="2FED2A01" w14:textId="77777777" w:rsidR="00D652EB" w:rsidRPr="004831F6" w:rsidRDefault="00D652EB" w:rsidP="004E1DB2">
      <w:pPr>
        <w:pStyle w:val="Textpoznpodarou"/>
        <w:rPr>
          <w:sz w:val="16"/>
          <w:szCs w:val="16"/>
        </w:rPr>
      </w:pPr>
      <w:r w:rsidRPr="004831F6">
        <w:rPr>
          <w:rStyle w:val="Znakapoznpodarou"/>
          <w:sz w:val="16"/>
          <w:szCs w:val="16"/>
        </w:rPr>
        <w:footnoteRef/>
      </w:r>
      <w:r w:rsidRPr="004831F6">
        <w:rPr>
          <w:sz w:val="16"/>
          <w:szCs w:val="16"/>
        </w:rPr>
        <w:t xml:space="preserve"> Změna zásob</w:t>
      </w:r>
      <w:r>
        <w:rPr>
          <w:sz w:val="16"/>
          <w:szCs w:val="16"/>
        </w:rPr>
        <w:t xml:space="preserve"> (v běžných cenách a sezónně neočištěná)</w:t>
      </w:r>
      <w:r w:rsidRPr="004831F6">
        <w:rPr>
          <w:sz w:val="16"/>
          <w:szCs w:val="16"/>
        </w:rPr>
        <w:t xml:space="preserve"> dosáhla</w:t>
      </w:r>
      <w:r>
        <w:rPr>
          <w:sz w:val="16"/>
          <w:szCs w:val="16"/>
        </w:rPr>
        <w:t xml:space="preserve"> loni v 1. čtvrtletí 74,1 mld. korun. Zásoby se pak v průběhu roku ještě zvyšovaly pod vlivem rostoucích zásob nedokončené produkce a součástek pro průmyslovou výrobu, zásobení plynem i zásob zboží v maloobchodě. V letošním 1. čtvrtletí změna zásob dosáhla 43,2 mld. korun.</w:t>
      </w:r>
    </w:p>
  </w:footnote>
  <w:footnote w:id="9">
    <w:p w14:paraId="38713AB6" w14:textId="77777777" w:rsidR="00D652EB" w:rsidRPr="00167B30" w:rsidRDefault="00D652EB" w:rsidP="004E1DB2">
      <w:pPr>
        <w:pStyle w:val="Textpoznpodarou"/>
        <w:rPr>
          <w:sz w:val="16"/>
          <w:szCs w:val="16"/>
        </w:rPr>
      </w:pPr>
      <w:r w:rsidRPr="00167B30">
        <w:rPr>
          <w:rStyle w:val="Znakapoznpodarou"/>
          <w:sz w:val="16"/>
          <w:szCs w:val="16"/>
        </w:rPr>
        <w:footnoteRef/>
      </w:r>
      <w:r w:rsidRPr="00167B30">
        <w:rPr>
          <w:sz w:val="16"/>
          <w:szCs w:val="16"/>
        </w:rPr>
        <w:t xml:space="preserve"> Podle metodiky čtvrtletních národních účtů (vývoz a</w:t>
      </w:r>
      <w:r>
        <w:rPr>
          <w:sz w:val="16"/>
          <w:szCs w:val="16"/>
        </w:rPr>
        <w:t> </w:t>
      </w:r>
      <w:r w:rsidRPr="00167B30">
        <w:rPr>
          <w:sz w:val="16"/>
          <w:szCs w:val="16"/>
        </w:rPr>
        <w:t>dovoz v ocenění FOB/FOB)</w:t>
      </w:r>
      <w:r>
        <w:rPr>
          <w:sz w:val="16"/>
          <w:szCs w:val="16"/>
        </w:rPr>
        <w:t xml:space="preserve">. Bilance zahraničního obchodu v běžných cenách </w:t>
      </w:r>
      <w:r>
        <w:rPr>
          <w:sz w:val="16"/>
          <w:szCs w:val="16"/>
        </w:rPr>
        <w:br/>
        <w:t>a po sezónním očištění.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77777777" w:rsidR="00D652EB" w:rsidRDefault="00D652EB" w:rsidP="00937AE2">
    <w:pPr>
      <w:pStyle w:val="Zhlav"/>
    </w:pPr>
    <w:r>
      <w:t>Vývoj ekonomiky České republiky</w:t>
    </w:r>
  </w:p>
  <w:p w14:paraId="3E881AB3" w14:textId="77777777" w:rsidR="00D652EB" w:rsidRPr="006F5416" w:rsidRDefault="00D652EB"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7777777" w:rsidR="00D652EB" w:rsidRDefault="00D652EB" w:rsidP="00937AE2">
    <w:pPr>
      <w:pStyle w:val="Zhlav"/>
    </w:pPr>
    <w:r>
      <w:t>Vývoj ekonomiky České republiky</w:t>
    </w:r>
  </w:p>
  <w:p w14:paraId="57266714" w14:textId="77777777" w:rsidR="00D652EB" w:rsidRPr="006F5416" w:rsidRDefault="00D652EB"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5764B"/>
    <w:multiLevelType w:val="hybridMultilevel"/>
    <w:tmpl w:val="84788BC8"/>
    <w:lvl w:ilvl="0" w:tplc="1B96A2C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5"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3"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9678F7"/>
    <w:multiLevelType w:val="hybridMultilevel"/>
    <w:tmpl w:val="A4DE7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8"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567A6"/>
    <w:multiLevelType w:val="hybridMultilevel"/>
    <w:tmpl w:val="50E0F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28"/>
  </w:num>
  <w:num w:numId="14">
    <w:abstractNumId w:val="14"/>
  </w:num>
  <w:num w:numId="15">
    <w:abstractNumId w:val="20"/>
  </w:num>
  <w:num w:numId="16">
    <w:abstractNumId w:val="16"/>
  </w:num>
  <w:num w:numId="17">
    <w:abstractNumId w:val="29"/>
  </w:num>
  <w:num w:numId="18">
    <w:abstractNumId w:val="21"/>
  </w:num>
  <w:num w:numId="19">
    <w:abstractNumId w:val="31"/>
  </w:num>
  <w:num w:numId="20">
    <w:abstractNumId w:val="32"/>
  </w:num>
  <w:num w:numId="21">
    <w:abstractNumId w:val="27"/>
  </w:num>
  <w:num w:numId="22">
    <w:abstractNumId w:val="19"/>
  </w:num>
  <w:num w:numId="23">
    <w:abstractNumId w:val="17"/>
  </w:num>
  <w:num w:numId="24">
    <w:abstractNumId w:val="18"/>
  </w:num>
  <w:num w:numId="25">
    <w:abstractNumId w:val="13"/>
  </w:num>
  <w:num w:numId="26">
    <w:abstractNumId w:val="23"/>
  </w:num>
  <w:num w:numId="27">
    <w:abstractNumId w:val="22"/>
  </w:num>
  <w:num w:numId="28">
    <w:abstractNumId w:val="10"/>
  </w:num>
  <w:num w:numId="29">
    <w:abstractNumId w:val="32"/>
  </w:num>
  <w:num w:numId="30">
    <w:abstractNumId w:val="24"/>
  </w:num>
  <w:num w:numId="31">
    <w:abstractNumId w:val="12"/>
  </w:num>
  <w:num w:numId="32">
    <w:abstractNumId w:val="33"/>
  </w:num>
  <w:num w:numId="33">
    <w:abstractNumId w:val="32"/>
  </w:num>
  <w:num w:numId="34">
    <w:abstractNumId w:val="11"/>
  </w:num>
  <w:num w:numId="35">
    <w:abstractNumId w:val="3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994"/>
    <w:rsid w:val="00000B55"/>
    <w:rsid w:val="0000209D"/>
    <w:rsid w:val="00002566"/>
    <w:rsid w:val="0000370A"/>
    <w:rsid w:val="00003849"/>
    <w:rsid w:val="00003F5C"/>
    <w:rsid w:val="00004D5A"/>
    <w:rsid w:val="00005219"/>
    <w:rsid w:val="000056D5"/>
    <w:rsid w:val="00005D9E"/>
    <w:rsid w:val="000063D5"/>
    <w:rsid w:val="00006625"/>
    <w:rsid w:val="00006ABD"/>
    <w:rsid w:val="00006B67"/>
    <w:rsid w:val="00006C0B"/>
    <w:rsid w:val="000073A0"/>
    <w:rsid w:val="0000767A"/>
    <w:rsid w:val="00007ABE"/>
    <w:rsid w:val="00010107"/>
    <w:rsid w:val="00010256"/>
    <w:rsid w:val="00010702"/>
    <w:rsid w:val="00010A2C"/>
    <w:rsid w:val="0001128E"/>
    <w:rsid w:val="00011912"/>
    <w:rsid w:val="000129B7"/>
    <w:rsid w:val="0001387D"/>
    <w:rsid w:val="00014ED0"/>
    <w:rsid w:val="00016420"/>
    <w:rsid w:val="00016BDB"/>
    <w:rsid w:val="00017B01"/>
    <w:rsid w:val="000200BE"/>
    <w:rsid w:val="000205D1"/>
    <w:rsid w:val="00020F22"/>
    <w:rsid w:val="0002195D"/>
    <w:rsid w:val="00021F9B"/>
    <w:rsid w:val="000228AE"/>
    <w:rsid w:val="000233D1"/>
    <w:rsid w:val="000234D6"/>
    <w:rsid w:val="00023D29"/>
    <w:rsid w:val="00024348"/>
    <w:rsid w:val="00026109"/>
    <w:rsid w:val="0002622B"/>
    <w:rsid w:val="00026389"/>
    <w:rsid w:val="0002669F"/>
    <w:rsid w:val="000279E5"/>
    <w:rsid w:val="000305E0"/>
    <w:rsid w:val="00031AE0"/>
    <w:rsid w:val="00031BB2"/>
    <w:rsid w:val="000322EF"/>
    <w:rsid w:val="00033FCD"/>
    <w:rsid w:val="000348AF"/>
    <w:rsid w:val="00034B70"/>
    <w:rsid w:val="00034DF7"/>
    <w:rsid w:val="00034E68"/>
    <w:rsid w:val="000350C8"/>
    <w:rsid w:val="00036195"/>
    <w:rsid w:val="000374B2"/>
    <w:rsid w:val="000376C0"/>
    <w:rsid w:val="000403A7"/>
    <w:rsid w:val="00040632"/>
    <w:rsid w:val="00041AFC"/>
    <w:rsid w:val="00041CEC"/>
    <w:rsid w:val="00041D02"/>
    <w:rsid w:val="00042596"/>
    <w:rsid w:val="00042A4A"/>
    <w:rsid w:val="00044183"/>
    <w:rsid w:val="0004431D"/>
    <w:rsid w:val="00044AAC"/>
    <w:rsid w:val="0004694F"/>
    <w:rsid w:val="00046F2F"/>
    <w:rsid w:val="00047AD4"/>
    <w:rsid w:val="00047D54"/>
    <w:rsid w:val="00050541"/>
    <w:rsid w:val="0005054A"/>
    <w:rsid w:val="00050A87"/>
    <w:rsid w:val="00051506"/>
    <w:rsid w:val="000522E4"/>
    <w:rsid w:val="00053713"/>
    <w:rsid w:val="0005434E"/>
    <w:rsid w:val="00055CB6"/>
    <w:rsid w:val="000572DD"/>
    <w:rsid w:val="00057B1E"/>
    <w:rsid w:val="0006033F"/>
    <w:rsid w:val="000610E1"/>
    <w:rsid w:val="000616AD"/>
    <w:rsid w:val="000622A6"/>
    <w:rsid w:val="00062D70"/>
    <w:rsid w:val="00062EC5"/>
    <w:rsid w:val="00062F22"/>
    <w:rsid w:val="00063975"/>
    <w:rsid w:val="00063CEA"/>
    <w:rsid w:val="0006444D"/>
    <w:rsid w:val="000645FC"/>
    <w:rsid w:val="00065296"/>
    <w:rsid w:val="0006533F"/>
    <w:rsid w:val="00065348"/>
    <w:rsid w:val="0006551C"/>
    <w:rsid w:val="0006558D"/>
    <w:rsid w:val="00065A75"/>
    <w:rsid w:val="000663F0"/>
    <w:rsid w:val="00066558"/>
    <w:rsid w:val="000671DB"/>
    <w:rsid w:val="00067982"/>
    <w:rsid w:val="00070A87"/>
    <w:rsid w:val="000712B3"/>
    <w:rsid w:val="00071A7C"/>
    <w:rsid w:val="00071E38"/>
    <w:rsid w:val="00072FF5"/>
    <w:rsid w:val="00073A5A"/>
    <w:rsid w:val="0007474E"/>
    <w:rsid w:val="00074988"/>
    <w:rsid w:val="0007512B"/>
    <w:rsid w:val="00075551"/>
    <w:rsid w:val="000767F5"/>
    <w:rsid w:val="00076D90"/>
    <w:rsid w:val="00077FF0"/>
    <w:rsid w:val="00081A55"/>
    <w:rsid w:val="0008263E"/>
    <w:rsid w:val="00082C19"/>
    <w:rsid w:val="00082F89"/>
    <w:rsid w:val="00083457"/>
    <w:rsid w:val="000834ED"/>
    <w:rsid w:val="000837CD"/>
    <w:rsid w:val="00083B7F"/>
    <w:rsid w:val="00084BFF"/>
    <w:rsid w:val="00085395"/>
    <w:rsid w:val="00086896"/>
    <w:rsid w:val="00086AC1"/>
    <w:rsid w:val="00086D19"/>
    <w:rsid w:val="00087634"/>
    <w:rsid w:val="00087F2B"/>
    <w:rsid w:val="00090694"/>
    <w:rsid w:val="00090EE2"/>
    <w:rsid w:val="00090FC6"/>
    <w:rsid w:val="0009122C"/>
    <w:rsid w:val="000913B1"/>
    <w:rsid w:val="000928B2"/>
    <w:rsid w:val="0009290F"/>
    <w:rsid w:val="00093241"/>
    <w:rsid w:val="00093868"/>
    <w:rsid w:val="00094A84"/>
    <w:rsid w:val="00095025"/>
    <w:rsid w:val="00095135"/>
    <w:rsid w:val="00095152"/>
    <w:rsid w:val="0009626E"/>
    <w:rsid w:val="0009644D"/>
    <w:rsid w:val="00097191"/>
    <w:rsid w:val="000974D1"/>
    <w:rsid w:val="00097784"/>
    <w:rsid w:val="0009799E"/>
    <w:rsid w:val="000A07CB"/>
    <w:rsid w:val="000A0BC0"/>
    <w:rsid w:val="000A1183"/>
    <w:rsid w:val="000A12ED"/>
    <w:rsid w:val="000A1D49"/>
    <w:rsid w:val="000A212B"/>
    <w:rsid w:val="000A242D"/>
    <w:rsid w:val="000A256D"/>
    <w:rsid w:val="000A2643"/>
    <w:rsid w:val="000A2E5F"/>
    <w:rsid w:val="000A385C"/>
    <w:rsid w:val="000A3A2C"/>
    <w:rsid w:val="000A3D9E"/>
    <w:rsid w:val="000A4A54"/>
    <w:rsid w:val="000A4ED9"/>
    <w:rsid w:val="000A5DB7"/>
    <w:rsid w:val="000A6753"/>
    <w:rsid w:val="000A6D94"/>
    <w:rsid w:val="000A72BC"/>
    <w:rsid w:val="000A7377"/>
    <w:rsid w:val="000A74A4"/>
    <w:rsid w:val="000A775A"/>
    <w:rsid w:val="000A7D63"/>
    <w:rsid w:val="000A7FF4"/>
    <w:rsid w:val="000B03CC"/>
    <w:rsid w:val="000B4212"/>
    <w:rsid w:val="000B67B7"/>
    <w:rsid w:val="000B6A0A"/>
    <w:rsid w:val="000C0127"/>
    <w:rsid w:val="000C0CA6"/>
    <w:rsid w:val="000C0EA8"/>
    <w:rsid w:val="000C13A2"/>
    <w:rsid w:val="000C21E7"/>
    <w:rsid w:val="000C23EC"/>
    <w:rsid w:val="000C26A2"/>
    <w:rsid w:val="000C290E"/>
    <w:rsid w:val="000C30C3"/>
    <w:rsid w:val="000C3408"/>
    <w:rsid w:val="000C35AB"/>
    <w:rsid w:val="000C3F7B"/>
    <w:rsid w:val="000C4769"/>
    <w:rsid w:val="000C4D56"/>
    <w:rsid w:val="000C5DFA"/>
    <w:rsid w:val="000C6AFD"/>
    <w:rsid w:val="000C6C90"/>
    <w:rsid w:val="000C72B7"/>
    <w:rsid w:val="000C7A79"/>
    <w:rsid w:val="000D0A26"/>
    <w:rsid w:val="000D13CB"/>
    <w:rsid w:val="000D2196"/>
    <w:rsid w:val="000D2C2E"/>
    <w:rsid w:val="000D3058"/>
    <w:rsid w:val="000D310A"/>
    <w:rsid w:val="000D3EF4"/>
    <w:rsid w:val="000D4761"/>
    <w:rsid w:val="000D4DC0"/>
    <w:rsid w:val="000D55BA"/>
    <w:rsid w:val="000D5637"/>
    <w:rsid w:val="000D5A03"/>
    <w:rsid w:val="000D5ED3"/>
    <w:rsid w:val="000D6F4E"/>
    <w:rsid w:val="000D6FDA"/>
    <w:rsid w:val="000D73BB"/>
    <w:rsid w:val="000D7AC7"/>
    <w:rsid w:val="000E04FD"/>
    <w:rsid w:val="000E0E96"/>
    <w:rsid w:val="000E298B"/>
    <w:rsid w:val="000E2C7D"/>
    <w:rsid w:val="000E3E56"/>
    <w:rsid w:val="000E440D"/>
    <w:rsid w:val="000E4AC5"/>
    <w:rsid w:val="000E6253"/>
    <w:rsid w:val="000E6AC4"/>
    <w:rsid w:val="000E6E4D"/>
    <w:rsid w:val="000E6FBD"/>
    <w:rsid w:val="000E6FCB"/>
    <w:rsid w:val="000F090B"/>
    <w:rsid w:val="000F15F7"/>
    <w:rsid w:val="000F1AA2"/>
    <w:rsid w:val="000F378E"/>
    <w:rsid w:val="000F3F3B"/>
    <w:rsid w:val="000F4721"/>
    <w:rsid w:val="000F47E8"/>
    <w:rsid w:val="000F70E4"/>
    <w:rsid w:val="000F76EA"/>
    <w:rsid w:val="00100A8B"/>
    <w:rsid w:val="00100F5C"/>
    <w:rsid w:val="00101B15"/>
    <w:rsid w:val="00101CDA"/>
    <w:rsid w:val="00102037"/>
    <w:rsid w:val="00103DCB"/>
    <w:rsid w:val="00104C4C"/>
    <w:rsid w:val="00105015"/>
    <w:rsid w:val="001055D2"/>
    <w:rsid w:val="001057C2"/>
    <w:rsid w:val="00107124"/>
    <w:rsid w:val="0011038E"/>
    <w:rsid w:val="00111573"/>
    <w:rsid w:val="00112370"/>
    <w:rsid w:val="0011239B"/>
    <w:rsid w:val="001125EF"/>
    <w:rsid w:val="00112CAB"/>
    <w:rsid w:val="0011440C"/>
    <w:rsid w:val="00114C33"/>
    <w:rsid w:val="00114D5B"/>
    <w:rsid w:val="00116D3F"/>
    <w:rsid w:val="00117474"/>
    <w:rsid w:val="00117623"/>
    <w:rsid w:val="00117FEA"/>
    <w:rsid w:val="001200CF"/>
    <w:rsid w:val="001208E3"/>
    <w:rsid w:val="00121609"/>
    <w:rsid w:val="0012192F"/>
    <w:rsid w:val="00122994"/>
    <w:rsid w:val="00123204"/>
    <w:rsid w:val="00124B46"/>
    <w:rsid w:val="001257BE"/>
    <w:rsid w:val="001257E0"/>
    <w:rsid w:val="00125D69"/>
    <w:rsid w:val="0012799C"/>
    <w:rsid w:val="00127BC2"/>
    <w:rsid w:val="00127E15"/>
    <w:rsid w:val="001308F1"/>
    <w:rsid w:val="00130ADC"/>
    <w:rsid w:val="00130D9F"/>
    <w:rsid w:val="00132C4D"/>
    <w:rsid w:val="00133FC1"/>
    <w:rsid w:val="00134659"/>
    <w:rsid w:val="00135111"/>
    <w:rsid w:val="00136A6F"/>
    <w:rsid w:val="00136C1A"/>
    <w:rsid w:val="00137812"/>
    <w:rsid w:val="001405FA"/>
    <w:rsid w:val="00140D1A"/>
    <w:rsid w:val="00141184"/>
    <w:rsid w:val="00141315"/>
    <w:rsid w:val="0014152B"/>
    <w:rsid w:val="00141AA0"/>
    <w:rsid w:val="001425C3"/>
    <w:rsid w:val="0014262D"/>
    <w:rsid w:val="00142B29"/>
    <w:rsid w:val="00144108"/>
    <w:rsid w:val="00144588"/>
    <w:rsid w:val="001447DD"/>
    <w:rsid w:val="00145358"/>
    <w:rsid w:val="001459BC"/>
    <w:rsid w:val="0014779E"/>
    <w:rsid w:val="00150ECA"/>
    <w:rsid w:val="0015108F"/>
    <w:rsid w:val="00151707"/>
    <w:rsid w:val="00152C86"/>
    <w:rsid w:val="00152F4F"/>
    <w:rsid w:val="00153264"/>
    <w:rsid w:val="0015329F"/>
    <w:rsid w:val="001544A1"/>
    <w:rsid w:val="001553B8"/>
    <w:rsid w:val="001554C2"/>
    <w:rsid w:val="00156D04"/>
    <w:rsid w:val="001571C0"/>
    <w:rsid w:val="001574FE"/>
    <w:rsid w:val="0015753D"/>
    <w:rsid w:val="00157984"/>
    <w:rsid w:val="00157CC9"/>
    <w:rsid w:val="00160C21"/>
    <w:rsid w:val="001612F4"/>
    <w:rsid w:val="00161553"/>
    <w:rsid w:val="0016216F"/>
    <w:rsid w:val="0016256B"/>
    <w:rsid w:val="00162F81"/>
    <w:rsid w:val="00163793"/>
    <w:rsid w:val="00163868"/>
    <w:rsid w:val="00164CA1"/>
    <w:rsid w:val="00165313"/>
    <w:rsid w:val="001659C3"/>
    <w:rsid w:val="001665AB"/>
    <w:rsid w:val="00167485"/>
    <w:rsid w:val="001679F5"/>
    <w:rsid w:val="00167B92"/>
    <w:rsid w:val="00167CB9"/>
    <w:rsid w:val="00167DD8"/>
    <w:rsid w:val="001705AD"/>
    <w:rsid w:val="001706D6"/>
    <w:rsid w:val="001714F2"/>
    <w:rsid w:val="00171FEA"/>
    <w:rsid w:val="00173622"/>
    <w:rsid w:val="00175B9F"/>
    <w:rsid w:val="001762F4"/>
    <w:rsid w:val="001777BA"/>
    <w:rsid w:val="00181029"/>
    <w:rsid w:val="00181BBC"/>
    <w:rsid w:val="0018385F"/>
    <w:rsid w:val="00183BCF"/>
    <w:rsid w:val="00184017"/>
    <w:rsid w:val="001847BB"/>
    <w:rsid w:val="00184B08"/>
    <w:rsid w:val="00185010"/>
    <w:rsid w:val="001854F2"/>
    <w:rsid w:val="00185C22"/>
    <w:rsid w:val="00186BA9"/>
    <w:rsid w:val="00187D50"/>
    <w:rsid w:val="00190B4D"/>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64B"/>
    <w:rsid w:val="001A1F68"/>
    <w:rsid w:val="001A21FA"/>
    <w:rsid w:val="001A4D7C"/>
    <w:rsid w:val="001A4EF0"/>
    <w:rsid w:val="001A552F"/>
    <w:rsid w:val="001A70B1"/>
    <w:rsid w:val="001A7672"/>
    <w:rsid w:val="001B0738"/>
    <w:rsid w:val="001B1235"/>
    <w:rsid w:val="001B158D"/>
    <w:rsid w:val="001B1BBB"/>
    <w:rsid w:val="001B2CA9"/>
    <w:rsid w:val="001B3110"/>
    <w:rsid w:val="001B3E38"/>
    <w:rsid w:val="001B40F5"/>
    <w:rsid w:val="001B4729"/>
    <w:rsid w:val="001B4F0E"/>
    <w:rsid w:val="001B5F40"/>
    <w:rsid w:val="001B6310"/>
    <w:rsid w:val="001B6C09"/>
    <w:rsid w:val="001B6E12"/>
    <w:rsid w:val="001C05CD"/>
    <w:rsid w:val="001C082B"/>
    <w:rsid w:val="001C0F17"/>
    <w:rsid w:val="001C11A6"/>
    <w:rsid w:val="001C1B24"/>
    <w:rsid w:val="001C1B66"/>
    <w:rsid w:val="001C1BB5"/>
    <w:rsid w:val="001C2732"/>
    <w:rsid w:val="001C31A2"/>
    <w:rsid w:val="001C351D"/>
    <w:rsid w:val="001C3794"/>
    <w:rsid w:val="001C3855"/>
    <w:rsid w:val="001C4B8F"/>
    <w:rsid w:val="001C4BB8"/>
    <w:rsid w:val="001C4D8C"/>
    <w:rsid w:val="001C4FD0"/>
    <w:rsid w:val="001C544D"/>
    <w:rsid w:val="001C5E46"/>
    <w:rsid w:val="001C6B3B"/>
    <w:rsid w:val="001C7A26"/>
    <w:rsid w:val="001C7E3F"/>
    <w:rsid w:val="001D0EF1"/>
    <w:rsid w:val="001D1A44"/>
    <w:rsid w:val="001D22C2"/>
    <w:rsid w:val="001D2C99"/>
    <w:rsid w:val="001D3B75"/>
    <w:rsid w:val="001D452E"/>
    <w:rsid w:val="001D54C1"/>
    <w:rsid w:val="001D556E"/>
    <w:rsid w:val="001D5DF2"/>
    <w:rsid w:val="001D6175"/>
    <w:rsid w:val="001D68B2"/>
    <w:rsid w:val="001D6B3F"/>
    <w:rsid w:val="001D7EFD"/>
    <w:rsid w:val="001D7F60"/>
    <w:rsid w:val="001E085B"/>
    <w:rsid w:val="001E149B"/>
    <w:rsid w:val="001E15CB"/>
    <w:rsid w:val="001E3306"/>
    <w:rsid w:val="001E504C"/>
    <w:rsid w:val="001E56AC"/>
    <w:rsid w:val="001E5A17"/>
    <w:rsid w:val="001E74C5"/>
    <w:rsid w:val="001F1236"/>
    <w:rsid w:val="001F2F90"/>
    <w:rsid w:val="001F4597"/>
    <w:rsid w:val="001F4826"/>
    <w:rsid w:val="001F4933"/>
    <w:rsid w:val="001F59C8"/>
    <w:rsid w:val="001F6483"/>
    <w:rsid w:val="001F6CD3"/>
    <w:rsid w:val="001F75DA"/>
    <w:rsid w:val="001F7931"/>
    <w:rsid w:val="001F7CE0"/>
    <w:rsid w:val="00200085"/>
    <w:rsid w:val="00201633"/>
    <w:rsid w:val="00203332"/>
    <w:rsid w:val="002036E6"/>
    <w:rsid w:val="00203CD5"/>
    <w:rsid w:val="00203D8F"/>
    <w:rsid w:val="00203DA4"/>
    <w:rsid w:val="00204EA6"/>
    <w:rsid w:val="00205186"/>
    <w:rsid w:val="00206516"/>
    <w:rsid w:val="002070CF"/>
    <w:rsid w:val="002071D5"/>
    <w:rsid w:val="002073FD"/>
    <w:rsid w:val="002111E5"/>
    <w:rsid w:val="0021149E"/>
    <w:rsid w:val="002118B9"/>
    <w:rsid w:val="00213691"/>
    <w:rsid w:val="002142C0"/>
    <w:rsid w:val="00217BED"/>
    <w:rsid w:val="00217C5B"/>
    <w:rsid w:val="00220A43"/>
    <w:rsid w:val="0022139E"/>
    <w:rsid w:val="00222729"/>
    <w:rsid w:val="0022287B"/>
    <w:rsid w:val="002228DB"/>
    <w:rsid w:val="00223185"/>
    <w:rsid w:val="00223264"/>
    <w:rsid w:val="002233D6"/>
    <w:rsid w:val="0022441D"/>
    <w:rsid w:val="00224574"/>
    <w:rsid w:val="00224E3F"/>
    <w:rsid w:val="00225000"/>
    <w:rsid w:val="0022521D"/>
    <w:rsid w:val="002252E0"/>
    <w:rsid w:val="002255F6"/>
    <w:rsid w:val="00226032"/>
    <w:rsid w:val="00226D63"/>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A15"/>
    <w:rsid w:val="002452D9"/>
    <w:rsid w:val="00247319"/>
    <w:rsid w:val="0024799E"/>
    <w:rsid w:val="00247E60"/>
    <w:rsid w:val="002512B7"/>
    <w:rsid w:val="00251496"/>
    <w:rsid w:val="00251B08"/>
    <w:rsid w:val="00251C53"/>
    <w:rsid w:val="00252AB9"/>
    <w:rsid w:val="002532B1"/>
    <w:rsid w:val="00253C0F"/>
    <w:rsid w:val="00253F48"/>
    <w:rsid w:val="00254FC3"/>
    <w:rsid w:val="002558C1"/>
    <w:rsid w:val="00256207"/>
    <w:rsid w:val="002575F3"/>
    <w:rsid w:val="002601B4"/>
    <w:rsid w:val="002603E1"/>
    <w:rsid w:val="002605FE"/>
    <w:rsid w:val="0026120E"/>
    <w:rsid w:val="002617EE"/>
    <w:rsid w:val="00262582"/>
    <w:rsid w:val="0026291D"/>
    <w:rsid w:val="00262CF3"/>
    <w:rsid w:val="00264309"/>
    <w:rsid w:val="00264992"/>
    <w:rsid w:val="00264B4F"/>
    <w:rsid w:val="00264B85"/>
    <w:rsid w:val="0026564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5E43"/>
    <w:rsid w:val="002763A2"/>
    <w:rsid w:val="00276B33"/>
    <w:rsid w:val="00277669"/>
    <w:rsid w:val="002803A5"/>
    <w:rsid w:val="00280ACB"/>
    <w:rsid w:val="002812E3"/>
    <w:rsid w:val="00281576"/>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461A"/>
    <w:rsid w:val="0029509B"/>
    <w:rsid w:val="0029588F"/>
    <w:rsid w:val="00295E96"/>
    <w:rsid w:val="00297256"/>
    <w:rsid w:val="00297A5C"/>
    <w:rsid w:val="00297D51"/>
    <w:rsid w:val="002A0122"/>
    <w:rsid w:val="002A016B"/>
    <w:rsid w:val="002A103E"/>
    <w:rsid w:val="002A16D4"/>
    <w:rsid w:val="002A1E4F"/>
    <w:rsid w:val="002A230C"/>
    <w:rsid w:val="002A2AF7"/>
    <w:rsid w:val="002A3209"/>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B75C0"/>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D6A4C"/>
    <w:rsid w:val="002E02A1"/>
    <w:rsid w:val="002E196A"/>
    <w:rsid w:val="002E1F8A"/>
    <w:rsid w:val="002E20C7"/>
    <w:rsid w:val="002E20CD"/>
    <w:rsid w:val="002E222E"/>
    <w:rsid w:val="002E28D8"/>
    <w:rsid w:val="002E3638"/>
    <w:rsid w:val="002E37D1"/>
    <w:rsid w:val="002E3BEE"/>
    <w:rsid w:val="002E4DCE"/>
    <w:rsid w:val="002E4E4C"/>
    <w:rsid w:val="002E4EA7"/>
    <w:rsid w:val="002E5846"/>
    <w:rsid w:val="002E631B"/>
    <w:rsid w:val="002E792B"/>
    <w:rsid w:val="002E7AEB"/>
    <w:rsid w:val="002E7B79"/>
    <w:rsid w:val="002F1B09"/>
    <w:rsid w:val="002F1D56"/>
    <w:rsid w:val="002F1DCB"/>
    <w:rsid w:val="002F1DE4"/>
    <w:rsid w:val="002F333D"/>
    <w:rsid w:val="002F351A"/>
    <w:rsid w:val="002F357F"/>
    <w:rsid w:val="002F46D6"/>
    <w:rsid w:val="002F498A"/>
    <w:rsid w:val="002F4AD8"/>
    <w:rsid w:val="002F5285"/>
    <w:rsid w:val="002F5820"/>
    <w:rsid w:val="002F64BB"/>
    <w:rsid w:val="002F7D9B"/>
    <w:rsid w:val="00300C31"/>
    <w:rsid w:val="003017EC"/>
    <w:rsid w:val="00302165"/>
    <w:rsid w:val="00303BB4"/>
    <w:rsid w:val="00304771"/>
    <w:rsid w:val="00304F9C"/>
    <w:rsid w:val="003052D4"/>
    <w:rsid w:val="00305863"/>
    <w:rsid w:val="003060D6"/>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B3D"/>
    <w:rsid w:val="0032058C"/>
    <w:rsid w:val="003208D0"/>
    <w:rsid w:val="003209D6"/>
    <w:rsid w:val="003217B9"/>
    <w:rsid w:val="00321924"/>
    <w:rsid w:val="00321AF1"/>
    <w:rsid w:val="00321EB6"/>
    <w:rsid w:val="003220A5"/>
    <w:rsid w:val="003238E0"/>
    <w:rsid w:val="00323A1C"/>
    <w:rsid w:val="00323A2F"/>
    <w:rsid w:val="00323A8E"/>
    <w:rsid w:val="003247E1"/>
    <w:rsid w:val="00324B59"/>
    <w:rsid w:val="00325E46"/>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40BF3"/>
    <w:rsid w:val="00341C6C"/>
    <w:rsid w:val="00341D26"/>
    <w:rsid w:val="00341F05"/>
    <w:rsid w:val="0034335E"/>
    <w:rsid w:val="00344668"/>
    <w:rsid w:val="00344940"/>
    <w:rsid w:val="00346234"/>
    <w:rsid w:val="003462D9"/>
    <w:rsid w:val="0034723F"/>
    <w:rsid w:val="00347247"/>
    <w:rsid w:val="003474B6"/>
    <w:rsid w:val="00347DD4"/>
    <w:rsid w:val="00352B43"/>
    <w:rsid w:val="00352C28"/>
    <w:rsid w:val="003541BB"/>
    <w:rsid w:val="00354502"/>
    <w:rsid w:val="00354F89"/>
    <w:rsid w:val="0035506D"/>
    <w:rsid w:val="003579A1"/>
    <w:rsid w:val="0036077F"/>
    <w:rsid w:val="00360A35"/>
    <w:rsid w:val="00360C86"/>
    <w:rsid w:val="00360F7A"/>
    <w:rsid w:val="00360FBC"/>
    <w:rsid w:val="00361537"/>
    <w:rsid w:val="00361B2D"/>
    <w:rsid w:val="00361FB7"/>
    <w:rsid w:val="0036242A"/>
    <w:rsid w:val="00362C23"/>
    <w:rsid w:val="00362DCA"/>
    <w:rsid w:val="00362E90"/>
    <w:rsid w:val="00364FA0"/>
    <w:rsid w:val="003657F3"/>
    <w:rsid w:val="00365844"/>
    <w:rsid w:val="00365F61"/>
    <w:rsid w:val="0036624C"/>
    <w:rsid w:val="00367F84"/>
    <w:rsid w:val="003712BC"/>
    <w:rsid w:val="00372164"/>
    <w:rsid w:val="003738BD"/>
    <w:rsid w:val="00374263"/>
    <w:rsid w:val="003746F0"/>
    <w:rsid w:val="00374A20"/>
    <w:rsid w:val="00374B96"/>
    <w:rsid w:val="00374E21"/>
    <w:rsid w:val="0037537A"/>
    <w:rsid w:val="00377B2E"/>
    <w:rsid w:val="00380C9B"/>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398D"/>
    <w:rsid w:val="00393B3F"/>
    <w:rsid w:val="0039402D"/>
    <w:rsid w:val="00396739"/>
    <w:rsid w:val="003978B1"/>
    <w:rsid w:val="003A04F6"/>
    <w:rsid w:val="003A0837"/>
    <w:rsid w:val="003A2B4D"/>
    <w:rsid w:val="003A2D12"/>
    <w:rsid w:val="003A2EBA"/>
    <w:rsid w:val="003A32DB"/>
    <w:rsid w:val="003A45E3"/>
    <w:rsid w:val="003A46B8"/>
    <w:rsid w:val="003A478C"/>
    <w:rsid w:val="003A4A38"/>
    <w:rsid w:val="003A5295"/>
    <w:rsid w:val="003A5525"/>
    <w:rsid w:val="003A5889"/>
    <w:rsid w:val="003A5C8C"/>
    <w:rsid w:val="003A6B38"/>
    <w:rsid w:val="003A6B83"/>
    <w:rsid w:val="003A6C97"/>
    <w:rsid w:val="003A722F"/>
    <w:rsid w:val="003A7373"/>
    <w:rsid w:val="003A7D09"/>
    <w:rsid w:val="003B039F"/>
    <w:rsid w:val="003B0DF4"/>
    <w:rsid w:val="003B1F9D"/>
    <w:rsid w:val="003B2A8D"/>
    <w:rsid w:val="003B2AD1"/>
    <w:rsid w:val="003B2D2E"/>
    <w:rsid w:val="003B376A"/>
    <w:rsid w:val="003B461F"/>
    <w:rsid w:val="003B483F"/>
    <w:rsid w:val="003B4998"/>
    <w:rsid w:val="003B5A32"/>
    <w:rsid w:val="003B5B59"/>
    <w:rsid w:val="003B709D"/>
    <w:rsid w:val="003B7B50"/>
    <w:rsid w:val="003C0B07"/>
    <w:rsid w:val="003C2CE7"/>
    <w:rsid w:val="003C2DB8"/>
    <w:rsid w:val="003C3490"/>
    <w:rsid w:val="003C3608"/>
    <w:rsid w:val="003C3A87"/>
    <w:rsid w:val="003C3AE8"/>
    <w:rsid w:val="003C3D2C"/>
    <w:rsid w:val="003C4058"/>
    <w:rsid w:val="003C4E13"/>
    <w:rsid w:val="003C58A5"/>
    <w:rsid w:val="003C6221"/>
    <w:rsid w:val="003C63D7"/>
    <w:rsid w:val="003C68CC"/>
    <w:rsid w:val="003C7E62"/>
    <w:rsid w:val="003D12B9"/>
    <w:rsid w:val="003D1E7A"/>
    <w:rsid w:val="003D242B"/>
    <w:rsid w:val="003D2492"/>
    <w:rsid w:val="003D29AA"/>
    <w:rsid w:val="003D2A99"/>
    <w:rsid w:val="003D6920"/>
    <w:rsid w:val="003E0249"/>
    <w:rsid w:val="003E08A4"/>
    <w:rsid w:val="003E105C"/>
    <w:rsid w:val="003E1EF8"/>
    <w:rsid w:val="003E2DFB"/>
    <w:rsid w:val="003E4466"/>
    <w:rsid w:val="003E4C91"/>
    <w:rsid w:val="003E52D8"/>
    <w:rsid w:val="003E62F1"/>
    <w:rsid w:val="003E6ED5"/>
    <w:rsid w:val="003E6F84"/>
    <w:rsid w:val="003F0148"/>
    <w:rsid w:val="003F313C"/>
    <w:rsid w:val="003F33B1"/>
    <w:rsid w:val="003F33B9"/>
    <w:rsid w:val="003F37FC"/>
    <w:rsid w:val="003F3E76"/>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17106"/>
    <w:rsid w:val="00420880"/>
    <w:rsid w:val="00421179"/>
    <w:rsid w:val="004225D7"/>
    <w:rsid w:val="00423623"/>
    <w:rsid w:val="0042470E"/>
    <w:rsid w:val="00425352"/>
    <w:rsid w:val="00426C99"/>
    <w:rsid w:val="004272BE"/>
    <w:rsid w:val="00430C96"/>
    <w:rsid w:val="0043174F"/>
    <w:rsid w:val="00431BFF"/>
    <w:rsid w:val="00432199"/>
    <w:rsid w:val="00432A58"/>
    <w:rsid w:val="004331C3"/>
    <w:rsid w:val="00433C17"/>
    <w:rsid w:val="00434617"/>
    <w:rsid w:val="00434DE9"/>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25"/>
    <w:rsid w:val="00451EF1"/>
    <w:rsid w:val="00452E60"/>
    <w:rsid w:val="0045321B"/>
    <w:rsid w:val="00455833"/>
    <w:rsid w:val="00456FB5"/>
    <w:rsid w:val="00456FE5"/>
    <w:rsid w:val="00457490"/>
    <w:rsid w:val="0045778B"/>
    <w:rsid w:val="0045786C"/>
    <w:rsid w:val="00457953"/>
    <w:rsid w:val="004604D8"/>
    <w:rsid w:val="00460656"/>
    <w:rsid w:val="00460FB3"/>
    <w:rsid w:val="00463D3C"/>
    <w:rsid w:val="00464851"/>
    <w:rsid w:val="00464BF5"/>
    <w:rsid w:val="00466595"/>
    <w:rsid w:val="00466B3E"/>
    <w:rsid w:val="0046746A"/>
    <w:rsid w:val="00467B14"/>
    <w:rsid w:val="004707FE"/>
    <w:rsid w:val="00470EDC"/>
    <w:rsid w:val="00472418"/>
    <w:rsid w:val="0047276D"/>
    <w:rsid w:val="00472AF6"/>
    <w:rsid w:val="00473482"/>
    <w:rsid w:val="00474646"/>
    <w:rsid w:val="00474A04"/>
    <w:rsid w:val="00476240"/>
    <w:rsid w:val="00476439"/>
    <w:rsid w:val="00476450"/>
    <w:rsid w:val="004769BF"/>
    <w:rsid w:val="004769E1"/>
    <w:rsid w:val="0047735C"/>
    <w:rsid w:val="004776BC"/>
    <w:rsid w:val="00477820"/>
    <w:rsid w:val="00477B96"/>
    <w:rsid w:val="00480802"/>
    <w:rsid w:val="00480BAE"/>
    <w:rsid w:val="00480D7F"/>
    <w:rsid w:val="0048139F"/>
    <w:rsid w:val="00481E40"/>
    <w:rsid w:val="00482405"/>
    <w:rsid w:val="004826A7"/>
    <w:rsid w:val="004828DA"/>
    <w:rsid w:val="0048368C"/>
    <w:rsid w:val="0048372F"/>
    <w:rsid w:val="0048399F"/>
    <w:rsid w:val="00483A0C"/>
    <w:rsid w:val="004841CC"/>
    <w:rsid w:val="00484ECE"/>
    <w:rsid w:val="00485E82"/>
    <w:rsid w:val="00486132"/>
    <w:rsid w:val="0048686D"/>
    <w:rsid w:val="00486A4D"/>
    <w:rsid w:val="004915CB"/>
    <w:rsid w:val="00491A2B"/>
    <w:rsid w:val="004924DC"/>
    <w:rsid w:val="00492879"/>
    <w:rsid w:val="00493E85"/>
    <w:rsid w:val="00495145"/>
    <w:rsid w:val="0049531F"/>
    <w:rsid w:val="004979A5"/>
    <w:rsid w:val="004A0144"/>
    <w:rsid w:val="004A036E"/>
    <w:rsid w:val="004A0498"/>
    <w:rsid w:val="004A06B0"/>
    <w:rsid w:val="004A0D0E"/>
    <w:rsid w:val="004A14E4"/>
    <w:rsid w:val="004A204E"/>
    <w:rsid w:val="004A26A5"/>
    <w:rsid w:val="004A27F0"/>
    <w:rsid w:val="004A3212"/>
    <w:rsid w:val="004A37CD"/>
    <w:rsid w:val="004A3BE4"/>
    <w:rsid w:val="004A40D9"/>
    <w:rsid w:val="004A49A5"/>
    <w:rsid w:val="004A4F8A"/>
    <w:rsid w:val="004A52AB"/>
    <w:rsid w:val="004A5494"/>
    <w:rsid w:val="004A5D4E"/>
    <w:rsid w:val="004A61C5"/>
    <w:rsid w:val="004A62A0"/>
    <w:rsid w:val="004A77DF"/>
    <w:rsid w:val="004A7DC0"/>
    <w:rsid w:val="004B1417"/>
    <w:rsid w:val="004B1627"/>
    <w:rsid w:val="004B305C"/>
    <w:rsid w:val="004B31B8"/>
    <w:rsid w:val="004B339A"/>
    <w:rsid w:val="004B4C83"/>
    <w:rsid w:val="004B55B7"/>
    <w:rsid w:val="004B591D"/>
    <w:rsid w:val="004B5BFA"/>
    <w:rsid w:val="004B619E"/>
    <w:rsid w:val="004B6468"/>
    <w:rsid w:val="004B6EF8"/>
    <w:rsid w:val="004B7125"/>
    <w:rsid w:val="004B756A"/>
    <w:rsid w:val="004B7FB1"/>
    <w:rsid w:val="004C0970"/>
    <w:rsid w:val="004C0B3F"/>
    <w:rsid w:val="004C0F87"/>
    <w:rsid w:val="004C25F9"/>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D31"/>
    <w:rsid w:val="004D2E03"/>
    <w:rsid w:val="004D3296"/>
    <w:rsid w:val="004D4056"/>
    <w:rsid w:val="004D4CB0"/>
    <w:rsid w:val="004D5B0F"/>
    <w:rsid w:val="004D7626"/>
    <w:rsid w:val="004E085C"/>
    <w:rsid w:val="004E12DF"/>
    <w:rsid w:val="004E186A"/>
    <w:rsid w:val="004E1A40"/>
    <w:rsid w:val="004E1DB2"/>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01B"/>
    <w:rsid w:val="004F6484"/>
    <w:rsid w:val="004F6539"/>
    <w:rsid w:val="00503D54"/>
    <w:rsid w:val="005048E2"/>
    <w:rsid w:val="00505FC8"/>
    <w:rsid w:val="00506603"/>
    <w:rsid w:val="0050689D"/>
    <w:rsid w:val="005077F5"/>
    <w:rsid w:val="005108C0"/>
    <w:rsid w:val="0051094F"/>
    <w:rsid w:val="00511217"/>
    <w:rsid w:val="00511873"/>
    <w:rsid w:val="00511BAF"/>
    <w:rsid w:val="00512461"/>
    <w:rsid w:val="00512585"/>
    <w:rsid w:val="00512A2F"/>
    <w:rsid w:val="00513B7E"/>
    <w:rsid w:val="00513E9D"/>
    <w:rsid w:val="0051475D"/>
    <w:rsid w:val="00514B11"/>
    <w:rsid w:val="00514DED"/>
    <w:rsid w:val="00515485"/>
    <w:rsid w:val="00515BE9"/>
    <w:rsid w:val="00515C74"/>
    <w:rsid w:val="00515CEB"/>
    <w:rsid w:val="0051630F"/>
    <w:rsid w:val="00517113"/>
    <w:rsid w:val="0052007E"/>
    <w:rsid w:val="0052032E"/>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A68"/>
    <w:rsid w:val="00530AD4"/>
    <w:rsid w:val="0053129F"/>
    <w:rsid w:val="00531C5A"/>
    <w:rsid w:val="00532CE7"/>
    <w:rsid w:val="00532D8B"/>
    <w:rsid w:val="0053324C"/>
    <w:rsid w:val="00533A8D"/>
    <w:rsid w:val="00534A28"/>
    <w:rsid w:val="00535018"/>
    <w:rsid w:val="00535782"/>
    <w:rsid w:val="0053595E"/>
    <w:rsid w:val="00537571"/>
    <w:rsid w:val="00540056"/>
    <w:rsid w:val="005410E2"/>
    <w:rsid w:val="00541508"/>
    <w:rsid w:val="00541AE3"/>
    <w:rsid w:val="00543498"/>
    <w:rsid w:val="00544011"/>
    <w:rsid w:val="00544BE5"/>
    <w:rsid w:val="005453A3"/>
    <w:rsid w:val="005455F6"/>
    <w:rsid w:val="0054582F"/>
    <w:rsid w:val="0054632B"/>
    <w:rsid w:val="00546FC7"/>
    <w:rsid w:val="005500F9"/>
    <w:rsid w:val="00550160"/>
    <w:rsid w:val="00550249"/>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605F3"/>
    <w:rsid w:val="00560C41"/>
    <w:rsid w:val="00560C68"/>
    <w:rsid w:val="00560CAC"/>
    <w:rsid w:val="00561F44"/>
    <w:rsid w:val="00562B4D"/>
    <w:rsid w:val="00562DB1"/>
    <w:rsid w:val="00563EB8"/>
    <w:rsid w:val="005647BF"/>
    <w:rsid w:val="00564AF1"/>
    <w:rsid w:val="005655DB"/>
    <w:rsid w:val="00565E88"/>
    <w:rsid w:val="00567339"/>
    <w:rsid w:val="005678EE"/>
    <w:rsid w:val="00567910"/>
    <w:rsid w:val="00570270"/>
    <w:rsid w:val="00570464"/>
    <w:rsid w:val="00570601"/>
    <w:rsid w:val="00570BC3"/>
    <w:rsid w:val="00571766"/>
    <w:rsid w:val="0057182A"/>
    <w:rsid w:val="00571E59"/>
    <w:rsid w:val="00572079"/>
    <w:rsid w:val="00572900"/>
    <w:rsid w:val="00573602"/>
    <w:rsid w:val="0057364B"/>
    <w:rsid w:val="00574773"/>
    <w:rsid w:val="005761EC"/>
    <w:rsid w:val="00576E34"/>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90608"/>
    <w:rsid w:val="00590B28"/>
    <w:rsid w:val="005911BE"/>
    <w:rsid w:val="00591273"/>
    <w:rsid w:val="00591E9E"/>
    <w:rsid w:val="005927A4"/>
    <w:rsid w:val="00593152"/>
    <w:rsid w:val="00593389"/>
    <w:rsid w:val="00593FE6"/>
    <w:rsid w:val="005956A3"/>
    <w:rsid w:val="00595958"/>
    <w:rsid w:val="00595CAB"/>
    <w:rsid w:val="0059622E"/>
    <w:rsid w:val="00597671"/>
    <w:rsid w:val="00597BBF"/>
    <w:rsid w:val="005A040C"/>
    <w:rsid w:val="005A0463"/>
    <w:rsid w:val="005A05DF"/>
    <w:rsid w:val="005A0948"/>
    <w:rsid w:val="005A0A03"/>
    <w:rsid w:val="005A10F2"/>
    <w:rsid w:val="005A16C0"/>
    <w:rsid w:val="005A2156"/>
    <w:rsid w:val="005A21E0"/>
    <w:rsid w:val="005A2401"/>
    <w:rsid w:val="005A28FF"/>
    <w:rsid w:val="005A2C09"/>
    <w:rsid w:val="005A3778"/>
    <w:rsid w:val="005A37B0"/>
    <w:rsid w:val="005A3DF8"/>
    <w:rsid w:val="005A5549"/>
    <w:rsid w:val="005A566A"/>
    <w:rsid w:val="005A56E0"/>
    <w:rsid w:val="005A70CA"/>
    <w:rsid w:val="005A7ABD"/>
    <w:rsid w:val="005A7CF8"/>
    <w:rsid w:val="005B0EDA"/>
    <w:rsid w:val="005B121D"/>
    <w:rsid w:val="005B1705"/>
    <w:rsid w:val="005B26B0"/>
    <w:rsid w:val="005B41C9"/>
    <w:rsid w:val="005B44E6"/>
    <w:rsid w:val="005B4853"/>
    <w:rsid w:val="005B591B"/>
    <w:rsid w:val="005B6CA1"/>
    <w:rsid w:val="005B770C"/>
    <w:rsid w:val="005C06ED"/>
    <w:rsid w:val="005C0CE1"/>
    <w:rsid w:val="005C11B8"/>
    <w:rsid w:val="005C216C"/>
    <w:rsid w:val="005C2609"/>
    <w:rsid w:val="005C2B30"/>
    <w:rsid w:val="005C412B"/>
    <w:rsid w:val="005C43EC"/>
    <w:rsid w:val="005C45DD"/>
    <w:rsid w:val="005C4704"/>
    <w:rsid w:val="005C4CB1"/>
    <w:rsid w:val="005C70AB"/>
    <w:rsid w:val="005D015C"/>
    <w:rsid w:val="005D3F06"/>
    <w:rsid w:val="005D4608"/>
    <w:rsid w:val="005D4B73"/>
    <w:rsid w:val="005D533D"/>
    <w:rsid w:val="005D5645"/>
    <w:rsid w:val="005D5802"/>
    <w:rsid w:val="005D5AA9"/>
    <w:rsid w:val="005D66E6"/>
    <w:rsid w:val="005D7119"/>
    <w:rsid w:val="005D76C8"/>
    <w:rsid w:val="005D7890"/>
    <w:rsid w:val="005D7AAF"/>
    <w:rsid w:val="005E19C1"/>
    <w:rsid w:val="005E2194"/>
    <w:rsid w:val="005E24F0"/>
    <w:rsid w:val="005E3113"/>
    <w:rsid w:val="005E36FE"/>
    <w:rsid w:val="005E3F66"/>
    <w:rsid w:val="005E490F"/>
    <w:rsid w:val="005E4BC9"/>
    <w:rsid w:val="005E5314"/>
    <w:rsid w:val="005E764D"/>
    <w:rsid w:val="005E772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D7F"/>
    <w:rsid w:val="005F6DFE"/>
    <w:rsid w:val="005F7174"/>
    <w:rsid w:val="0060120D"/>
    <w:rsid w:val="006017C1"/>
    <w:rsid w:val="00601ADE"/>
    <w:rsid w:val="00601EEF"/>
    <w:rsid w:val="0060255A"/>
    <w:rsid w:val="00602998"/>
    <w:rsid w:val="00602EB3"/>
    <w:rsid w:val="00604307"/>
    <w:rsid w:val="0060487F"/>
    <w:rsid w:val="00604EAD"/>
    <w:rsid w:val="0060513F"/>
    <w:rsid w:val="006065E2"/>
    <w:rsid w:val="0060694B"/>
    <w:rsid w:val="006104FB"/>
    <w:rsid w:val="0061176D"/>
    <w:rsid w:val="0061200F"/>
    <w:rsid w:val="00612756"/>
    <w:rsid w:val="00612A2F"/>
    <w:rsid w:val="00612AAE"/>
    <w:rsid w:val="00612B07"/>
    <w:rsid w:val="00612FD9"/>
    <w:rsid w:val="006139E0"/>
    <w:rsid w:val="00614D35"/>
    <w:rsid w:val="006156B4"/>
    <w:rsid w:val="00615DAF"/>
    <w:rsid w:val="00616254"/>
    <w:rsid w:val="0061672A"/>
    <w:rsid w:val="00616E05"/>
    <w:rsid w:val="00617985"/>
    <w:rsid w:val="00620641"/>
    <w:rsid w:val="00620B77"/>
    <w:rsid w:val="00621190"/>
    <w:rsid w:val="0062131B"/>
    <w:rsid w:val="00621E26"/>
    <w:rsid w:val="006224EA"/>
    <w:rsid w:val="0062263A"/>
    <w:rsid w:val="006227DF"/>
    <w:rsid w:val="006234A0"/>
    <w:rsid w:val="006236C8"/>
    <w:rsid w:val="00624093"/>
    <w:rsid w:val="0062415E"/>
    <w:rsid w:val="00625A84"/>
    <w:rsid w:val="00626079"/>
    <w:rsid w:val="006275B5"/>
    <w:rsid w:val="00631698"/>
    <w:rsid w:val="00631E44"/>
    <w:rsid w:val="00634C57"/>
    <w:rsid w:val="00634CE7"/>
    <w:rsid w:val="006350D5"/>
    <w:rsid w:val="00635EBE"/>
    <w:rsid w:val="0063642C"/>
    <w:rsid w:val="006376B3"/>
    <w:rsid w:val="00637858"/>
    <w:rsid w:val="006404A7"/>
    <w:rsid w:val="00640A38"/>
    <w:rsid w:val="00640E6B"/>
    <w:rsid w:val="00641787"/>
    <w:rsid w:val="0064179B"/>
    <w:rsid w:val="00642338"/>
    <w:rsid w:val="00642489"/>
    <w:rsid w:val="00644055"/>
    <w:rsid w:val="00644137"/>
    <w:rsid w:val="0064478C"/>
    <w:rsid w:val="00645160"/>
    <w:rsid w:val="006451E4"/>
    <w:rsid w:val="0064574B"/>
    <w:rsid w:val="00645B33"/>
    <w:rsid w:val="0065153D"/>
    <w:rsid w:val="006516CB"/>
    <w:rsid w:val="00652444"/>
    <w:rsid w:val="00652E30"/>
    <w:rsid w:val="00653BD0"/>
    <w:rsid w:val="00654110"/>
    <w:rsid w:val="00656C5D"/>
    <w:rsid w:val="00656CFB"/>
    <w:rsid w:val="00656D25"/>
    <w:rsid w:val="00657E87"/>
    <w:rsid w:val="00660D2D"/>
    <w:rsid w:val="0066110B"/>
    <w:rsid w:val="00661C41"/>
    <w:rsid w:val="00661EC9"/>
    <w:rsid w:val="00662469"/>
    <w:rsid w:val="0066411C"/>
    <w:rsid w:val="00664205"/>
    <w:rsid w:val="00664647"/>
    <w:rsid w:val="00664803"/>
    <w:rsid w:val="0066502F"/>
    <w:rsid w:val="006653CC"/>
    <w:rsid w:val="00665501"/>
    <w:rsid w:val="00665982"/>
    <w:rsid w:val="00665BA4"/>
    <w:rsid w:val="00666BF3"/>
    <w:rsid w:val="00667856"/>
    <w:rsid w:val="00667AF2"/>
    <w:rsid w:val="00670489"/>
    <w:rsid w:val="006710C9"/>
    <w:rsid w:val="00671D85"/>
    <w:rsid w:val="00672586"/>
    <w:rsid w:val="006727BC"/>
    <w:rsid w:val="006741CD"/>
    <w:rsid w:val="006745DF"/>
    <w:rsid w:val="00674D89"/>
    <w:rsid w:val="0067514E"/>
    <w:rsid w:val="00675E37"/>
    <w:rsid w:val="0067635D"/>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B9B"/>
    <w:rsid w:val="00684D59"/>
    <w:rsid w:val="00684E25"/>
    <w:rsid w:val="006858A4"/>
    <w:rsid w:val="00685C08"/>
    <w:rsid w:val="00685C8C"/>
    <w:rsid w:val="00686718"/>
    <w:rsid w:val="00686BFA"/>
    <w:rsid w:val="00686DED"/>
    <w:rsid w:val="006875A0"/>
    <w:rsid w:val="006878C6"/>
    <w:rsid w:val="00687D27"/>
    <w:rsid w:val="00691943"/>
    <w:rsid w:val="00693550"/>
    <w:rsid w:val="00694622"/>
    <w:rsid w:val="00695065"/>
    <w:rsid w:val="00695BEF"/>
    <w:rsid w:val="00696251"/>
    <w:rsid w:val="006966C7"/>
    <w:rsid w:val="006968C1"/>
    <w:rsid w:val="006977F6"/>
    <w:rsid w:val="00697A13"/>
    <w:rsid w:val="006A0DD4"/>
    <w:rsid w:val="006A109C"/>
    <w:rsid w:val="006A4E91"/>
    <w:rsid w:val="006A5F4B"/>
    <w:rsid w:val="006A6114"/>
    <w:rsid w:val="006A6565"/>
    <w:rsid w:val="006A76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981"/>
    <w:rsid w:val="006C7AEC"/>
    <w:rsid w:val="006C7CA6"/>
    <w:rsid w:val="006D15D3"/>
    <w:rsid w:val="006D18B3"/>
    <w:rsid w:val="006D1E89"/>
    <w:rsid w:val="006D26CE"/>
    <w:rsid w:val="006D317E"/>
    <w:rsid w:val="006D3E8A"/>
    <w:rsid w:val="006D47D9"/>
    <w:rsid w:val="006D61F6"/>
    <w:rsid w:val="006E1081"/>
    <w:rsid w:val="006E1332"/>
    <w:rsid w:val="006E19CB"/>
    <w:rsid w:val="006E279A"/>
    <w:rsid w:val="006E313B"/>
    <w:rsid w:val="006E34B2"/>
    <w:rsid w:val="006E3A45"/>
    <w:rsid w:val="006E4078"/>
    <w:rsid w:val="006E51C4"/>
    <w:rsid w:val="006E53AD"/>
    <w:rsid w:val="006E58CB"/>
    <w:rsid w:val="006E6A93"/>
    <w:rsid w:val="006E7227"/>
    <w:rsid w:val="006E761A"/>
    <w:rsid w:val="006F0646"/>
    <w:rsid w:val="006F0741"/>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398A"/>
    <w:rsid w:val="00705242"/>
    <w:rsid w:val="007055E0"/>
    <w:rsid w:val="007056ED"/>
    <w:rsid w:val="00705F4E"/>
    <w:rsid w:val="0070658E"/>
    <w:rsid w:val="007065C5"/>
    <w:rsid w:val="007068E1"/>
    <w:rsid w:val="00706AA0"/>
    <w:rsid w:val="00706AD4"/>
    <w:rsid w:val="00707150"/>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1A6"/>
    <w:rsid w:val="00720310"/>
    <w:rsid w:val="00720D7A"/>
    <w:rsid w:val="007211F5"/>
    <w:rsid w:val="007213C3"/>
    <w:rsid w:val="00721601"/>
    <w:rsid w:val="00722777"/>
    <w:rsid w:val="00723435"/>
    <w:rsid w:val="00723436"/>
    <w:rsid w:val="007240E2"/>
    <w:rsid w:val="0072454C"/>
    <w:rsid w:val="0072583E"/>
    <w:rsid w:val="00725BB5"/>
    <w:rsid w:val="00727C02"/>
    <w:rsid w:val="0073008E"/>
    <w:rsid w:val="00730A8B"/>
    <w:rsid w:val="00730AE8"/>
    <w:rsid w:val="00730F1B"/>
    <w:rsid w:val="0073186D"/>
    <w:rsid w:val="0073261D"/>
    <w:rsid w:val="0073333D"/>
    <w:rsid w:val="007343D9"/>
    <w:rsid w:val="00734F71"/>
    <w:rsid w:val="00735448"/>
    <w:rsid w:val="00736F07"/>
    <w:rsid w:val="007377BD"/>
    <w:rsid w:val="00737DEC"/>
    <w:rsid w:val="0074004D"/>
    <w:rsid w:val="00741493"/>
    <w:rsid w:val="00741F2A"/>
    <w:rsid w:val="007434E5"/>
    <w:rsid w:val="00743884"/>
    <w:rsid w:val="0074499B"/>
    <w:rsid w:val="007449D6"/>
    <w:rsid w:val="0074501E"/>
    <w:rsid w:val="007450BF"/>
    <w:rsid w:val="0074599A"/>
    <w:rsid w:val="00746EE5"/>
    <w:rsid w:val="00746F45"/>
    <w:rsid w:val="007471A1"/>
    <w:rsid w:val="007477BD"/>
    <w:rsid w:val="007477DA"/>
    <w:rsid w:val="00747EE9"/>
    <w:rsid w:val="007520B6"/>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A88"/>
    <w:rsid w:val="00763B85"/>
    <w:rsid w:val="007644A2"/>
    <w:rsid w:val="00764974"/>
    <w:rsid w:val="00764D18"/>
    <w:rsid w:val="0076521E"/>
    <w:rsid w:val="0076579C"/>
    <w:rsid w:val="00765928"/>
    <w:rsid w:val="00765BCC"/>
    <w:rsid w:val="0076600D"/>
    <w:rsid w:val="007661E9"/>
    <w:rsid w:val="00766460"/>
    <w:rsid w:val="00767062"/>
    <w:rsid w:val="00767601"/>
    <w:rsid w:val="00767777"/>
    <w:rsid w:val="00767933"/>
    <w:rsid w:val="00770AB9"/>
    <w:rsid w:val="00770CFC"/>
    <w:rsid w:val="0077130E"/>
    <w:rsid w:val="007715EE"/>
    <w:rsid w:val="00771972"/>
    <w:rsid w:val="00772279"/>
    <w:rsid w:val="00772DAB"/>
    <w:rsid w:val="00772FF9"/>
    <w:rsid w:val="0077348B"/>
    <w:rsid w:val="007743DB"/>
    <w:rsid w:val="00774D2C"/>
    <w:rsid w:val="00775E00"/>
    <w:rsid w:val="0077605B"/>
    <w:rsid w:val="00776169"/>
    <w:rsid w:val="00776527"/>
    <w:rsid w:val="00777040"/>
    <w:rsid w:val="00777CE6"/>
    <w:rsid w:val="00777D57"/>
    <w:rsid w:val="00780BF0"/>
    <w:rsid w:val="00780EF1"/>
    <w:rsid w:val="00781A91"/>
    <w:rsid w:val="00781AD3"/>
    <w:rsid w:val="00781F36"/>
    <w:rsid w:val="00783576"/>
    <w:rsid w:val="007853FD"/>
    <w:rsid w:val="00785778"/>
    <w:rsid w:val="00786C87"/>
    <w:rsid w:val="0078755E"/>
    <w:rsid w:val="007877C9"/>
    <w:rsid w:val="00790764"/>
    <w:rsid w:val="0079085F"/>
    <w:rsid w:val="00790E96"/>
    <w:rsid w:val="00791005"/>
    <w:rsid w:val="00793D78"/>
    <w:rsid w:val="0079420B"/>
    <w:rsid w:val="0079453C"/>
    <w:rsid w:val="00794677"/>
    <w:rsid w:val="00795759"/>
    <w:rsid w:val="007A0B5E"/>
    <w:rsid w:val="007A170B"/>
    <w:rsid w:val="007A20EB"/>
    <w:rsid w:val="007A282C"/>
    <w:rsid w:val="007A293C"/>
    <w:rsid w:val="007A2A3A"/>
    <w:rsid w:val="007A33E2"/>
    <w:rsid w:val="007A3CAF"/>
    <w:rsid w:val="007A4664"/>
    <w:rsid w:val="007A4782"/>
    <w:rsid w:val="007A516D"/>
    <w:rsid w:val="007A5E65"/>
    <w:rsid w:val="007A65E1"/>
    <w:rsid w:val="007A6A6E"/>
    <w:rsid w:val="007A6AAA"/>
    <w:rsid w:val="007A7033"/>
    <w:rsid w:val="007A775D"/>
    <w:rsid w:val="007B04B0"/>
    <w:rsid w:val="007B0834"/>
    <w:rsid w:val="007B0E83"/>
    <w:rsid w:val="007B11FA"/>
    <w:rsid w:val="007B1396"/>
    <w:rsid w:val="007B16D6"/>
    <w:rsid w:val="007B1D1B"/>
    <w:rsid w:val="007B2011"/>
    <w:rsid w:val="007B2CFE"/>
    <w:rsid w:val="007B309B"/>
    <w:rsid w:val="007B3D5E"/>
    <w:rsid w:val="007B3DCB"/>
    <w:rsid w:val="007B54AE"/>
    <w:rsid w:val="007B5725"/>
    <w:rsid w:val="007B5C1F"/>
    <w:rsid w:val="007B6689"/>
    <w:rsid w:val="007B6747"/>
    <w:rsid w:val="007B6F72"/>
    <w:rsid w:val="007B74AA"/>
    <w:rsid w:val="007C10BD"/>
    <w:rsid w:val="007C162D"/>
    <w:rsid w:val="007C1A03"/>
    <w:rsid w:val="007C1F0C"/>
    <w:rsid w:val="007C1FFB"/>
    <w:rsid w:val="007C2D94"/>
    <w:rsid w:val="007C4A6B"/>
    <w:rsid w:val="007C5F92"/>
    <w:rsid w:val="007C6227"/>
    <w:rsid w:val="007C64F7"/>
    <w:rsid w:val="007C6BBD"/>
    <w:rsid w:val="007C6D89"/>
    <w:rsid w:val="007C6F5E"/>
    <w:rsid w:val="007D0382"/>
    <w:rsid w:val="007D0F6B"/>
    <w:rsid w:val="007D14FE"/>
    <w:rsid w:val="007D1A1F"/>
    <w:rsid w:val="007D213B"/>
    <w:rsid w:val="007D2783"/>
    <w:rsid w:val="007D2E18"/>
    <w:rsid w:val="007D3EF3"/>
    <w:rsid w:val="007D40DF"/>
    <w:rsid w:val="007D42E5"/>
    <w:rsid w:val="007D4458"/>
    <w:rsid w:val="007D6AF9"/>
    <w:rsid w:val="007D7763"/>
    <w:rsid w:val="007E0535"/>
    <w:rsid w:val="007E07F2"/>
    <w:rsid w:val="007E0D4A"/>
    <w:rsid w:val="007E1788"/>
    <w:rsid w:val="007E1EE3"/>
    <w:rsid w:val="007E29B4"/>
    <w:rsid w:val="007E2F12"/>
    <w:rsid w:val="007E3627"/>
    <w:rsid w:val="007E435A"/>
    <w:rsid w:val="007E445C"/>
    <w:rsid w:val="007E49F7"/>
    <w:rsid w:val="007E4C70"/>
    <w:rsid w:val="007E5B5F"/>
    <w:rsid w:val="007E69C6"/>
    <w:rsid w:val="007E78B6"/>
    <w:rsid w:val="007E7E61"/>
    <w:rsid w:val="007F0845"/>
    <w:rsid w:val="007F0873"/>
    <w:rsid w:val="007F20F3"/>
    <w:rsid w:val="007F2353"/>
    <w:rsid w:val="007F2390"/>
    <w:rsid w:val="007F2CAC"/>
    <w:rsid w:val="007F3CB6"/>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559E"/>
    <w:rsid w:val="00805AF3"/>
    <w:rsid w:val="00806C9C"/>
    <w:rsid w:val="008071B1"/>
    <w:rsid w:val="0080734C"/>
    <w:rsid w:val="00807C82"/>
    <w:rsid w:val="008107EE"/>
    <w:rsid w:val="008117CC"/>
    <w:rsid w:val="00811FF8"/>
    <w:rsid w:val="00813D58"/>
    <w:rsid w:val="00813DCA"/>
    <w:rsid w:val="008161A6"/>
    <w:rsid w:val="008165B8"/>
    <w:rsid w:val="00816905"/>
    <w:rsid w:val="00816D98"/>
    <w:rsid w:val="00816E42"/>
    <w:rsid w:val="00817040"/>
    <w:rsid w:val="00817A17"/>
    <w:rsid w:val="00817EC1"/>
    <w:rsid w:val="0082112D"/>
    <w:rsid w:val="00821624"/>
    <w:rsid w:val="00821FF6"/>
    <w:rsid w:val="00822574"/>
    <w:rsid w:val="00822980"/>
    <w:rsid w:val="00822F08"/>
    <w:rsid w:val="00824BA6"/>
    <w:rsid w:val="00825007"/>
    <w:rsid w:val="00825120"/>
    <w:rsid w:val="00825C4D"/>
    <w:rsid w:val="00826A08"/>
    <w:rsid w:val="00826AC0"/>
    <w:rsid w:val="00826D45"/>
    <w:rsid w:val="00827186"/>
    <w:rsid w:val="00827C8E"/>
    <w:rsid w:val="00830569"/>
    <w:rsid w:val="00830AEA"/>
    <w:rsid w:val="00830E86"/>
    <w:rsid w:val="0083143E"/>
    <w:rsid w:val="008315B8"/>
    <w:rsid w:val="008315D5"/>
    <w:rsid w:val="00831CDE"/>
    <w:rsid w:val="00831F2B"/>
    <w:rsid w:val="008320CF"/>
    <w:rsid w:val="008324A3"/>
    <w:rsid w:val="00832F77"/>
    <w:rsid w:val="00834304"/>
    <w:rsid w:val="008343CE"/>
    <w:rsid w:val="0083471A"/>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E83"/>
    <w:rsid w:val="0085114D"/>
    <w:rsid w:val="00851163"/>
    <w:rsid w:val="008520A8"/>
    <w:rsid w:val="00852217"/>
    <w:rsid w:val="00853282"/>
    <w:rsid w:val="0085334C"/>
    <w:rsid w:val="00854291"/>
    <w:rsid w:val="00855408"/>
    <w:rsid w:val="00855D03"/>
    <w:rsid w:val="00856D65"/>
    <w:rsid w:val="00856FA4"/>
    <w:rsid w:val="00860D79"/>
    <w:rsid w:val="00861B41"/>
    <w:rsid w:val="00861B9F"/>
    <w:rsid w:val="00861BE3"/>
    <w:rsid w:val="00861EB6"/>
    <w:rsid w:val="008625D3"/>
    <w:rsid w:val="00862C0A"/>
    <w:rsid w:val="00863434"/>
    <w:rsid w:val="0086344F"/>
    <w:rsid w:val="008641AC"/>
    <w:rsid w:val="00865E4C"/>
    <w:rsid w:val="00866074"/>
    <w:rsid w:val="00867546"/>
    <w:rsid w:val="0086796D"/>
    <w:rsid w:val="00867DAB"/>
    <w:rsid w:val="0087000B"/>
    <w:rsid w:val="008701E4"/>
    <w:rsid w:val="008704E9"/>
    <w:rsid w:val="008705FB"/>
    <w:rsid w:val="00870ECD"/>
    <w:rsid w:val="0087347C"/>
    <w:rsid w:val="008734E7"/>
    <w:rsid w:val="0087368D"/>
    <w:rsid w:val="008740CC"/>
    <w:rsid w:val="0087442A"/>
    <w:rsid w:val="00874578"/>
    <w:rsid w:val="00874FE8"/>
    <w:rsid w:val="00875A32"/>
    <w:rsid w:val="00875CC1"/>
    <w:rsid w:val="00876086"/>
    <w:rsid w:val="00876651"/>
    <w:rsid w:val="00876E83"/>
    <w:rsid w:val="0087722C"/>
    <w:rsid w:val="008772BC"/>
    <w:rsid w:val="00880A0E"/>
    <w:rsid w:val="008817FE"/>
    <w:rsid w:val="00881CD7"/>
    <w:rsid w:val="00882911"/>
    <w:rsid w:val="00882F6E"/>
    <w:rsid w:val="00883202"/>
    <w:rsid w:val="00884E02"/>
    <w:rsid w:val="0088502B"/>
    <w:rsid w:val="00885D40"/>
    <w:rsid w:val="008873D4"/>
    <w:rsid w:val="008902A5"/>
    <w:rsid w:val="00890CB1"/>
    <w:rsid w:val="00891EDF"/>
    <w:rsid w:val="00892872"/>
    <w:rsid w:val="0089296D"/>
    <w:rsid w:val="00893E85"/>
    <w:rsid w:val="00893EBE"/>
    <w:rsid w:val="00894031"/>
    <w:rsid w:val="00894C5D"/>
    <w:rsid w:val="00895508"/>
    <w:rsid w:val="00895797"/>
    <w:rsid w:val="008967E9"/>
    <w:rsid w:val="00896A5C"/>
    <w:rsid w:val="00897155"/>
    <w:rsid w:val="008972D2"/>
    <w:rsid w:val="0089754C"/>
    <w:rsid w:val="00897CFA"/>
    <w:rsid w:val="008A0659"/>
    <w:rsid w:val="008A0ADD"/>
    <w:rsid w:val="008A0D27"/>
    <w:rsid w:val="008A1C59"/>
    <w:rsid w:val="008A37E2"/>
    <w:rsid w:val="008A388E"/>
    <w:rsid w:val="008A394E"/>
    <w:rsid w:val="008A3CBA"/>
    <w:rsid w:val="008A4B59"/>
    <w:rsid w:val="008A63E1"/>
    <w:rsid w:val="008A66B7"/>
    <w:rsid w:val="008A68BB"/>
    <w:rsid w:val="008A6AA5"/>
    <w:rsid w:val="008A7127"/>
    <w:rsid w:val="008B0CBA"/>
    <w:rsid w:val="008B1850"/>
    <w:rsid w:val="008B2639"/>
    <w:rsid w:val="008B3537"/>
    <w:rsid w:val="008B3690"/>
    <w:rsid w:val="008B3A80"/>
    <w:rsid w:val="008B3AEC"/>
    <w:rsid w:val="008B3C07"/>
    <w:rsid w:val="008B3F7B"/>
    <w:rsid w:val="008B43CA"/>
    <w:rsid w:val="008B5324"/>
    <w:rsid w:val="008B5C99"/>
    <w:rsid w:val="008B6106"/>
    <w:rsid w:val="008B7C02"/>
    <w:rsid w:val="008B7D2B"/>
    <w:rsid w:val="008B7EF9"/>
    <w:rsid w:val="008C0049"/>
    <w:rsid w:val="008C025A"/>
    <w:rsid w:val="008C0314"/>
    <w:rsid w:val="008C0E88"/>
    <w:rsid w:val="008C0EBE"/>
    <w:rsid w:val="008C1717"/>
    <w:rsid w:val="008C17F0"/>
    <w:rsid w:val="008C3A32"/>
    <w:rsid w:val="008C3B05"/>
    <w:rsid w:val="008C4B50"/>
    <w:rsid w:val="008C5A37"/>
    <w:rsid w:val="008C7569"/>
    <w:rsid w:val="008C79C3"/>
    <w:rsid w:val="008D006F"/>
    <w:rsid w:val="008D033D"/>
    <w:rsid w:val="008D06A2"/>
    <w:rsid w:val="008D0DBD"/>
    <w:rsid w:val="008D117E"/>
    <w:rsid w:val="008D127E"/>
    <w:rsid w:val="008D1CA8"/>
    <w:rsid w:val="008D1E0A"/>
    <w:rsid w:val="008D1E6A"/>
    <w:rsid w:val="008D2407"/>
    <w:rsid w:val="008D2A16"/>
    <w:rsid w:val="008D2AEC"/>
    <w:rsid w:val="008D3295"/>
    <w:rsid w:val="008D33F5"/>
    <w:rsid w:val="008D35E4"/>
    <w:rsid w:val="008D3ACD"/>
    <w:rsid w:val="008D6C3A"/>
    <w:rsid w:val="008D70E2"/>
    <w:rsid w:val="008D7F47"/>
    <w:rsid w:val="008E0001"/>
    <w:rsid w:val="008E039E"/>
    <w:rsid w:val="008E292B"/>
    <w:rsid w:val="008E2C57"/>
    <w:rsid w:val="008E31FF"/>
    <w:rsid w:val="008E3287"/>
    <w:rsid w:val="008E38E4"/>
    <w:rsid w:val="008E3DFA"/>
    <w:rsid w:val="008E51EB"/>
    <w:rsid w:val="008E5746"/>
    <w:rsid w:val="008E64D7"/>
    <w:rsid w:val="008E6DCB"/>
    <w:rsid w:val="008E6E5D"/>
    <w:rsid w:val="008E6F06"/>
    <w:rsid w:val="008E7000"/>
    <w:rsid w:val="008E723E"/>
    <w:rsid w:val="008E7B8E"/>
    <w:rsid w:val="008E7FC9"/>
    <w:rsid w:val="008F0107"/>
    <w:rsid w:val="008F029B"/>
    <w:rsid w:val="008F0589"/>
    <w:rsid w:val="008F130B"/>
    <w:rsid w:val="008F2A5D"/>
    <w:rsid w:val="008F2BC7"/>
    <w:rsid w:val="008F2E83"/>
    <w:rsid w:val="008F3636"/>
    <w:rsid w:val="008F3FC9"/>
    <w:rsid w:val="008F509F"/>
    <w:rsid w:val="008F525A"/>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239"/>
    <w:rsid w:val="00932443"/>
    <w:rsid w:val="00932B32"/>
    <w:rsid w:val="0093305E"/>
    <w:rsid w:val="00933F4A"/>
    <w:rsid w:val="009341F1"/>
    <w:rsid w:val="00934FF2"/>
    <w:rsid w:val="009358D7"/>
    <w:rsid w:val="00935BD4"/>
    <w:rsid w:val="00935DFE"/>
    <w:rsid w:val="00935F70"/>
    <w:rsid w:val="009360FA"/>
    <w:rsid w:val="0093648B"/>
    <w:rsid w:val="00937017"/>
    <w:rsid w:val="009373B2"/>
    <w:rsid w:val="00937AE2"/>
    <w:rsid w:val="0094061F"/>
    <w:rsid w:val="00940F0F"/>
    <w:rsid w:val="00941912"/>
    <w:rsid w:val="0094416B"/>
    <w:rsid w:val="0094427A"/>
    <w:rsid w:val="009449C6"/>
    <w:rsid w:val="00944C7C"/>
    <w:rsid w:val="00945245"/>
    <w:rsid w:val="00945523"/>
    <w:rsid w:val="00946C43"/>
    <w:rsid w:val="00950921"/>
    <w:rsid w:val="00951D68"/>
    <w:rsid w:val="00951E5B"/>
    <w:rsid w:val="00952050"/>
    <w:rsid w:val="00952315"/>
    <w:rsid w:val="009523D9"/>
    <w:rsid w:val="00952B7B"/>
    <w:rsid w:val="0095357B"/>
    <w:rsid w:val="009538B3"/>
    <w:rsid w:val="00954F39"/>
    <w:rsid w:val="009555FD"/>
    <w:rsid w:val="00955BAD"/>
    <w:rsid w:val="0095664B"/>
    <w:rsid w:val="009568DC"/>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3"/>
    <w:rsid w:val="00977C3D"/>
    <w:rsid w:val="00980D3D"/>
    <w:rsid w:val="0098103E"/>
    <w:rsid w:val="0098157D"/>
    <w:rsid w:val="00983101"/>
    <w:rsid w:val="00983E41"/>
    <w:rsid w:val="009845E1"/>
    <w:rsid w:val="00984CE5"/>
    <w:rsid w:val="00984D1B"/>
    <w:rsid w:val="00986246"/>
    <w:rsid w:val="00987A30"/>
    <w:rsid w:val="00990312"/>
    <w:rsid w:val="009908AF"/>
    <w:rsid w:val="0099182E"/>
    <w:rsid w:val="00991D45"/>
    <w:rsid w:val="00992B49"/>
    <w:rsid w:val="00992BB3"/>
    <w:rsid w:val="00992CF3"/>
    <w:rsid w:val="00993194"/>
    <w:rsid w:val="0099321E"/>
    <w:rsid w:val="00993ECA"/>
    <w:rsid w:val="00994171"/>
    <w:rsid w:val="00994868"/>
    <w:rsid w:val="00994976"/>
    <w:rsid w:val="00994D28"/>
    <w:rsid w:val="00994F2C"/>
    <w:rsid w:val="00995720"/>
    <w:rsid w:val="009957CC"/>
    <w:rsid w:val="009968D6"/>
    <w:rsid w:val="00997953"/>
    <w:rsid w:val="00997D55"/>
    <w:rsid w:val="009A0BFF"/>
    <w:rsid w:val="009A10A0"/>
    <w:rsid w:val="009A12B7"/>
    <w:rsid w:val="009A1CAB"/>
    <w:rsid w:val="009A2359"/>
    <w:rsid w:val="009A24F1"/>
    <w:rsid w:val="009A27E0"/>
    <w:rsid w:val="009A4D57"/>
    <w:rsid w:val="009A51A5"/>
    <w:rsid w:val="009A5309"/>
    <w:rsid w:val="009A5759"/>
    <w:rsid w:val="009A60D1"/>
    <w:rsid w:val="009A6225"/>
    <w:rsid w:val="009A64F5"/>
    <w:rsid w:val="009B00D2"/>
    <w:rsid w:val="009B05B3"/>
    <w:rsid w:val="009B0CAF"/>
    <w:rsid w:val="009B1324"/>
    <w:rsid w:val="009B2558"/>
    <w:rsid w:val="009B284F"/>
    <w:rsid w:val="009B3764"/>
    <w:rsid w:val="009B3840"/>
    <w:rsid w:val="009B52AC"/>
    <w:rsid w:val="009B553D"/>
    <w:rsid w:val="009B59EA"/>
    <w:rsid w:val="009B5B6E"/>
    <w:rsid w:val="009B66CE"/>
    <w:rsid w:val="009B6FD3"/>
    <w:rsid w:val="009B72BE"/>
    <w:rsid w:val="009B78A4"/>
    <w:rsid w:val="009B7DB2"/>
    <w:rsid w:val="009C03DB"/>
    <w:rsid w:val="009C15AF"/>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6EA6"/>
    <w:rsid w:val="009D7731"/>
    <w:rsid w:val="009D78C3"/>
    <w:rsid w:val="009E1120"/>
    <w:rsid w:val="009E1393"/>
    <w:rsid w:val="009E1922"/>
    <w:rsid w:val="009E1A3D"/>
    <w:rsid w:val="009E4715"/>
    <w:rsid w:val="009E4A58"/>
    <w:rsid w:val="009E5273"/>
    <w:rsid w:val="009E57A8"/>
    <w:rsid w:val="009E5B85"/>
    <w:rsid w:val="009E5DDB"/>
    <w:rsid w:val="009F032E"/>
    <w:rsid w:val="009F1CA6"/>
    <w:rsid w:val="009F2921"/>
    <w:rsid w:val="009F42CF"/>
    <w:rsid w:val="009F4982"/>
    <w:rsid w:val="009F4CA7"/>
    <w:rsid w:val="009F4F6A"/>
    <w:rsid w:val="009F55BA"/>
    <w:rsid w:val="009F7D36"/>
    <w:rsid w:val="009F7D61"/>
    <w:rsid w:val="00A00470"/>
    <w:rsid w:val="00A00E71"/>
    <w:rsid w:val="00A0187B"/>
    <w:rsid w:val="00A02E8B"/>
    <w:rsid w:val="00A0306F"/>
    <w:rsid w:val="00A03511"/>
    <w:rsid w:val="00A03B10"/>
    <w:rsid w:val="00A03E2E"/>
    <w:rsid w:val="00A04616"/>
    <w:rsid w:val="00A04717"/>
    <w:rsid w:val="00A05D8F"/>
    <w:rsid w:val="00A05EB1"/>
    <w:rsid w:val="00A05EE4"/>
    <w:rsid w:val="00A06F99"/>
    <w:rsid w:val="00A1053B"/>
    <w:rsid w:val="00A10D66"/>
    <w:rsid w:val="00A113A4"/>
    <w:rsid w:val="00A12A8E"/>
    <w:rsid w:val="00A133F9"/>
    <w:rsid w:val="00A1411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28B"/>
    <w:rsid w:val="00A20FE1"/>
    <w:rsid w:val="00A2102F"/>
    <w:rsid w:val="00A21B4D"/>
    <w:rsid w:val="00A22073"/>
    <w:rsid w:val="00A223E0"/>
    <w:rsid w:val="00A22959"/>
    <w:rsid w:val="00A23158"/>
    <w:rsid w:val="00A232D7"/>
    <w:rsid w:val="00A23847"/>
    <w:rsid w:val="00A23E43"/>
    <w:rsid w:val="00A24726"/>
    <w:rsid w:val="00A24DEB"/>
    <w:rsid w:val="00A24ED9"/>
    <w:rsid w:val="00A251DB"/>
    <w:rsid w:val="00A25216"/>
    <w:rsid w:val="00A2597D"/>
    <w:rsid w:val="00A2628E"/>
    <w:rsid w:val="00A266BF"/>
    <w:rsid w:val="00A26777"/>
    <w:rsid w:val="00A269AB"/>
    <w:rsid w:val="00A2731E"/>
    <w:rsid w:val="00A309AC"/>
    <w:rsid w:val="00A30EA4"/>
    <w:rsid w:val="00A30F65"/>
    <w:rsid w:val="00A315D0"/>
    <w:rsid w:val="00A3279E"/>
    <w:rsid w:val="00A33DB1"/>
    <w:rsid w:val="00A33EEB"/>
    <w:rsid w:val="00A351C8"/>
    <w:rsid w:val="00A35900"/>
    <w:rsid w:val="00A35F33"/>
    <w:rsid w:val="00A401A3"/>
    <w:rsid w:val="00A40EAC"/>
    <w:rsid w:val="00A418BC"/>
    <w:rsid w:val="00A419FF"/>
    <w:rsid w:val="00A41FCF"/>
    <w:rsid w:val="00A42936"/>
    <w:rsid w:val="00A43CF8"/>
    <w:rsid w:val="00A43DF2"/>
    <w:rsid w:val="00A445A8"/>
    <w:rsid w:val="00A44B0D"/>
    <w:rsid w:val="00A44D21"/>
    <w:rsid w:val="00A45087"/>
    <w:rsid w:val="00A45489"/>
    <w:rsid w:val="00A45858"/>
    <w:rsid w:val="00A45CED"/>
    <w:rsid w:val="00A465E9"/>
    <w:rsid w:val="00A468E7"/>
    <w:rsid w:val="00A46DE0"/>
    <w:rsid w:val="00A47240"/>
    <w:rsid w:val="00A478BA"/>
    <w:rsid w:val="00A50D73"/>
    <w:rsid w:val="00A518BB"/>
    <w:rsid w:val="00A52A88"/>
    <w:rsid w:val="00A52CAD"/>
    <w:rsid w:val="00A53340"/>
    <w:rsid w:val="00A53FC7"/>
    <w:rsid w:val="00A55569"/>
    <w:rsid w:val="00A55C36"/>
    <w:rsid w:val="00A5661B"/>
    <w:rsid w:val="00A566A0"/>
    <w:rsid w:val="00A601E7"/>
    <w:rsid w:val="00A60AC1"/>
    <w:rsid w:val="00A62162"/>
    <w:rsid w:val="00A626FF"/>
    <w:rsid w:val="00A62CE1"/>
    <w:rsid w:val="00A65469"/>
    <w:rsid w:val="00A65528"/>
    <w:rsid w:val="00A655D3"/>
    <w:rsid w:val="00A662D9"/>
    <w:rsid w:val="00A6630C"/>
    <w:rsid w:val="00A6741E"/>
    <w:rsid w:val="00A67E29"/>
    <w:rsid w:val="00A7016A"/>
    <w:rsid w:val="00A7018D"/>
    <w:rsid w:val="00A7191D"/>
    <w:rsid w:val="00A722F9"/>
    <w:rsid w:val="00A72D42"/>
    <w:rsid w:val="00A746C9"/>
    <w:rsid w:val="00A74C2A"/>
    <w:rsid w:val="00A75E40"/>
    <w:rsid w:val="00A76818"/>
    <w:rsid w:val="00A77D1D"/>
    <w:rsid w:val="00A77E6B"/>
    <w:rsid w:val="00A809AD"/>
    <w:rsid w:val="00A81652"/>
    <w:rsid w:val="00A82BF0"/>
    <w:rsid w:val="00A82C91"/>
    <w:rsid w:val="00A83150"/>
    <w:rsid w:val="00A83398"/>
    <w:rsid w:val="00A83D6E"/>
    <w:rsid w:val="00A83FD5"/>
    <w:rsid w:val="00A8521A"/>
    <w:rsid w:val="00A857C0"/>
    <w:rsid w:val="00A85ACB"/>
    <w:rsid w:val="00A9036F"/>
    <w:rsid w:val="00A9092B"/>
    <w:rsid w:val="00A90F2C"/>
    <w:rsid w:val="00A90FED"/>
    <w:rsid w:val="00A91482"/>
    <w:rsid w:val="00A9189D"/>
    <w:rsid w:val="00A91E71"/>
    <w:rsid w:val="00A925B1"/>
    <w:rsid w:val="00A92A3E"/>
    <w:rsid w:val="00A934F9"/>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4282"/>
    <w:rsid w:val="00AA43F2"/>
    <w:rsid w:val="00AA4790"/>
    <w:rsid w:val="00AA52BF"/>
    <w:rsid w:val="00AA559A"/>
    <w:rsid w:val="00AA6C31"/>
    <w:rsid w:val="00AA7752"/>
    <w:rsid w:val="00AA7CE8"/>
    <w:rsid w:val="00AB1457"/>
    <w:rsid w:val="00AB2AF1"/>
    <w:rsid w:val="00AB32CB"/>
    <w:rsid w:val="00AB3AD7"/>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C5256"/>
    <w:rsid w:val="00AC78F1"/>
    <w:rsid w:val="00AC7B96"/>
    <w:rsid w:val="00AD0B22"/>
    <w:rsid w:val="00AD0EE7"/>
    <w:rsid w:val="00AD168E"/>
    <w:rsid w:val="00AD306C"/>
    <w:rsid w:val="00AD44CD"/>
    <w:rsid w:val="00AD47A7"/>
    <w:rsid w:val="00AD5AD2"/>
    <w:rsid w:val="00AD6462"/>
    <w:rsid w:val="00AD66C5"/>
    <w:rsid w:val="00AD68C4"/>
    <w:rsid w:val="00AD71F9"/>
    <w:rsid w:val="00AE09B3"/>
    <w:rsid w:val="00AE1A83"/>
    <w:rsid w:val="00AE2A78"/>
    <w:rsid w:val="00AE30BE"/>
    <w:rsid w:val="00AE3E6A"/>
    <w:rsid w:val="00AE417E"/>
    <w:rsid w:val="00AE56EE"/>
    <w:rsid w:val="00AE6414"/>
    <w:rsid w:val="00AE7269"/>
    <w:rsid w:val="00AE797C"/>
    <w:rsid w:val="00AE7CE7"/>
    <w:rsid w:val="00AE7FAB"/>
    <w:rsid w:val="00AF0DE4"/>
    <w:rsid w:val="00AF12A0"/>
    <w:rsid w:val="00AF1E87"/>
    <w:rsid w:val="00AF436B"/>
    <w:rsid w:val="00AF5179"/>
    <w:rsid w:val="00AF5CC2"/>
    <w:rsid w:val="00AF660D"/>
    <w:rsid w:val="00AF6776"/>
    <w:rsid w:val="00AF6F98"/>
    <w:rsid w:val="00AF7277"/>
    <w:rsid w:val="00B00550"/>
    <w:rsid w:val="00B00913"/>
    <w:rsid w:val="00B00D4D"/>
    <w:rsid w:val="00B01593"/>
    <w:rsid w:val="00B01D0F"/>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1B2"/>
    <w:rsid w:val="00B131B1"/>
    <w:rsid w:val="00B141B6"/>
    <w:rsid w:val="00B14BC1"/>
    <w:rsid w:val="00B154DE"/>
    <w:rsid w:val="00B162C3"/>
    <w:rsid w:val="00B16DD1"/>
    <w:rsid w:val="00B16EB8"/>
    <w:rsid w:val="00B1700A"/>
    <w:rsid w:val="00B17E71"/>
    <w:rsid w:val="00B17FDE"/>
    <w:rsid w:val="00B20632"/>
    <w:rsid w:val="00B2379C"/>
    <w:rsid w:val="00B23D5D"/>
    <w:rsid w:val="00B23E6E"/>
    <w:rsid w:val="00B2450C"/>
    <w:rsid w:val="00B2687D"/>
    <w:rsid w:val="00B27EC6"/>
    <w:rsid w:val="00B3108D"/>
    <w:rsid w:val="00B32DDB"/>
    <w:rsid w:val="00B32F57"/>
    <w:rsid w:val="00B3345C"/>
    <w:rsid w:val="00B343C4"/>
    <w:rsid w:val="00B34528"/>
    <w:rsid w:val="00B34750"/>
    <w:rsid w:val="00B34CC9"/>
    <w:rsid w:val="00B34CDA"/>
    <w:rsid w:val="00B35160"/>
    <w:rsid w:val="00B3563B"/>
    <w:rsid w:val="00B36BDC"/>
    <w:rsid w:val="00B37D3A"/>
    <w:rsid w:val="00B37D96"/>
    <w:rsid w:val="00B402FC"/>
    <w:rsid w:val="00B422E2"/>
    <w:rsid w:val="00B42517"/>
    <w:rsid w:val="00B42902"/>
    <w:rsid w:val="00B42D5F"/>
    <w:rsid w:val="00B43216"/>
    <w:rsid w:val="00B439DA"/>
    <w:rsid w:val="00B4411A"/>
    <w:rsid w:val="00B45FE8"/>
    <w:rsid w:val="00B46604"/>
    <w:rsid w:val="00B47089"/>
    <w:rsid w:val="00B47587"/>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60AC1"/>
    <w:rsid w:val="00B61FF6"/>
    <w:rsid w:val="00B62316"/>
    <w:rsid w:val="00B6274C"/>
    <w:rsid w:val="00B63A11"/>
    <w:rsid w:val="00B64425"/>
    <w:rsid w:val="00B64C24"/>
    <w:rsid w:val="00B64E72"/>
    <w:rsid w:val="00B65CEF"/>
    <w:rsid w:val="00B6608F"/>
    <w:rsid w:val="00B674C7"/>
    <w:rsid w:val="00B67749"/>
    <w:rsid w:val="00B679FB"/>
    <w:rsid w:val="00B71FBF"/>
    <w:rsid w:val="00B734A0"/>
    <w:rsid w:val="00B73A14"/>
    <w:rsid w:val="00B748BD"/>
    <w:rsid w:val="00B74964"/>
    <w:rsid w:val="00B76100"/>
    <w:rsid w:val="00B7680F"/>
    <w:rsid w:val="00B76B48"/>
    <w:rsid w:val="00B76D1E"/>
    <w:rsid w:val="00B77543"/>
    <w:rsid w:val="00B77584"/>
    <w:rsid w:val="00B77E34"/>
    <w:rsid w:val="00B80D44"/>
    <w:rsid w:val="00B80D89"/>
    <w:rsid w:val="00B80EC6"/>
    <w:rsid w:val="00B81288"/>
    <w:rsid w:val="00B81D70"/>
    <w:rsid w:val="00B833B9"/>
    <w:rsid w:val="00B83AAF"/>
    <w:rsid w:val="00B83E07"/>
    <w:rsid w:val="00B84CF6"/>
    <w:rsid w:val="00B85016"/>
    <w:rsid w:val="00B8561A"/>
    <w:rsid w:val="00B86628"/>
    <w:rsid w:val="00B86643"/>
    <w:rsid w:val="00B868F7"/>
    <w:rsid w:val="00B86EB1"/>
    <w:rsid w:val="00B871A7"/>
    <w:rsid w:val="00B90131"/>
    <w:rsid w:val="00B92951"/>
    <w:rsid w:val="00B92D1D"/>
    <w:rsid w:val="00B92D7E"/>
    <w:rsid w:val="00B930CE"/>
    <w:rsid w:val="00B938C5"/>
    <w:rsid w:val="00B940A8"/>
    <w:rsid w:val="00B9554A"/>
    <w:rsid w:val="00B95940"/>
    <w:rsid w:val="00B95ACA"/>
    <w:rsid w:val="00B95C12"/>
    <w:rsid w:val="00B96D74"/>
    <w:rsid w:val="00B9720E"/>
    <w:rsid w:val="00B97ACC"/>
    <w:rsid w:val="00B97FE2"/>
    <w:rsid w:val="00BA0E0B"/>
    <w:rsid w:val="00BA201A"/>
    <w:rsid w:val="00BA21DF"/>
    <w:rsid w:val="00BA361D"/>
    <w:rsid w:val="00BA3787"/>
    <w:rsid w:val="00BA403A"/>
    <w:rsid w:val="00BA46E8"/>
    <w:rsid w:val="00BA49DB"/>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0C0"/>
    <w:rsid w:val="00BB5AB2"/>
    <w:rsid w:val="00BB5ABF"/>
    <w:rsid w:val="00BB5F94"/>
    <w:rsid w:val="00BB6EA2"/>
    <w:rsid w:val="00BB7142"/>
    <w:rsid w:val="00BB76F3"/>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C7EFA"/>
    <w:rsid w:val="00BD041B"/>
    <w:rsid w:val="00BD25BB"/>
    <w:rsid w:val="00BD2AF8"/>
    <w:rsid w:val="00BD366B"/>
    <w:rsid w:val="00BD3C09"/>
    <w:rsid w:val="00BD410B"/>
    <w:rsid w:val="00BD4A73"/>
    <w:rsid w:val="00BD4EDD"/>
    <w:rsid w:val="00BD4EF4"/>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55EF"/>
    <w:rsid w:val="00BE7F5F"/>
    <w:rsid w:val="00BF02C8"/>
    <w:rsid w:val="00BF1578"/>
    <w:rsid w:val="00BF15CA"/>
    <w:rsid w:val="00BF1D12"/>
    <w:rsid w:val="00BF1D3A"/>
    <w:rsid w:val="00BF2B5B"/>
    <w:rsid w:val="00BF2D41"/>
    <w:rsid w:val="00BF3274"/>
    <w:rsid w:val="00BF32DC"/>
    <w:rsid w:val="00BF35C9"/>
    <w:rsid w:val="00BF4329"/>
    <w:rsid w:val="00BF4E43"/>
    <w:rsid w:val="00BF5C4C"/>
    <w:rsid w:val="00BF765C"/>
    <w:rsid w:val="00BF77FC"/>
    <w:rsid w:val="00C006D6"/>
    <w:rsid w:val="00C00BD7"/>
    <w:rsid w:val="00C01410"/>
    <w:rsid w:val="00C024BB"/>
    <w:rsid w:val="00C02D23"/>
    <w:rsid w:val="00C03D4D"/>
    <w:rsid w:val="00C044F4"/>
    <w:rsid w:val="00C04B78"/>
    <w:rsid w:val="00C052AA"/>
    <w:rsid w:val="00C06EE3"/>
    <w:rsid w:val="00C07279"/>
    <w:rsid w:val="00C07749"/>
    <w:rsid w:val="00C07C67"/>
    <w:rsid w:val="00C10805"/>
    <w:rsid w:val="00C11244"/>
    <w:rsid w:val="00C118A9"/>
    <w:rsid w:val="00C11D48"/>
    <w:rsid w:val="00C12304"/>
    <w:rsid w:val="00C12316"/>
    <w:rsid w:val="00C1246C"/>
    <w:rsid w:val="00C1493E"/>
    <w:rsid w:val="00C15537"/>
    <w:rsid w:val="00C15DBD"/>
    <w:rsid w:val="00C161C5"/>
    <w:rsid w:val="00C172F7"/>
    <w:rsid w:val="00C2010D"/>
    <w:rsid w:val="00C20CB5"/>
    <w:rsid w:val="00C21430"/>
    <w:rsid w:val="00C216DF"/>
    <w:rsid w:val="00C21E61"/>
    <w:rsid w:val="00C21F94"/>
    <w:rsid w:val="00C224BD"/>
    <w:rsid w:val="00C2272B"/>
    <w:rsid w:val="00C234DB"/>
    <w:rsid w:val="00C23C5C"/>
    <w:rsid w:val="00C2479A"/>
    <w:rsid w:val="00C24903"/>
    <w:rsid w:val="00C2590D"/>
    <w:rsid w:val="00C25D9C"/>
    <w:rsid w:val="00C26086"/>
    <w:rsid w:val="00C27913"/>
    <w:rsid w:val="00C27FA7"/>
    <w:rsid w:val="00C300E2"/>
    <w:rsid w:val="00C31F21"/>
    <w:rsid w:val="00C32631"/>
    <w:rsid w:val="00C33301"/>
    <w:rsid w:val="00C33311"/>
    <w:rsid w:val="00C33B68"/>
    <w:rsid w:val="00C34AD4"/>
    <w:rsid w:val="00C35570"/>
    <w:rsid w:val="00C35A2A"/>
    <w:rsid w:val="00C36A79"/>
    <w:rsid w:val="00C401A9"/>
    <w:rsid w:val="00C401D2"/>
    <w:rsid w:val="00C4031A"/>
    <w:rsid w:val="00C405D4"/>
    <w:rsid w:val="00C419D5"/>
    <w:rsid w:val="00C41D54"/>
    <w:rsid w:val="00C42EBB"/>
    <w:rsid w:val="00C435E8"/>
    <w:rsid w:val="00C4513B"/>
    <w:rsid w:val="00C475E8"/>
    <w:rsid w:val="00C50E79"/>
    <w:rsid w:val="00C5197D"/>
    <w:rsid w:val="00C525FB"/>
    <w:rsid w:val="00C5390B"/>
    <w:rsid w:val="00C54257"/>
    <w:rsid w:val="00C54697"/>
    <w:rsid w:val="00C550CE"/>
    <w:rsid w:val="00C553A5"/>
    <w:rsid w:val="00C55402"/>
    <w:rsid w:val="00C5603B"/>
    <w:rsid w:val="00C60AE3"/>
    <w:rsid w:val="00C61F47"/>
    <w:rsid w:val="00C62828"/>
    <w:rsid w:val="00C655DA"/>
    <w:rsid w:val="00C672C1"/>
    <w:rsid w:val="00C706D2"/>
    <w:rsid w:val="00C715CC"/>
    <w:rsid w:val="00C719A3"/>
    <w:rsid w:val="00C71D2F"/>
    <w:rsid w:val="00C72984"/>
    <w:rsid w:val="00C73885"/>
    <w:rsid w:val="00C73C93"/>
    <w:rsid w:val="00C7435A"/>
    <w:rsid w:val="00C747B1"/>
    <w:rsid w:val="00C75510"/>
    <w:rsid w:val="00C755F9"/>
    <w:rsid w:val="00C75752"/>
    <w:rsid w:val="00C75B60"/>
    <w:rsid w:val="00C761EC"/>
    <w:rsid w:val="00C770C9"/>
    <w:rsid w:val="00C8019E"/>
    <w:rsid w:val="00C81070"/>
    <w:rsid w:val="00C8174E"/>
    <w:rsid w:val="00C82191"/>
    <w:rsid w:val="00C83134"/>
    <w:rsid w:val="00C831E7"/>
    <w:rsid w:val="00C832F3"/>
    <w:rsid w:val="00C84307"/>
    <w:rsid w:val="00C845A4"/>
    <w:rsid w:val="00C85545"/>
    <w:rsid w:val="00C855B5"/>
    <w:rsid w:val="00C85F0E"/>
    <w:rsid w:val="00C867F9"/>
    <w:rsid w:val="00C872AA"/>
    <w:rsid w:val="00C87C6B"/>
    <w:rsid w:val="00C90357"/>
    <w:rsid w:val="00C90CF4"/>
    <w:rsid w:val="00C91C20"/>
    <w:rsid w:val="00C922DE"/>
    <w:rsid w:val="00C92843"/>
    <w:rsid w:val="00C929FE"/>
    <w:rsid w:val="00C92EB6"/>
    <w:rsid w:val="00C93389"/>
    <w:rsid w:val="00C948E6"/>
    <w:rsid w:val="00C94CDD"/>
    <w:rsid w:val="00C95123"/>
    <w:rsid w:val="00C97588"/>
    <w:rsid w:val="00CA0346"/>
    <w:rsid w:val="00CA0BD5"/>
    <w:rsid w:val="00CA0DA1"/>
    <w:rsid w:val="00CA1BD6"/>
    <w:rsid w:val="00CA37FF"/>
    <w:rsid w:val="00CA423A"/>
    <w:rsid w:val="00CA47BC"/>
    <w:rsid w:val="00CA5EAD"/>
    <w:rsid w:val="00CA6AB4"/>
    <w:rsid w:val="00CA7255"/>
    <w:rsid w:val="00CA79E2"/>
    <w:rsid w:val="00CB111E"/>
    <w:rsid w:val="00CB1BEE"/>
    <w:rsid w:val="00CB2351"/>
    <w:rsid w:val="00CB3605"/>
    <w:rsid w:val="00CB4022"/>
    <w:rsid w:val="00CB4930"/>
    <w:rsid w:val="00CB4BA9"/>
    <w:rsid w:val="00CB4C48"/>
    <w:rsid w:val="00CB4C63"/>
    <w:rsid w:val="00CB5A48"/>
    <w:rsid w:val="00CB5E10"/>
    <w:rsid w:val="00CB613B"/>
    <w:rsid w:val="00CB6152"/>
    <w:rsid w:val="00CB64E1"/>
    <w:rsid w:val="00CB6C6F"/>
    <w:rsid w:val="00CB6E4D"/>
    <w:rsid w:val="00CC009B"/>
    <w:rsid w:val="00CC0834"/>
    <w:rsid w:val="00CC0AEA"/>
    <w:rsid w:val="00CC20FE"/>
    <w:rsid w:val="00CC225C"/>
    <w:rsid w:val="00CC2E7D"/>
    <w:rsid w:val="00CC469E"/>
    <w:rsid w:val="00CC5BE8"/>
    <w:rsid w:val="00CC612B"/>
    <w:rsid w:val="00CC655F"/>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6331"/>
    <w:rsid w:val="00CD7E9E"/>
    <w:rsid w:val="00CE14BE"/>
    <w:rsid w:val="00CE17A4"/>
    <w:rsid w:val="00CE1BA9"/>
    <w:rsid w:val="00CE2D8F"/>
    <w:rsid w:val="00CE3532"/>
    <w:rsid w:val="00CE3E48"/>
    <w:rsid w:val="00CE46C0"/>
    <w:rsid w:val="00CE47B8"/>
    <w:rsid w:val="00CE54FD"/>
    <w:rsid w:val="00CE5C92"/>
    <w:rsid w:val="00CE5E12"/>
    <w:rsid w:val="00CE62FA"/>
    <w:rsid w:val="00CE670B"/>
    <w:rsid w:val="00CE6833"/>
    <w:rsid w:val="00CE7562"/>
    <w:rsid w:val="00CF020B"/>
    <w:rsid w:val="00CF0E03"/>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07CC2"/>
    <w:rsid w:val="00D10C15"/>
    <w:rsid w:val="00D11011"/>
    <w:rsid w:val="00D11476"/>
    <w:rsid w:val="00D12C25"/>
    <w:rsid w:val="00D133B4"/>
    <w:rsid w:val="00D13986"/>
    <w:rsid w:val="00D13F3E"/>
    <w:rsid w:val="00D14C5B"/>
    <w:rsid w:val="00D15D3A"/>
    <w:rsid w:val="00D15FED"/>
    <w:rsid w:val="00D16712"/>
    <w:rsid w:val="00D174E0"/>
    <w:rsid w:val="00D214EF"/>
    <w:rsid w:val="00D215B0"/>
    <w:rsid w:val="00D21B36"/>
    <w:rsid w:val="00D21D6D"/>
    <w:rsid w:val="00D21D83"/>
    <w:rsid w:val="00D22A47"/>
    <w:rsid w:val="00D235B7"/>
    <w:rsid w:val="00D23A99"/>
    <w:rsid w:val="00D23FAE"/>
    <w:rsid w:val="00D25F28"/>
    <w:rsid w:val="00D26071"/>
    <w:rsid w:val="00D260C7"/>
    <w:rsid w:val="00D26133"/>
    <w:rsid w:val="00D269B9"/>
    <w:rsid w:val="00D27973"/>
    <w:rsid w:val="00D27F3A"/>
    <w:rsid w:val="00D31537"/>
    <w:rsid w:val="00D31E1E"/>
    <w:rsid w:val="00D322A0"/>
    <w:rsid w:val="00D32824"/>
    <w:rsid w:val="00D334E2"/>
    <w:rsid w:val="00D335E5"/>
    <w:rsid w:val="00D350B1"/>
    <w:rsid w:val="00D35AD6"/>
    <w:rsid w:val="00D35BBB"/>
    <w:rsid w:val="00D35E1A"/>
    <w:rsid w:val="00D36B0A"/>
    <w:rsid w:val="00D36DFB"/>
    <w:rsid w:val="00D36E1C"/>
    <w:rsid w:val="00D373AF"/>
    <w:rsid w:val="00D40556"/>
    <w:rsid w:val="00D418E9"/>
    <w:rsid w:val="00D41F74"/>
    <w:rsid w:val="00D428C8"/>
    <w:rsid w:val="00D43034"/>
    <w:rsid w:val="00D43ED2"/>
    <w:rsid w:val="00D50F46"/>
    <w:rsid w:val="00D5302A"/>
    <w:rsid w:val="00D533C4"/>
    <w:rsid w:val="00D5384E"/>
    <w:rsid w:val="00D544E7"/>
    <w:rsid w:val="00D5499F"/>
    <w:rsid w:val="00D5560A"/>
    <w:rsid w:val="00D56FBF"/>
    <w:rsid w:val="00D57677"/>
    <w:rsid w:val="00D5781F"/>
    <w:rsid w:val="00D60415"/>
    <w:rsid w:val="00D60DAE"/>
    <w:rsid w:val="00D60E3C"/>
    <w:rsid w:val="00D60FA7"/>
    <w:rsid w:val="00D61FAB"/>
    <w:rsid w:val="00D62C4E"/>
    <w:rsid w:val="00D63BE5"/>
    <w:rsid w:val="00D6475F"/>
    <w:rsid w:val="00D652EB"/>
    <w:rsid w:val="00D655D4"/>
    <w:rsid w:val="00D66223"/>
    <w:rsid w:val="00D667B8"/>
    <w:rsid w:val="00D67D55"/>
    <w:rsid w:val="00D70289"/>
    <w:rsid w:val="00D7041F"/>
    <w:rsid w:val="00D70822"/>
    <w:rsid w:val="00D72076"/>
    <w:rsid w:val="00D721B4"/>
    <w:rsid w:val="00D726A9"/>
    <w:rsid w:val="00D72DBA"/>
    <w:rsid w:val="00D743E0"/>
    <w:rsid w:val="00D7469D"/>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2CD7"/>
    <w:rsid w:val="00D932B8"/>
    <w:rsid w:val="00D932F0"/>
    <w:rsid w:val="00D95302"/>
    <w:rsid w:val="00D95889"/>
    <w:rsid w:val="00D95C5D"/>
    <w:rsid w:val="00D95CBE"/>
    <w:rsid w:val="00D95E7F"/>
    <w:rsid w:val="00D97D00"/>
    <w:rsid w:val="00DA096C"/>
    <w:rsid w:val="00DA1AB6"/>
    <w:rsid w:val="00DA2E65"/>
    <w:rsid w:val="00DA37DE"/>
    <w:rsid w:val="00DA3ADF"/>
    <w:rsid w:val="00DA4174"/>
    <w:rsid w:val="00DA544C"/>
    <w:rsid w:val="00DA5F8E"/>
    <w:rsid w:val="00DA6364"/>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613B"/>
    <w:rsid w:val="00DB657E"/>
    <w:rsid w:val="00DB7342"/>
    <w:rsid w:val="00DB7489"/>
    <w:rsid w:val="00DC0B4D"/>
    <w:rsid w:val="00DC0CBB"/>
    <w:rsid w:val="00DC17D0"/>
    <w:rsid w:val="00DC1E5D"/>
    <w:rsid w:val="00DC2B41"/>
    <w:rsid w:val="00DC2EA7"/>
    <w:rsid w:val="00DC3128"/>
    <w:rsid w:val="00DC435B"/>
    <w:rsid w:val="00DC4AC4"/>
    <w:rsid w:val="00DC53D8"/>
    <w:rsid w:val="00DC56FE"/>
    <w:rsid w:val="00DC5B3B"/>
    <w:rsid w:val="00DC5F11"/>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273F"/>
    <w:rsid w:val="00DE27CD"/>
    <w:rsid w:val="00DE3231"/>
    <w:rsid w:val="00DE3E22"/>
    <w:rsid w:val="00DE3E5D"/>
    <w:rsid w:val="00DE450F"/>
    <w:rsid w:val="00DE4865"/>
    <w:rsid w:val="00DE5CA6"/>
    <w:rsid w:val="00DE5E55"/>
    <w:rsid w:val="00DE63AE"/>
    <w:rsid w:val="00DE7156"/>
    <w:rsid w:val="00DE7AC8"/>
    <w:rsid w:val="00DF0830"/>
    <w:rsid w:val="00DF2C5D"/>
    <w:rsid w:val="00DF2CD3"/>
    <w:rsid w:val="00DF3643"/>
    <w:rsid w:val="00DF42FF"/>
    <w:rsid w:val="00DF4369"/>
    <w:rsid w:val="00DF4423"/>
    <w:rsid w:val="00DF4ADF"/>
    <w:rsid w:val="00DF57D6"/>
    <w:rsid w:val="00DF5D1E"/>
    <w:rsid w:val="00DF77E4"/>
    <w:rsid w:val="00DF7F88"/>
    <w:rsid w:val="00E00B88"/>
    <w:rsid w:val="00E01C0E"/>
    <w:rsid w:val="00E0368F"/>
    <w:rsid w:val="00E03D73"/>
    <w:rsid w:val="00E03F9A"/>
    <w:rsid w:val="00E040DA"/>
    <w:rsid w:val="00E04694"/>
    <w:rsid w:val="00E05333"/>
    <w:rsid w:val="00E1168B"/>
    <w:rsid w:val="00E12191"/>
    <w:rsid w:val="00E129E7"/>
    <w:rsid w:val="00E12ABE"/>
    <w:rsid w:val="00E12B1E"/>
    <w:rsid w:val="00E135EB"/>
    <w:rsid w:val="00E13995"/>
    <w:rsid w:val="00E1444C"/>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274BB"/>
    <w:rsid w:val="00E30F15"/>
    <w:rsid w:val="00E31771"/>
    <w:rsid w:val="00E3186D"/>
    <w:rsid w:val="00E31A3E"/>
    <w:rsid w:val="00E32080"/>
    <w:rsid w:val="00E32778"/>
    <w:rsid w:val="00E3309D"/>
    <w:rsid w:val="00E34E3F"/>
    <w:rsid w:val="00E350B1"/>
    <w:rsid w:val="00E35A53"/>
    <w:rsid w:val="00E3634A"/>
    <w:rsid w:val="00E3656B"/>
    <w:rsid w:val="00E3712B"/>
    <w:rsid w:val="00E3724A"/>
    <w:rsid w:val="00E378B1"/>
    <w:rsid w:val="00E41131"/>
    <w:rsid w:val="00E41179"/>
    <w:rsid w:val="00E417BE"/>
    <w:rsid w:val="00E41CD5"/>
    <w:rsid w:val="00E42054"/>
    <w:rsid w:val="00E4372D"/>
    <w:rsid w:val="00E43A9E"/>
    <w:rsid w:val="00E44243"/>
    <w:rsid w:val="00E453F9"/>
    <w:rsid w:val="00E45D7D"/>
    <w:rsid w:val="00E4623F"/>
    <w:rsid w:val="00E4665D"/>
    <w:rsid w:val="00E47854"/>
    <w:rsid w:val="00E478E2"/>
    <w:rsid w:val="00E47EBA"/>
    <w:rsid w:val="00E50156"/>
    <w:rsid w:val="00E504EB"/>
    <w:rsid w:val="00E5076C"/>
    <w:rsid w:val="00E50D2E"/>
    <w:rsid w:val="00E50D7D"/>
    <w:rsid w:val="00E51EF0"/>
    <w:rsid w:val="00E53470"/>
    <w:rsid w:val="00E5368D"/>
    <w:rsid w:val="00E539F6"/>
    <w:rsid w:val="00E54698"/>
    <w:rsid w:val="00E54BE9"/>
    <w:rsid w:val="00E54D22"/>
    <w:rsid w:val="00E54FB4"/>
    <w:rsid w:val="00E5539A"/>
    <w:rsid w:val="00E55791"/>
    <w:rsid w:val="00E55E1A"/>
    <w:rsid w:val="00E578A2"/>
    <w:rsid w:val="00E579ED"/>
    <w:rsid w:val="00E60043"/>
    <w:rsid w:val="00E61740"/>
    <w:rsid w:val="00E61EB5"/>
    <w:rsid w:val="00E6324D"/>
    <w:rsid w:val="00E647C1"/>
    <w:rsid w:val="00E65084"/>
    <w:rsid w:val="00E6519D"/>
    <w:rsid w:val="00E66062"/>
    <w:rsid w:val="00E6660E"/>
    <w:rsid w:val="00E66768"/>
    <w:rsid w:val="00E67305"/>
    <w:rsid w:val="00E67696"/>
    <w:rsid w:val="00E709AF"/>
    <w:rsid w:val="00E70C5F"/>
    <w:rsid w:val="00E71A58"/>
    <w:rsid w:val="00E728D7"/>
    <w:rsid w:val="00E72A26"/>
    <w:rsid w:val="00E72A7A"/>
    <w:rsid w:val="00E7335A"/>
    <w:rsid w:val="00E73986"/>
    <w:rsid w:val="00E7467D"/>
    <w:rsid w:val="00E747DC"/>
    <w:rsid w:val="00E74A2D"/>
    <w:rsid w:val="00E75C94"/>
    <w:rsid w:val="00E76A08"/>
    <w:rsid w:val="00E76B9B"/>
    <w:rsid w:val="00E76E61"/>
    <w:rsid w:val="00E76EE4"/>
    <w:rsid w:val="00E77CC0"/>
    <w:rsid w:val="00E80B3D"/>
    <w:rsid w:val="00E80CA3"/>
    <w:rsid w:val="00E81AAA"/>
    <w:rsid w:val="00E82618"/>
    <w:rsid w:val="00E82A42"/>
    <w:rsid w:val="00E84E09"/>
    <w:rsid w:val="00E87CE2"/>
    <w:rsid w:val="00E87D5B"/>
    <w:rsid w:val="00E90CA8"/>
    <w:rsid w:val="00E911C6"/>
    <w:rsid w:val="00E920DE"/>
    <w:rsid w:val="00E930A1"/>
    <w:rsid w:val="00E93820"/>
    <w:rsid w:val="00E94A86"/>
    <w:rsid w:val="00E951AB"/>
    <w:rsid w:val="00E953F6"/>
    <w:rsid w:val="00E96143"/>
    <w:rsid w:val="00E96833"/>
    <w:rsid w:val="00E97506"/>
    <w:rsid w:val="00E97BB5"/>
    <w:rsid w:val="00E97D5B"/>
    <w:rsid w:val="00E97F14"/>
    <w:rsid w:val="00EA0C68"/>
    <w:rsid w:val="00EA0E39"/>
    <w:rsid w:val="00EA1D0E"/>
    <w:rsid w:val="00EA2072"/>
    <w:rsid w:val="00EA2841"/>
    <w:rsid w:val="00EA32BC"/>
    <w:rsid w:val="00EA35A7"/>
    <w:rsid w:val="00EA3B32"/>
    <w:rsid w:val="00EA3CEB"/>
    <w:rsid w:val="00EA3D05"/>
    <w:rsid w:val="00EA4222"/>
    <w:rsid w:val="00EA4402"/>
    <w:rsid w:val="00EA4B8D"/>
    <w:rsid w:val="00EA513E"/>
    <w:rsid w:val="00EA7419"/>
    <w:rsid w:val="00EB0E32"/>
    <w:rsid w:val="00EB1CDC"/>
    <w:rsid w:val="00EB1D89"/>
    <w:rsid w:val="00EB3E60"/>
    <w:rsid w:val="00EB4511"/>
    <w:rsid w:val="00EB48D7"/>
    <w:rsid w:val="00EB49F1"/>
    <w:rsid w:val="00EB4A8E"/>
    <w:rsid w:val="00EB4BC5"/>
    <w:rsid w:val="00EB5BF7"/>
    <w:rsid w:val="00EB5E79"/>
    <w:rsid w:val="00EB6473"/>
    <w:rsid w:val="00EB6DA6"/>
    <w:rsid w:val="00EB6FAC"/>
    <w:rsid w:val="00EB7BAC"/>
    <w:rsid w:val="00EB7CC9"/>
    <w:rsid w:val="00EC03D7"/>
    <w:rsid w:val="00EC13A7"/>
    <w:rsid w:val="00EC2EB6"/>
    <w:rsid w:val="00EC4FFF"/>
    <w:rsid w:val="00EC5517"/>
    <w:rsid w:val="00EC6E8C"/>
    <w:rsid w:val="00ED0962"/>
    <w:rsid w:val="00ED0EF0"/>
    <w:rsid w:val="00ED0F73"/>
    <w:rsid w:val="00ED12B9"/>
    <w:rsid w:val="00ED16B8"/>
    <w:rsid w:val="00ED1959"/>
    <w:rsid w:val="00ED1A00"/>
    <w:rsid w:val="00ED1DF0"/>
    <w:rsid w:val="00ED2386"/>
    <w:rsid w:val="00ED2525"/>
    <w:rsid w:val="00ED2EA1"/>
    <w:rsid w:val="00ED3851"/>
    <w:rsid w:val="00ED3E51"/>
    <w:rsid w:val="00ED3F10"/>
    <w:rsid w:val="00ED3F9B"/>
    <w:rsid w:val="00ED3FB3"/>
    <w:rsid w:val="00ED4D04"/>
    <w:rsid w:val="00ED566D"/>
    <w:rsid w:val="00ED5907"/>
    <w:rsid w:val="00ED5F5B"/>
    <w:rsid w:val="00ED62C6"/>
    <w:rsid w:val="00ED64C1"/>
    <w:rsid w:val="00ED781F"/>
    <w:rsid w:val="00EE0E7E"/>
    <w:rsid w:val="00EE249F"/>
    <w:rsid w:val="00EE2EB4"/>
    <w:rsid w:val="00EE3446"/>
    <w:rsid w:val="00EE3E78"/>
    <w:rsid w:val="00EE41FD"/>
    <w:rsid w:val="00EE460E"/>
    <w:rsid w:val="00EE4B1B"/>
    <w:rsid w:val="00EE5FBA"/>
    <w:rsid w:val="00EE601C"/>
    <w:rsid w:val="00EE6A09"/>
    <w:rsid w:val="00EE6E06"/>
    <w:rsid w:val="00EE7179"/>
    <w:rsid w:val="00EF0D90"/>
    <w:rsid w:val="00EF150D"/>
    <w:rsid w:val="00EF1F5A"/>
    <w:rsid w:val="00EF23B5"/>
    <w:rsid w:val="00EF326A"/>
    <w:rsid w:val="00EF3898"/>
    <w:rsid w:val="00EF47BF"/>
    <w:rsid w:val="00EF52F7"/>
    <w:rsid w:val="00EF54CF"/>
    <w:rsid w:val="00EF59B1"/>
    <w:rsid w:val="00EF5A13"/>
    <w:rsid w:val="00EF5FF9"/>
    <w:rsid w:val="00EF77D4"/>
    <w:rsid w:val="00EF7CC7"/>
    <w:rsid w:val="00F00535"/>
    <w:rsid w:val="00F00853"/>
    <w:rsid w:val="00F00866"/>
    <w:rsid w:val="00F00EC8"/>
    <w:rsid w:val="00F0160B"/>
    <w:rsid w:val="00F0193E"/>
    <w:rsid w:val="00F03E2F"/>
    <w:rsid w:val="00F03F8D"/>
    <w:rsid w:val="00F04811"/>
    <w:rsid w:val="00F0488C"/>
    <w:rsid w:val="00F04955"/>
    <w:rsid w:val="00F052D2"/>
    <w:rsid w:val="00F06002"/>
    <w:rsid w:val="00F067B8"/>
    <w:rsid w:val="00F0730A"/>
    <w:rsid w:val="00F073ED"/>
    <w:rsid w:val="00F07C4C"/>
    <w:rsid w:val="00F07E45"/>
    <w:rsid w:val="00F10F11"/>
    <w:rsid w:val="00F11159"/>
    <w:rsid w:val="00F1152E"/>
    <w:rsid w:val="00F115E4"/>
    <w:rsid w:val="00F11AC4"/>
    <w:rsid w:val="00F120A5"/>
    <w:rsid w:val="00F12CFB"/>
    <w:rsid w:val="00F13E60"/>
    <w:rsid w:val="00F13FDB"/>
    <w:rsid w:val="00F15AAA"/>
    <w:rsid w:val="00F15BEF"/>
    <w:rsid w:val="00F17898"/>
    <w:rsid w:val="00F204BF"/>
    <w:rsid w:val="00F207C2"/>
    <w:rsid w:val="00F21337"/>
    <w:rsid w:val="00F219A1"/>
    <w:rsid w:val="00F23E20"/>
    <w:rsid w:val="00F24407"/>
    <w:rsid w:val="00F249CE"/>
    <w:rsid w:val="00F24FAA"/>
    <w:rsid w:val="00F25040"/>
    <w:rsid w:val="00F269D7"/>
    <w:rsid w:val="00F26FB5"/>
    <w:rsid w:val="00F27071"/>
    <w:rsid w:val="00F27331"/>
    <w:rsid w:val="00F276D3"/>
    <w:rsid w:val="00F27EE5"/>
    <w:rsid w:val="00F27FB1"/>
    <w:rsid w:val="00F27FD6"/>
    <w:rsid w:val="00F307CB"/>
    <w:rsid w:val="00F30C0C"/>
    <w:rsid w:val="00F30C65"/>
    <w:rsid w:val="00F321D2"/>
    <w:rsid w:val="00F32649"/>
    <w:rsid w:val="00F33523"/>
    <w:rsid w:val="00F3364D"/>
    <w:rsid w:val="00F33914"/>
    <w:rsid w:val="00F349BF"/>
    <w:rsid w:val="00F34DDC"/>
    <w:rsid w:val="00F36191"/>
    <w:rsid w:val="00F3629F"/>
    <w:rsid w:val="00F36DF3"/>
    <w:rsid w:val="00F37362"/>
    <w:rsid w:val="00F37EDC"/>
    <w:rsid w:val="00F437CC"/>
    <w:rsid w:val="00F44537"/>
    <w:rsid w:val="00F46185"/>
    <w:rsid w:val="00F46423"/>
    <w:rsid w:val="00F4696A"/>
    <w:rsid w:val="00F47067"/>
    <w:rsid w:val="00F47234"/>
    <w:rsid w:val="00F51ADD"/>
    <w:rsid w:val="00F525AB"/>
    <w:rsid w:val="00F525EB"/>
    <w:rsid w:val="00F52CB5"/>
    <w:rsid w:val="00F53378"/>
    <w:rsid w:val="00F53917"/>
    <w:rsid w:val="00F53A68"/>
    <w:rsid w:val="00F54934"/>
    <w:rsid w:val="00F55A92"/>
    <w:rsid w:val="00F5615B"/>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50B"/>
    <w:rsid w:val="00F717E4"/>
    <w:rsid w:val="00F71DE6"/>
    <w:rsid w:val="00F72D71"/>
    <w:rsid w:val="00F7381C"/>
    <w:rsid w:val="00F73A0C"/>
    <w:rsid w:val="00F752DC"/>
    <w:rsid w:val="00F7549F"/>
    <w:rsid w:val="00F756DB"/>
    <w:rsid w:val="00F766BE"/>
    <w:rsid w:val="00F767A8"/>
    <w:rsid w:val="00F77590"/>
    <w:rsid w:val="00F77A50"/>
    <w:rsid w:val="00F82D14"/>
    <w:rsid w:val="00F84E7D"/>
    <w:rsid w:val="00F85066"/>
    <w:rsid w:val="00F874F8"/>
    <w:rsid w:val="00F87A4D"/>
    <w:rsid w:val="00F90EEB"/>
    <w:rsid w:val="00F9135C"/>
    <w:rsid w:val="00F91B66"/>
    <w:rsid w:val="00F9354A"/>
    <w:rsid w:val="00F93688"/>
    <w:rsid w:val="00F939F3"/>
    <w:rsid w:val="00F93C6E"/>
    <w:rsid w:val="00F93F2C"/>
    <w:rsid w:val="00F947E9"/>
    <w:rsid w:val="00F962AD"/>
    <w:rsid w:val="00F9644E"/>
    <w:rsid w:val="00FA0105"/>
    <w:rsid w:val="00FA05A0"/>
    <w:rsid w:val="00FA0AEF"/>
    <w:rsid w:val="00FA17CC"/>
    <w:rsid w:val="00FA1CFE"/>
    <w:rsid w:val="00FA1EE7"/>
    <w:rsid w:val="00FA1F01"/>
    <w:rsid w:val="00FA26DF"/>
    <w:rsid w:val="00FA32BC"/>
    <w:rsid w:val="00FA3FA8"/>
    <w:rsid w:val="00FA4059"/>
    <w:rsid w:val="00FA4574"/>
    <w:rsid w:val="00FA48A4"/>
    <w:rsid w:val="00FA4CB7"/>
    <w:rsid w:val="00FA5112"/>
    <w:rsid w:val="00FA5526"/>
    <w:rsid w:val="00FA5D4D"/>
    <w:rsid w:val="00FA6CB6"/>
    <w:rsid w:val="00FA70D3"/>
    <w:rsid w:val="00FA7AEC"/>
    <w:rsid w:val="00FB0AEA"/>
    <w:rsid w:val="00FB0EE2"/>
    <w:rsid w:val="00FB1A79"/>
    <w:rsid w:val="00FB1BA4"/>
    <w:rsid w:val="00FB208B"/>
    <w:rsid w:val="00FB2B2D"/>
    <w:rsid w:val="00FB542E"/>
    <w:rsid w:val="00FB5580"/>
    <w:rsid w:val="00FB564F"/>
    <w:rsid w:val="00FB7DBB"/>
    <w:rsid w:val="00FC05F8"/>
    <w:rsid w:val="00FC077B"/>
    <w:rsid w:val="00FC0E5F"/>
    <w:rsid w:val="00FC1070"/>
    <w:rsid w:val="00FC1266"/>
    <w:rsid w:val="00FC1A95"/>
    <w:rsid w:val="00FC1ED4"/>
    <w:rsid w:val="00FC3BEC"/>
    <w:rsid w:val="00FC42C5"/>
    <w:rsid w:val="00FC440B"/>
    <w:rsid w:val="00FC56DE"/>
    <w:rsid w:val="00FC63D9"/>
    <w:rsid w:val="00FC64DE"/>
    <w:rsid w:val="00FC6785"/>
    <w:rsid w:val="00FC684B"/>
    <w:rsid w:val="00FC7D98"/>
    <w:rsid w:val="00FD1135"/>
    <w:rsid w:val="00FD3265"/>
    <w:rsid w:val="00FD3CF7"/>
    <w:rsid w:val="00FD4124"/>
    <w:rsid w:val="00FD4372"/>
    <w:rsid w:val="00FD4916"/>
    <w:rsid w:val="00FD4D12"/>
    <w:rsid w:val="00FD4F73"/>
    <w:rsid w:val="00FD595E"/>
    <w:rsid w:val="00FD7802"/>
    <w:rsid w:val="00FD7D3B"/>
    <w:rsid w:val="00FD7FBE"/>
    <w:rsid w:val="00FE27C7"/>
    <w:rsid w:val="00FE2C7E"/>
    <w:rsid w:val="00FE2F78"/>
    <w:rsid w:val="00FE3137"/>
    <w:rsid w:val="00FE346B"/>
    <w:rsid w:val="00FE346F"/>
    <w:rsid w:val="00FE431E"/>
    <w:rsid w:val="00FE460E"/>
    <w:rsid w:val="00FE48E4"/>
    <w:rsid w:val="00FE5466"/>
    <w:rsid w:val="00FE634C"/>
    <w:rsid w:val="00FE6E69"/>
    <w:rsid w:val="00FE6F59"/>
    <w:rsid w:val="00FF01B6"/>
    <w:rsid w:val="00FF0989"/>
    <w:rsid w:val="00FF0F79"/>
    <w:rsid w:val="00FF1136"/>
    <w:rsid w:val="00FF3D76"/>
    <w:rsid w:val="00FF5B8C"/>
    <w:rsid w:val="00FF63E6"/>
    <w:rsid w:val="00FF72DC"/>
    <w:rsid w:val="00FF7B96"/>
    <w:rsid w:val="019CB78C"/>
    <w:rsid w:val="0523CDF2"/>
    <w:rsid w:val="06B1A837"/>
    <w:rsid w:val="0EBE9DEC"/>
    <w:rsid w:val="12650F4E"/>
    <w:rsid w:val="1394E51D"/>
    <w:rsid w:val="17513AF8"/>
    <w:rsid w:val="2A0E9F3A"/>
    <w:rsid w:val="2A2A6298"/>
    <w:rsid w:val="38C72AFC"/>
    <w:rsid w:val="3C7646FC"/>
    <w:rsid w:val="3E4A9713"/>
    <w:rsid w:val="47207A7B"/>
    <w:rsid w:val="48038D4B"/>
    <w:rsid w:val="49E8263C"/>
    <w:rsid w:val="4A567F3C"/>
    <w:rsid w:val="50A35788"/>
    <w:rsid w:val="52944939"/>
    <w:rsid w:val="5536E42E"/>
    <w:rsid w:val="5CF587E8"/>
    <w:rsid w:val="6AEA4E8B"/>
    <w:rsid w:val="6AEC8A78"/>
    <w:rsid w:val="6D951AA9"/>
    <w:rsid w:val="7059F910"/>
    <w:rsid w:val="74EA3077"/>
    <w:rsid w:val="75B5B795"/>
    <w:rsid w:val="78E73CD1"/>
    <w:rsid w:val="7F508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qFormat/>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32671944">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zabojnikova31519\Documents\Anal&#253;za\Q\2023Q1\Makroanal&#253;za%20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zabojnikova31519\Documents\Anal&#253;za\Q\2023Q1\Makroanal&#253;za%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zabojnikova31519\Documents\Anal&#253;za\Q\2023Q1\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32425700776768E-2"/>
          <c:y val="2.3046636085626956E-2"/>
          <c:w val="0.92008633063154344"/>
          <c:h val="0.74192840256671655"/>
        </c:manualLayout>
      </c:layout>
      <c:barChart>
        <c:barDir val="col"/>
        <c:grouping val="clustered"/>
        <c:varyColors val="0"/>
        <c:ser>
          <c:idx val="0"/>
          <c:order val="0"/>
          <c:tx>
            <c:strRef>
              <c:f>'souhrnná výkonnost 1'!$C$4</c:f>
              <c:strCache>
                <c:ptCount val="1"/>
                <c:pt idx="0">
                  <c:v>ČR meziroční změna</c:v>
                </c:pt>
              </c:strCache>
            </c:strRef>
          </c:tx>
          <c:spPr>
            <a:solidFill>
              <a:srgbClr val="A6A6A6"/>
            </a:solidFill>
            <a:ln>
              <a:noFill/>
            </a:ln>
          </c:spPr>
          <c:invertIfNegative val="0"/>
          <c:cat>
            <c:multiLvlStrRef>
              <c:f>'souhrnná výkonnost 1'!$A$29:$B$49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'souhrnná výkonnost 1'!$C$29:$C$49</c:f>
              <c:numCache>
                <c:formatCode>General</c:formatCode>
                <c:ptCount val="21"/>
                <c:pt idx="0" formatCode="#\ ##0.0">
                  <c:v>4.7000000000000028</c:v>
                </c:pt>
                <c:pt idx="1">
                  <c:v>2.7999999999999972</c:v>
                </c:pt>
                <c:pt idx="2">
                  <c:v>2.7000000000000037</c:v>
                </c:pt>
                <c:pt idx="3" formatCode="#\ ##0.0">
                  <c:v>2.5999999999999943</c:v>
                </c:pt>
                <c:pt idx="4" formatCode="#\ ##0.0">
                  <c:v>3</c:v>
                </c:pt>
                <c:pt idx="5">
                  <c:v>3.0999999999999943</c:v>
                </c:pt>
                <c:pt idx="6">
                  <c:v>3</c:v>
                </c:pt>
                <c:pt idx="7">
                  <c:v>2.7999999999999972</c:v>
                </c:pt>
                <c:pt idx="8">
                  <c:v>-1.5</c:v>
                </c:pt>
                <c:pt idx="9">
                  <c:v>-10.8</c:v>
                </c:pt>
                <c:pt idx="10">
                  <c:v>-5.2000000000000028</c:v>
                </c:pt>
                <c:pt idx="11">
                  <c:v>-4.5999999999999943</c:v>
                </c:pt>
                <c:pt idx="12">
                  <c:v>-1.9000000000000059</c:v>
                </c:pt>
                <c:pt idx="13">
                  <c:v>9.0999999999999979</c:v>
                </c:pt>
                <c:pt idx="14">
                  <c:v>3.7999999999999972</c:v>
                </c:pt>
                <c:pt idx="15">
                  <c:v>3.5</c:v>
                </c:pt>
                <c:pt idx="16">
                  <c:v>4.7000000000000028</c:v>
                </c:pt>
                <c:pt idx="17">
                  <c:v>3.5</c:v>
                </c:pt>
                <c:pt idx="18">
                  <c:v>1.5</c:v>
                </c:pt>
                <c:pt idx="19">
                  <c:v>0.29999999999999738</c:v>
                </c:pt>
                <c:pt idx="20">
                  <c:v>-0.40000000000000568</c:v>
                </c:pt>
              </c:numCache>
            </c:numRef>
          </c:val>
          <c:extLst>
            <c:ext xmlns:c16="http://schemas.microsoft.com/office/drawing/2014/chart" uri="{C3380CC4-5D6E-409C-BE32-E72D297353CC}">
              <c16:uniqueId val="{00000000-B6F9-450C-A51B-BAFA040DD21D}"/>
            </c:ext>
          </c:extLst>
        </c:ser>
        <c:ser>
          <c:idx val="1"/>
          <c:order val="1"/>
          <c:tx>
            <c:strRef>
              <c:f>'souhrnná výkonnost 1'!$D$4</c:f>
              <c:strCache>
                <c:ptCount val="1"/>
                <c:pt idx="0">
                  <c:v>EU27 meziroční změna</c:v>
                </c:pt>
              </c:strCache>
            </c:strRef>
          </c:tx>
          <c:spPr>
            <a:solidFill>
              <a:srgbClr val="808080"/>
            </a:solidFill>
            <a:ln>
              <a:noFill/>
            </a:ln>
          </c:spPr>
          <c:invertIfNegative val="0"/>
          <c:cat>
            <c:multiLvlStrRef>
              <c:f>'souhrnná výkonnost 1'!$A$29:$B$49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'souhrnná výkonnost 1'!$D$29:$D$49</c:f>
              <c:numCache>
                <c:formatCode>#\ ##0.##########</c:formatCode>
                <c:ptCount val="21"/>
                <c:pt idx="0">
                  <c:v>2.6</c:v>
                </c:pt>
                <c:pt idx="1">
                  <c:v>2.4</c:v>
                </c:pt>
                <c:pt idx="2">
                  <c:v>1.7000000000000002</c:v>
                </c:pt>
                <c:pt idx="3">
                  <c:v>1.5</c:v>
                </c:pt>
                <c:pt idx="4">
                  <c:v>2.1</c:v>
                </c:pt>
                <c:pt idx="5">
                  <c:v>1.8</c:v>
                </c:pt>
                <c:pt idx="6" formatCode="#\ ##0.0">
                  <c:v>2</c:v>
                </c:pt>
                <c:pt idx="7">
                  <c:v>1.4</c:v>
                </c:pt>
                <c:pt idx="8">
                  <c:v>-2.2000000000000002</c:v>
                </c:pt>
                <c:pt idx="9">
                  <c:v>-13.4</c:v>
                </c:pt>
                <c:pt idx="10">
                  <c:v>-3.7</c:v>
                </c:pt>
                <c:pt idx="11">
                  <c:v>-3.8</c:v>
                </c:pt>
                <c:pt idx="12">
                  <c:v>-0.70000000000000018</c:v>
                </c:pt>
                <c:pt idx="13">
                  <c:v>13.8</c:v>
                </c:pt>
                <c:pt idx="14">
                  <c:v>4.3</c:v>
                </c:pt>
                <c:pt idx="15">
                  <c:v>5.2</c:v>
                </c:pt>
                <c:pt idx="16">
                  <c:v>5.7</c:v>
                </c:pt>
                <c:pt idx="17">
                  <c:v>4.4000000000000004</c:v>
                </c:pt>
                <c:pt idx="18">
                  <c:v>2.6</c:v>
                </c:pt>
                <c:pt idx="19">
                  <c:v>1.7000000000000002</c:v>
                </c:pt>
                <c:pt idx="20" formatCode="General">
                  <c:v>1.2</c:v>
                </c:pt>
              </c:numCache>
            </c:numRef>
          </c:val>
          <c:extLst>
            <c:ext xmlns:c16="http://schemas.microsoft.com/office/drawing/2014/chart" uri="{C3380CC4-5D6E-409C-BE32-E72D297353CC}">
              <c16:uniqueId val="{00000001-B6F9-450C-A51B-BAFA040DD21D}"/>
            </c:ext>
          </c:extLst>
        </c:ser>
        <c:dLbls>
          <c:showLegendKey val="0"/>
          <c:showVal val="0"/>
          <c:showCatName val="0"/>
          <c:showSerName val="0"/>
          <c:showPercent val="0"/>
          <c:showBubbleSize val="0"/>
        </c:dLbls>
        <c:gapWidth val="100"/>
        <c:axId val="83531648"/>
        <c:axId val="83533184"/>
      </c:barChart>
      <c:lineChart>
        <c:grouping val="standard"/>
        <c:varyColors val="0"/>
        <c:ser>
          <c:idx val="2"/>
          <c:order val="2"/>
          <c:tx>
            <c:strRef>
              <c:f>'souhrnná výkonnost 1'!$E$4</c:f>
              <c:strCache>
                <c:ptCount val="1"/>
                <c:pt idx="0">
                  <c:v>ČR mezičtvrtletní změna</c:v>
                </c:pt>
              </c:strCache>
            </c:strRef>
          </c:tx>
          <c:spPr>
            <a:ln w="19050">
              <a:noFill/>
            </a:ln>
          </c:spPr>
          <c:marker>
            <c:symbol val="dash"/>
            <c:size val="8"/>
            <c:spPr>
              <a:solidFill>
                <a:srgbClr val="0071BC"/>
              </a:solidFill>
              <a:ln>
                <a:noFill/>
              </a:ln>
            </c:spPr>
          </c:marker>
          <c:cat>
            <c:multiLvlStrRef>
              <c:f>'souhrnná výkonnost 1'!$A$29:$B$49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'souhrnná výkonnost 1'!$E$29:$E$49</c:f>
              <c:numCache>
                <c:formatCode>#\ ##0.0</c:formatCode>
                <c:ptCount val="21"/>
                <c:pt idx="0">
                  <c:v>0.5</c:v>
                </c:pt>
                <c:pt idx="1">
                  <c:v>0.59999999999999443</c:v>
                </c:pt>
                <c:pt idx="2">
                  <c:v>0.70000000000000284</c:v>
                </c:pt>
                <c:pt idx="3">
                  <c:v>0.70000000000000284</c:v>
                </c:pt>
                <c:pt idx="4">
                  <c:v>0.90000000000000568</c:v>
                </c:pt>
                <c:pt idx="5" formatCode="General">
                  <c:v>0.70000000000000284</c:v>
                </c:pt>
                <c:pt idx="6" formatCode="General">
                  <c:v>0.70000000000000284</c:v>
                </c:pt>
                <c:pt idx="7" formatCode="General">
                  <c:v>0.5</c:v>
                </c:pt>
                <c:pt idx="8" formatCode="General">
                  <c:v>-3.2000000000000037</c:v>
                </c:pt>
                <c:pt idx="9" formatCode="General">
                  <c:v>-8.8000000000000025</c:v>
                </c:pt>
                <c:pt idx="10" formatCode="General">
                  <c:v>7</c:v>
                </c:pt>
                <c:pt idx="11" formatCode="General">
                  <c:v>1.0999999999999936</c:v>
                </c:pt>
                <c:pt idx="12" formatCode="General">
                  <c:v>-0.5</c:v>
                </c:pt>
                <c:pt idx="13" formatCode="General">
                  <c:v>1.4000000000000057</c:v>
                </c:pt>
                <c:pt idx="14" formatCode="General">
                  <c:v>1.7000000000000031</c:v>
                </c:pt>
                <c:pt idx="15" formatCode="General">
                  <c:v>0.79999999999999738</c:v>
                </c:pt>
                <c:pt idx="16" formatCode="General">
                  <c:v>0.59999999999999443</c:v>
                </c:pt>
                <c:pt idx="17" formatCode="General">
                  <c:v>0.29999999999999738</c:v>
                </c:pt>
                <c:pt idx="18" formatCode="General">
                  <c:v>-0.29999999999999738</c:v>
                </c:pt>
                <c:pt idx="19" formatCode="General">
                  <c:v>-0.40000000000000568</c:v>
                </c:pt>
                <c:pt idx="20" formatCode="General">
                  <c:v>0</c:v>
                </c:pt>
              </c:numCache>
            </c:numRef>
          </c:val>
          <c:smooth val="0"/>
          <c:extLst>
            <c:ext xmlns:c16="http://schemas.microsoft.com/office/drawing/2014/chart" uri="{C3380CC4-5D6E-409C-BE32-E72D297353CC}">
              <c16:uniqueId val="{00000002-B6F9-450C-A51B-BAFA040DD21D}"/>
            </c:ext>
          </c:extLst>
        </c:ser>
        <c:ser>
          <c:idx val="3"/>
          <c:order val="3"/>
          <c:tx>
            <c:strRef>
              <c:f>'souhrnná výkonnost 1'!$F$4</c:f>
              <c:strCache>
                <c:ptCount val="1"/>
                <c:pt idx="0">
                  <c:v>EU27 mezičtvrtletní změna</c:v>
                </c:pt>
              </c:strCache>
            </c:strRef>
          </c:tx>
          <c:spPr>
            <a:ln w="19050">
              <a:noFill/>
            </a:ln>
          </c:spPr>
          <c:marker>
            <c:symbol val="dash"/>
            <c:size val="8"/>
            <c:spPr>
              <a:solidFill>
                <a:srgbClr val="BD1B21"/>
              </a:solidFill>
              <a:ln>
                <a:noFill/>
              </a:ln>
            </c:spPr>
          </c:marker>
          <c:cat>
            <c:multiLvlStrRef>
              <c:f>'souhrnná výkonnost 1'!$A$29:$B$49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'souhrnná výkonnost 1'!$F$29:$F$49</c:f>
              <c:numCache>
                <c:formatCode>#\ ##0.##########</c:formatCode>
                <c:ptCount val="21"/>
                <c:pt idx="0">
                  <c:v>0.1</c:v>
                </c:pt>
                <c:pt idx="1">
                  <c:v>0.6000000000000002</c:v>
                </c:pt>
                <c:pt idx="2">
                  <c:v>0.1</c:v>
                </c:pt>
                <c:pt idx="3">
                  <c:v>0.70000000000000018</c:v>
                </c:pt>
                <c:pt idx="4">
                  <c:v>0.70000000000000018</c:v>
                </c:pt>
                <c:pt idx="5">
                  <c:v>0.4</c:v>
                </c:pt>
                <c:pt idx="6">
                  <c:v>0.3000000000000001</c:v>
                </c:pt>
                <c:pt idx="7">
                  <c:v>0.1</c:v>
                </c:pt>
                <c:pt idx="8">
                  <c:v>-2.9</c:v>
                </c:pt>
                <c:pt idx="9">
                  <c:v>-11.1</c:v>
                </c:pt>
                <c:pt idx="10">
                  <c:v>11.5</c:v>
                </c:pt>
                <c:pt idx="11">
                  <c:v>-0.1</c:v>
                </c:pt>
                <c:pt idx="12">
                  <c:v>0.2</c:v>
                </c:pt>
                <c:pt idx="13">
                  <c:v>1.9000000000000001</c:v>
                </c:pt>
                <c:pt idx="14">
                  <c:v>2.2000000000000002</c:v>
                </c:pt>
                <c:pt idx="15">
                  <c:v>0.70000000000000018</c:v>
                </c:pt>
                <c:pt idx="16">
                  <c:v>0.70000000000000018</c:v>
                </c:pt>
                <c:pt idx="17">
                  <c:v>0.70000000000000018</c:v>
                </c:pt>
                <c:pt idx="18">
                  <c:v>0.4</c:v>
                </c:pt>
                <c:pt idx="19">
                  <c:v>-0.1</c:v>
                </c:pt>
                <c:pt idx="20" formatCode="General">
                  <c:v>0.2</c:v>
                </c:pt>
              </c:numCache>
            </c:numRef>
          </c:val>
          <c:smooth val="0"/>
          <c:extLst>
            <c:ext xmlns:c16="http://schemas.microsoft.com/office/drawing/2014/chart" uri="{C3380CC4-5D6E-409C-BE32-E72D297353CC}">
              <c16:uniqueId val="{00000003-B6F9-450C-A51B-BAFA040DD21D}"/>
            </c:ext>
          </c:extLst>
        </c:ser>
        <c:dLbls>
          <c:showLegendKey val="0"/>
          <c:showVal val="0"/>
          <c:showCatName val="0"/>
          <c:showSerName val="0"/>
          <c:showPercent val="0"/>
          <c:showBubbleSize val="0"/>
        </c:dLbls>
        <c:marker val="1"/>
        <c:smooth val="0"/>
        <c:axId val="83531648"/>
        <c:axId val="83533184"/>
      </c:lineChart>
      <c:catAx>
        <c:axId val="83531648"/>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83533184"/>
        <c:crosses val="autoZero"/>
        <c:auto val="1"/>
        <c:lblAlgn val="ctr"/>
        <c:lblOffset val="100"/>
        <c:noMultiLvlLbl val="0"/>
      </c:catAx>
      <c:valAx>
        <c:axId val="83533184"/>
        <c:scaling>
          <c:orientation val="minMax"/>
          <c:max val="15"/>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83531648"/>
        <c:crosses val="autoZero"/>
        <c:crossBetween val="between"/>
        <c:majorUnit val="3"/>
      </c:valAx>
      <c:spPr>
        <a:ln>
          <a:solidFill>
            <a:schemeClr val="tx1"/>
          </a:solidFill>
        </a:ln>
      </c:spPr>
    </c:plotArea>
    <c:legend>
      <c:legendPos val="b"/>
      <c:layout>
        <c:manualLayout>
          <c:xMode val="edge"/>
          <c:yMode val="edge"/>
          <c:x val="5.8431906450523499E-2"/>
          <c:y val="0.89437255125718007"/>
          <c:w val="0.91838441404930771"/>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629137115839272E-2"/>
          <c:y val="2.8458510079622041E-2"/>
          <c:w val="0.93688386524822698"/>
          <c:h val="0.6497469886299676"/>
        </c:manualLayout>
      </c:layout>
      <c:barChart>
        <c:barDir val="col"/>
        <c:grouping val="stacked"/>
        <c:varyColors val="0"/>
        <c:ser>
          <c:idx val="5"/>
          <c:order val="1"/>
          <c:tx>
            <c:strRef>
              <c:f>'souhrnná výkonnost 3'!$D$5</c:f>
              <c:strCache>
                <c:ptCount val="1"/>
                <c:pt idx="0">
                  <c:v>Výdaje na konečnou spotřebu domácností (vč. nezisk. inst.)</c:v>
                </c:pt>
              </c:strCache>
            </c:strRef>
          </c:tx>
          <c:spPr>
            <a:solidFill>
              <a:srgbClr val="0071BC"/>
            </a:solidFill>
            <a:ln>
              <a:noFill/>
            </a:ln>
          </c:spPr>
          <c:invertIfNegative val="0"/>
          <c:val>
            <c:numRef>
              <c:f>'souhrnná výkonnost 3'!$D$30:$D$50</c:f>
              <c:numCache>
                <c:formatCode>###\ ###\ ##0.0</c:formatCode>
                <c:ptCount val="21"/>
                <c:pt idx="0">
                  <c:v>1.5760000000000001</c:v>
                </c:pt>
                <c:pt idx="1">
                  <c:v>1.2429999999999997</c:v>
                </c:pt>
                <c:pt idx="2">
                  <c:v>0.98499999999999999</c:v>
                </c:pt>
                <c:pt idx="3">
                  <c:v>0.86200000000000021</c:v>
                </c:pt>
                <c:pt idx="4">
                  <c:v>0.93400000000000005</c:v>
                </c:pt>
                <c:pt idx="5">
                  <c:v>1.3260000000000001</c:v>
                </c:pt>
                <c:pt idx="6">
                  <c:v>1.032</c:v>
                </c:pt>
                <c:pt idx="7">
                  <c:v>1.107</c:v>
                </c:pt>
                <c:pt idx="8">
                  <c:v>-1.02</c:v>
                </c:pt>
                <c:pt idx="9">
                  <c:v>-3.3189999999999991</c:v>
                </c:pt>
                <c:pt idx="10">
                  <c:v>-1.792</c:v>
                </c:pt>
                <c:pt idx="11">
                  <c:v>-4.4210000000000003</c:v>
                </c:pt>
                <c:pt idx="12">
                  <c:v>-2.9519999999999991</c:v>
                </c:pt>
                <c:pt idx="13">
                  <c:v>1.897</c:v>
                </c:pt>
                <c:pt idx="14">
                  <c:v>1.885</c:v>
                </c:pt>
                <c:pt idx="15">
                  <c:v>3.2919999999999998</c:v>
                </c:pt>
                <c:pt idx="16">
                  <c:v>3.1789999999999998</c:v>
                </c:pt>
                <c:pt idx="17">
                  <c:v>-1.0999999999999998E-2</c:v>
                </c:pt>
                <c:pt idx="18">
                  <c:v>-2.8119999999999989</c:v>
                </c:pt>
                <c:pt idx="19">
                  <c:v>-2.8549999999999991</c:v>
                </c:pt>
                <c:pt idx="20">
                  <c:v>-3.01</c:v>
                </c:pt>
              </c:numCache>
            </c:numRef>
          </c:val>
          <c:extLst>
            <c:ext xmlns:c16="http://schemas.microsoft.com/office/drawing/2014/chart" uri="{C3380CC4-5D6E-409C-BE32-E72D297353CC}">
              <c16:uniqueId val="{00000000-F042-439D-B0E9-8F31C25ACFB7}"/>
            </c:ext>
          </c:extLst>
        </c:ser>
        <c:ser>
          <c:idx val="4"/>
          <c:order val="2"/>
          <c:tx>
            <c:strRef>
              <c:f>'souhrnná výkonnost 3'!$E$5</c:f>
              <c:strCache>
                <c:ptCount val="1"/>
                <c:pt idx="0">
                  <c:v>Výdaje na konečnou spotřebu vládních institucí</c:v>
                </c:pt>
              </c:strCache>
            </c:strRef>
          </c:tx>
          <c:spPr>
            <a:solidFill>
              <a:srgbClr val="A6CDE8"/>
            </a:solidFill>
            <a:ln>
              <a:noFill/>
            </a:ln>
          </c:spPr>
          <c:invertIfNegative val="0"/>
          <c:val>
            <c:numRef>
              <c:f>'souhrnná výkonnost 3'!$E$30:$E$50</c:f>
              <c:numCache>
                <c:formatCode>###\ ###\ ##0.0</c:formatCode>
                <c:ptCount val="21"/>
                <c:pt idx="0">
                  <c:v>0.57399999999999995</c:v>
                </c:pt>
                <c:pt idx="1">
                  <c:v>0.66000000000000025</c:v>
                </c:pt>
                <c:pt idx="2">
                  <c:v>0.81799999999999995</c:v>
                </c:pt>
                <c:pt idx="3">
                  <c:v>0.81100000000000005</c:v>
                </c:pt>
                <c:pt idx="4">
                  <c:v>0.45300000000000001</c:v>
                </c:pt>
                <c:pt idx="5">
                  <c:v>0.47900000000000009</c:v>
                </c:pt>
                <c:pt idx="6">
                  <c:v>0.44500000000000001</c:v>
                </c:pt>
                <c:pt idx="7">
                  <c:v>0.33700000000000013</c:v>
                </c:pt>
                <c:pt idx="8">
                  <c:v>0.80500000000000005</c:v>
                </c:pt>
                <c:pt idx="9">
                  <c:v>0.70700000000000018</c:v>
                </c:pt>
                <c:pt idx="10">
                  <c:v>0.41400000000000009</c:v>
                </c:pt>
                <c:pt idx="11">
                  <c:v>1.224</c:v>
                </c:pt>
                <c:pt idx="12">
                  <c:v>0.19900000000000001</c:v>
                </c:pt>
                <c:pt idx="13">
                  <c:v>0.115</c:v>
                </c:pt>
                <c:pt idx="14">
                  <c:v>0.66700000000000026</c:v>
                </c:pt>
                <c:pt idx="15">
                  <c:v>-4.7000000000000014E-2</c:v>
                </c:pt>
                <c:pt idx="16">
                  <c:v>0.40600000000000008</c:v>
                </c:pt>
                <c:pt idx="17">
                  <c:v>0.29000000000000009</c:v>
                </c:pt>
                <c:pt idx="18">
                  <c:v>-0.41800000000000009</c:v>
                </c:pt>
                <c:pt idx="19">
                  <c:v>0.15300000000000005</c:v>
                </c:pt>
                <c:pt idx="20">
                  <c:v>0.77500000000000024</c:v>
                </c:pt>
              </c:numCache>
            </c:numRef>
          </c:val>
          <c:extLst>
            <c:ext xmlns:c16="http://schemas.microsoft.com/office/drawing/2014/chart" uri="{C3380CC4-5D6E-409C-BE32-E72D297353CC}">
              <c16:uniqueId val="{00000001-F042-439D-B0E9-8F31C25ACFB7}"/>
            </c:ext>
          </c:extLst>
        </c:ser>
        <c:ser>
          <c:idx val="3"/>
          <c:order val="3"/>
          <c:tx>
            <c:strRef>
              <c:f>'souhrnná výkonnost 3'!$G$5</c:f>
              <c:strCache>
                <c:ptCount val="1"/>
                <c:pt idx="0">
                  <c:v>Tvorba hrubého kapitálu</c:v>
                </c:pt>
              </c:strCache>
            </c:strRef>
          </c:tx>
          <c:spPr>
            <a:solidFill>
              <a:srgbClr val="BD1B21"/>
            </a:solidFill>
            <a:ln>
              <a:noFill/>
            </a:ln>
          </c:spPr>
          <c:invertIfNegative val="0"/>
          <c:val>
            <c:numRef>
              <c:f>'souhrnná výkonnost 3'!$G$30:$G$50</c:f>
              <c:numCache>
                <c:formatCode>###\ ###\ ##0.0</c:formatCode>
                <c:ptCount val="21"/>
                <c:pt idx="0">
                  <c:v>2.6509999999999998</c:v>
                </c:pt>
                <c:pt idx="1">
                  <c:v>1.708</c:v>
                </c:pt>
                <c:pt idx="2">
                  <c:v>1.9279999999999995</c:v>
                </c:pt>
                <c:pt idx="3">
                  <c:v>0.67200000000000026</c:v>
                </c:pt>
                <c:pt idx="4">
                  <c:v>1.591</c:v>
                </c:pt>
                <c:pt idx="5">
                  <c:v>-0.191</c:v>
                </c:pt>
                <c:pt idx="6">
                  <c:v>0.254</c:v>
                </c:pt>
                <c:pt idx="7">
                  <c:v>2.411999999999999</c:v>
                </c:pt>
                <c:pt idx="8">
                  <c:v>0.69799999999999995</c:v>
                </c:pt>
                <c:pt idx="9">
                  <c:v>0.95600000000000018</c:v>
                </c:pt>
                <c:pt idx="10">
                  <c:v>-2.7549999999999999</c:v>
                </c:pt>
                <c:pt idx="11">
                  <c:v>-3.4819999999999998</c:v>
                </c:pt>
                <c:pt idx="12">
                  <c:v>1.069</c:v>
                </c:pt>
                <c:pt idx="13">
                  <c:v>2.923</c:v>
                </c:pt>
                <c:pt idx="14">
                  <c:v>6.91</c:v>
                </c:pt>
                <c:pt idx="15">
                  <c:v>6.6619999999999981</c:v>
                </c:pt>
                <c:pt idx="16">
                  <c:v>4.0389999999999997</c:v>
                </c:pt>
                <c:pt idx="17">
                  <c:v>3.5</c:v>
                </c:pt>
                <c:pt idx="18">
                  <c:v>1.476</c:v>
                </c:pt>
                <c:pt idx="19">
                  <c:v>0.56299999999999994</c:v>
                </c:pt>
                <c:pt idx="20">
                  <c:v>-2.8019999999999992</c:v>
                </c:pt>
              </c:numCache>
            </c:numRef>
          </c:val>
          <c:extLst>
            <c:ext xmlns:c16="http://schemas.microsoft.com/office/drawing/2014/chart" uri="{C3380CC4-5D6E-409C-BE32-E72D297353CC}">
              <c16:uniqueId val="{00000002-F042-439D-B0E9-8F31C25ACFB7}"/>
            </c:ext>
          </c:extLst>
        </c:ser>
        <c:ser>
          <c:idx val="1"/>
          <c:order val="4"/>
          <c:tx>
            <c:strRef>
              <c:f>'souhrnná výkonnost 3'!$F$5</c:f>
              <c:strCache>
                <c:ptCount val="1"/>
                <c:pt idx="0">
                  <c:v>Bilance zahraničního obchodu</c:v>
                </c:pt>
              </c:strCache>
            </c:strRef>
          </c:tx>
          <c:spPr>
            <a:solidFill>
              <a:srgbClr val="7DBB2D"/>
            </a:solidFill>
            <a:ln>
              <a:noFill/>
            </a:ln>
          </c:spPr>
          <c:invertIfNegative val="0"/>
          <c:val>
            <c:numRef>
              <c:f>'souhrnná výkonnost 3'!$F$30:$F$50</c:f>
              <c:numCache>
                <c:formatCode>###\ ###\ ##0.0</c:formatCode>
                <c:ptCount val="21"/>
                <c:pt idx="0">
                  <c:v>-0.18200000000000005</c:v>
                </c:pt>
                <c:pt idx="1">
                  <c:v>-0.90100000000000002</c:v>
                </c:pt>
                <c:pt idx="2">
                  <c:v>-1.1419999999999995</c:v>
                </c:pt>
                <c:pt idx="3">
                  <c:v>0.16800000000000001</c:v>
                </c:pt>
                <c:pt idx="4">
                  <c:v>-3.0000000000000002E-2</c:v>
                </c:pt>
                <c:pt idx="5">
                  <c:v>1.4009999999999996</c:v>
                </c:pt>
                <c:pt idx="6">
                  <c:v>1.2449999999999997</c:v>
                </c:pt>
                <c:pt idx="7">
                  <c:v>-1.1379999999999995</c:v>
                </c:pt>
                <c:pt idx="8">
                  <c:v>-1.9830000000000001</c:v>
                </c:pt>
                <c:pt idx="9">
                  <c:v>-9.1470000000000002</c:v>
                </c:pt>
                <c:pt idx="10">
                  <c:v>-1.099</c:v>
                </c:pt>
                <c:pt idx="11">
                  <c:v>2.0619999999999998</c:v>
                </c:pt>
                <c:pt idx="12">
                  <c:v>-0.24000000000000005</c:v>
                </c:pt>
                <c:pt idx="13">
                  <c:v>4.1599999999999984</c:v>
                </c:pt>
                <c:pt idx="14">
                  <c:v>-5.7229999999999981</c:v>
                </c:pt>
                <c:pt idx="15">
                  <c:v>-6.4630000000000001</c:v>
                </c:pt>
                <c:pt idx="16">
                  <c:v>-2.9549999999999992</c:v>
                </c:pt>
                <c:pt idx="17">
                  <c:v>-0.30900000000000011</c:v>
                </c:pt>
                <c:pt idx="18">
                  <c:v>3.246</c:v>
                </c:pt>
                <c:pt idx="19">
                  <c:v>2.448</c:v>
                </c:pt>
                <c:pt idx="20">
                  <c:v>4.6310000000000002</c:v>
                </c:pt>
              </c:numCache>
            </c:numRef>
          </c:val>
          <c:extLst>
            <c:ext xmlns:c16="http://schemas.microsoft.com/office/drawing/2014/chart" uri="{C3380CC4-5D6E-409C-BE32-E72D297353CC}">
              <c16:uniqueId val="{00000003-F042-439D-B0E9-8F31C25ACFB7}"/>
            </c:ext>
          </c:extLst>
        </c:ser>
        <c:dLbls>
          <c:showLegendKey val="0"/>
          <c:showVal val="0"/>
          <c:showCatName val="0"/>
          <c:showSerName val="0"/>
          <c:showPercent val="0"/>
          <c:showBubbleSize val="0"/>
        </c:dLbls>
        <c:gapWidth val="40"/>
        <c:overlap val="100"/>
        <c:axId val="84583936"/>
        <c:axId val="84585472"/>
      </c:barChart>
      <c:lineChart>
        <c:grouping val="standard"/>
        <c:varyColors val="0"/>
        <c:ser>
          <c:idx val="0"/>
          <c:order val="0"/>
          <c:tx>
            <c:strRef>
              <c:f>'souhrnná výkonnost 3'!$C$5</c:f>
              <c:strCache>
                <c:ptCount val="1"/>
                <c:pt idx="0">
                  <c:v>HDP</c:v>
                </c:pt>
              </c:strCache>
            </c:strRef>
          </c:tx>
          <c:spPr>
            <a:ln>
              <a:solidFill>
                <a:prstClr val="black"/>
              </a:solidFill>
            </a:ln>
          </c:spPr>
          <c:marker>
            <c:symbol val="none"/>
          </c:marker>
          <c:cat>
            <c:multiLvlStrRef>
              <c:f>'souhrnná výkonnost 3'!$A$30:$B$50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'souhrnná výkonnost 3'!$C$30:$C$50</c:f>
              <c:numCache>
                <c:formatCode>###\ ###\ ##0.0</c:formatCode>
                <c:ptCount val="21"/>
                <c:pt idx="0">
                  <c:v>4.7409999999999997</c:v>
                </c:pt>
                <c:pt idx="1">
                  <c:v>2.8209999999999997</c:v>
                </c:pt>
                <c:pt idx="2">
                  <c:v>2.6959999999999997</c:v>
                </c:pt>
                <c:pt idx="3">
                  <c:v>2.62</c:v>
                </c:pt>
                <c:pt idx="4">
                  <c:v>2.9979999999999998</c:v>
                </c:pt>
                <c:pt idx="5">
                  <c:v>3.0709999999999997</c:v>
                </c:pt>
                <c:pt idx="6">
                  <c:v>3.0289999999999999</c:v>
                </c:pt>
                <c:pt idx="7">
                  <c:v>2.7680000000000002</c:v>
                </c:pt>
                <c:pt idx="8">
                  <c:v>-1.4629999999999996</c:v>
                </c:pt>
                <c:pt idx="9">
                  <c:v>-10.783000000000001</c:v>
                </c:pt>
                <c:pt idx="10">
                  <c:v>-5.2160000000000002</c:v>
                </c:pt>
                <c:pt idx="11">
                  <c:v>-4.5960000000000001</c:v>
                </c:pt>
                <c:pt idx="12">
                  <c:v>-1.887</c:v>
                </c:pt>
                <c:pt idx="13">
                  <c:v>9.1330000000000009</c:v>
                </c:pt>
                <c:pt idx="14">
                  <c:v>3.7709999999999999</c:v>
                </c:pt>
                <c:pt idx="15">
                  <c:v>3.472999999999999</c:v>
                </c:pt>
                <c:pt idx="16">
                  <c:v>4.6579999999999986</c:v>
                </c:pt>
                <c:pt idx="17">
                  <c:v>3.5</c:v>
                </c:pt>
                <c:pt idx="18">
                  <c:v>1.4969999999999997</c:v>
                </c:pt>
                <c:pt idx="19">
                  <c:v>0.28700000000000009</c:v>
                </c:pt>
                <c:pt idx="20">
                  <c:v>-0.39700000000000013</c:v>
                </c:pt>
              </c:numCache>
            </c:numRef>
          </c:val>
          <c:smooth val="0"/>
          <c:extLst>
            <c:ext xmlns:c16="http://schemas.microsoft.com/office/drawing/2014/chart" uri="{C3380CC4-5D6E-409C-BE32-E72D297353CC}">
              <c16:uniqueId val="{00000004-F042-439D-B0E9-8F31C25ACFB7}"/>
            </c:ext>
          </c:extLst>
        </c:ser>
        <c:dLbls>
          <c:showLegendKey val="0"/>
          <c:showVal val="0"/>
          <c:showCatName val="0"/>
          <c:showSerName val="0"/>
          <c:showPercent val="0"/>
          <c:showBubbleSize val="0"/>
        </c:dLbls>
        <c:marker val="1"/>
        <c:smooth val="0"/>
        <c:axId val="84583936"/>
        <c:axId val="84585472"/>
      </c:lineChart>
      <c:catAx>
        <c:axId val="84583936"/>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84585472"/>
        <c:crosses val="autoZero"/>
        <c:auto val="1"/>
        <c:lblAlgn val="ctr"/>
        <c:lblOffset val="100"/>
        <c:noMultiLvlLbl val="0"/>
      </c:catAx>
      <c:valAx>
        <c:axId val="84585472"/>
        <c:scaling>
          <c:orientation val="minMax"/>
          <c:min val="-14"/>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84583936"/>
        <c:crosses val="autoZero"/>
        <c:crossBetween val="between"/>
        <c:majorUnit val="2"/>
      </c:valAx>
      <c:spPr>
        <a:ln>
          <a:solidFill>
            <a:schemeClr val="tx1"/>
          </a:solidFill>
        </a:ln>
      </c:spPr>
    </c:plotArea>
    <c:legend>
      <c:legendPos val="b"/>
      <c:layout>
        <c:manualLayout>
          <c:xMode val="edge"/>
          <c:yMode val="edge"/>
          <c:x val="4.7571766295170556E-2"/>
          <c:y val="0.79301446583361457"/>
          <c:w val="0.93781598277608913"/>
          <c:h val="0.19014325115388939"/>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126857480580875E-2"/>
          <c:y val="2.9499886988623544E-2"/>
          <c:w val="0.9260266801756164"/>
          <c:h val="0.63445260610154264"/>
        </c:manualLayout>
      </c:layout>
      <c:barChart>
        <c:barDir val="col"/>
        <c:grouping val="stacked"/>
        <c:varyColors val="0"/>
        <c:ser>
          <c:idx val="4"/>
          <c:order val="0"/>
          <c:tx>
            <c:strRef>
              <c:f>'souhrnná výkonnost 4'!$C$5</c:f>
              <c:strCache>
                <c:ptCount val="1"/>
                <c:pt idx="0">
                  <c:v>Zemědělství, lesnictví a rybářství</c:v>
                </c:pt>
              </c:strCache>
            </c:strRef>
          </c:tx>
          <c:spPr>
            <a:solidFill>
              <a:srgbClr val="0071BC"/>
            </a:solidFill>
            <a:ln>
              <a:noFill/>
            </a:ln>
          </c:spPr>
          <c:invertIfNegative val="0"/>
          <c:val>
            <c:numRef>
              <c:f>'souhrnná výkonnost 4'!$C$30:$C$50</c:f>
              <c:numCache>
                <c:formatCode>###\ ###\ ##0.0</c:formatCode>
                <c:ptCount val="21"/>
                <c:pt idx="0">
                  <c:v>3.3000000000000002E-2</c:v>
                </c:pt>
                <c:pt idx="1">
                  <c:v>7.1999999999999995E-2</c:v>
                </c:pt>
                <c:pt idx="2">
                  <c:v>0.13100000000000001</c:v>
                </c:pt>
                <c:pt idx="3">
                  <c:v>0.13400000000000001</c:v>
                </c:pt>
                <c:pt idx="4">
                  <c:v>7.3000000000000009E-2</c:v>
                </c:pt>
                <c:pt idx="5">
                  <c:v>8.6000000000000021E-2</c:v>
                </c:pt>
                <c:pt idx="6">
                  <c:v>0.114</c:v>
                </c:pt>
                <c:pt idx="7">
                  <c:v>0.13</c:v>
                </c:pt>
                <c:pt idx="8">
                  <c:v>0.21200000000000005</c:v>
                </c:pt>
                <c:pt idx="9">
                  <c:v>0.23400000000000001</c:v>
                </c:pt>
                <c:pt idx="10">
                  <c:v>0.24400000000000005</c:v>
                </c:pt>
                <c:pt idx="11">
                  <c:v>0.22</c:v>
                </c:pt>
                <c:pt idx="12">
                  <c:v>-0.18200000000000005</c:v>
                </c:pt>
                <c:pt idx="13">
                  <c:v>-0.33900000000000013</c:v>
                </c:pt>
                <c:pt idx="14">
                  <c:v>-0.36900000000000016</c:v>
                </c:pt>
                <c:pt idx="15">
                  <c:v>-0.39600000000000013</c:v>
                </c:pt>
                <c:pt idx="16">
                  <c:v>-0.129</c:v>
                </c:pt>
                <c:pt idx="17">
                  <c:v>1.4E-2</c:v>
                </c:pt>
                <c:pt idx="18">
                  <c:v>-5.1000000000000004E-2</c:v>
                </c:pt>
                <c:pt idx="19">
                  <c:v>-3.3000000000000002E-2</c:v>
                </c:pt>
                <c:pt idx="20">
                  <c:v>8.8000000000000037E-2</c:v>
                </c:pt>
              </c:numCache>
            </c:numRef>
          </c:val>
          <c:extLst>
            <c:ext xmlns:c16="http://schemas.microsoft.com/office/drawing/2014/chart" uri="{C3380CC4-5D6E-409C-BE32-E72D297353CC}">
              <c16:uniqueId val="{00000000-6ABA-4EA7-8E5B-5F822727E336}"/>
            </c:ext>
          </c:extLst>
        </c:ser>
        <c:ser>
          <c:idx val="3"/>
          <c:order val="1"/>
          <c:tx>
            <c:strRef>
              <c:f>'souhrnná výkonnost 4'!$D$5</c:f>
              <c:strCache>
                <c:ptCount val="1"/>
                <c:pt idx="0">
                  <c:v>Zpracovatelský průmysl (CZ-NACE C)</c:v>
                </c:pt>
              </c:strCache>
            </c:strRef>
          </c:tx>
          <c:spPr>
            <a:solidFill>
              <a:srgbClr val="A6CDE8"/>
            </a:solidFill>
            <a:ln>
              <a:noFill/>
            </a:ln>
          </c:spPr>
          <c:invertIfNegative val="0"/>
          <c:val>
            <c:numRef>
              <c:f>'souhrnná výkonnost 4'!$D$30:$D$50</c:f>
              <c:numCache>
                <c:formatCode>###\ ###\ ##0.0</c:formatCode>
                <c:ptCount val="21"/>
                <c:pt idx="0">
                  <c:v>1.4989999999999997</c:v>
                </c:pt>
                <c:pt idx="1">
                  <c:v>0.14900000000000005</c:v>
                </c:pt>
                <c:pt idx="2">
                  <c:v>9.0000000000000028E-3</c:v>
                </c:pt>
                <c:pt idx="3">
                  <c:v>0.32300000000000012</c:v>
                </c:pt>
                <c:pt idx="4">
                  <c:v>0.78400000000000003</c:v>
                </c:pt>
                <c:pt idx="5">
                  <c:v>1.34</c:v>
                </c:pt>
                <c:pt idx="6">
                  <c:v>1.4309999999999996</c:v>
                </c:pt>
                <c:pt idx="7">
                  <c:v>0.95600000000000018</c:v>
                </c:pt>
                <c:pt idx="8">
                  <c:v>-1.21</c:v>
                </c:pt>
                <c:pt idx="9">
                  <c:v>-5.9219999999999997</c:v>
                </c:pt>
                <c:pt idx="10">
                  <c:v>-2.4830000000000001</c:v>
                </c:pt>
                <c:pt idx="11">
                  <c:v>-1.855</c:v>
                </c:pt>
                <c:pt idx="12">
                  <c:v>0.14700000000000005</c:v>
                </c:pt>
                <c:pt idx="13">
                  <c:v>4.8330000000000002</c:v>
                </c:pt>
                <c:pt idx="14">
                  <c:v>0.13900000000000001</c:v>
                </c:pt>
                <c:pt idx="15">
                  <c:v>-0.37600000000000011</c:v>
                </c:pt>
                <c:pt idx="16">
                  <c:v>0.20600000000000004</c:v>
                </c:pt>
                <c:pt idx="17">
                  <c:v>0.23200000000000001</c:v>
                </c:pt>
                <c:pt idx="18">
                  <c:v>0.82399999999999995</c:v>
                </c:pt>
                <c:pt idx="19">
                  <c:v>1.359</c:v>
                </c:pt>
                <c:pt idx="20">
                  <c:v>1.0129999999999995</c:v>
                </c:pt>
              </c:numCache>
            </c:numRef>
          </c:val>
          <c:extLst>
            <c:ext xmlns:c16="http://schemas.microsoft.com/office/drawing/2014/chart" uri="{C3380CC4-5D6E-409C-BE32-E72D297353CC}">
              <c16:uniqueId val="{00000001-6ABA-4EA7-8E5B-5F822727E336}"/>
            </c:ext>
          </c:extLst>
        </c:ser>
        <c:ser>
          <c:idx val="2"/>
          <c:order val="2"/>
          <c:tx>
            <c:strRef>
              <c:f>'souhrnná výkonnost 4'!$E$5</c:f>
              <c:strCache>
                <c:ptCount val="1"/>
                <c:pt idx="0">
                  <c:v>Ostatní průmyslová odvětví (CZ-NACE B, D, E)</c:v>
                </c:pt>
              </c:strCache>
            </c:strRef>
          </c:tx>
          <c:spPr>
            <a:solidFill>
              <a:srgbClr val="BD1B21"/>
            </a:solidFill>
            <a:ln>
              <a:noFill/>
            </a:ln>
          </c:spPr>
          <c:invertIfNegative val="0"/>
          <c:val>
            <c:numRef>
              <c:f>'souhrnná výkonnost 4'!$E$30:$E$50</c:f>
              <c:numCache>
                <c:formatCode>#\ ##0.0</c:formatCode>
                <c:ptCount val="21"/>
                <c:pt idx="0">
                  <c:v>-7.6000000000000081E-2</c:v>
                </c:pt>
                <c:pt idx="1">
                  <c:v>-1.0000000000000013E-3</c:v>
                </c:pt>
                <c:pt idx="2" formatCode="General">
                  <c:v>0.115</c:v>
                </c:pt>
                <c:pt idx="3" formatCode="General">
                  <c:v>-5.9000000000000011E-2</c:v>
                </c:pt>
                <c:pt idx="4" formatCode="General">
                  <c:v>-0.20700000000000013</c:v>
                </c:pt>
                <c:pt idx="5" formatCode="General">
                  <c:v>-0.39300000000000035</c:v>
                </c:pt>
                <c:pt idx="6" formatCode="General">
                  <c:v>-0.68</c:v>
                </c:pt>
                <c:pt idx="7" formatCode="General">
                  <c:v>-0.47200000000000009</c:v>
                </c:pt>
                <c:pt idx="8" formatCode="General">
                  <c:v>-0.35500000000000009</c:v>
                </c:pt>
                <c:pt idx="9" formatCode="General">
                  <c:v>-0.29900000000000038</c:v>
                </c:pt>
                <c:pt idx="10" formatCode="General">
                  <c:v>9.000000000000033E-2</c:v>
                </c:pt>
                <c:pt idx="11" formatCode="General">
                  <c:v>0.40400000000000003</c:v>
                </c:pt>
                <c:pt idx="12" formatCode="General">
                  <c:v>0.11500000000000002</c:v>
                </c:pt>
                <c:pt idx="13" formatCode="General">
                  <c:v>0.23200000000000021</c:v>
                </c:pt>
                <c:pt idx="14" formatCode="General">
                  <c:v>5.9999999999999802E-3</c:v>
                </c:pt>
                <c:pt idx="15" formatCode="General">
                  <c:v>-0.31000000000000016</c:v>
                </c:pt>
                <c:pt idx="16" formatCode="General">
                  <c:v>-0.32400000000000012</c:v>
                </c:pt>
                <c:pt idx="17" formatCode="General">
                  <c:v>-9.1000000000000025E-2</c:v>
                </c:pt>
                <c:pt idx="18" formatCode="General">
                  <c:v>7.2000000000000092E-2</c:v>
                </c:pt>
                <c:pt idx="19" formatCode="General">
                  <c:v>-0.62100000000000022</c:v>
                </c:pt>
                <c:pt idx="20" formatCode="General">
                  <c:v>-0.57199999999999984</c:v>
                </c:pt>
              </c:numCache>
            </c:numRef>
          </c:val>
          <c:extLst>
            <c:ext xmlns:c16="http://schemas.microsoft.com/office/drawing/2014/chart" uri="{C3380CC4-5D6E-409C-BE32-E72D297353CC}">
              <c16:uniqueId val="{00000002-6ABA-4EA7-8E5B-5F822727E336}"/>
            </c:ext>
          </c:extLst>
        </c:ser>
        <c:ser>
          <c:idx val="1"/>
          <c:order val="3"/>
          <c:tx>
            <c:strRef>
              <c:f>'souhrnná výkonnost 4'!$F$5</c:f>
              <c:strCache>
                <c:ptCount val="1"/>
                <c:pt idx="0">
                  <c:v>Stavebnictví</c:v>
                </c:pt>
              </c:strCache>
            </c:strRef>
          </c:tx>
          <c:spPr>
            <a:solidFill>
              <a:srgbClr val="E8AFB2"/>
            </a:solidFill>
            <a:ln>
              <a:noFill/>
            </a:ln>
          </c:spPr>
          <c:invertIfNegative val="0"/>
          <c:val>
            <c:numRef>
              <c:f>'souhrnná výkonnost 4'!$F$30:$F$50</c:f>
              <c:numCache>
                <c:formatCode>###\ ###\ ##0.0</c:formatCode>
                <c:ptCount val="21"/>
                <c:pt idx="0">
                  <c:v>0.12300000000000003</c:v>
                </c:pt>
                <c:pt idx="1">
                  <c:v>4.0000000000000018E-3</c:v>
                </c:pt>
                <c:pt idx="2">
                  <c:v>-1.6000000000000007E-2</c:v>
                </c:pt>
                <c:pt idx="3">
                  <c:v>-0.12200000000000003</c:v>
                </c:pt>
                <c:pt idx="4">
                  <c:v>-0.15700000000000006</c:v>
                </c:pt>
                <c:pt idx="5">
                  <c:v>-4.5999999999999999E-2</c:v>
                </c:pt>
                <c:pt idx="6">
                  <c:v>-9.9000000000000046E-2</c:v>
                </c:pt>
                <c:pt idx="7">
                  <c:v>-0.10400000000000002</c:v>
                </c:pt>
                <c:pt idx="8">
                  <c:v>-0.34500000000000008</c:v>
                </c:pt>
                <c:pt idx="9">
                  <c:v>-0.70800000000000018</c:v>
                </c:pt>
                <c:pt idx="10">
                  <c:v>-0.63100000000000023</c:v>
                </c:pt>
                <c:pt idx="11">
                  <c:v>-0.6050000000000002</c:v>
                </c:pt>
                <c:pt idx="12">
                  <c:v>-0.56100000000000005</c:v>
                </c:pt>
                <c:pt idx="13">
                  <c:v>-0.11700000000000002</c:v>
                </c:pt>
                <c:pt idx="14">
                  <c:v>-2.4E-2</c:v>
                </c:pt>
                <c:pt idx="15">
                  <c:v>6.5000000000000002E-2</c:v>
                </c:pt>
                <c:pt idx="16">
                  <c:v>0.44600000000000001</c:v>
                </c:pt>
                <c:pt idx="17">
                  <c:v>0.27600000000000002</c:v>
                </c:pt>
                <c:pt idx="18">
                  <c:v>-0.13200000000000001</c:v>
                </c:pt>
                <c:pt idx="19">
                  <c:v>-0.15600000000000006</c:v>
                </c:pt>
                <c:pt idx="20">
                  <c:v>-0.22</c:v>
                </c:pt>
              </c:numCache>
            </c:numRef>
          </c:val>
          <c:extLst>
            <c:ext xmlns:c16="http://schemas.microsoft.com/office/drawing/2014/chart" uri="{C3380CC4-5D6E-409C-BE32-E72D297353CC}">
              <c16:uniqueId val="{00000003-6ABA-4EA7-8E5B-5F822727E336}"/>
            </c:ext>
          </c:extLst>
        </c:ser>
        <c:ser>
          <c:idx val="0"/>
          <c:order val="4"/>
          <c:tx>
            <c:strRef>
              <c:f>'souhrnná výkonnost 4'!$G$5</c:f>
              <c:strCache>
                <c:ptCount val="1"/>
                <c:pt idx="0">
                  <c:v>Služby (CZ-NACE G až U)</c:v>
                </c:pt>
              </c:strCache>
            </c:strRef>
          </c:tx>
          <c:spPr>
            <a:solidFill>
              <a:srgbClr val="7DBB2D"/>
            </a:solidFill>
            <a:ln>
              <a:noFill/>
            </a:ln>
          </c:spPr>
          <c:invertIfNegative val="0"/>
          <c:val>
            <c:numRef>
              <c:f>'souhrnná výkonnost 4'!$G$30:$G$50</c:f>
              <c:numCache>
                <c:formatCode>#\ ##0.0</c:formatCode>
                <c:ptCount val="21"/>
                <c:pt idx="0">
                  <c:v>3.11</c:v>
                </c:pt>
                <c:pt idx="1">
                  <c:v>2.7559999999999998</c:v>
                </c:pt>
                <c:pt idx="2" formatCode="General">
                  <c:v>2.6919999999999997</c:v>
                </c:pt>
                <c:pt idx="3" formatCode="General">
                  <c:v>2.6319999999999997</c:v>
                </c:pt>
                <c:pt idx="4" formatCode="General">
                  <c:v>2.492999999999999</c:v>
                </c:pt>
                <c:pt idx="5" formatCode="General">
                  <c:v>2.2090000000000001</c:v>
                </c:pt>
                <c:pt idx="6" formatCode="General">
                  <c:v>2.1309999999999998</c:v>
                </c:pt>
                <c:pt idx="7" formatCode="General">
                  <c:v>2.161</c:v>
                </c:pt>
                <c:pt idx="8" formatCode="General">
                  <c:v>0.60200000000000031</c:v>
                </c:pt>
                <c:pt idx="9" formatCode="General">
                  <c:v>-4.258</c:v>
                </c:pt>
                <c:pt idx="10" formatCode="General">
                  <c:v>-2.0909999999999997</c:v>
                </c:pt>
                <c:pt idx="11" formatCode="General">
                  <c:v>-2.3489999999999998</c:v>
                </c:pt>
                <c:pt idx="12" formatCode="General">
                  <c:v>-1.3399999999999994</c:v>
                </c:pt>
                <c:pt idx="13" formatCode="General">
                  <c:v>4.7539999999999996</c:v>
                </c:pt>
                <c:pt idx="14" formatCode="General">
                  <c:v>3.665</c:v>
                </c:pt>
                <c:pt idx="15" formatCode="General">
                  <c:v>4.0489999999999995</c:v>
                </c:pt>
                <c:pt idx="16" formatCode="General">
                  <c:v>3.8449999999999998</c:v>
                </c:pt>
                <c:pt idx="17" formatCode="General">
                  <c:v>2.9619999999999997</c:v>
                </c:pt>
                <c:pt idx="18" formatCode="General">
                  <c:v>0.82199999999999995</c:v>
                </c:pt>
                <c:pt idx="19" formatCode="General">
                  <c:v>0.30100000000000016</c:v>
                </c:pt>
                <c:pt idx="20" formatCode="General">
                  <c:v>0.83700000000000008</c:v>
                </c:pt>
              </c:numCache>
            </c:numRef>
          </c:val>
          <c:extLst>
            <c:ext xmlns:c16="http://schemas.microsoft.com/office/drawing/2014/chart" uri="{C3380CC4-5D6E-409C-BE32-E72D297353CC}">
              <c16:uniqueId val="{00000004-6ABA-4EA7-8E5B-5F822727E336}"/>
            </c:ext>
          </c:extLst>
        </c:ser>
        <c:dLbls>
          <c:showLegendKey val="0"/>
          <c:showVal val="0"/>
          <c:showCatName val="0"/>
          <c:showSerName val="0"/>
          <c:showPercent val="0"/>
          <c:showBubbleSize val="0"/>
        </c:dLbls>
        <c:gapWidth val="70"/>
        <c:overlap val="100"/>
        <c:axId val="106094592"/>
        <c:axId val="106096128"/>
      </c:barChart>
      <c:lineChart>
        <c:grouping val="standard"/>
        <c:varyColors val="0"/>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4'!$A$30:$B$50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'souhrnná výkonnost 4'!$H$30:$H$50</c:f>
              <c:numCache>
                <c:formatCode>#\ ##0.0</c:formatCode>
                <c:ptCount val="21"/>
                <c:pt idx="0">
                  <c:v>4.7990000000000004</c:v>
                </c:pt>
                <c:pt idx="1">
                  <c:v>2.9809999999999999</c:v>
                </c:pt>
                <c:pt idx="2">
                  <c:v>2.9309999999999992</c:v>
                </c:pt>
                <c:pt idx="3">
                  <c:v>2.9089999999999998</c:v>
                </c:pt>
                <c:pt idx="4">
                  <c:v>2.984</c:v>
                </c:pt>
                <c:pt idx="5">
                  <c:v>3.1970000000000001</c:v>
                </c:pt>
                <c:pt idx="6">
                  <c:v>2.8979999999999997</c:v>
                </c:pt>
                <c:pt idx="7">
                  <c:v>2.67</c:v>
                </c:pt>
                <c:pt idx="8">
                  <c:v>-1.097</c:v>
                </c:pt>
                <c:pt idx="9">
                  <c:v>-10.953000000000005</c:v>
                </c:pt>
                <c:pt idx="10">
                  <c:v>-4.87</c:v>
                </c:pt>
                <c:pt idx="11">
                  <c:v>-4.1849999999999978</c:v>
                </c:pt>
                <c:pt idx="12">
                  <c:v>-1.8220000000000001</c:v>
                </c:pt>
                <c:pt idx="13">
                  <c:v>9.3630000000000049</c:v>
                </c:pt>
                <c:pt idx="14">
                  <c:v>3.4169999999999989</c:v>
                </c:pt>
                <c:pt idx="15">
                  <c:v>3.0309999999999997</c:v>
                </c:pt>
                <c:pt idx="16">
                  <c:v>4.0439999999999996</c:v>
                </c:pt>
                <c:pt idx="17">
                  <c:v>3.391999999999999</c:v>
                </c:pt>
                <c:pt idx="18">
                  <c:v>1.536</c:v>
                </c:pt>
                <c:pt idx="19">
                  <c:v>0.8500000000000002</c:v>
                </c:pt>
                <c:pt idx="20" formatCode="General">
                  <c:v>1.1459999999999995</c:v>
                </c:pt>
              </c:numCache>
            </c:numRef>
          </c:val>
          <c:smooth val="0"/>
          <c:extLst>
            <c:ext xmlns:c16="http://schemas.microsoft.com/office/drawing/2014/chart" uri="{C3380CC4-5D6E-409C-BE32-E72D297353CC}">
              <c16:uniqueId val="{00000005-6ABA-4EA7-8E5B-5F822727E336}"/>
            </c:ext>
          </c:extLst>
        </c:ser>
        <c:dLbls>
          <c:showLegendKey val="0"/>
          <c:showVal val="0"/>
          <c:showCatName val="0"/>
          <c:showSerName val="0"/>
          <c:showPercent val="0"/>
          <c:showBubbleSize val="0"/>
        </c:dLbls>
        <c:marker val="1"/>
        <c:smooth val="0"/>
        <c:axId val="106094592"/>
        <c:axId val="106096128"/>
      </c:lineChart>
      <c:catAx>
        <c:axId val="106094592"/>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06096128"/>
        <c:crosses val="autoZero"/>
        <c:auto val="1"/>
        <c:lblAlgn val="ctr"/>
        <c:lblOffset val="100"/>
        <c:noMultiLvlLbl val="0"/>
      </c:catAx>
      <c:valAx>
        <c:axId val="106096128"/>
        <c:scaling>
          <c:orientation val="minMax"/>
          <c:max val="10"/>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06094592"/>
        <c:crosses val="autoZero"/>
        <c:crossBetween val="between"/>
        <c:majorUnit val="2"/>
      </c:valAx>
      <c:spPr>
        <a:ln>
          <a:solidFill>
            <a:schemeClr val="tx1"/>
          </a:solidFill>
        </a:ln>
      </c:spPr>
    </c:plotArea>
    <c:legend>
      <c:legendPos val="b"/>
      <c:layout>
        <c:manualLayout>
          <c:xMode val="edge"/>
          <c:yMode val="edge"/>
          <c:x val="5.4144292468760548E-2"/>
          <c:y val="0.79016604750647301"/>
          <c:w val="0.92386482607227283"/>
          <c:h val="0.19462484520994935"/>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1BBA9E39CFCF469C5C18733081B222" ma:contentTypeVersion="2" ma:contentTypeDescription="Vytvoří nový dokument" ma:contentTypeScope="" ma:versionID="eb01c1c0223ab0a1c9372071ddfa2e5f">
  <xsd:schema xmlns:xsd="http://www.w3.org/2001/XMLSchema" xmlns:xs="http://www.w3.org/2001/XMLSchema" xmlns:p="http://schemas.microsoft.com/office/2006/metadata/properties" xmlns:ns2="eabc42bd-08fe-4a27-9645-04f6ad96d74a" targetNamespace="http://schemas.microsoft.com/office/2006/metadata/properties" ma:root="true" ma:fieldsID="3d4f44d82d427914eb8ec1afbd279452" ns2:_="">
    <xsd:import namespace="eabc42bd-08fe-4a27-9645-04f6ad96d7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c42bd-08fe-4a27-9645-04f6ad96d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38702-393C-4E0B-95FC-6397490058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3.xml><?xml version="1.0" encoding="utf-8"?>
<ds:datastoreItem xmlns:ds="http://schemas.openxmlformats.org/officeDocument/2006/customXml" ds:itemID="{0770C5A8-E1D4-45B9-A6FC-B1B245DAB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c42bd-08fe-4a27-9645-04f6ad96d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AEA79-6331-4A89-BBE7-6756347DAADC}">
  <ds:schemaRefs>
    <ds:schemaRef ds:uri="http://schemas.openxmlformats.org/officeDocument/2006/bibliography"/>
  </ds:schemaRefs>
</ds:datastoreItem>
</file>

<file path=customXml/itemProps5.xml><?xml version="1.0" encoding="utf-8"?>
<ds:datastoreItem xmlns:ds="http://schemas.openxmlformats.org/officeDocument/2006/customXml" ds:itemID="{855CB5F0-1EEB-4C32-B1F0-864BD2EC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5</TotalTime>
  <Pages>5</Pages>
  <Words>1618</Words>
  <Characters>9549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Zábojníková Karolína</cp:lastModifiedBy>
  <cp:revision>5</cp:revision>
  <cp:lastPrinted>2023-06-09T17:23:00Z</cp:lastPrinted>
  <dcterms:created xsi:type="dcterms:W3CDTF">2023-06-15T09:42:00Z</dcterms:created>
  <dcterms:modified xsi:type="dcterms:W3CDTF">2023-06-15T09:49:00Z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0x010100331BBA9E39CFCF469C5C18733081B222</vt:lpwstr>
  </property>
</Properties>
</file>