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1322B" w14:textId="77777777" w:rsidR="008E69EC" w:rsidRPr="008036A7" w:rsidRDefault="00B37A13" w:rsidP="00977861">
      <w:pPr>
        <w:pStyle w:val="Nadpis1"/>
        <w:rPr>
          <w:rFonts w:cs="Arial"/>
          <w:sz w:val="22"/>
          <w:szCs w:val="22"/>
          <w:lang w:val="en-GB"/>
        </w:rPr>
      </w:pPr>
      <w:r w:rsidRPr="008036A7">
        <w:rPr>
          <w:rFonts w:cs="Arial"/>
          <w:sz w:val="22"/>
          <w:szCs w:val="22"/>
          <w:lang w:val="en-GB"/>
        </w:rPr>
        <w:t>I</w:t>
      </w:r>
      <w:r w:rsidR="007A4D75">
        <w:rPr>
          <w:rFonts w:cs="Arial"/>
          <w:sz w:val="22"/>
          <w:szCs w:val="22"/>
          <w:lang w:val="en-GB"/>
        </w:rPr>
        <w:t>ntroduction</w:t>
      </w:r>
    </w:p>
    <w:p w14:paraId="56DE4E7F" w14:textId="77777777" w:rsidR="008E69EC" w:rsidRPr="008036A7" w:rsidRDefault="008E69E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jc w:val="center"/>
        <w:outlineLvl w:val="0"/>
        <w:rPr>
          <w:rFonts w:ascii="Arial" w:hAnsi="Arial" w:cs="Arial"/>
          <w:sz w:val="22"/>
          <w:szCs w:val="22"/>
          <w:lang w:val="en-GB"/>
        </w:rPr>
      </w:pPr>
    </w:p>
    <w:p w14:paraId="297644CA" w14:textId="77777777" w:rsidR="008E69EC" w:rsidRPr="008036A7" w:rsidRDefault="008E69E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line="167" w:lineRule="exact"/>
        <w:jc w:val="both"/>
        <w:rPr>
          <w:rFonts w:ascii="Arial" w:hAnsi="Arial" w:cs="Arial"/>
          <w:sz w:val="22"/>
          <w:szCs w:val="22"/>
          <w:lang w:val="en-GB"/>
        </w:rPr>
      </w:pPr>
    </w:p>
    <w:p w14:paraId="3939CD61" w14:textId="77777777" w:rsidR="008E69EC" w:rsidRPr="008036A7" w:rsidRDefault="008E69EC" w:rsidP="007A715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after="120" w:line="167" w:lineRule="exact"/>
        <w:jc w:val="both"/>
        <w:rPr>
          <w:rFonts w:ascii="Arial" w:hAnsi="Arial" w:cs="Arial"/>
          <w:sz w:val="22"/>
          <w:szCs w:val="22"/>
          <w:lang w:val="en-GB"/>
        </w:rPr>
        <w:sectPr w:rsidR="008E69EC" w:rsidRPr="008036A7">
          <w:footnotePr>
            <w:numRestart w:val="eachSect"/>
          </w:footnotePr>
          <w:endnotePr>
            <w:numFmt w:val="decimal"/>
          </w:endnotePr>
          <w:pgSz w:w="11905" w:h="16837"/>
          <w:pgMar w:top="1417" w:right="1080" w:bottom="906" w:left="1132" w:header="708" w:footer="708" w:gutter="0"/>
          <w:cols w:space="708"/>
        </w:sectPr>
      </w:pPr>
    </w:p>
    <w:p w14:paraId="7988CD77" w14:textId="77777777" w:rsidR="005D0988" w:rsidRPr="00DE04B5" w:rsidRDefault="002B1376" w:rsidP="003768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Pr>
          <w:rFonts w:ascii="Arial" w:hAnsi="Arial"/>
          <w:bCs/>
          <w:sz w:val="22"/>
          <w:szCs w:val="22"/>
          <w:lang w:val="en-GB"/>
        </w:rPr>
        <w:t xml:space="preserve">Dear readers, this publication brings preliminary figures on numbers of employees, average gross monthly wages, and on payroll expenses in the national economy of the Czech Republic </w:t>
      </w:r>
      <w:r w:rsidRPr="00DE04B5">
        <w:rPr>
          <w:rFonts w:ascii="Arial" w:hAnsi="Arial"/>
          <w:bCs/>
          <w:sz w:val="22"/>
          <w:szCs w:val="22"/>
          <w:lang w:val="en-GB"/>
        </w:rPr>
        <w:t xml:space="preserve">as at </w:t>
      </w:r>
      <w:r w:rsidR="00E566AF" w:rsidRPr="00DE04B5">
        <w:rPr>
          <w:rFonts w:ascii="Arial" w:hAnsi="Arial"/>
          <w:bCs/>
          <w:sz w:val="22"/>
          <w:szCs w:val="22"/>
          <w:lang w:val="en-GB"/>
        </w:rPr>
        <w:t xml:space="preserve">the </w:t>
      </w:r>
      <w:r w:rsidRPr="00DE04B5">
        <w:rPr>
          <w:rFonts w:ascii="Arial" w:hAnsi="Arial"/>
          <w:bCs/>
          <w:sz w:val="22"/>
          <w:szCs w:val="22"/>
          <w:lang w:val="en-GB"/>
        </w:rPr>
        <w:t>2</w:t>
      </w:r>
      <w:r w:rsidR="00977861" w:rsidRPr="00DE04B5">
        <w:rPr>
          <w:rFonts w:ascii="Arial" w:hAnsi="Arial"/>
          <w:bCs/>
          <w:sz w:val="22"/>
          <w:szCs w:val="22"/>
          <w:lang w:val="en-GB"/>
        </w:rPr>
        <w:t>6</w:t>
      </w:r>
      <w:r w:rsidRPr="00DE04B5">
        <w:rPr>
          <w:rFonts w:ascii="Arial" w:hAnsi="Arial"/>
          <w:bCs/>
          <w:sz w:val="22"/>
          <w:szCs w:val="22"/>
          <w:vertAlign w:val="superscript"/>
          <w:lang w:val="en-GB"/>
        </w:rPr>
        <w:t>th</w:t>
      </w:r>
      <w:r w:rsidR="00E566AF" w:rsidRPr="00DE04B5">
        <w:rPr>
          <w:rFonts w:ascii="Arial" w:hAnsi="Arial"/>
          <w:bCs/>
          <w:sz w:val="22"/>
          <w:szCs w:val="22"/>
          <w:lang w:val="en-GB"/>
        </w:rPr>
        <w:t xml:space="preserve"> </w:t>
      </w:r>
      <w:proofErr w:type="gramStart"/>
      <w:r w:rsidR="00E566AF" w:rsidRPr="00DE04B5">
        <w:rPr>
          <w:rFonts w:ascii="Arial" w:hAnsi="Arial"/>
          <w:bCs/>
          <w:sz w:val="22"/>
          <w:szCs w:val="22"/>
          <w:lang w:val="en-GB"/>
        </w:rPr>
        <w:t>of</w:t>
      </w:r>
      <w:r w:rsidRPr="00DE04B5">
        <w:rPr>
          <w:rFonts w:ascii="Arial" w:hAnsi="Arial"/>
          <w:bCs/>
          <w:sz w:val="22"/>
          <w:szCs w:val="22"/>
          <w:vertAlign w:val="superscript"/>
          <w:lang w:val="en-GB"/>
        </w:rPr>
        <w:t> </w:t>
      </w:r>
      <w:r w:rsidR="009166EE" w:rsidRPr="00DE04B5">
        <w:rPr>
          <w:rFonts w:ascii="Arial" w:hAnsi="Arial"/>
          <w:bCs/>
          <w:sz w:val="22"/>
          <w:szCs w:val="22"/>
          <w:lang w:val="en-GB"/>
        </w:rPr>
        <w:t> </w:t>
      </w:r>
      <w:r w:rsidR="00977861" w:rsidRPr="00DE04B5">
        <w:rPr>
          <w:rFonts w:ascii="Arial" w:hAnsi="Arial"/>
          <w:bCs/>
          <w:sz w:val="22"/>
          <w:szCs w:val="22"/>
          <w:lang w:val="en-GB"/>
        </w:rPr>
        <w:t>May</w:t>
      </w:r>
      <w:proofErr w:type="gramEnd"/>
      <w:r w:rsidR="00977861" w:rsidRPr="00DE04B5">
        <w:rPr>
          <w:rFonts w:ascii="Arial" w:hAnsi="Arial"/>
          <w:bCs/>
          <w:sz w:val="22"/>
          <w:szCs w:val="22"/>
          <w:lang w:val="en-GB"/>
        </w:rPr>
        <w:t xml:space="preserve"> </w:t>
      </w:r>
      <w:r w:rsidRPr="00DE04B5">
        <w:rPr>
          <w:rFonts w:ascii="Arial" w:hAnsi="Arial"/>
          <w:bCs/>
          <w:sz w:val="22"/>
          <w:szCs w:val="22"/>
          <w:lang w:val="en-GB"/>
        </w:rPr>
        <w:t>20</w:t>
      </w:r>
      <w:r w:rsidR="00977861" w:rsidRPr="00DE04B5">
        <w:rPr>
          <w:rFonts w:ascii="Arial" w:hAnsi="Arial"/>
          <w:bCs/>
          <w:sz w:val="22"/>
          <w:szCs w:val="22"/>
          <w:lang w:val="en-GB"/>
        </w:rPr>
        <w:t>20</w:t>
      </w:r>
      <w:r w:rsidR="009C18FE" w:rsidRPr="00DE04B5">
        <w:rPr>
          <w:rFonts w:ascii="Arial" w:hAnsi="Arial"/>
          <w:bCs/>
          <w:sz w:val="22"/>
          <w:szCs w:val="22"/>
          <w:lang w:val="en-GB"/>
        </w:rPr>
        <w:t xml:space="preserve"> that means for </w:t>
      </w:r>
      <w:r w:rsidR="00977861" w:rsidRPr="00DE04B5">
        <w:rPr>
          <w:rFonts w:ascii="Arial" w:hAnsi="Arial"/>
          <w:bCs/>
          <w:sz w:val="22"/>
          <w:szCs w:val="22"/>
          <w:lang w:val="en-GB"/>
        </w:rPr>
        <w:t xml:space="preserve">the </w:t>
      </w:r>
      <w:r w:rsidR="004B1E6C" w:rsidRPr="00DE04B5">
        <w:rPr>
          <w:rFonts w:ascii="Arial" w:hAnsi="Arial"/>
          <w:bCs/>
          <w:sz w:val="22"/>
          <w:szCs w:val="22"/>
          <w:lang w:val="en-GB"/>
        </w:rPr>
        <w:t>Q1</w:t>
      </w:r>
      <w:r w:rsidR="00977861" w:rsidRPr="00DE04B5">
        <w:rPr>
          <w:rFonts w:ascii="Arial" w:hAnsi="Arial"/>
          <w:bCs/>
          <w:sz w:val="22"/>
          <w:szCs w:val="22"/>
          <w:lang w:val="en-GB"/>
        </w:rPr>
        <w:t xml:space="preserve"> </w:t>
      </w:r>
      <w:r w:rsidR="009C18FE" w:rsidRPr="00DE04B5">
        <w:rPr>
          <w:rFonts w:ascii="Arial" w:hAnsi="Arial"/>
          <w:bCs/>
          <w:sz w:val="22"/>
          <w:szCs w:val="22"/>
          <w:lang w:val="en-GB"/>
        </w:rPr>
        <w:t>20</w:t>
      </w:r>
      <w:r w:rsidR="00977861" w:rsidRPr="00DE04B5">
        <w:rPr>
          <w:rFonts w:ascii="Arial" w:hAnsi="Arial"/>
          <w:bCs/>
          <w:sz w:val="22"/>
          <w:szCs w:val="22"/>
          <w:lang w:val="en-GB"/>
        </w:rPr>
        <w:t>20</w:t>
      </w:r>
      <w:r w:rsidRPr="00DE04B5">
        <w:rPr>
          <w:rFonts w:ascii="Arial" w:hAnsi="Arial"/>
          <w:bCs/>
          <w:sz w:val="22"/>
          <w:szCs w:val="22"/>
          <w:lang w:val="en-GB"/>
        </w:rPr>
        <w:t xml:space="preserve">. Annexes No </w:t>
      </w:r>
      <w:r w:rsidR="00E566AF" w:rsidRPr="00DE04B5">
        <w:rPr>
          <w:rFonts w:ascii="Arial" w:hAnsi="Arial"/>
          <w:bCs/>
          <w:sz w:val="22"/>
          <w:szCs w:val="22"/>
          <w:lang w:val="en-GB"/>
        </w:rPr>
        <w:t>1 and 2 show time series of definitive</w:t>
      </w:r>
      <w:r w:rsidRPr="00DE04B5">
        <w:rPr>
          <w:rFonts w:ascii="Arial" w:hAnsi="Arial"/>
          <w:bCs/>
          <w:sz w:val="22"/>
          <w:szCs w:val="22"/>
          <w:lang w:val="en-GB"/>
        </w:rPr>
        <w:t xml:space="preserve"> data up to 201</w:t>
      </w:r>
      <w:r w:rsidR="00A81CB5" w:rsidRPr="00DE04B5">
        <w:rPr>
          <w:rFonts w:ascii="Arial" w:hAnsi="Arial"/>
          <w:bCs/>
          <w:sz w:val="22"/>
          <w:szCs w:val="22"/>
          <w:lang w:val="en-GB"/>
        </w:rPr>
        <w:t>8</w:t>
      </w:r>
      <w:r w:rsidRPr="00DE04B5">
        <w:rPr>
          <w:rFonts w:ascii="Arial" w:hAnsi="Arial"/>
          <w:bCs/>
          <w:sz w:val="22"/>
          <w:szCs w:val="22"/>
          <w:lang w:val="en-GB"/>
        </w:rPr>
        <w:t>. Time series for 201</w:t>
      </w:r>
      <w:r w:rsidR="00977861" w:rsidRPr="00DE04B5">
        <w:rPr>
          <w:rFonts w:ascii="Arial" w:hAnsi="Arial"/>
          <w:bCs/>
          <w:sz w:val="22"/>
          <w:szCs w:val="22"/>
          <w:lang w:val="en-GB"/>
        </w:rPr>
        <w:t>9</w:t>
      </w:r>
      <w:r w:rsidRPr="00DE04B5">
        <w:rPr>
          <w:rFonts w:ascii="Arial" w:hAnsi="Arial"/>
          <w:bCs/>
          <w:sz w:val="22"/>
          <w:szCs w:val="22"/>
          <w:lang w:val="en-GB"/>
        </w:rPr>
        <w:t xml:space="preserve"> and 20</w:t>
      </w:r>
      <w:r w:rsidR="00977861" w:rsidRPr="00DE04B5">
        <w:rPr>
          <w:rFonts w:ascii="Arial" w:hAnsi="Arial"/>
          <w:bCs/>
          <w:sz w:val="22"/>
          <w:szCs w:val="22"/>
          <w:lang w:val="en-GB"/>
        </w:rPr>
        <w:t>20</w:t>
      </w:r>
      <w:r w:rsidRPr="00DE04B5">
        <w:rPr>
          <w:rFonts w:ascii="Arial" w:hAnsi="Arial"/>
          <w:bCs/>
          <w:sz w:val="22"/>
          <w:szCs w:val="22"/>
          <w:lang w:val="en-GB"/>
        </w:rPr>
        <w:t xml:space="preserve"> are of preliminary data.</w:t>
      </w:r>
    </w:p>
    <w:p w14:paraId="103F3629" w14:textId="77777777" w:rsidR="00695878" w:rsidRPr="00DE04B5" w:rsidRDefault="002B13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sidRPr="00DE04B5">
        <w:rPr>
          <w:rFonts w:ascii="Arial" w:hAnsi="Arial"/>
          <w:bCs/>
          <w:sz w:val="22"/>
          <w:szCs w:val="22"/>
          <w:lang w:val="en-GB"/>
        </w:rPr>
        <w:t xml:space="preserve">The </w:t>
      </w:r>
      <w:r w:rsidRPr="00DE04B5">
        <w:rPr>
          <w:rFonts w:ascii="Arial" w:hAnsi="Arial"/>
          <w:b/>
          <w:bCs/>
          <w:sz w:val="22"/>
          <w:szCs w:val="22"/>
          <w:lang w:val="en-GB"/>
        </w:rPr>
        <w:t>number of registered employees</w:t>
      </w:r>
      <w:r w:rsidR="003768DB" w:rsidRPr="00DE04B5">
        <w:rPr>
          <w:rFonts w:ascii="Arial" w:hAnsi="Arial"/>
          <w:bCs/>
          <w:sz w:val="22"/>
          <w:szCs w:val="22"/>
          <w:lang w:val="en-GB"/>
        </w:rPr>
        <w:t xml:space="preserve"> </w:t>
      </w:r>
      <w:r w:rsidR="00E566AF" w:rsidRPr="00DE04B5">
        <w:rPr>
          <w:rFonts w:ascii="Arial" w:hAnsi="Arial"/>
          <w:bCs/>
          <w:sz w:val="22"/>
          <w:szCs w:val="22"/>
          <w:lang w:val="en-GB"/>
        </w:rPr>
        <w:t>includes persons under employment contracts, employment contracts for duty, and members of cooperatives having also an employment contract with the employer (hereinafter only as the employment contract for all the aforementioned types).</w:t>
      </w:r>
      <w:r w:rsidR="003768DB" w:rsidRPr="00DE04B5">
        <w:rPr>
          <w:rFonts w:ascii="Arial" w:hAnsi="Arial"/>
          <w:bCs/>
          <w:sz w:val="22"/>
          <w:szCs w:val="22"/>
          <w:lang w:val="en-GB"/>
        </w:rPr>
        <w:t xml:space="preserve"> </w:t>
      </w:r>
    </w:p>
    <w:p w14:paraId="640D73F8" w14:textId="77777777" w:rsidR="002D0A5F" w:rsidRPr="008036A7" w:rsidRDefault="0069587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sidRPr="00DE04B5">
        <w:rPr>
          <w:rFonts w:ascii="Arial" w:hAnsi="Arial"/>
          <w:b/>
          <w:bCs/>
          <w:sz w:val="22"/>
          <w:szCs w:val="22"/>
          <w:lang w:val="en-GB"/>
        </w:rPr>
        <w:t>The average registered number of employees per quarter (headcount)</w:t>
      </w:r>
      <w:r w:rsidRPr="00DE04B5">
        <w:rPr>
          <w:rFonts w:ascii="Arial" w:hAnsi="Arial"/>
          <w:bCs/>
          <w:sz w:val="22"/>
          <w:szCs w:val="22"/>
          <w:lang w:val="en-GB"/>
        </w:rPr>
        <w:t xml:space="preserve"> is </w:t>
      </w:r>
      <w:r w:rsidR="0016431A" w:rsidRPr="00DE04B5">
        <w:rPr>
          <w:rFonts w:ascii="Arial" w:hAnsi="Arial"/>
          <w:bCs/>
          <w:sz w:val="22"/>
          <w:szCs w:val="22"/>
          <w:lang w:val="en-GB"/>
        </w:rPr>
        <w:t>an</w:t>
      </w:r>
      <w:r w:rsidRPr="00DE04B5">
        <w:rPr>
          <w:rFonts w:ascii="Arial" w:hAnsi="Arial"/>
          <w:bCs/>
          <w:sz w:val="22"/>
          <w:szCs w:val="22"/>
          <w:lang w:val="en-GB"/>
        </w:rPr>
        <w:t xml:space="preserve"> arithmetic mean of the</w:t>
      </w:r>
      <w:r w:rsidR="00C83067" w:rsidRPr="00DE04B5">
        <w:rPr>
          <w:rFonts w:ascii="Arial" w:hAnsi="Arial"/>
          <w:bCs/>
          <w:sz w:val="22"/>
          <w:szCs w:val="22"/>
          <w:lang w:val="en-GB"/>
        </w:rPr>
        <w:t xml:space="preserve"> average</w:t>
      </w:r>
      <w:r w:rsidRPr="00DE04B5">
        <w:rPr>
          <w:rFonts w:ascii="Arial" w:hAnsi="Arial"/>
          <w:bCs/>
          <w:sz w:val="22"/>
          <w:szCs w:val="22"/>
          <w:lang w:val="en-GB"/>
        </w:rPr>
        <w:t xml:space="preserve"> </w:t>
      </w:r>
      <w:r w:rsidR="0016431A" w:rsidRPr="00DE04B5">
        <w:rPr>
          <w:rFonts w:ascii="Arial" w:hAnsi="Arial"/>
          <w:bCs/>
          <w:sz w:val="22"/>
          <w:szCs w:val="22"/>
          <w:lang w:val="en-GB"/>
        </w:rPr>
        <w:t xml:space="preserve">numbers for the </w:t>
      </w:r>
      <w:r w:rsidRPr="00DE04B5">
        <w:rPr>
          <w:rFonts w:ascii="Arial" w:hAnsi="Arial"/>
          <w:bCs/>
          <w:sz w:val="22"/>
          <w:szCs w:val="22"/>
          <w:lang w:val="en-GB"/>
        </w:rPr>
        <w:t xml:space="preserve">three </w:t>
      </w:r>
      <w:r w:rsidR="0016431A" w:rsidRPr="00DE04B5">
        <w:rPr>
          <w:rFonts w:ascii="Arial" w:hAnsi="Arial"/>
          <w:bCs/>
          <w:sz w:val="22"/>
          <w:szCs w:val="22"/>
          <w:lang w:val="en-GB"/>
        </w:rPr>
        <w:t>relevant</w:t>
      </w:r>
      <w:r w:rsidRPr="00DE04B5">
        <w:rPr>
          <w:rFonts w:ascii="Arial" w:hAnsi="Arial"/>
          <w:bCs/>
          <w:sz w:val="22"/>
          <w:szCs w:val="22"/>
          <w:lang w:val="en-GB"/>
        </w:rPr>
        <w:t xml:space="preserve"> months</w:t>
      </w:r>
      <w:r w:rsidR="0016431A" w:rsidRPr="00DE04B5">
        <w:rPr>
          <w:rFonts w:ascii="Arial" w:hAnsi="Arial"/>
          <w:bCs/>
          <w:sz w:val="22"/>
          <w:szCs w:val="22"/>
          <w:lang w:val="en-GB"/>
        </w:rPr>
        <w:t xml:space="preserve"> (</w:t>
      </w:r>
      <w:r w:rsidRPr="00DE04B5">
        <w:rPr>
          <w:rFonts w:ascii="Arial" w:hAnsi="Arial"/>
          <w:bCs/>
          <w:sz w:val="22"/>
          <w:szCs w:val="22"/>
          <w:lang w:val="en-GB"/>
        </w:rPr>
        <w:t>which are calculated as a sum of daily headcount numbers divided by calendar days of the month concerned</w:t>
      </w:r>
      <w:r w:rsidR="0016431A" w:rsidRPr="00DE04B5">
        <w:rPr>
          <w:rFonts w:ascii="Arial" w:hAnsi="Arial"/>
          <w:bCs/>
          <w:sz w:val="22"/>
          <w:szCs w:val="22"/>
          <w:lang w:val="en-GB"/>
        </w:rPr>
        <w:t xml:space="preserve">). </w:t>
      </w:r>
      <w:r w:rsidRPr="00DE04B5">
        <w:rPr>
          <w:rFonts w:ascii="Arial" w:hAnsi="Arial"/>
          <w:b/>
          <w:bCs/>
          <w:sz w:val="22"/>
          <w:szCs w:val="22"/>
          <w:lang w:val="en-GB"/>
        </w:rPr>
        <w:t>The average registered number of full-time equivalent (FTE) employees</w:t>
      </w:r>
      <w:r w:rsidRPr="00DE04B5">
        <w:rPr>
          <w:rFonts w:ascii="Arial" w:hAnsi="Arial"/>
          <w:bCs/>
          <w:sz w:val="22"/>
          <w:szCs w:val="22"/>
          <w:lang w:val="en-GB"/>
        </w:rPr>
        <w:t xml:space="preserve"> is the average registered number of employees as headcount converted by their hours of work in relation to full-time working hours as determined by the employer.</w:t>
      </w:r>
    </w:p>
    <w:p w14:paraId="7326F052" w14:textId="77777777" w:rsidR="00860A8C" w:rsidRPr="008036A7" w:rsidRDefault="002B1376" w:rsidP="00200C7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Pr>
          <w:rFonts w:ascii="Arial" w:hAnsi="Arial"/>
          <w:bCs/>
          <w:sz w:val="22"/>
          <w:szCs w:val="22"/>
          <w:lang w:val="en-GB"/>
        </w:rPr>
        <w:t>The</w:t>
      </w:r>
      <w:r>
        <w:rPr>
          <w:rFonts w:ascii="Arial" w:hAnsi="Arial"/>
          <w:b/>
          <w:bCs/>
          <w:sz w:val="22"/>
          <w:szCs w:val="22"/>
          <w:lang w:val="en-GB"/>
        </w:rPr>
        <w:t xml:space="preserve"> average gross monthly wage</w:t>
      </w:r>
      <w:r>
        <w:rPr>
          <w:rFonts w:ascii="Arial" w:hAnsi="Arial"/>
          <w:bCs/>
          <w:sz w:val="22"/>
          <w:szCs w:val="22"/>
          <w:lang w:val="en-GB"/>
        </w:rPr>
        <w:t xml:space="preserve"> is the share of wages, excluding other personnel costs, per headcount employee per month. These </w:t>
      </w:r>
      <w:r w:rsidRPr="005D373C">
        <w:rPr>
          <w:rFonts w:ascii="Arial" w:hAnsi="Arial"/>
          <w:b/>
          <w:bCs/>
          <w:sz w:val="22"/>
          <w:szCs w:val="22"/>
          <w:lang w:val="en-GB"/>
        </w:rPr>
        <w:t>wages</w:t>
      </w:r>
      <w:r w:rsidR="005D373C">
        <w:rPr>
          <w:rFonts w:ascii="Arial" w:hAnsi="Arial"/>
          <w:bCs/>
          <w:sz w:val="22"/>
          <w:szCs w:val="22"/>
          <w:lang w:val="en-GB"/>
        </w:rPr>
        <w:t xml:space="preserve"> (excluding other personnel costs)</w:t>
      </w:r>
      <w:r>
        <w:rPr>
          <w:rFonts w:ascii="Arial" w:hAnsi="Arial"/>
          <w:bCs/>
          <w:sz w:val="22"/>
          <w:szCs w:val="22"/>
          <w:lang w:val="en-GB"/>
        </w:rPr>
        <w:t xml:space="preserve"> include basic wages and salaries, bonuses and premiums to the wage or salary, rewards, compensations of wages and salaries, remuneration for standby duty, and other components of the wage or salary. This includes amounts that were put on the pay cheque of employees in accounting. Wages and salaries do not include compensations of the wage or salary for duration of temporary incapacity for work or quarantine paid by the employer. These are gross wages </w:t>
      </w:r>
      <w:proofErr w:type="gramStart"/>
      <w:r>
        <w:rPr>
          <w:rFonts w:ascii="Arial" w:hAnsi="Arial"/>
          <w:bCs/>
          <w:sz w:val="22"/>
          <w:szCs w:val="22"/>
          <w:lang w:val="en-GB"/>
        </w:rPr>
        <w:t>i.e.</w:t>
      </w:r>
      <w:proofErr w:type="gramEnd"/>
      <w:r>
        <w:rPr>
          <w:rFonts w:ascii="Arial" w:hAnsi="Arial"/>
          <w:bCs/>
          <w:sz w:val="22"/>
          <w:szCs w:val="22"/>
          <w:lang w:val="en-GB"/>
        </w:rPr>
        <w:t xml:space="preserve"> before deductions of health insurance and social security premiums, advance deposits for income tax of natural persons, and other statutory deductions, or deductions agreed with the employee.</w:t>
      </w:r>
    </w:p>
    <w:p w14:paraId="37DE63F7" w14:textId="77777777" w:rsidR="00A81CB5" w:rsidRDefault="002B13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Pr>
          <w:rFonts w:ascii="Arial" w:hAnsi="Arial"/>
          <w:bCs/>
          <w:sz w:val="22"/>
          <w:szCs w:val="22"/>
          <w:lang w:val="en-GB"/>
        </w:rPr>
        <w:t xml:space="preserve">The data on the numbers of employees and on average wages do not cover persons performing public administration positions (e.g. Members of Parliaments, Senators, deputies and full-time positions of members of assemblies of all levels of public administration and self-government) judges, women on maternity leave, persons on parental leave (unless are simultaneously working under the employment contract), apprentices, persons working on the basis of agreements on work performed outside the employment contract, and employees of entities, which are not statistically measured. </w:t>
      </w:r>
    </w:p>
    <w:p w14:paraId="69ADBD0A" w14:textId="77777777" w:rsidR="008B17DC" w:rsidRPr="00DE04B5" w:rsidRDefault="008B17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sidRPr="00DE04B5">
        <w:rPr>
          <w:rFonts w:ascii="Arial" w:hAnsi="Arial"/>
          <w:b/>
          <w:bCs/>
          <w:sz w:val="22"/>
          <w:szCs w:val="22"/>
          <w:lang w:val="en-GB"/>
        </w:rPr>
        <w:t>Other personnel costs</w:t>
      </w:r>
      <w:r w:rsidRPr="00DE04B5">
        <w:rPr>
          <w:rFonts w:ascii="Arial" w:hAnsi="Arial"/>
          <w:bCs/>
          <w:sz w:val="22"/>
          <w:szCs w:val="22"/>
          <w:lang w:val="en-GB"/>
        </w:rPr>
        <w:t xml:space="preserve"> are remunerations for work provided by persons contracted under contracts of work carried out outside their employment contracts (typically the Czech DPP a DP</w:t>
      </w:r>
      <w:r w:rsidRPr="00DE04B5">
        <w:rPr>
          <w:rFonts w:ascii="Arial" w:hAnsi="Arial" w:hint="eastAsia"/>
          <w:bCs/>
          <w:sz w:val="22"/>
          <w:szCs w:val="22"/>
          <w:lang w:val="en-GB"/>
        </w:rPr>
        <w:t>Č</w:t>
      </w:r>
      <w:r w:rsidRPr="00DE04B5">
        <w:rPr>
          <w:rFonts w:ascii="Arial" w:hAnsi="Arial"/>
          <w:bCs/>
          <w:sz w:val="22"/>
          <w:szCs w:val="22"/>
          <w:lang w:val="en-GB"/>
        </w:rPr>
        <w:t xml:space="preserve"> type of contract) and other allowances, e.g.; remunerations according to copyright regulations, severance pay, golden handshake and similar payments, remunerations for members of the company's and cooperative's bodies paid from costs and profit, remuneration for apprentices, salaries of judges, remunerations for members of elected councils of all levels. They are given in gross amounts.</w:t>
      </w:r>
    </w:p>
    <w:p w14:paraId="493A1F52" w14:textId="77777777" w:rsidR="002D0A5F" w:rsidRPr="008036A7" w:rsidRDefault="002B13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Pr>
          <w:rFonts w:ascii="Arial" w:hAnsi="Arial"/>
          <w:bCs/>
          <w:sz w:val="22"/>
          <w:szCs w:val="22"/>
          <w:lang w:val="en-GB"/>
        </w:rPr>
        <w:t>Data on the number of employees and on average wages are published for the whole population of businesses with an increased emphasis on the average wages of FTE employees, which take into account their hours of work.</w:t>
      </w:r>
    </w:p>
    <w:p w14:paraId="55D05BD6" w14:textId="77777777" w:rsidR="002D0A5F" w:rsidRPr="008036A7" w:rsidRDefault="002B13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Pr>
          <w:rFonts w:ascii="Arial" w:hAnsi="Arial"/>
          <w:bCs/>
          <w:sz w:val="22"/>
          <w:szCs w:val="22"/>
          <w:lang w:val="en-GB"/>
        </w:rPr>
        <w:t xml:space="preserve">In the data processing mathematical and statistical methods are applied for </w:t>
      </w:r>
      <w:r w:rsidR="00D54B53">
        <w:rPr>
          <w:rFonts w:ascii="Arial" w:hAnsi="Arial"/>
          <w:bCs/>
          <w:sz w:val="22"/>
          <w:szCs w:val="22"/>
          <w:lang w:val="en-GB"/>
        </w:rPr>
        <w:t xml:space="preserve">imputation for </w:t>
      </w:r>
      <w:r>
        <w:rPr>
          <w:rFonts w:ascii="Arial" w:hAnsi="Arial"/>
          <w:bCs/>
          <w:sz w:val="22"/>
          <w:szCs w:val="22"/>
          <w:lang w:val="en-GB"/>
        </w:rPr>
        <w:t xml:space="preserve">non-response and for the non-surveyed section of </w:t>
      </w:r>
      <w:r w:rsidR="00D54B53">
        <w:rPr>
          <w:rFonts w:ascii="Arial" w:hAnsi="Arial"/>
          <w:bCs/>
          <w:sz w:val="22"/>
          <w:szCs w:val="22"/>
          <w:lang w:val="en-GB"/>
        </w:rPr>
        <w:t xml:space="preserve">the </w:t>
      </w:r>
      <w:proofErr w:type="gramStart"/>
      <w:r>
        <w:rPr>
          <w:rFonts w:ascii="Arial" w:hAnsi="Arial"/>
          <w:bCs/>
          <w:sz w:val="22"/>
          <w:szCs w:val="22"/>
          <w:lang w:val="en-GB"/>
        </w:rPr>
        <w:t>businesses</w:t>
      </w:r>
      <w:proofErr w:type="gramEnd"/>
      <w:r>
        <w:rPr>
          <w:rFonts w:ascii="Arial" w:hAnsi="Arial"/>
          <w:bCs/>
          <w:sz w:val="22"/>
          <w:szCs w:val="22"/>
          <w:lang w:val="en-GB"/>
        </w:rPr>
        <w:t xml:space="preserve"> </w:t>
      </w:r>
      <w:r w:rsidR="007A4D75">
        <w:rPr>
          <w:rFonts w:ascii="Arial" w:hAnsi="Arial"/>
          <w:bCs/>
          <w:sz w:val="22"/>
          <w:szCs w:val="22"/>
          <w:lang w:val="en-GB"/>
        </w:rPr>
        <w:t>population,</w:t>
      </w:r>
      <w:r>
        <w:rPr>
          <w:rFonts w:ascii="Arial" w:hAnsi="Arial"/>
          <w:bCs/>
          <w:sz w:val="22"/>
          <w:szCs w:val="22"/>
          <w:lang w:val="en-GB"/>
        </w:rPr>
        <w:t xml:space="preserve"> </w:t>
      </w:r>
      <w:r w:rsidR="00D54B53">
        <w:rPr>
          <w:rFonts w:ascii="Arial" w:hAnsi="Arial"/>
          <w:bCs/>
          <w:sz w:val="22"/>
          <w:szCs w:val="22"/>
          <w:lang w:val="en-GB"/>
        </w:rPr>
        <w:t xml:space="preserve">while </w:t>
      </w:r>
      <w:r>
        <w:rPr>
          <w:rFonts w:ascii="Arial" w:hAnsi="Arial"/>
          <w:bCs/>
          <w:sz w:val="22"/>
          <w:szCs w:val="22"/>
          <w:lang w:val="en-GB"/>
        </w:rPr>
        <w:t>administrative data sources are used simultaneously.</w:t>
      </w:r>
    </w:p>
    <w:p w14:paraId="356012C9" w14:textId="77777777" w:rsidR="00FB54C1" w:rsidRPr="008036A7" w:rsidRDefault="002B1376" w:rsidP="00FB54C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rPr>
          <w:rFonts w:ascii="Arial" w:hAnsi="Arial" w:cs="Arial"/>
          <w:sz w:val="22"/>
          <w:szCs w:val="22"/>
          <w:lang w:val="en-GB"/>
        </w:rPr>
      </w:pPr>
      <w:r>
        <w:rPr>
          <w:rFonts w:ascii="Arial" w:hAnsi="Arial" w:cs="Arial"/>
          <w:sz w:val="22"/>
          <w:szCs w:val="22"/>
          <w:lang w:val="en-GB"/>
        </w:rPr>
        <w:t>The data in the publication are broken down by:</w:t>
      </w:r>
    </w:p>
    <w:p w14:paraId="41BD6E07" w14:textId="77777777" w:rsidR="00FB54C1" w:rsidRPr="008036A7" w:rsidRDefault="002B1376" w:rsidP="00FB54C1">
      <w:pPr>
        <w:numPr>
          <w:ilvl w:val="0"/>
          <w:numId w:val="17"/>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rPr>
          <w:rFonts w:ascii="Arial" w:hAnsi="Arial" w:cs="Arial"/>
          <w:sz w:val="22"/>
          <w:szCs w:val="22"/>
          <w:lang w:val="en-GB"/>
        </w:rPr>
      </w:pPr>
      <w:r>
        <w:rPr>
          <w:rFonts w:ascii="Arial" w:hAnsi="Arial" w:cs="Arial"/>
          <w:sz w:val="22"/>
          <w:szCs w:val="22"/>
          <w:lang w:val="en-GB"/>
        </w:rPr>
        <w:t>economic activities;</w:t>
      </w:r>
    </w:p>
    <w:p w14:paraId="1B32E78D" w14:textId="77777777" w:rsidR="00FB54C1" w:rsidRPr="008036A7" w:rsidRDefault="002B1376" w:rsidP="00FB54C1">
      <w:pPr>
        <w:numPr>
          <w:ilvl w:val="0"/>
          <w:numId w:val="17"/>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rPr>
          <w:rFonts w:ascii="Arial" w:hAnsi="Arial" w:cs="Arial"/>
          <w:sz w:val="22"/>
          <w:szCs w:val="22"/>
          <w:lang w:val="en-GB"/>
        </w:rPr>
      </w:pPr>
      <w:r>
        <w:rPr>
          <w:rFonts w:ascii="Arial" w:hAnsi="Arial" w:cs="Arial"/>
          <w:sz w:val="22"/>
          <w:szCs w:val="22"/>
          <w:lang w:val="en-GB"/>
        </w:rPr>
        <w:t>size of the reporting unit;</w:t>
      </w:r>
    </w:p>
    <w:p w14:paraId="0AE9BA02" w14:textId="77777777" w:rsidR="00FB54C1" w:rsidRPr="008036A7" w:rsidRDefault="002B1376" w:rsidP="00FB54C1">
      <w:pPr>
        <w:numPr>
          <w:ilvl w:val="0"/>
          <w:numId w:val="17"/>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rPr>
          <w:rFonts w:ascii="Arial" w:hAnsi="Arial" w:cs="Arial"/>
          <w:sz w:val="22"/>
          <w:szCs w:val="22"/>
          <w:lang w:val="en-GB"/>
        </w:rPr>
      </w:pPr>
      <w:r>
        <w:rPr>
          <w:rFonts w:ascii="Arial" w:hAnsi="Arial" w:cs="Arial"/>
          <w:sz w:val="22"/>
          <w:szCs w:val="22"/>
          <w:lang w:val="en-GB"/>
        </w:rPr>
        <w:t>institutional sector; and</w:t>
      </w:r>
    </w:p>
    <w:p w14:paraId="43919187" w14:textId="77777777" w:rsidR="00893FF4" w:rsidRPr="008036A7" w:rsidRDefault="002B1376" w:rsidP="00CE6732">
      <w:pPr>
        <w:numPr>
          <w:ilvl w:val="0"/>
          <w:numId w:val="17"/>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240"/>
        <w:rPr>
          <w:rFonts w:ascii="Arial" w:hAnsi="Arial" w:cs="Arial"/>
          <w:sz w:val="22"/>
          <w:szCs w:val="22"/>
          <w:lang w:val="en-GB"/>
        </w:rPr>
      </w:pPr>
      <w:r>
        <w:rPr>
          <w:rFonts w:ascii="Arial" w:hAnsi="Arial" w:cs="Arial"/>
          <w:sz w:val="22"/>
          <w:szCs w:val="22"/>
          <w:lang w:val="en-GB"/>
        </w:rPr>
        <w:lastRenderedPageBreak/>
        <w:t>territory.</w:t>
      </w:r>
    </w:p>
    <w:p w14:paraId="4288C7BA" w14:textId="77777777" w:rsidR="008E69EC" w:rsidRPr="008036A7" w:rsidRDefault="002B1376" w:rsidP="0002257F">
      <w:pPr>
        <w:pStyle w:val="Zkladntext"/>
        <w:tabs>
          <w:tab w:val="clear" w:pos="356"/>
          <w:tab w:val="clear" w:pos="696"/>
          <w:tab w:val="left" w:pos="0"/>
        </w:tabs>
        <w:spacing w:line="260" w:lineRule="atLeast"/>
        <w:rPr>
          <w:rFonts w:cs="Arial"/>
          <w:strike/>
          <w:sz w:val="22"/>
          <w:szCs w:val="22"/>
          <w:lang w:val="en-GB"/>
        </w:rPr>
      </w:pPr>
      <w:r>
        <w:rPr>
          <w:rFonts w:cs="Arial"/>
          <w:sz w:val="22"/>
          <w:szCs w:val="22"/>
          <w:lang w:val="en-GB"/>
        </w:rPr>
        <w:t xml:space="preserve">The breakdown by economic activity is based on the Classification of Economic Activities (CZ-NACE), which is the national </w:t>
      </w:r>
      <w:r w:rsidR="00D54B53">
        <w:rPr>
          <w:rFonts w:cs="Arial"/>
          <w:sz w:val="22"/>
          <w:szCs w:val="22"/>
          <w:lang w:val="en-GB"/>
        </w:rPr>
        <w:t xml:space="preserve">version </w:t>
      </w:r>
      <w:r>
        <w:rPr>
          <w:rFonts w:cs="Arial"/>
          <w:sz w:val="22"/>
          <w:szCs w:val="22"/>
          <w:lang w:val="en-GB"/>
        </w:rPr>
        <w:t>o</w:t>
      </w:r>
      <w:r w:rsidR="00D54B53">
        <w:rPr>
          <w:rFonts w:cs="Arial"/>
          <w:sz w:val="22"/>
          <w:szCs w:val="22"/>
          <w:lang w:val="en-GB"/>
        </w:rPr>
        <w:t>f</w:t>
      </w:r>
      <w:r>
        <w:rPr>
          <w:rFonts w:cs="Arial"/>
          <w:sz w:val="22"/>
          <w:szCs w:val="22"/>
          <w:lang w:val="en-GB"/>
        </w:rPr>
        <w:t xml:space="preserve"> the Statistical classification of economic activities in the European Community </w:t>
      </w:r>
      <w:r w:rsidR="00D54B53">
        <w:rPr>
          <w:rFonts w:cs="Arial"/>
          <w:sz w:val="22"/>
          <w:szCs w:val="22"/>
          <w:lang w:val="en-GB"/>
        </w:rPr>
        <w:t>(</w:t>
      </w:r>
      <w:r>
        <w:rPr>
          <w:rFonts w:cs="Arial"/>
          <w:sz w:val="22"/>
          <w:szCs w:val="22"/>
          <w:lang w:val="en-GB"/>
        </w:rPr>
        <w:t>NACE Rev. 2</w:t>
      </w:r>
      <w:r w:rsidR="00D54B53">
        <w:rPr>
          <w:rFonts w:cs="Arial"/>
          <w:sz w:val="22"/>
          <w:szCs w:val="22"/>
          <w:lang w:val="en-GB"/>
        </w:rPr>
        <w:t>)</w:t>
      </w:r>
      <w:r>
        <w:rPr>
          <w:rFonts w:cs="Arial"/>
          <w:sz w:val="22"/>
          <w:szCs w:val="22"/>
          <w:lang w:val="en-GB"/>
        </w:rPr>
        <w:t xml:space="preserve"> and has been effective since </w:t>
      </w:r>
      <w:r w:rsidR="00E566AF" w:rsidRPr="00DE04B5">
        <w:rPr>
          <w:rFonts w:cs="Arial"/>
          <w:sz w:val="22"/>
          <w:szCs w:val="22"/>
          <w:lang w:val="en-GB"/>
        </w:rPr>
        <w:t xml:space="preserve">the </w:t>
      </w:r>
      <w:r w:rsidRPr="00DE04B5">
        <w:rPr>
          <w:rFonts w:cs="Arial"/>
          <w:sz w:val="22"/>
          <w:szCs w:val="22"/>
          <w:lang w:val="en-GB"/>
        </w:rPr>
        <w:t>1</w:t>
      </w:r>
      <w:r w:rsidR="00E566AF" w:rsidRPr="00DE04B5">
        <w:rPr>
          <w:rFonts w:cs="Arial"/>
          <w:sz w:val="22"/>
          <w:szCs w:val="22"/>
          <w:vertAlign w:val="superscript"/>
          <w:lang w:val="en-GB"/>
        </w:rPr>
        <w:t>st</w:t>
      </w:r>
      <w:r w:rsidR="00E566AF" w:rsidRPr="00DE04B5">
        <w:rPr>
          <w:rFonts w:cs="Arial"/>
          <w:sz w:val="22"/>
          <w:szCs w:val="22"/>
          <w:lang w:val="en-GB"/>
        </w:rPr>
        <w:t xml:space="preserve"> of</w:t>
      </w:r>
      <w:r w:rsidRPr="00DE04B5">
        <w:rPr>
          <w:rFonts w:cs="Arial"/>
          <w:sz w:val="22"/>
          <w:szCs w:val="22"/>
          <w:lang w:val="en-GB"/>
        </w:rPr>
        <w:t xml:space="preserve"> January 2008.</w:t>
      </w:r>
    </w:p>
    <w:p w14:paraId="146302B0" w14:textId="77777777" w:rsidR="00200C7D" w:rsidRPr="00B53F10" w:rsidRDefault="002B1376" w:rsidP="003D364B">
      <w:pPr>
        <w:pStyle w:val="Zkladntext"/>
        <w:tabs>
          <w:tab w:val="clear" w:pos="356"/>
          <w:tab w:val="clear" w:pos="696"/>
          <w:tab w:val="clear" w:pos="952"/>
          <w:tab w:val="left" w:pos="0"/>
          <w:tab w:val="left" w:pos="709"/>
        </w:tabs>
        <w:spacing w:line="260" w:lineRule="atLeast"/>
        <w:rPr>
          <w:rFonts w:cs="Arial"/>
          <w:sz w:val="22"/>
          <w:szCs w:val="22"/>
          <w:lang w:val="en-GB"/>
        </w:rPr>
      </w:pPr>
      <w:r w:rsidRPr="00B53F10">
        <w:rPr>
          <w:rFonts w:cs="Arial"/>
          <w:sz w:val="22"/>
          <w:szCs w:val="22"/>
          <w:lang w:val="en-GB"/>
        </w:rPr>
        <w:t>Institutional sectors (</w:t>
      </w:r>
      <w:r w:rsidR="0086046C" w:rsidRPr="00B53F10">
        <w:rPr>
          <w:rFonts w:cs="Arial"/>
          <w:sz w:val="22"/>
          <w:szCs w:val="22"/>
          <w:lang w:val="en-GB"/>
        </w:rPr>
        <w:t>ISEKTOR</w:t>
      </w:r>
      <w:r w:rsidRPr="00B53F10">
        <w:rPr>
          <w:rFonts w:cs="Arial"/>
          <w:sz w:val="22"/>
          <w:szCs w:val="22"/>
          <w:lang w:val="en-GB"/>
        </w:rPr>
        <w:t xml:space="preserve">) are aggregates defined in the </w:t>
      </w:r>
      <w:r w:rsidRPr="00B53F10">
        <w:rPr>
          <w:rFonts w:cs="Minion Pro"/>
          <w:color w:val="1C1C1A"/>
          <w:sz w:val="22"/>
          <w:szCs w:val="22"/>
          <w:lang w:val="en-GB"/>
        </w:rPr>
        <w:t xml:space="preserve">European System of National and Regional Accounts </w:t>
      </w:r>
      <w:r w:rsidRPr="00B53F10">
        <w:rPr>
          <w:rFonts w:cs="Arial"/>
          <w:sz w:val="22"/>
          <w:szCs w:val="22"/>
          <w:lang w:val="en-GB"/>
        </w:rPr>
        <w:t>(ESA 2010). Since Q1 2014 definitions of institutional sectors were changed in accord with the ESA 2010.</w:t>
      </w:r>
    </w:p>
    <w:p w14:paraId="356AE4CB" w14:textId="77777777" w:rsidR="00CE6732" w:rsidRPr="008036A7" w:rsidRDefault="002B1376" w:rsidP="003D364B">
      <w:pPr>
        <w:pStyle w:val="Zkladntext"/>
        <w:tabs>
          <w:tab w:val="clear" w:pos="356"/>
          <w:tab w:val="clear" w:pos="696"/>
          <w:tab w:val="clear" w:pos="952"/>
          <w:tab w:val="left" w:pos="0"/>
          <w:tab w:val="left" w:pos="709"/>
        </w:tabs>
        <w:spacing w:line="260" w:lineRule="atLeast"/>
        <w:rPr>
          <w:rFonts w:cs="Arial"/>
          <w:sz w:val="22"/>
          <w:szCs w:val="22"/>
          <w:lang w:val="en-GB"/>
        </w:rPr>
      </w:pPr>
      <w:r>
        <w:rPr>
          <w:rFonts w:cs="Arial"/>
          <w:sz w:val="22"/>
          <w:szCs w:val="22"/>
          <w:lang w:val="en-GB"/>
        </w:rPr>
        <w:t>The breakdown by territory is carried out at the levels of NUTS 2 (areas – cohesion regions) and NUTS 3 (regions – higher territorial self-governing units) according to the Classification of Territorial Statistical Units (CZ-NUTS)</w:t>
      </w:r>
      <w:r w:rsidR="008036A7">
        <w:rPr>
          <w:rFonts w:cs="Arial"/>
          <w:sz w:val="22"/>
          <w:szCs w:val="22"/>
          <w:lang w:val="en-GB"/>
        </w:rPr>
        <w:t xml:space="preserve">, the national version of the </w:t>
      </w:r>
      <w:r w:rsidRPr="007A4D75">
        <w:rPr>
          <w:rFonts w:cs="Arial"/>
          <w:sz w:val="22"/>
          <w:szCs w:val="22"/>
          <w:lang w:val="en-GB"/>
        </w:rPr>
        <w:t>common classification of territorial units for statistics (</w:t>
      </w:r>
      <w:r w:rsidR="00F9134B" w:rsidRPr="007A4D75">
        <w:rPr>
          <w:rFonts w:cs="Arial"/>
          <w:sz w:val="22"/>
          <w:szCs w:val="22"/>
          <w:lang w:val="en-GB"/>
        </w:rPr>
        <w:t>Nomenclature des Unités territoriales statistiques – NUTS</w:t>
      </w:r>
      <w:r w:rsidRPr="007A4D75">
        <w:rPr>
          <w:rFonts w:cs="Arial"/>
          <w:sz w:val="22"/>
          <w:szCs w:val="22"/>
          <w:lang w:val="en-GB"/>
        </w:rPr>
        <w:t>)</w:t>
      </w:r>
      <w:r w:rsidR="003768DB" w:rsidRPr="008036A7">
        <w:rPr>
          <w:rFonts w:cs="Arial"/>
          <w:sz w:val="22"/>
          <w:szCs w:val="22"/>
          <w:lang w:val="en-GB"/>
        </w:rPr>
        <w:t>.</w:t>
      </w:r>
    </w:p>
    <w:p w14:paraId="60D804D4" w14:textId="77777777" w:rsidR="001E56F7" w:rsidRPr="008036A7" w:rsidRDefault="002B1376" w:rsidP="0002257F">
      <w:pPr>
        <w:pStyle w:val="Zkladntext"/>
        <w:tabs>
          <w:tab w:val="clear" w:pos="356"/>
          <w:tab w:val="clear" w:pos="696"/>
          <w:tab w:val="clear" w:pos="952"/>
          <w:tab w:val="left" w:pos="0"/>
          <w:tab w:val="left" w:pos="709"/>
        </w:tabs>
        <w:spacing w:line="260" w:lineRule="atLeast"/>
        <w:rPr>
          <w:rStyle w:val="hps"/>
          <w:b/>
          <w:sz w:val="22"/>
          <w:szCs w:val="22"/>
          <w:lang w:val="en-GB"/>
        </w:rPr>
      </w:pPr>
      <w:r>
        <w:rPr>
          <w:rStyle w:val="hps"/>
          <w:b/>
          <w:sz w:val="22"/>
          <w:szCs w:val="22"/>
          <w:lang w:val="en-GB"/>
        </w:rPr>
        <w:t>Workplace method</w:t>
      </w:r>
    </w:p>
    <w:p w14:paraId="5A3E24FC" w14:textId="77777777" w:rsidR="00860A8C" w:rsidRPr="008036A7" w:rsidRDefault="002B1376" w:rsidP="0002257F">
      <w:pPr>
        <w:pStyle w:val="Zkladntext"/>
        <w:tabs>
          <w:tab w:val="clear" w:pos="356"/>
          <w:tab w:val="clear" w:pos="696"/>
          <w:tab w:val="clear" w:pos="952"/>
          <w:tab w:val="left" w:pos="0"/>
          <w:tab w:val="left" w:pos="709"/>
        </w:tabs>
        <w:spacing w:line="260" w:lineRule="atLeast"/>
        <w:rPr>
          <w:rStyle w:val="hps"/>
          <w:sz w:val="22"/>
          <w:szCs w:val="22"/>
          <w:lang w:val="en-GB"/>
        </w:rPr>
      </w:pPr>
      <w:r w:rsidRPr="007A4D75">
        <w:rPr>
          <w:rStyle w:val="hps"/>
          <w:sz w:val="22"/>
          <w:szCs w:val="22"/>
          <w:lang w:val="en-GB"/>
        </w:rPr>
        <w:t>Since Q1 2011</w:t>
      </w:r>
      <w:r w:rsidR="003768DB" w:rsidRPr="008036A7">
        <w:rPr>
          <w:rStyle w:val="hps"/>
          <w:b/>
          <w:sz w:val="22"/>
          <w:szCs w:val="22"/>
          <w:lang w:val="en-GB"/>
        </w:rPr>
        <w:t xml:space="preserve"> </w:t>
      </w:r>
      <w:r w:rsidR="003768DB" w:rsidRPr="008036A7">
        <w:rPr>
          <w:rStyle w:val="hps"/>
          <w:sz w:val="22"/>
          <w:szCs w:val="22"/>
          <w:lang w:val="en-GB"/>
        </w:rPr>
        <w:t xml:space="preserve">the Czech Statistical Office has changed publishing of territorially </w:t>
      </w:r>
      <w:proofErr w:type="gramStart"/>
      <w:r w:rsidR="003768DB" w:rsidRPr="008036A7">
        <w:rPr>
          <w:rStyle w:val="hps"/>
          <w:sz w:val="22"/>
          <w:szCs w:val="22"/>
          <w:lang w:val="en-GB"/>
        </w:rPr>
        <w:t>broken down</w:t>
      </w:r>
      <w:proofErr w:type="gramEnd"/>
      <w:r w:rsidR="003768DB" w:rsidRPr="008036A7">
        <w:rPr>
          <w:rStyle w:val="hps"/>
          <w:sz w:val="22"/>
          <w:szCs w:val="22"/>
          <w:lang w:val="en-GB"/>
        </w:rPr>
        <w:t xml:space="preserve"> data of </w:t>
      </w:r>
      <w:r>
        <w:rPr>
          <w:rStyle w:val="hps"/>
          <w:sz w:val="22"/>
          <w:szCs w:val="22"/>
          <w:lang w:val="en-GB"/>
        </w:rPr>
        <w:t>the labour market statistics. The formerly applied business method was replaced by the workplace method, which provides a truer view of the regional labour market. The change was enabled by improvements in employed mathematical and statistical methods (models) using either information on the distribution of the number of employees and their wages by region according to the actual workplace of the employees from annual questionnaires (measured right at businesses/organizations)</w:t>
      </w:r>
      <w:r w:rsidR="00F9134B">
        <w:rPr>
          <w:rStyle w:val="hps"/>
          <w:sz w:val="22"/>
          <w:szCs w:val="22"/>
          <w:lang w:val="en-GB"/>
        </w:rPr>
        <w:t>, either</w:t>
      </w:r>
      <w:r w:rsidR="006829A9" w:rsidRPr="008036A7">
        <w:rPr>
          <w:rStyle w:val="hps"/>
          <w:sz w:val="22"/>
          <w:szCs w:val="22"/>
          <w:lang w:val="en-GB"/>
        </w:rPr>
        <w:t xml:space="preserve"> information from </w:t>
      </w:r>
      <w:r w:rsidR="003768DB" w:rsidRPr="008036A7">
        <w:rPr>
          <w:rStyle w:val="hps"/>
          <w:sz w:val="22"/>
          <w:szCs w:val="22"/>
          <w:lang w:val="en-GB"/>
        </w:rPr>
        <w:t xml:space="preserve">administrative </w:t>
      </w:r>
      <w:r w:rsidR="006829A9" w:rsidRPr="008036A7">
        <w:rPr>
          <w:rStyle w:val="hps"/>
          <w:sz w:val="22"/>
          <w:szCs w:val="22"/>
          <w:lang w:val="en-GB"/>
        </w:rPr>
        <w:t xml:space="preserve">data </w:t>
      </w:r>
      <w:r w:rsidR="003768DB" w:rsidRPr="008036A7">
        <w:rPr>
          <w:rStyle w:val="hps"/>
          <w:sz w:val="22"/>
          <w:szCs w:val="22"/>
          <w:lang w:val="en-GB"/>
        </w:rPr>
        <w:t>sources.</w:t>
      </w:r>
    </w:p>
    <w:p w14:paraId="1D1DCDF0" w14:textId="77777777" w:rsidR="000856D1" w:rsidRPr="007A4D75" w:rsidRDefault="002B1376" w:rsidP="0002257F">
      <w:pPr>
        <w:pStyle w:val="Zkladntext"/>
        <w:tabs>
          <w:tab w:val="clear" w:pos="356"/>
          <w:tab w:val="clear" w:pos="696"/>
          <w:tab w:val="clear" w:pos="952"/>
          <w:tab w:val="left" w:pos="0"/>
          <w:tab w:val="left" w:pos="709"/>
        </w:tabs>
        <w:spacing w:line="260" w:lineRule="atLeast"/>
        <w:rPr>
          <w:rStyle w:val="hps"/>
          <w:i/>
          <w:sz w:val="22"/>
          <w:szCs w:val="22"/>
          <w:lang w:val="en-GB"/>
        </w:rPr>
      </w:pPr>
      <w:r w:rsidRPr="007A4D75">
        <w:rPr>
          <w:rStyle w:val="hps"/>
          <w:i/>
          <w:sz w:val="22"/>
          <w:szCs w:val="22"/>
          <w:lang w:val="en-GB"/>
        </w:rPr>
        <w:t>The difference</w:t>
      </w:r>
      <w:r w:rsidRPr="007A4D75">
        <w:rPr>
          <w:i/>
          <w:sz w:val="22"/>
          <w:szCs w:val="22"/>
          <w:lang w:val="en-GB"/>
        </w:rPr>
        <w:t xml:space="preserve"> </w:t>
      </w:r>
      <w:r w:rsidRPr="007A4D75">
        <w:rPr>
          <w:rStyle w:val="hps"/>
          <w:i/>
          <w:sz w:val="22"/>
          <w:szCs w:val="22"/>
          <w:lang w:val="en-GB"/>
        </w:rPr>
        <w:t>between the</w:t>
      </w:r>
      <w:r w:rsidRPr="007A4D75">
        <w:rPr>
          <w:i/>
          <w:sz w:val="22"/>
          <w:szCs w:val="22"/>
          <w:lang w:val="en-GB"/>
        </w:rPr>
        <w:t xml:space="preserve"> </w:t>
      </w:r>
      <w:r w:rsidRPr="007A4D75">
        <w:rPr>
          <w:rStyle w:val="hps"/>
          <w:i/>
          <w:sz w:val="22"/>
          <w:szCs w:val="22"/>
          <w:lang w:val="en-GB"/>
        </w:rPr>
        <w:t>workplace</w:t>
      </w:r>
      <w:r w:rsidRPr="007A4D75">
        <w:rPr>
          <w:i/>
          <w:sz w:val="22"/>
          <w:szCs w:val="22"/>
          <w:lang w:val="en-GB"/>
        </w:rPr>
        <w:t xml:space="preserve"> </w:t>
      </w:r>
      <w:r w:rsidRPr="007A4D75">
        <w:rPr>
          <w:rStyle w:val="hps"/>
          <w:i/>
          <w:sz w:val="22"/>
          <w:szCs w:val="22"/>
          <w:lang w:val="en-GB"/>
        </w:rPr>
        <w:t>method and business</w:t>
      </w:r>
      <w:r w:rsidRPr="007A4D75">
        <w:rPr>
          <w:i/>
          <w:sz w:val="22"/>
          <w:szCs w:val="22"/>
          <w:lang w:val="en-GB"/>
        </w:rPr>
        <w:t xml:space="preserve"> </w:t>
      </w:r>
      <w:r w:rsidRPr="007A4D75">
        <w:rPr>
          <w:rStyle w:val="hps"/>
          <w:i/>
          <w:sz w:val="22"/>
          <w:szCs w:val="22"/>
          <w:lang w:val="en-GB"/>
        </w:rPr>
        <w:t>method</w:t>
      </w:r>
      <w:r w:rsidR="00F24088">
        <w:rPr>
          <w:rStyle w:val="hps"/>
          <w:i/>
          <w:sz w:val="22"/>
          <w:szCs w:val="22"/>
          <w:lang w:val="en-GB"/>
        </w:rPr>
        <w:t xml:space="preserve"> is as follows</w:t>
      </w:r>
      <w:r w:rsidRPr="007A4D75">
        <w:rPr>
          <w:rStyle w:val="hps"/>
          <w:i/>
          <w:sz w:val="22"/>
          <w:szCs w:val="22"/>
          <w:lang w:val="en-GB"/>
        </w:rPr>
        <w:t>:</w:t>
      </w:r>
    </w:p>
    <w:p w14:paraId="1B72235E" w14:textId="77777777" w:rsidR="00D35724" w:rsidRPr="007A4D75" w:rsidRDefault="00C15815" w:rsidP="007A4D75">
      <w:pPr>
        <w:pStyle w:val="Zkladntext"/>
        <w:numPr>
          <w:ilvl w:val="0"/>
          <w:numId w:val="19"/>
        </w:numPr>
        <w:tabs>
          <w:tab w:val="clear" w:pos="356"/>
          <w:tab w:val="clear" w:pos="952"/>
          <w:tab w:val="left" w:pos="0"/>
        </w:tabs>
        <w:spacing w:line="260" w:lineRule="atLeast"/>
        <w:rPr>
          <w:i/>
          <w:sz w:val="22"/>
          <w:szCs w:val="22"/>
          <w:lang w:val="en-GB"/>
        </w:rPr>
      </w:pPr>
      <w:r>
        <w:rPr>
          <w:i/>
          <w:sz w:val="22"/>
          <w:szCs w:val="22"/>
          <w:lang w:val="en-GB"/>
        </w:rPr>
        <w:t xml:space="preserve">In the </w:t>
      </w:r>
      <w:r w:rsidR="002B1376" w:rsidRPr="00340493">
        <w:rPr>
          <w:i/>
          <w:sz w:val="22"/>
          <w:szCs w:val="22"/>
          <w:lang w:val="en-GB"/>
        </w:rPr>
        <w:t>w</w:t>
      </w:r>
      <w:r w:rsidR="002B1376" w:rsidRPr="007A4D75">
        <w:rPr>
          <w:i/>
          <w:sz w:val="22"/>
          <w:szCs w:val="22"/>
          <w:lang w:val="en-GB"/>
        </w:rPr>
        <w:t>orkplace method the territorial breakdown of employees and their wages to the respective region is carried out by the actual location of their workplaces</w:t>
      </w:r>
      <w:r w:rsidR="007645CB">
        <w:rPr>
          <w:i/>
          <w:sz w:val="22"/>
          <w:szCs w:val="22"/>
          <w:lang w:val="en-GB"/>
        </w:rPr>
        <w:t>;</w:t>
      </w:r>
    </w:p>
    <w:p w14:paraId="04C382F3" w14:textId="77777777" w:rsidR="00D35724" w:rsidRPr="007A4D75" w:rsidRDefault="00C15815" w:rsidP="007A4D75">
      <w:pPr>
        <w:pStyle w:val="Zkladntext"/>
        <w:numPr>
          <w:ilvl w:val="0"/>
          <w:numId w:val="19"/>
        </w:numPr>
        <w:tabs>
          <w:tab w:val="clear" w:pos="356"/>
          <w:tab w:val="clear" w:pos="696"/>
          <w:tab w:val="clear" w:pos="952"/>
          <w:tab w:val="left" w:pos="0"/>
          <w:tab w:val="left" w:pos="709"/>
        </w:tabs>
        <w:spacing w:line="260" w:lineRule="atLeast"/>
        <w:rPr>
          <w:i/>
          <w:sz w:val="22"/>
          <w:szCs w:val="22"/>
          <w:lang w:val="en-GB"/>
        </w:rPr>
      </w:pPr>
      <w:r>
        <w:rPr>
          <w:i/>
          <w:sz w:val="22"/>
          <w:szCs w:val="22"/>
          <w:lang w:val="en-GB"/>
        </w:rPr>
        <w:t xml:space="preserve">In the </w:t>
      </w:r>
      <w:r w:rsidR="002B1376" w:rsidRPr="00340493">
        <w:rPr>
          <w:i/>
          <w:sz w:val="22"/>
          <w:szCs w:val="22"/>
          <w:lang w:val="en-GB"/>
        </w:rPr>
        <w:t xml:space="preserve">business </w:t>
      </w:r>
      <w:r w:rsidR="002B1376" w:rsidRPr="007A4D75">
        <w:rPr>
          <w:i/>
          <w:sz w:val="22"/>
          <w:szCs w:val="22"/>
          <w:lang w:val="en-GB"/>
        </w:rPr>
        <w:t xml:space="preserve">method the territorial breakdown of the whole businesses/organisations to the respective region is carried out by the region in which there is the reporting unit’s registered office. </w:t>
      </w:r>
    </w:p>
    <w:p w14:paraId="5B8367C9" w14:textId="77777777" w:rsidR="008E69EC" w:rsidRDefault="008E69EC" w:rsidP="00A937B1">
      <w:pPr>
        <w:pStyle w:val="Zkladntext"/>
        <w:tabs>
          <w:tab w:val="clear" w:pos="356"/>
          <w:tab w:val="clear" w:pos="696"/>
          <w:tab w:val="clear" w:pos="952"/>
          <w:tab w:val="left" w:pos="0"/>
          <w:tab w:val="left" w:pos="709"/>
        </w:tabs>
        <w:spacing w:line="260" w:lineRule="atLeast"/>
        <w:rPr>
          <w:rFonts w:cs="Arial"/>
          <w:sz w:val="22"/>
          <w:szCs w:val="22"/>
          <w:lang w:val="en-GB"/>
        </w:rPr>
      </w:pPr>
    </w:p>
    <w:p w14:paraId="5B317D1C" w14:textId="77777777" w:rsidR="00F24088" w:rsidRPr="008036A7" w:rsidRDefault="00F24088" w:rsidP="00A937B1">
      <w:pPr>
        <w:pStyle w:val="Zkladntext"/>
        <w:tabs>
          <w:tab w:val="clear" w:pos="356"/>
          <w:tab w:val="clear" w:pos="696"/>
          <w:tab w:val="clear" w:pos="952"/>
          <w:tab w:val="left" w:pos="0"/>
          <w:tab w:val="left" w:pos="709"/>
        </w:tabs>
        <w:spacing w:line="260" w:lineRule="atLeast"/>
        <w:rPr>
          <w:rFonts w:cs="Arial"/>
          <w:sz w:val="22"/>
          <w:szCs w:val="22"/>
          <w:lang w:val="en-GB"/>
        </w:rPr>
      </w:pPr>
    </w:p>
    <w:p w14:paraId="14997504" w14:textId="77777777" w:rsidR="00F24088" w:rsidRDefault="00F24088" w:rsidP="00F24088">
      <w:pPr>
        <w:pStyle w:val="Zkladntext"/>
        <w:tabs>
          <w:tab w:val="clear" w:pos="356"/>
          <w:tab w:val="clear" w:pos="696"/>
          <w:tab w:val="clear" w:pos="952"/>
          <w:tab w:val="clear" w:pos="3616"/>
          <w:tab w:val="clear" w:pos="4410"/>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pacing w:after="0"/>
        <w:jc w:val="center"/>
        <w:rPr>
          <w:rFonts w:cs="Arial"/>
          <w:sz w:val="22"/>
          <w:szCs w:val="22"/>
        </w:rPr>
      </w:pPr>
      <w:r>
        <w:rPr>
          <w:rFonts w:cs="Arial"/>
          <w:sz w:val="22"/>
          <w:szCs w:val="22"/>
        </w:rPr>
        <w:t>Mgr Dalibor Holý</w:t>
      </w:r>
    </w:p>
    <w:p w14:paraId="5E2AC5C3" w14:textId="77777777" w:rsidR="00F24088" w:rsidRDefault="00F24088" w:rsidP="00F24088">
      <w:pPr>
        <w:pStyle w:val="Zkladntext"/>
        <w:tabs>
          <w:tab w:val="clear" w:pos="356"/>
          <w:tab w:val="clear" w:pos="696"/>
          <w:tab w:val="clear" w:pos="952"/>
          <w:tab w:val="clear" w:pos="3616"/>
          <w:tab w:val="clear" w:pos="4410"/>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pacing w:after="0"/>
        <w:jc w:val="center"/>
        <w:rPr>
          <w:rFonts w:cs="Arial"/>
          <w:sz w:val="22"/>
          <w:szCs w:val="22"/>
        </w:rPr>
      </w:pPr>
      <w:r>
        <w:rPr>
          <w:rFonts w:cs="Arial"/>
          <w:sz w:val="22"/>
          <w:szCs w:val="22"/>
        </w:rPr>
        <w:t xml:space="preserve">Director of the </w:t>
      </w:r>
      <w:r w:rsidR="00C15815" w:rsidRPr="000F1226">
        <w:rPr>
          <w:lang w:val="en-GB"/>
        </w:rPr>
        <w:t>Labour Market and Equal Opportunities Statistics Department</w:t>
      </w:r>
      <w:r w:rsidR="00C15815">
        <w:rPr>
          <w:rFonts w:cs="Arial"/>
          <w:sz w:val="22"/>
          <w:szCs w:val="22"/>
        </w:rPr>
        <w:t xml:space="preserve"> </w:t>
      </w:r>
    </w:p>
    <w:p w14:paraId="29F1A33B" w14:textId="77777777" w:rsidR="00F24088" w:rsidRDefault="00F24088" w:rsidP="00F24088">
      <w:pPr>
        <w:pStyle w:val="Zkladntext"/>
        <w:tabs>
          <w:tab w:val="clear" w:pos="356"/>
          <w:tab w:val="clear" w:pos="696"/>
          <w:tab w:val="clear" w:pos="952"/>
          <w:tab w:val="clear" w:pos="3616"/>
          <w:tab w:val="clear" w:pos="4410"/>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pacing w:before="40" w:after="180"/>
        <w:rPr>
          <w:rFonts w:cs="Arial"/>
          <w:sz w:val="22"/>
          <w:szCs w:val="22"/>
        </w:rPr>
      </w:pPr>
    </w:p>
    <w:p w14:paraId="360FDCA9" w14:textId="77777777" w:rsidR="00F24088" w:rsidRDefault="00F24088" w:rsidP="00F24088">
      <w:pPr>
        <w:pStyle w:val="Zkladntext"/>
        <w:tabs>
          <w:tab w:val="clear" w:pos="356"/>
          <w:tab w:val="clear" w:pos="696"/>
          <w:tab w:val="clear" w:pos="952"/>
          <w:tab w:val="clear" w:pos="3616"/>
          <w:tab w:val="clear" w:pos="4410"/>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pacing w:before="40" w:after="180"/>
        <w:rPr>
          <w:rFonts w:cs="Arial"/>
          <w:sz w:val="22"/>
          <w:szCs w:val="22"/>
        </w:rPr>
      </w:pPr>
    </w:p>
    <w:p w14:paraId="19910B26" w14:textId="77777777" w:rsidR="00F24088" w:rsidRDefault="00F24088" w:rsidP="00F24088">
      <w:pPr>
        <w:pStyle w:val="Zkladntext"/>
        <w:tabs>
          <w:tab w:val="clear" w:pos="356"/>
          <w:tab w:val="clear" w:pos="696"/>
          <w:tab w:val="clear" w:pos="952"/>
          <w:tab w:val="clear" w:pos="3616"/>
          <w:tab w:val="clear" w:pos="4410"/>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pacing w:after="0"/>
        <w:rPr>
          <w:rFonts w:cs="Arial"/>
          <w:sz w:val="22"/>
          <w:szCs w:val="22"/>
        </w:rPr>
      </w:pPr>
      <w:r>
        <w:rPr>
          <w:rFonts w:cs="Arial"/>
          <w:i/>
          <w:sz w:val="22"/>
          <w:szCs w:val="22"/>
        </w:rPr>
        <w:t>Remark</w:t>
      </w:r>
      <w:r w:rsidRPr="007E27B1">
        <w:rPr>
          <w:rFonts w:cs="Arial"/>
          <w:i/>
          <w:sz w:val="22"/>
          <w:szCs w:val="22"/>
        </w:rPr>
        <w:t>:</w:t>
      </w:r>
      <w:r w:rsidRPr="00B8218F">
        <w:rPr>
          <w:rFonts w:cs="Arial"/>
          <w:sz w:val="22"/>
          <w:szCs w:val="22"/>
        </w:rPr>
        <w:t xml:space="preserve"> </w:t>
      </w:r>
    </w:p>
    <w:p w14:paraId="6C657CC8" w14:textId="77777777" w:rsidR="00AD163A" w:rsidRPr="00D75496" w:rsidRDefault="00F24088">
      <w:pPr>
        <w:pStyle w:val="Zkladntext"/>
        <w:tabs>
          <w:tab w:val="clear" w:pos="356"/>
          <w:tab w:val="clear" w:pos="696"/>
          <w:tab w:val="clear" w:pos="952"/>
          <w:tab w:val="left" w:pos="0"/>
          <w:tab w:val="left" w:pos="709"/>
        </w:tabs>
        <w:spacing w:line="260" w:lineRule="atLeast"/>
        <w:rPr>
          <w:sz w:val="22"/>
          <w:szCs w:val="22"/>
          <w:lang w:val="en-GB"/>
        </w:rPr>
      </w:pPr>
      <w:r>
        <w:rPr>
          <w:sz w:val="22"/>
          <w:szCs w:val="22"/>
          <w:lang w:val="en-GB"/>
        </w:rPr>
        <w:t>Calculated figures are counted</w:t>
      </w:r>
      <w:r w:rsidRPr="008036A7">
        <w:rPr>
          <w:sz w:val="22"/>
          <w:szCs w:val="22"/>
          <w:lang w:val="en-GB"/>
        </w:rPr>
        <w:t xml:space="preserve"> using non-rounded figures and rounded subsequently. </w:t>
      </w:r>
      <w:proofErr w:type="gramStart"/>
      <w:r w:rsidRPr="008036A7">
        <w:rPr>
          <w:sz w:val="22"/>
          <w:szCs w:val="22"/>
          <w:lang w:val="en-GB"/>
        </w:rPr>
        <w:t>Therefore</w:t>
      </w:r>
      <w:proofErr w:type="gramEnd"/>
      <w:r w:rsidRPr="008036A7">
        <w:rPr>
          <w:sz w:val="22"/>
          <w:szCs w:val="22"/>
          <w:lang w:val="en-GB"/>
        </w:rPr>
        <w:t xml:space="preserve"> </w:t>
      </w:r>
      <w:r>
        <w:rPr>
          <w:sz w:val="22"/>
          <w:szCs w:val="22"/>
          <w:lang w:val="en-GB"/>
        </w:rPr>
        <w:t xml:space="preserve">sums and </w:t>
      </w:r>
      <w:r w:rsidRPr="008036A7">
        <w:rPr>
          <w:sz w:val="22"/>
          <w:szCs w:val="22"/>
          <w:lang w:val="en-GB"/>
        </w:rPr>
        <w:t xml:space="preserve">differences </w:t>
      </w:r>
      <w:r w:rsidRPr="00DE04B5">
        <w:rPr>
          <w:sz w:val="22"/>
          <w:szCs w:val="22"/>
          <w:lang w:val="en-GB"/>
        </w:rPr>
        <w:t>do not match exactly in some cases.</w:t>
      </w:r>
    </w:p>
    <w:sectPr w:rsidR="00AD163A" w:rsidRPr="00D75496" w:rsidSect="006728C0">
      <w:footnotePr>
        <w:numRestart w:val="eachSect"/>
      </w:footnotePr>
      <w:endnotePr>
        <w:numFmt w:val="decimal"/>
      </w:endnotePr>
      <w:type w:val="continuous"/>
      <w:pgSz w:w="11905" w:h="16837"/>
      <w:pgMar w:top="1843" w:right="1273" w:bottom="184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03C6" w14:textId="77777777" w:rsidR="00353422" w:rsidRDefault="00353422">
      <w:r>
        <w:separator/>
      </w:r>
    </w:p>
  </w:endnote>
  <w:endnote w:type="continuationSeparator" w:id="0">
    <w:p w14:paraId="55DC1905" w14:textId="77777777" w:rsidR="00353422" w:rsidRDefault="0035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P TypographicSymbols">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CE obyeejné">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New Roman oby_ejné">
    <w:panose1 w:val="00000000000000000000"/>
    <w:charset w:val="EE"/>
    <w:family w:val="roman"/>
    <w:notTrueType/>
    <w:pitch w:val="default"/>
    <w:sig w:usb0="00000005" w:usb1="00000000" w:usb2="00000000" w:usb3="00000000" w:csb0="00000002"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46180" w14:textId="77777777" w:rsidR="00353422" w:rsidRDefault="00353422">
      <w:r>
        <w:separator/>
      </w:r>
    </w:p>
  </w:footnote>
  <w:footnote w:type="continuationSeparator" w:id="0">
    <w:p w14:paraId="3CD788C9" w14:textId="77777777" w:rsidR="00353422" w:rsidRDefault="00353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F3F"/>
    <w:multiLevelType w:val="hybridMultilevel"/>
    <w:tmpl w:val="5BA4FFBA"/>
    <w:lvl w:ilvl="0" w:tplc="296685B8">
      <w:numFmt w:val="bullet"/>
      <w:lvlText w:val="-"/>
      <w:lvlJc w:val="left"/>
      <w:pPr>
        <w:tabs>
          <w:tab w:val="num" w:pos="3240"/>
        </w:tabs>
        <w:ind w:left="3240" w:hanging="360"/>
      </w:pPr>
      <w:rPr>
        <w:rFonts w:ascii="Times New Roman" w:eastAsia="Times New Roman" w:hAnsi="Times New Roman" w:cs="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1" w15:restartNumberingAfterBreak="0">
    <w:nsid w:val="04BA74C4"/>
    <w:multiLevelType w:val="hybridMultilevel"/>
    <w:tmpl w:val="494AFB9A"/>
    <w:lvl w:ilvl="0" w:tplc="04050011">
      <w:start w:val="2"/>
      <w:numFmt w:val="decimal"/>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6744FFD"/>
    <w:multiLevelType w:val="hybridMultilevel"/>
    <w:tmpl w:val="EA70873E"/>
    <w:lvl w:ilvl="0" w:tplc="04050011">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A8B24DE"/>
    <w:multiLevelType w:val="hybridMultilevel"/>
    <w:tmpl w:val="3A8EAD7C"/>
    <w:lvl w:ilvl="0" w:tplc="CA7446B6">
      <w:numFmt w:val="bullet"/>
      <w:lvlText w:val="-"/>
      <w:lvlJc w:val="left"/>
      <w:pPr>
        <w:tabs>
          <w:tab w:val="num" w:pos="5755"/>
        </w:tabs>
        <w:ind w:left="5755" w:hanging="360"/>
      </w:pPr>
      <w:rPr>
        <w:rFonts w:ascii="Times New Roman" w:eastAsia="Times New Roman" w:hAnsi="Times New Roman" w:cs="Times New Roman" w:hint="default"/>
      </w:rPr>
    </w:lvl>
    <w:lvl w:ilvl="1" w:tplc="04050003" w:tentative="1">
      <w:start w:val="1"/>
      <w:numFmt w:val="bullet"/>
      <w:lvlText w:val="o"/>
      <w:lvlJc w:val="left"/>
      <w:pPr>
        <w:tabs>
          <w:tab w:val="num" w:pos="6475"/>
        </w:tabs>
        <w:ind w:left="6475" w:hanging="360"/>
      </w:pPr>
      <w:rPr>
        <w:rFonts w:ascii="Courier New" w:hAnsi="Courier New" w:hint="default"/>
      </w:rPr>
    </w:lvl>
    <w:lvl w:ilvl="2" w:tplc="04050005" w:tentative="1">
      <w:start w:val="1"/>
      <w:numFmt w:val="bullet"/>
      <w:lvlText w:val=""/>
      <w:lvlJc w:val="left"/>
      <w:pPr>
        <w:tabs>
          <w:tab w:val="num" w:pos="7195"/>
        </w:tabs>
        <w:ind w:left="7195" w:hanging="360"/>
      </w:pPr>
      <w:rPr>
        <w:rFonts w:ascii="Wingdings" w:hAnsi="Wingdings" w:hint="default"/>
      </w:rPr>
    </w:lvl>
    <w:lvl w:ilvl="3" w:tplc="04050001" w:tentative="1">
      <w:start w:val="1"/>
      <w:numFmt w:val="bullet"/>
      <w:lvlText w:val=""/>
      <w:lvlJc w:val="left"/>
      <w:pPr>
        <w:tabs>
          <w:tab w:val="num" w:pos="7915"/>
        </w:tabs>
        <w:ind w:left="7915" w:hanging="360"/>
      </w:pPr>
      <w:rPr>
        <w:rFonts w:ascii="Symbol" w:hAnsi="Symbol" w:hint="default"/>
      </w:rPr>
    </w:lvl>
    <w:lvl w:ilvl="4" w:tplc="04050003" w:tentative="1">
      <w:start w:val="1"/>
      <w:numFmt w:val="bullet"/>
      <w:lvlText w:val="o"/>
      <w:lvlJc w:val="left"/>
      <w:pPr>
        <w:tabs>
          <w:tab w:val="num" w:pos="8635"/>
        </w:tabs>
        <w:ind w:left="8635" w:hanging="360"/>
      </w:pPr>
      <w:rPr>
        <w:rFonts w:ascii="Courier New" w:hAnsi="Courier New" w:hint="default"/>
      </w:rPr>
    </w:lvl>
    <w:lvl w:ilvl="5" w:tplc="04050005" w:tentative="1">
      <w:start w:val="1"/>
      <w:numFmt w:val="bullet"/>
      <w:lvlText w:val=""/>
      <w:lvlJc w:val="left"/>
      <w:pPr>
        <w:tabs>
          <w:tab w:val="num" w:pos="9355"/>
        </w:tabs>
        <w:ind w:left="9355" w:hanging="360"/>
      </w:pPr>
      <w:rPr>
        <w:rFonts w:ascii="Wingdings" w:hAnsi="Wingdings" w:hint="default"/>
      </w:rPr>
    </w:lvl>
    <w:lvl w:ilvl="6" w:tplc="04050001" w:tentative="1">
      <w:start w:val="1"/>
      <w:numFmt w:val="bullet"/>
      <w:lvlText w:val=""/>
      <w:lvlJc w:val="left"/>
      <w:pPr>
        <w:tabs>
          <w:tab w:val="num" w:pos="10075"/>
        </w:tabs>
        <w:ind w:left="10075" w:hanging="360"/>
      </w:pPr>
      <w:rPr>
        <w:rFonts w:ascii="Symbol" w:hAnsi="Symbol" w:hint="default"/>
      </w:rPr>
    </w:lvl>
    <w:lvl w:ilvl="7" w:tplc="04050003" w:tentative="1">
      <w:start w:val="1"/>
      <w:numFmt w:val="bullet"/>
      <w:lvlText w:val="o"/>
      <w:lvlJc w:val="left"/>
      <w:pPr>
        <w:tabs>
          <w:tab w:val="num" w:pos="10795"/>
        </w:tabs>
        <w:ind w:left="10795" w:hanging="360"/>
      </w:pPr>
      <w:rPr>
        <w:rFonts w:ascii="Courier New" w:hAnsi="Courier New" w:hint="default"/>
      </w:rPr>
    </w:lvl>
    <w:lvl w:ilvl="8" w:tplc="04050005" w:tentative="1">
      <w:start w:val="1"/>
      <w:numFmt w:val="bullet"/>
      <w:lvlText w:val=""/>
      <w:lvlJc w:val="left"/>
      <w:pPr>
        <w:tabs>
          <w:tab w:val="num" w:pos="11515"/>
        </w:tabs>
        <w:ind w:left="11515" w:hanging="360"/>
      </w:pPr>
      <w:rPr>
        <w:rFonts w:ascii="Wingdings" w:hAnsi="Wingdings" w:hint="default"/>
      </w:rPr>
    </w:lvl>
  </w:abstractNum>
  <w:abstractNum w:abstractNumId="4" w15:restartNumberingAfterBreak="0">
    <w:nsid w:val="1C4F465E"/>
    <w:multiLevelType w:val="hybridMultilevel"/>
    <w:tmpl w:val="74B266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55A19FD"/>
    <w:multiLevelType w:val="multilevel"/>
    <w:tmpl w:val="8408C7D2"/>
    <w:lvl w:ilvl="0">
      <w:start w:val="1"/>
      <w:numFmt w:val="lowerLetter"/>
      <w:lvlText w:val="%1)"/>
      <w:legacy w:legacy="1" w:legacySpace="0" w:legacyIndent="708"/>
      <w:lvlJc w:val="left"/>
      <w:pPr>
        <w:ind w:left="708" w:hanging="708"/>
      </w:pPr>
    </w:lvl>
    <w:lvl w:ilvl="1">
      <w:start w:val="1"/>
      <w:numFmt w:val="none"/>
      <w:lvlText w:val=""/>
      <w:legacy w:legacy="1" w:legacySpace="0" w:legacyIndent="708"/>
      <w:lvlJc w:val="left"/>
      <w:pPr>
        <w:ind w:left="1416" w:hanging="708"/>
      </w:pPr>
      <w:rPr>
        <w:rFonts w:ascii="WP TypographicSymbols" w:hAnsi="WP TypographicSymbols" w:hint="default"/>
      </w:rPr>
    </w:lvl>
    <w:lvl w:ilvl="2">
      <w:start w:val="1"/>
      <w:numFmt w:val="lowerLetter"/>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lowerLetter"/>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Letter"/>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6" w15:restartNumberingAfterBreak="0">
    <w:nsid w:val="26AE0E2E"/>
    <w:multiLevelType w:val="hybridMultilevel"/>
    <w:tmpl w:val="F940D05E"/>
    <w:lvl w:ilvl="0" w:tplc="97E22A3C">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0B09C2"/>
    <w:multiLevelType w:val="hybridMultilevel"/>
    <w:tmpl w:val="6A8AC69A"/>
    <w:lvl w:ilvl="0" w:tplc="04050011">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 w15:restartNumberingAfterBreak="0">
    <w:nsid w:val="36BF0A74"/>
    <w:multiLevelType w:val="hybridMultilevel"/>
    <w:tmpl w:val="7FA8B61C"/>
    <w:lvl w:ilvl="0" w:tplc="16C25998">
      <w:start w:val="1"/>
      <w:numFmt w:val="bullet"/>
      <w:lvlText w:val="-"/>
      <w:lvlJc w:val="left"/>
      <w:pPr>
        <w:tabs>
          <w:tab w:val="num" w:pos="1065"/>
        </w:tabs>
        <w:ind w:left="989" w:hanging="284"/>
      </w:pPr>
      <w:rPr>
        <w:rFonts w:ascii="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9970D4"/>
    <w:multiLevelType w:val="hybridMultilevel"/>
    <w:tmpl w:val="E652978E"/>
    <w:lvl w:ilvl="0" w:tplc="B01820FA">
      <w:start w:val="4"/>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4A6244C2"/>
    <w:multiLevelType w:val="hybridMultilevel"/>
    <w:tmpl w:val="EA70873E"/>
    <w:lvl w:ilvl="0" w:tplc="04050001">
      <w:start w:val="1"/>
      <w:numFmt w:val="bullet"/>
      <w:lvlText w:val=""/>
      <w:lvlJc w:val="left"/>
      <w:pPr>
        <w:tabs>
          <w:tab w:val="num" w:pos="720"/>
        </w:tabs>
        <w:ind w:left="720" w:hanging="360"/>
      </w:pPr>
      <w:rPr>
        <w:rFonts w:ascii="Symbol" w:hAnsi="Symbol"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4A8924AC"/>
    <w:multiLevelType w:val="hybridMultilevel"/>
    <w:tmpl w:val="DFA2FF42"/>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FE24A03"/>
    <w:multiLevelType w:val="hybridMultilevel"/>
    <w:tmpl w:val="EA70873E"/>
    <w:lvl w:ilvl="0" w:tplc="04050011">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6D0C30EE"/>
    <w:multiLevelType w:val="hybridMultilevel"/>
    <w:tmpl w:val="29DAE06E"/>
    <w:lvl w:ilvl="0" w:tplc="681EC280">
      <w:numFmt w:val="bullet"/>
      <w:lvlText w:val="-"/>
      <w:lvlJc w:val="left"/>
      <w:pPr>
        <w:tabs>
          <w:tab w:val="num" w:pos="1109"/>
        </w:tabs>
        <w:ind w:left="1109" w:hanging="360"/>
      </w:pPr>
      <w:rPr>
        <w:rFonts w:ascii="Arial" w:eastAsia="Times New Roman" w:hAnsi="Arial" w:cs="Arial" w:hint="default"/>
        <w:color w:val="auto"/>
      </w:rPr>
    </w:lvl>
    <w:lvl w:ilvl="1" w:tplc="04050003" w:tentative="1">
      <w:start w:val="1"/>
      <w:numFmt w:val="bullet"/>
      <w:lvlText w:val="o"/>
      <w:lvlJc w:val="left"/>
      <w:pPr>
        <w:tabs>
          <w:tab w:val="num" w:pos="1829"/>
        </w:tabs>
        <w:ind w:left="1829" w:hanging="360"/>
      </w:pPr>
      <w:rPr>
        <w:rFonts w:ascii="Courier New" w:hAnsi="Courier New" w:hint="default"/>
      </w:rPr>
    </w:lvl>
    <w:lvl w:ilvl="2" w:tplc="04050005" w:tentative="1">
      <w:start w:val="1"/>
      <w:numFmt w:val="bullet"/>
      <w:lvlText w:val=""/>
      <w:lvlJc w:val="left"/>
      <w:pPr>
        <w:tabs>
          <w:tab w:val="num" w:pos="2549"/>
        </w:tabs>
        <w:ind w:left="2549" w:hanging="360"/>
      </w:pPr>
      <w:rPr>
        <w:rFonts w:ascii="Wingdings" w:hAnsi="Wingdings" w:hint="default"/>
      </w:rPr>
    </w:lvl>
    <w:lvl w:ilvl="3" w:tplc="04050001" w:tentative="1">
      <w:start w:val="1"/>
      <w:numFmt w:val="bullet"/>
      <w:lvlText w:val=""/>
      <w:lvlJc w:val="left"/>
      <w:pPr>
        <w:tabs>
          <w:tab w:val="num" w:pos="3269"/>
        </w:tabs>
        <w:ind w:left="3269" w:hanging="360"/>
      </w:pPr>
      <w:rPr>
        <w:rFonts w:ascii="Symbol" w:hAnsi="Symbol" w:hint="default"/>
      </w:rPr>
    </w:lvl>
    <w:lvl w:ilvl="4" w:tplc="04050003" w:tentative="1">
      <w:start w:val="1"/>
      <w:numFmt w:val="bullet"/>
      <w:lvlText w:val="o"/>
      <w:lvlJc w:val="left"/>
      <w:pPr>
        <w:tabs>
          <w:tab w:val="num" w:pos="3989"/>
        </w:tabs>
        <w:ind w:left="3989" w:hanging="360"/>
      </w:pPr>
      <w:rPr>
        <w:rFonts w:ascii="Courier New" w:hAnsi="Courier New" w:hint="default"/>
      </w:rPr>
    </w:lvl>
    <w:lvl w:ilvl="5" w:tplc="04050005" w:tentative="1">
      <w:start w:val="1"/>
      <w:numFmt w:val="bullet"/>
      <w:lvlText w:val=""/>
      <w:lvlJc w:val="left"/>
      <w:pPr>
        <w:tabs>
          <w:tab w:val="num" w:pos="4709"/>
        </w:tabs>
        <w:ind w:left="4709" w:hanging="360"/>
      </w:pPr>
      <w:rPr>
        <w:rFonts w:ascii="Wingdings" w:hAnsi="Wingdings" w:hint="default"/>
      </w:rPr>
    </w:lvl>
    <w:lvl w:ilvl="6" w:tplc="04050001" w:tentative="1">
      <w:start w:val="1"/>
      <w:numFmt w:val="bullet"/>
      <w:lvlText w:val=""/>
      <w:lvlJc w:val="left"/>
      <w:pPr>
        <w:tabs>
          <w:tab w:val="num" w:pos="5429"/>
        </w:tabs>
        <w:ind w:left="5429" w:hanging="360"/>
      </w:pPr>
      <w:rPr>
        <w:rFonts w:ascii="Symbol" w:hAnsi="Symbol" w:hint="default"/>
      </w:rPr>
    </w:lvl>
    <w:lvl w:ilvl="7" w:tplc="04050003" w:tentative="1">
      <w:start w:val="1"/>
      <w:numFmt w:val="bullet"/>
      <w:lvlText w:val="o"/>
      <w:lvlJc w:val="left"/>
      <w:pPr>
        <w:tabs>
          <w:tab w:val="num" w:pos="6149"/>
        </w:tabs>
        <w:ind w:left="6149" w:hanging="360"/>
      </w:pPr>
      <w:rPr>
        <w:rFonts w:ascii="Courier New" w:hAnsi="Courier New" w:hint="default"/>
      </w:rPr>
    </w:lvl>
    <w:lvl w:ilvl="8" w:tplc="04050005" w:tentative="1">
      <w:start w:val="1"/>
      <w:numFmt w:val="bullet"/>
      <w:lvlText w:val=""/>
      <w:lvlJc w:val="left"/>
      <w:pPr>
        <w:tabs>
          <w:tab w:val="num" w:pos="6869"/>
        </w:tabs>
        <w:ind w:left="6869" w:hanging="360"/>
      </w:pPr>
      <w:rPr>
        <w:rFonts w:ascii="Wingdings" w:hAnsi="Wingdings" w:hint="default"/>
      </w:rPr>
    </w:lvl>
  </w:abstractNum>
  <w:abstractNum w:abstractNumId="14" w15:restartNumberingAfterBreak="0">
    <w:nsid w:val="71AF21C0"/>
    <w:multiLevelType w:val="hybridMultilevel"/>
    <w:tmpl w:val="0A84EE9C"/>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5" w15:restartNumberingAfterBreak="0">
    <w:nsid w:val="7E542857"/>
    <w:multiLevelType w:val="hybridMultilevel"/>
    <w:tmpl w:val="1CF2E894"/>
    <w:lvl w:ilvl="0" w:tplc="04050017">
      <w:start w:val="1"/>
      <w:numFmt w:val="lowerLetter"/>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6" w15:restartNumberingAfterBreak="0">
    <w:nsid w:val="7FD972E9"/>
    <w:multiLevelType w:val="hybridMultilevel"/>
    <w:tmpl w:val="2446DD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5"/>
    <w:lvlOverride w:ilvl="0">
      <w:lvl w:ilvl="0">
        <w:start w:val="1"/>
        <w:numFmt w:val="none"/>
        <w:lvlText w:val=""/>
        <w:legacy w:legacy="1" w:legacySpace="0" w:legacyIndent="965"/>
        <w:lvlJc w:val="left"/>
        <w:pPr>
          <w:ind w:left="965" w:hanging="965"/>
        </w:pPr>
        <w:rPr>
          <w:rFonts w:ascii="WP TypographicSymbols" w:hAnsi="WP TypographicSymbols" w:hint="default"/>
        </w:rPr>
      </w:lvl>
    </w:lvlOverride>
    <w:lvlOverride w:ilvl="1">
      <w:lvl w:ilvl="1">
        <w:start w:val="1"/>
        <w:numFmt w:val="none"/>
        <w:lvlText w:val=""/>
        <w:legacy w:legacy="1" w:legacySpace="0" w:legacyIndent="965"/>
        <w:lvlJc w:val="left"/>
        <w:pPr>
          <w:ind w:left="1930" w:hanging="965"/>
        </w:pPr>
        <w:rPr>
          <w:rFonts w:ascii="WP TypographicSymbols" w:hAnsi="WP TypographicSymbols" w:hint="default"/>
        </w:rPr>
      </w:lvl>
    </w:lvlOverride>
    <w:lvlOverride w:ilvl="2">
      <w:lvl w:ilvl="2">
        <w:start w:val="1"/>
        <w:numFmt w:val="none"/>
        <w:lvlText w:val=""/>
        <w:legacy w:legacy="1" w:legacySpace="0" w:legacyIndent="965"/>
        <w:lvlJc w:val="left"/>
        <w:pPr>
          <w:ind w:left="2895" w:hanging="965"/>
        </w:pPr>
        <w:rPr>
          <w:rFonts w:ascii="WP TypographicSymbols" w:hAnsi="WP TypographicSymbols" w:hint="default"/>
        </w:rPr>
      </w:lvl>
    </w:lvlOverride>
    <w:lvlOverride w:ilvl="3">
      <w:lvl w:ilvl="3">
        <w:start w:val="1"/>
        <w:numFmt w:val="none"/>
        <w:lvlText w:val=""/>
        <w:legacy w:legacy="1" w:legacySpace="0" w:legacyIndent="965"/>
        <w:lvlJc w:val="left"/>
        <w:pPr>
          <w:ind w:left="3860" w:hanging="965"/>
        </w:pPr>
        <w:rPr>
          <w:rFonts w:ascii="WP TypographicSymbols" w:hAnsi="WP TypographicSymbols" w:hint="default"/>
        </w:rPr>
      </w:lvl>
    </w:lvlOverride>
    <w:lvlOverride w:ilvl="4">
      <w:lvl w:ilvl="4">
        <w:start w:val="1"/>
        <w:numFmt w:val="none"/>
        <w:lvlText w:val=""/>
        <w:legacy w:legacy="1" w:legacySpace="0" w:legacyIndent="965"/>
        <w:lvlJc w:val="left"/>
        <w:pPr>
          <w:ind w:left="4825" w:hanging="965"/>
        </w:pPr>
        <w:rPr>
          <w:rFonts w:ascii="WP TypographicSymbols" w:hAnsi="WP TypographicSymbols" w:hint="default"/>
        </w:rPr>
      </w:lvl>
    </w:lvlOverride>
    <w:lvlOverride w:ilvl="5">
      <w:lvl w:ilvl="5">
        <w:start w:val="1"/>
        <w:numFmt w:val="none"/>
        <w:lvlText w:val=""/>
        <w:legacy w:legacy="1" w:legacySpace="0" w:legacyIndent="965"/>
        <w:lvlJc w:val="left"/>
        <w:pPr>
          <w:ind w:left="5790" w:hanging="965"/>
        </w:pPr>
        <w:rPr>
          <w:rFonts w:ascii="WP TypographicSymbols" w:hAnsi="WP TypographicSymbols" w:hint="default"/>
        </w:rPr>
      </w:lvl>
    </w:lvlOverride>
    <w:lvlOverride w:ilvl="6">
      <w:lvl w:ilvl="6">
        <w:start w:val="1"/>
        <w:numFmt w:val="none"/>
        <w:lvlText w:val=""/>
        <w:legacy w:legacy="1" w:legacySpace="0" w:legacyIndent="965"/>
        <w:lvlJc w:val="left"/>
        <w:pPr>
          <w:ind w:left="6755" w:hanging="965"/>
        </w:pPr>
        <w:rPr>
          <w:rFonts w:ascii="WP TypographicSymbols" w:hAnsi="WP TypographicSymbols" w:hint="default"/>
        </w:rPr>
      </w:lvl>
    </w:lvlOverride>
    <w:lvlOverride w:ilvl="7">
      <w:lvl w:ilvl="7">
        <w:start w:val="1"/>
        <w:numFmt w:val="none"/>
        <w:lvlText w:val=""/>
        <w:legacy w:legacy="1" w:legacySpace="0" w:legacyIndent="965"/>
        <w:lvlJc w:val="left"/>
        <w:pPr>
          <w:ind w:left="7720" w:hanging="965"/>
        </w:pPr>
        <w:rPr>
          <w:rFonts w:ascii="WP TypographicSymbols" w:hAnsi="WP TypographicSymbols" w:hint="default"/>
        </w:rPr>
      </w:lvl>
    </w:lvlOverride>
    <w:lvlOverride w:ilvl="8">
      <w:lvl w:ilvl="8">
        <w:start w:val="1"/>
        <w:numFmt w:val="lowerRoman"/>
        <w:lvlText w:val="%9"/>
        <w:legacy w:legacy="1" w:legacySpace="0" w:legacyIndent="965"/>
        <w:lvlJc w:val="left"/>
        <w:pPr>
          <w:ind w:left="8685" w:hanging="965"/>
        </w:pPr>
      </w:lvl>
    </w:lvlOverride>
  </w:num>
  <w:num w:numId="3">
    <w:abstractNumId w:val="5"/>
    <w:lvlOverride w:ilvl="0">
      <w:lvl w:ilvl="0">
        <w:start w:val="2"/>
        <w:numFmt w:val="lowerLetter"/>
        <w:lvlText w:val="%1)"/>
        <w:legacy w:legacy="1" w:legacySpace="0" w:legacyIndent="708"/>
        <w:lvlJc w:val="left"/>
        <w:pPr>
          <w:ind w:left="708" w:hanging="708"/>
        </w:pPr>
      </w:lvl>
    </w:lvlOverride>
    <w:lvlOverride w:ilvl="1">
      <w:lvl w:ilvl="1">
        <w:start w:val="1"/>
        <w:numFmt w:val="lowerLetter"/>
        <w:lvlText w:val="%2)"/>
        <w:legacy w:legacy="1" w:legacySpace="0" w:legacyIndent="708"/>
        <w:lvlJc w:val="left"/>
        <w:pPr>
          <w:ind w:left="1416" w:hanging="708"/>
        </w:pPr>
      </w:lvl>
    </w:lvlOverride>
    <w:lvlOverride w:ilvl="2">
      <w:lvl w:ilvl="2">
        <w:start w:val="1"/>
        <w:numFmt w:val="lowerLetter"/>
        <w:lvlText w:val="%3)"/>
        <w:legacy w:legacy="1" w:legacySpace="0" w:legacyIndent="708"/>
        <w:lvlJc w:val="left"/>
        <w:pPr>
          <w:ind w:left="2124" w:hanging="708"/>
        </w:pPr>
      </w:lvl>
    </w:lvlOverride>
    <w:lvlOverride w:ilvl="3">
      <w:lvl w:ilvl="3">
        <w:start w:val="1"/>
        <w:numFmt w:val="lowerLetter"/>
        <w:lvlText w:val="%4)"/>
        <w:legacy w:legacy="1" w:legacySpace="0" w:legacyIndent="708"/>
        <w:lvlJc w:val="left"/>
        <w:pPr>
          <w:ind w:left="2832" w:hanging="708"/>
        </w:pPr>
      </w:lvl>
    </w:lvlOverride>
    <w:lvlOverride w:ilvl="4">
      <w:lvl w:ilvl="4">
        <w:start w:val="1"/>
        <w:numFmt w:val="lowerLetter"/>
        <w:lvlText w:val="%5)"/>
        <w:legacy w:legacy="1" w:legacySpace="0" w:legacyIndent="708"/>
        <w:lvlJc w:val="left"/>
        <w:pPr>
          <w:ind w:left="3540" w:hanging="708"/>
        </w:pPr>
      </w:lvl>
    </w:lvlOverride>
    <w:lvlOverride w:ilvl="5">
      <w:lvl w:ilvl="5">
        <w:start w:val="1"/>
        <w:numFmt w:val="lowerLetter"/>
        <w:lvlText w:val="%6)"/>
        <w:legacy w:legacy="1" w:legacySpace="0" w:legacyIndent="708"/>
        <w:lvlJc w:val="left"/>
        <w:pPr>
          <w:ind w:left="4248" w:hanging="708"/>
        </w:pPr>
      </w:lvl>
    </w:lvlOverride>
    <w:lvlOverride w:ilvl="6">
      <w:lvl w:ilvl="6">
        <w:start w:val="1"/>
        <w:numFmt w:val="lowerLetter"/>
        <w:lvlText w:val="%7)"/>
        <w:legacy w:legacy="1" w:legacySpace="0" w:legacyIndent="708"/>
        <w:lvlJc w:val="left"/>
        <w:pPr>
          <w:ind w:left="4956" w:hanging="708"/>
        </w:pPr>
      </w:lvl>
    </w:lvlOverride>
    <w:lvlOverride w:ilvl="7">
      <w:lvl w:ilvl="7">
        <w:start w:val="1"/>
        <w:numFmt w:val="lowerLetter"/>
        <w:lvlText w:val="%8)"/>
        <w:legacy w:legacy="1" w:legacySpace="0" w:legacyIndent="708"/>
        <w:lvlJc w:val="left"/>
        <w:pPr>
          <w:ind w:left="5664" w:hanging="708"/>
        </w:pPr>
      </w:lvl>
    </w:lvlOverride>
    <w:lvlOverride w:ilvl="8">
      <w:lvl w:ilvl="8">
        <w:start w:val="1"/>
        <w:numFmt w:val="lowerRoman"/>
        <w:lvlText w:val="%9"/>
        <w:legacy w:legacy="1" w:legacySpace="0" w:legacyIndent="708"/>
        <w:lvlJc w:val="left"/>
        <w:pPr>
          <w:ind w:left="6372" w:hanging="708"/>
        </w:pPr>
      </w:lvl>
    </w:lvlOverride>
  </w:num>
  <w:num w:numId="4">
    <w:abstractNumId w:val="7"/>
  </w:num>
  <w:num w:numId="5">
    <w:abstractNumId w:val="15"/>
  </w:num>
  <w:num w:numId="6">
    <w:abstractNumId w:val="9"/>
  </w:num>
  <w:num w:numId="7">
    <w:abstractNumId w:val="3"/>
  </w:num>
  <w:num w:numId="8">
    <w:abstractNumId w:val="0"/>
  </w:num>
  <w:num w:numId="9">
    <w:abstractNumId w:val="11"/>
  </w:num>
  <w:num w:numId="10">
    <w:abstractNumId w:val="8"/>
  </w:num>
  <w:num w:numId="11">
    <w:abstractNumId w:val="13"/>
  </w:num>
  <w:num w:numId="12">
    <w:abstractNumId w:val="1"/>
  </w:num>
  <w:num w:numId="13">
    <w:abstractNumId w:val="6"/>
  </w:num>
  <w:num w:numId="14">
    <w:abstractNumId w:val="12"/>
  </w:num>
  <w:num w:numId="15">
    <w:abstractNumId w:val="10"/>
  </w:num>
  <w:num w:numId="16">
    <w:abstractNumId w:val="2"/>
  </w:num>
  <w:num w:numId="17">
    <w:abstractNumId w:val="16"/>
  </w:num>
  <w:num w:numId="18">
    <w:abstractNumId w:val="1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128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numRestart w:val="eachSec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FA2"/>
    <w:rsid w:val="00007A7E"/>
    <w:rsid w:val="00013364"/>
    <w:rsid w:val="00015797"/>
    <w:rsid w:val="00020B59"/>
    <w:rsid w:val="0002257F"/>
    <w:rsid w:val="000240DF"/>
    <w:rsid w:val="00033453"/>
    <w:rsid w:val="00040342"/>
    <w:rsid w:val="0005254D"/>
    <w:rsid w:val="00055B55"/>
    <w:rsid w:val="00055B85"/>
    <w:rsid w:val="00061E14"/>
    <w:rsid w:val="00067093"/>
    <w:rsid w:val="00077B5F"/>
    <w:rsid w:val="000856D1"/>
    <w:rsid w:val="00090660"/>
    <w:rsid w:val="00090C53"/>
    <w:rsid w:val="000917A2"/>
    <w:rsid w:val="000B05A8"/>
    <w:rsid w:val="000B56D0"/>
    <w:rsid w:val="000B6402"/>
    <w:rsid w:val="000C0B32"/>
    <w:rsid w:val="000C3DB5"/>
    <w:rsid w:val="000D33EF"/>
    <w:rsid w:val="000D379B"/>
    <w:rsid w:val="000D66D6"/>
    <w:rsid w:val="000E4D46"/>
    <w:rsid w:val="000E713E"/>
    <w:rsid w:val="000F4D39"/>
    <w:rsid w:val="001047B7"/>
    <w:rsid w:val="001049D8"/>
    <w:rsid w:val="00106858"/>
    <w:rsid w:val="0011388C"/>
    <w:rsid w:val="0011774C"/>
    <w:rsid w:val="001270EB"/>
    <w:rsid w:val="0016084F"/>
    <w:rsid w:val="0016431A"/>
    <w:rsid w:val="00167ED4"/>
    <w:rsid w:val="00167F47"/>
    <w:rsid w:val="00171078"/>
    <w:rsid w:val="00171C66"/>
    <w:rsid w:val="00172B55"/>
    <w:rsid w:val="001827F6"/>
    <w:rsid w:val="001926DF"/>
    <w:rsid w:val="001929D4"/>
    <w:rsid w:val="00192DF9"/>
    <w:rsid w:val="001943C0"/>
    <w:rsid w:val="001A1CBD"/>
    <w:rsid w:val="001A2B46"/>
    <w:rsid w:val="001D0647"/>
    <w:rsid w:val="001D45E0"/>
    <w:rsid w:val="001E56F7"/>
    <w:rsid w:val="001E5B42"/>
    <w:rsid w:val="001F16A2"/>
    <w:rsid w:val="001F6926"/>
    <w:rsid w:val="00200C7D"/>
    <w:rsid w:val="00202D51"/>
    <w:rsid w:val="00205D3F"/>
    <w:rsid w:val="002130EA"/>
    <w:rsid w:val="00235D67"/>
    <w:rsid w:val="0028121D"/>
    <w:rsid w:val="002929A7"/>
    <w:rsid w:val="00296B25"/>
    <w:rsid w:val="00296D35"/>
    <w:rsid w:val="002A0411"/>
    <w:rsid w:val="002A2120"/>
    <w:rsid w:val="002A7612"/>
    <w:rsid w:val="002A7E7F"/>
    <w:rsid w:val="002B1376"/>
    <w:rsid w:val="002C34DD"/>
    <w:rsid w:val="002C570D"/>
    <w:rsid w:val="002D0A5F"/>
    <w:rsid w:val="002D5821"/>
    <w:rsid w:val="002D6578"/>
    <w:rsid w:val="00306501"/>
    <w:rsid w:val="00317DBB"/>
    <w:rsid w:val="00330F75"/>
    <w:rsid w:val="00335AD4"/>
    <w:rsid w:val="00340493"/>
    <w:rsid w:val="00353422"/>
    <w:rsid w:val="00362A09"/>
    <w:rsid w:val="00363496"/>
    <w:rsid w:val="00366D9B"/>
    <w:rsid w:val="00367CE4"/>
    <w:rsid w:val="003716B2"/>
    <w:rsid w:val="003768DB"/>
    <w:rsid w:val="0037766E"/>
    <w:rsid w:val="003A17EC"/>
    <w:rsid w:val="003A4E31"/>
    <w:rsid w:val="003A62EB"/>
    <w:rsid w:val="003B02F7"/>
    <w:rsid w:val="003C5749"/>
    <w:rsid w:val="003C75D2"/>
    <w:rsid w:val="003D364B"/>
    <w:rsid w:val="003D64C0"/>
    <w:rsid w:val="003F07DA"/>
    <w:rsid w:val="003F46AF"/>
    <w:rsid w:val="004042EC"/>
    <w:rsid w:val="0041085D"/>
    <w:rsid w:val="004220BE"/>
    <w:rsid w:val="0044015E"/>
    <w:rsid w:val="004405EE"/>
    <w:rsid w:val="0044247C"/>
    <w:rsid w:val="00446738"/>
    <w:rsid w:val="004469FE"/>
    <w:rsid w:val="00455952"/>
    <w:rsid w:val="004717B2"/>
    <w:rsid w:val="00475E34"/>
    <w:rsid w:val="00482DAA"/>
    <w:rsid w:val="004930FB"/>
    <w:rsid w:val="004A39BC"/>
    <w:rsid w:val="004B1E6C"/>
    <w:rsid w:val="004B7601"/>
    <w:rsid w:val="004C5C1D"/>
    <w:rsid w:val="004D43D0"/>
    <w:rsid w:val="004F35A9"/>
    <w:rsid w:val="0050447E"/>
    <w:rsid w:val="00510BA3"/>
    <w:rsid w:val="00515E32"/>
    <w:rsid w:val="005227E0"/>
    <w:rsid w:val="005426B0"/>
    <w:rsid w:val="00551FA2"/>
    <w:rsid w:val="00552FAA"/>
    <w:rsid w:val="005600F5"/>
    <w:rsid w:val="005625E2"/>
    <w:rsid w:val="00567A45"/>
    <w:rsid w:val="00585B28"/>
    <w:rsid w:val="005862A6"/>
    <w:rsid w:val="005A631B"/>
    <w:rsid w:val="005B6A7D"/>
    <w:rsid w:val="005C206D"/>
    <w:rsid w:val="005D0886"/>
    <w:rsid w:val="005D0988"/>
    <w:rsid w:val="005D373C"/>
    <w:rsid w:val="005E4150"/>
    <w:rsid w:val="005E42C5"/>
    <w:rsid w:val="005F06A3"/>
    <w:rsid w:val="005F1166"/>
    <w:rsid w:val="0061023E"/>
    <w:rsid w:val="00610926"/>
    <w:rsid w:val="006118BA"/>
    <w:rsid w:val="00624785"/>
    <w:rsid w:val="00625445"/>
    <w:rsid w:val="0062584C"/>
    <w:rsid w:val="00634651"/>
    <w:rsid w:val="00645362"/>
    <w:rsid w:val="0065171D"/>
    <w:rsid w:val="00660F33"/>
    <w:rsid w:val="00670DF4"/>
    <w:rsid w:val="006728C0"/>
    <w:rsid w:val="006753C8"/>
    <w:rsid w:val="00680615"/>
    <w:rsid w:val="006829A9"/>
    <w:rsid w:val="00682B87"/>
    <w:rsid w:val="00685357"/>
    <w:rsid w:val="0068665F"/>
    <w:rsid w:val="00691E20"/>
    <w:rsid w:val="00695878"/>
    <w:rsid w:val="006A27BB"/>
    <w:rsid w:val="006C7683"/>
    <w:rsid w:val="006C7FD3"/>
    <w:rsid w:val="006D24F9"/>
    <w:rsid w:val="006D417B"/>
    <w:rsid w:val="006D4A05"/>
    <w:rsid w:val="006D7EE0"/>
    <w:rsid w:val="006E625C"/>
    <w:rsid w:val="0071452D"/>
    <w:rsid w:val="007208E8"/>
    <w:rsid w:val="007278C3"/>
    <w:rsid w:val="0073275D"/>
    <w:rsid w:val="00732AC6"/>
    <w:rsid w:val="00742EC8"/>
    <w:rsid w:val="007450AF"/>
    <w:rsid w:val="0074708C"/>
    <w:rsid w:val="007531A0"/>
    <w:rsid w:val="007559E3"/>
    <w:rsid w:val="007645CB"/>
    <w:rsid w:val="007833B1"/>
    <w:rsid w:val="00787FD8"/>
    <w:rsid w:val="00793E66"/>
    <w:rsid w:val="0079460B"/>
    <w:rsid w:val="007A3B6A"/>
    <w:rsid w:val="007A4D75"/>
    <w:rsid w:val="007A715F"/>
    <w:rsid w:val="007B094D"/>
    <w:rsid w:val="007C02FC"/>
    <w:rsid w:val="007C590A"/>
    <w:rsid w:val="007D5E9D"/>
    <w:rsid w:val="007D7E23"/>
    <w:rsid w:val="007F4CD9"/>
    <w:rsid w:val="0080079B"/>
    <w:rsid w:val="008036A7"/>
    <w:rsid w:val="008040BF"/>
    <w:rsid w:val="0081047C"/>
    <w:rsid w:val="008137E9"/>
    <w:rsid w:val="00832215"/>
    <w:rsid w:val="00832F7F"/>
    <w:rsid w:val="00841267"/>
    <w:rsid w:val="00844AEF"/>
    <w:rsid w:val="0085673C"/>
    <w:rsid w:val="0086046C"/>
    <w:rsid w:val="00860A8C"/>
    <w:rsid w:val="00874FB7"/>
    <w:rsid w:val="0087796E"/>
    <w:rsid w:val="008877AE"/>
    <w:rsid w:val="00891955"/>
    <w:rsid w:val="00893FF4"/>
    <w:rsid w:val="0089472B"/>
    <w:rsid w:val="008975FF"/>
    <w:rsid w:val="008A714F"/>
    <w:rsid w:val="008B10FD"/>
    <w:rsid w:val="008B17DC"/>
    <w:rsid w:val="008D7235"/>
    <w:rsid w:val="008E4DF2"/>
    <w:rsid w:val="008E69EC"/>
    <w:rsid w:val="008F1E70"/>
    <w:rsid w:val="008F4A71"/>
    <w:rsid w:val="0090466A"/>
    <w:rsid w:val="00913066"/>
    <w:rsid w:val="009166EE"/>
    <w:rsid w:val="0092176A"/>
    <w:rsid w:val="00933C33"/>
    <w:rsid w:val="00936B86"/>
    <w:rsid w:val="00940E9F"/>
    <w:rsid w:val="009522E5"/>
    <w:rsid w:val="00977861"/>
    <w:rsid w:val="00980F12"/>
    <w:rsid w:val="00986E1F"/>
    <w:rsid w:val="00995E5C"/>
    <w:rsid w:val="00997FF4"/>
    <w:rsid w:val="009A65FE"/>
    <w:rsid w:val="009B0250"/>
    <w:rsid w:val="009C0F9D"/>
    <w:rsid w:val="009C18FE"/>
    <w:rsid w:val="009C35D2"/>
    <w:rsid w:val="009C54DD"/>
    <w:rsid w:val="009E39D8"/>
    <w:rsid w:val="009E7B80"/>
    <w:rsid w:val="009F3769"/>
    <w:rsid w:val="009F47B0"/>
    <w:rsid w:val="009F4923"/>
    <w:rsid w:val="009F6D1D"/>
    <w:rsid w:val="00A0161E"/>
    <w:rsid w:val="00A2103C"/>
    <w:rsid w:val="00A3766B"/>
    <w:rsid w:val="00A4472A"/>
    <w:rsid w:val="00A474A1"/>
    <w:rsid w:val="00A50C08"/>
    <w:rsid w:val="00A73F94"/>
    <w:rsid w:val="00A81C82"/>
    <w:rsid w:val="00A81CB5"/>
    <w:rsid w:val="00A84BC2"/>
    <w:rsid w:val="00A92FFB"/>
    <w:rsid w:val="00A937B1"/>
    <w:rsid w:val="00AA476D"/>
    <w:rsid w:val="00AB4D0B"/>
    <w:rsid w:val="00AC0E8F"/>
    <w:rsid w:val="00AC24F2"/>
    <w:rsid w:val="00AD163A"/>
    <w:rsid w:val="00AF0E7C"/>
    <w:rsid w:val="00B04189"/>
    <w:rsid w:val="00B108BF"/>
    <w:rsid w:val="00B17872"/>
    <w:rsid w:val="00B30075"/>
    <w:rsid w:val="00B33438"/>
    <w:rsid w:val="00B37A13"/>
    <w:rsid w:val="00B52544"/>
    <w:rsid w:val="00B53F10"/>
    <w:rsid w:val="00B55DEE"/>
    <w:rsid w:val="00B70D35"/>
    <w:rsid w:val="00B70D39"/>
    <w:rsid w:val="00B7181F"/>
    <w:rsid w:val="00B828BB"/>
    <w:rsid w:val="00B97833"/>
    <w:rsid w:val="00BB54E2"/>
    <w:rsid w:val="00BF46FA"/>
    <w:rsid w:val="00C00CD3"/>
    <w:rsid w:val="00C104D5"/>
    <w:rsid w:val="00C14033"/>
    <w:rsid w:val="00C15815"/>
    <w:rsid w:val="00C27078"/>
    <w:rsid w:val="00C375AF"/>
    <w:rsid w:val="00C405DB"/>
    <w:rsid w:val="00C40C9B"/>
    <w:rsid w:val="00C46245"/>
    <w:rsid w:val="00C54371"/>
    <w:rsid w:val="00C550DA"/>
    <w:rsid w:val="00C61042"/>
    <w:rsid w:val="00C73EFC"/>
    <w:rsid w:val="00C75113"/>
    <w:rsid w:val="00C83067"/>
    <w:rsid w:val="00C928E7"/>
    <w:rsid w:val="00CA5578"/>
    <w:rsid w:val="00CC107B"/>
    <w:rsid w:val="00CC2BE6"/>
    <w:rsid w:val="00CC3BD3"/>
    <w:rsid w:val="00CD1B1B"/>
    <w:rsid w:val="00CE59A8"/>
    <w:rsid w:val="00CE5AD4"/>
    <w:rsid w:val="00CE6732"/>
    <w:rsid w:val="00CF3CED"/>
    <w:rsid w:val="00CF428B"/>
    <w:rsid w:val="00D120A1"/>
    <w:rsid w:val="00D31427"/>
    <w:rsid w:val="00D35724"/>
    <w:rsid w:val="00D4448C"/>
    <w:rsid w:val="00D52C9B"/>
    <w:rsid w:val="00D54B53"/>
    <w:rsid w:val="00D60458"/>
    <w:rsid w:val="00D62412"/>
    <w:rsid w:val="00D662AB"/>
    <w:rsid w:val="00D7005C"/>
    <w:rsid w:val="00D75496"/>
    <w:rsid w:val="00D84E30"/>
    <w:rsid w:val="00D93757"/>
    <w:rsid w:val="00D957A8"/>
    <w:rsid w:val="00DA05A0"/>
    <w:rsid w:val="00DB0C10"/>
    <w:rsid w:val="00DB2278"/>
    <w:rsid w:val="00DB61E3"/>
    <w:rsid w:val="00DC077B"/>
    <w:rsid w:val="00DC4E65"/>
    <w:rsid w:val="00DD1283"/>
    <w:rsid w:val="00DD1573"/>
    <w:rsid w:val="00DE04B5"/>
    <w:rsid w:val="00DF1311"/>
    <w:rsid w:val="00DF7211"/>
    <w:rsid w:val="00DF7C51"/>
    <w:rsid w:val="00E06810"/>
    <w:rsid w:val="00E1053F"/>
    <w:rsid w:val="00E16254"/>
    <w:rsid w:val="00E20983"/>
    <w:rsid w:val="00E21144"/>
    <w:rsid w:val="00E245FE"/>
    <w:rsid w:val="00E30C57"/>
    <w:rsid w:val="00E315EF"/>
    <w:rsid w:val="00E566AF"/>
    <w:rsid w:val="00E65D79"/>
    <w:rsid w:val="00E77E80"/>
    <w:rsid w:val="00E93908"/>
    <w:rsid w:val="00E95A7D"/>
    <w:rsid w:val="00E96B77"/>
    <w:rsid w:val="00EA1954"/>
    <w:rsid w:val="00EB5A0D"/>
    <w:rsid w:val="00EC4626"/>
    <w:rsid w:val="00EC607B"/>
    <w:rsid w:val="00EC7F58"/>
    <w:rsid w:val="00EF677B"/>
    <w:rsid w:val="00F01172"/>
    <w:rsid w:val="00F031CF"/>
    <w:rsid w:val="00F07A34"/>
    <w:rsid w:val="00F10476"/>
    <w:rsid w:val="00F24088"/>
    <w:rsid w:val="00F377EB"/>
    <w:rsid w:val="00F4772E"/>
    <w:rsid w:val="00F503DE"/>
    <w:rsid w:val="00F52CF8"/>
    <w:rsid w:val="00F72A70"/>
    <w:rsid w:val="00F75735"/>
    <w:rsid w:val="00F77032"/>
    <w:rsid w:val="00F773E9"/>
    <w:rsid w:val="00F8319E"/>
    <w:rsid w:val="00F9134B"/>
    <w:rsid w:val="00F933E4"/>
    <w:rsid w:val="00FA55BF"/>
    <w:rsid w:val="00FA77FF"/>
    <w:rsid w:val="00FB1D21"/>
    <w:rsid w:val="00FB54C1"/>
    <w:rsid w:val="00FB72F5"/>
    <w:rsid w:val="00FC7829"/>
    <w:rsid w:val="00FD4075"/>
    <w:rsid w:val="00FD5214"/>
    <w:rsid w:val="00FD69D3"/>
    <w:rsid w:val="00FE0A2F"/>
    <w:rsid w:val="00FE58D0"/>
    <w:rsid w:val="00FF6C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F950F"/>
  <w15:docId w15:val="{6B0B1FCA-84E2-49DF-A2D8-E62ABFDD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728C0"/>
    <w:pPr>
      <w:widowControl w:val="0"/>
      <w:autoSpaceDE w:val="0"/>
      <w:autoSpaceDN w:val="0"/>
      <w:adjustRightInd w:val="0"/>
    </w:pPr>
    <w:rPr>
      <w:rFonts w:ascii="Arial CE obyeejné" w:hAnsi="Arial CE obyeejné"/>
      <w:lang w:val="en-US"/>
    </w:rPr>
  </w:style>
  <w:style w:type="paragraph" w:styleId="Nadpis1">
    <w:name w:val="heading 1"/>
    <w:basedOn w:val="Normln"/>
    <w:next w:val="Normln"/>
    <w:qFormat/>
    <w:rsid w:val="006728C0"/>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jc w:val="center"/>
      <w:outlineLvl w:val="0"/>
    </w:pPr>
    <w:rPr>
      <w:rFonts w:ascii="Arial" w:hAnsi="Arial"/>
      <w:b/>
      <w:bCs/>
      <w:sz w:val="26"/>
      <w:szCs w:val="26"/>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AutoList6">
    <w:name w:val="1AutoList6"/>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6">
    <w:name w:val="2AutoList6"/>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6">
    <w:name w:val="3AutoList6"/>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6">
    <w:name w:val="4AutoList6"/>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6">
    <w:name w:val="5AutoList6"/>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6">
    <w:name w:val="6AutoList6"/>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6">
    <w:name w:val="7AutoList6"/>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6">
    <w:name w:val="8AutoList6"/>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AutoList5">
    <w:name w:val="1AutoList5"/>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5">
    <w:name w:val="2AutoList5"/>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5">
    <w:name w:val="3AutoList5"/>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5">
    <w:name w:val="4AutoList5"/>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5">
    <w:name w:val="5AutoList5"/>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5">
    <w:name w:val="6AutoList5"/>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5">
    <w:name w:val="7AutoList5"/>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5">
    <w:name w:val="8AutoList5"/>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AutoList4">
    <w:name w:val="1AutoList4"/>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4">
    <w:name w:val="2AutoList4"/>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4">
    <w:name w:val="3AutoList4"/>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4">
    <w:name w:val="4AutoList4"/>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4">
    <w:name w:val="5AutoList4"/>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4">
    <w:name w:val="6AutoList4"/>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4">
    <w:name w:val="7AutoList4"/>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4">
    <w:name w:val="8AutoList4"/>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AutoList3">
    <w:name w:val="1AutoList3"/>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3">
    <w:name w:val="2AutoList3"/>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3">
    <w:name w:val="3AutoList3"/>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3">
    <w:name w:val="4AutoList3"/>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3">
    <w:name w:val="5AutoList3"/>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3">
    <w:name w:val="6AutoList3"/>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3">
    <w:name w:val="7AutoList3"/>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3">
    <w:name w:val="8AutoList3"/>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AutoList2">
    <w:name w:val="1AutoList2"/>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2">
    <w:name w:val="2AutoList2"/>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2">
    <w:name w:val="3AutoList2"/>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2">
    <w:name w:val="4AutoList2"/>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2">
    <w:name w:val="5AutoList2"/>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2">
    <w:name w:val="6AutoList2"/>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2">
    <w:name w:val="7AutoList2"/>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2">
    <w:name w:val="8AutoList2"/>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Paragraph">
    <w:name w:val="1Paragraph"/>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Paragraph">
    <w:name w:val="2Paragraph"/>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Paragraph">
    <w:name w:val="3Paragraph"/>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Paragraph">
    <w:name w:val="4Paragraph"/>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Paragraph">
    <w:name w:val="5Paragraph"/>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Paragraph">
    <w:name w:val="6Paragraph"/>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Paragraph">
    <w:name w:val="7Paragraph"/>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Paragraph">
    <w:name w:val="8Paragraph"/>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AutoList1">
    <w:name w:val="1AutoList1"/>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1">
    <w:name w:val="2AutoList1"/>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1">
    <w:name w:val="3AutoList1"/>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1">
    <w:name w:val="4AutoList1"/>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1">
    <w:name w:val="5AutoList1"/>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1">
    <w:name w:val="6AutoList1"/>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1">
    <w:name w:val="7AutoList1"/>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1">
    <w:name w:val="8AutoList1"/>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styleId="Zkladntextodsazen">
    <w:name w:val="Body Text Indent"/>
    <w:basedOn w:val="Normln"/>
    <w:semiHidden/>
    <w:rsid w:val="006728C0"/>
    <w:pPr>
      <w:widowControl/>
      <w:autoSpaceDE/>
      <w:autoSpaceDN/>
      <w:adjustRightInd/>
      <w:jc w:val="both"/>
    </w:pPr>
    <w:rPr>
      <w:sz w:val="24"/>
      <w:szCs w:val="24"/>
      <w:lang w:val="cs-CZ"/>
    </w:rPr>
  </w:style>
  <w:style w:type="paragraph" w:styleId="Nzev">
    <w:name w:val="Title"/>
    <w:basedOn w:val="Normln"/>
    <w:qFormat/>
    <w:rsid w:val="006728C0"/>
    <w:pPr>
      <w:widowControl/>
      <w:autoSpaceDE/>
      <w:autoSpaceDN/>
      <w:adjustRightInd/>
      <w:jc w:val="center"/>
    </w:pPr>
    <w:rPr>
      <w:b/>
      <w:bCs/>
      <w:sz w:val="26"/>
      <w:szCs w:val="26"/>
      <w:lang w:val="cs-CZ"/>
    </w:rPr>
  </w:style>
  <w:style w:type="paragraph" w:styleId="Zkladntext">
    <w:name w:val="Body Text"/>
    <w:basedOn w:val="Normln"/>
    <w:link w:val="ZkladntextChar"/>
    <w:semiHidden/>
    <w:rsid w:val="006728C0"/>
    <w:pPr>
      <w:tabs>
        <w:tab w:val="left" w:pos="356"/>
        <w:tab w:val="left" w:pos="696"/>
        <w:tab w:val="left" w:pos="952"/>
        <w:tab w:val="left" w:pos="3616"/>
        <w:tab w:val="left" w:pos="4410"/>
      </w:tabs>
      <w:suppressAutoHyphens/>
      <w:spacing w:after="147"/>
      <w:jc w:val="both"/>
    </w:pPr>
    <w:rPr>
      <w:rFonts w:ascii="Arial" w:hAnsi="Arial"/>
    </w:rPr>
  </w:style>
  <w:style w:type="paragraph" w:styleId="Zkladntextodsazen2">
    <w:name w:val="Body Text Indent 2"/>
    <w:basedOn w:val="Normln"/>
    <w:semiHidden/>
    <w:rsid w:val="006728C0"/>
    <w:pPr>
      <w:spacing w:before="120"/>
      <w:ind w:firstLine="708"/>
      <w:jc w:val="both"/>
    </w:pPr>
    <w:rPr>
      <w:lang w:val="cs-CZ"/>
    </w:rPr>
  </w:style>
  <w:style w:type="paragraph" w:styleId="Zkladntextodsazen3">
    <w:name w:val="Body Text Indent 3"/>
    <w:basedOn w:val="Normln"/>
    <w:link w:val="Zkladntextodsazen3Char"/>
    <w:semiHidden/>
    <w:rsid w:val="006728C0"/>
    <w:pPr>
      <w:tabs>
        <w:tab w:val="left" w:pos="0"/>
        <w:tab w:val="left" w:pos="356"/>
        <w:tab w:val="left" w:pos="696"/>
        <w:tab w:val="left" w:pos="952"/>
        <w:tab w:val="left" w:pos="3616"/>
        <w:tab w:val="left" w:pos="4410"/>
      </w:tabs>
      <w:suppressAutoHyphens/>
      <w:spacing w:after="147"/>
      <w:ind w:left="-426" w:firstLine="142"/>
      <w:jc w:val="both"/>
    </w:pPr>
    <w:rPr>
      <w:rFonts w:ascii="Arial" w:hAnsi="Arial"/>
    </w:rPr>
  </w:style>
  <w:style w:type="paragraph" w:styleId="Rozloendokumentu">
    <w:name w:val="Document Map"/>
    <w:basedOn w:val="Normln"/>
    <w:semiHidden/>
    <w:rsid w:val="006728C0"/>
    <w:pPr>
      <w:shd w:val="clear" w:color="auto" w:fill="000080"/>
    </w:pPr>
    <w:rPr>
      <w:rFonts w:ascii="Tahoma" w:hAnsi="Tahoma" w:cs="Tahoma"/>
    </w:rPr>
  </w:style>
  <w:style w:type="paragraph" w:customStyle="1" w:styleId="Level2">
    <w:name w:val="Level 2"/>
    <w:basedOn w:val="Normln"/>
    <w:rsid w:val="006728C0"/>
    <w:pPr>
      <w:ind w:left="651" w:hanging="391"/>
    </w:pPr>
    <w:rPr>
      <w:rFonts w:ascii="Times New Roman oby_ejné" w:hAnsi="Times New Roman oby_ejné"/>
      <w:sz w:val="24"/>
      <w:szCs w:val="24"/>
    </w:rPr>
  </w:style>
  <w:style w:type="paragraph" w:styleId="Zkladntext2">
    <w:name w:val="Body Text 2"/>
    <w:basedOn w:val="Normln"/>
    <w:semiHidden/>
    <w:rsid w:val="006728C0"/>
    <w:pPr>
      <w:tabs>
        <w:tab w:val="left" w:pos="356"/>
        <w:tab w:val="left" w:pos="696"/>
        <w:tab w:val="left" w:pos="952"/>
        <w:tab w:val="left" w:pos="3616"/>
        <w:tab w:val="left" w:pos="4410"/>
      </w:tabs>
      <w:suppressAutoHyphens/>
      <w:spacing w:before="120" w:after="100" w:afterAutospacing="1"/>
      <w:jc w:val="both"/>
    </w:pPr>
    <w:rPr>
      <w:rFonts w:ascii="Arial" w:hAnsi="Arial" w:cs="Arial"/>
      <w:color w:val="0000FF"/>
      <w:lang w:val="en-GB"/>
    </w:rPr>
  </w:style>
  <w:style w:type="character" w:styleId="Hypertextovodkaz">
    <w:name w:val="Hyperlink"/>
    <w:semiHidden/>
    <w:rsid w:val="006728C0"/>
    <w:rPr>
      <w:color w:val="0000FF"/>
      <w:u w:val="single"/>
    </w:rPr>
  </w:style>
  <w:style w:type="paragraph" w:styleId="Textpoznpodarou">
    <w:name w:val="footnote text"/>
    <w:basedOn w:val="Normln"/>
    <w:semiHidden/>
    <w:rsid w:val="006728C0"/>
  </w:style>
  <w:style w:type="character" w:styleId="Znakapoznpodarou">
    <w:name w:val="footnote reference"/>
    <w:semiHidden/>
    <w:rsid w:val="006728C0"/>
    <w:rPr>
      <w:vertAlign w:val="superscript"/>
    </w:rPr>
  </w:style>
  <w:style w:type="character" w:customStyle="1" w:styleId="hps">
    <w:name w:val="hps"/>
    <w:basedOn w:val="Standardnpsmoodstavce"/>
    <w:rsid w:val="0071452D"/>
  </w:style>
  <w:style w:type="paragraph" w:styleId="Textbubliny">
    <w:name w:val="Balloon Text"/>
    <w:basedOn w:val="Normln"/>
    <w:link w:val="TextbublinyChar"/>
    <w:uiPriority w:val="99"/>
    <w:semiHidden/>
    <w:unhideWhenUsed/>
    <w:rsid w:val="00CC2BE6"/>
    <w:rPr>
      <w:rFonts w:ascii="Tahoma" w:hAnsi="Tahoma"/>
      <w:sz w:val="16"/>
      <w:szCs w:val="16"/>
    </w:rPr>
  </w:style>
  <w:style w:type="character" w:customStyle="1" w:styleId="TextbublinyChar">
    <w:name w:val="Text bubliny Char"/>
    <w:link w:val="Textbubliny"/>
    <w:uiPriority w:val="99"/>
    <w:semiHidden/>
    <w:rsid w:val="00CC2BE6"/>
    <w:rPr>
      <w:rFonts w:ascii="Tahoma" w:hAnsi="Tahoma" w:cs="Tahoma"/>
      <w:sz w:val="16"/>
      <w:szCs w:val="16"/>
      <w:lang w:val="en-US"/>
    </w:rPr>
  </w:style>
  <w:style w:type="character" w:customStyle="1" w:styleId="shorttext">
    <w:name w:val="short_text"/>
    <w:basedOn w:val="Standardnpsmoodstavce"/>
    <w:rsid w:val="009B0250"/>
  </w:style>
  <w:style w:type="character" w:customStyle="1" w:styleId="ZkladntextChar">
    <w:name w:val="Základní text Char"/>
    <w:link w:val="Zkladntext"/>
    <w:semiHidden/>
    <w:rsid w:val="0081047C"/>
    <w:rPr>
      <w:rFonts w:ascii="Arial" w:hAnsi="Arial"/>
    </w:rPr>
  </w:style>
  <w:style w:type="character" w:styleId="Odkaznakoment">
    <w:name w:val="annotation reference"/>
    <w:uiPriority w:val="99"/>
    <w:semiHidden/>
    <w:unhideWhenUsed/>
    <w:rsid w:val="00B33438"/>
    <w:rPr>
      <w:sz w:val="16"/>
      <w:szCs w:val="16"/>
    </w:rPr>
  </w:style>
  <w:style w:type="paragraph" w:styleId="Textkomente">
    <w:name w:val="annotation text"/>
    <w:basedOn w:val="Normln"/>
    <w:link w:val="TextkomenteChar"/>
    <w:uiPriority w:val="99"/>
    <w:semiHidden/>
    <w:unhideWhenUsed/>
    <w:rsid w:val="00B33438"/>
  </w:style>
  <w:style w:type="character" w:customStyle="1" w:styleId="TextkomenteChar">
    <w:name w:val="Text komentáře Char"/>
    <w:link w:val="Textkomente"/>
    <w:uiPriority w:val="99"/>
    <w:semiHidden/>
    <w:rsid w:val="00B33438"/>
    <w:rPr>
      <w:rFonts w:ascii="Arial CE obyeejné" w:hAnsi="Arial CE obyeejné"/>
      <w:lang w:val="en-US"/>
    </w:rPr>
  </w:style>
  <w:style w:type="paragraph" w:styleId="Pedmtkomente">
    <w:name w:val="annotation subject"/>
    <w:basedOn w:val="Textkomente"/>
    <w:next w:val="Textkomente"/>
    <w:link w:val="PedmtkomenteChar"/>
    <w:uiPriority w:val="99"/>
    <w:semiHidden/>
    <w:unhideWhenUsed/>
    <w:rsid w:val="00B33438"/>
    <w:rPr>
      <w:b/>
      <w:bCs/>
    </w:rPr>
  </w:style>
  <w:style w:type="character" w:customStyle="1" w:styleId="PedmtkomenteChar">
    <w:name w:val="Předmět komentáře Char"/>
    <w:link w:val="Pedmtkomente"/>
    <w:uiPriority w:val="99"/>
    <w:semiHidden/>
    <w:rsid w:val="00B33438"/>
    <w:rPr>
      <w:rFonts w:ascii="Arial CE obyeejné" w:hAnsi="Arial CE obyeejné"/>
      <w:b/>
      <w:bCs/>
      <w:lang w:val="en-US"/>
    </w:rPr>
  </w:style>
  <w:style w:type="paragraph" w:styleId="Revize">
    <w:name w:val="Revision"/>
    <w:hidden/>
    <w:uiPriority w:val="99"/>
    <w:semiHidden/>
    <w:rsid w:val="00DF7211"/>
    <w:rPr>
      <w:rFonts w:ascii="Arial CE obyeejné" w:hAnsi="Arial CE obyeejné"/>
      <w:lang w:val="en-US"/>
    </w:rPr>
  </w:style>
  <w:style w:type="character" w:customStyle="1" w:styleId="Zkladntextodsazen3Char">
    <w:name w:val="Základní text odsazený 3 Char"/>
    <w:link w:val="Zkladntextodsazen3"/>
    <w:semiHidden/>
    <w:rsid w:val="003A4E31"/>
    <w:rPr>
      <w:rFonts w:ascii="Arial" w:hAnsi="Arial"/>
    </w:rPr>
  </w:style>
  <w:style w:type="character" w:customStyle="1" w:styleId="ilfuvd">
    <w:name w:val="ilfuvd"/>
    <w:basedOn w:val="Standardnpsmoodstavce"/>
    <w:rsid w:val="00F91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191894">
      <w:bodyDiv w:val="1"/>
      <w:marLeft w:val="0"/>
      <w:marRight w:val="0"/>
      <w:marTop w:val="0"/>
      <w:marBottom w:val="0"/>
      <w:divBdr>
        <w:top w:val="none" w:sz="0" w:space="0" w:color="auto"/>
        <w:left w:val="none" w:sz="0" w:space="0" w:color="auto"/>
        <w:bottom w:val="none" w:sz="0" w:space="0" w:color="auto"/>
        <w:right w:val="none" w:sz="0" w:space="0" w:color="auto"/>
      </w:divBdr>
      <w:divsChild>
        <w:div w:id="394359415">
          <w:marLeft w:val="0"/>
          <w:marRight w:val="0"/>
          <w:marTop w:val="0"/>
          <w:marBottom w:val="0"/>
          <w:divBdr>
            <w:top w:val="none" w:sz="0" w:space="0" w:color="auto"/>
            <w:left w:val="none" w:sz="0" w:space="0" w:color="auto"/>
            <w:bottom w:val="none" w:sz="0" w:space="0" w:color="auto"/>
            <w:right w:val="none" w:sz="0" w:space="0" w:color="auto"/>
          </w:divBdr>
          <w:divsChild>
            <w:div w:id="123346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5055</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Ú V O D</vt:lpstr>
    </vt:vector>
  </TitlesOfParts>
  <Company>csu</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 V O D</dc:title>
  <dc:creator>csu</dc:creator>
  <cp:lastModifiedBy>ptacnikovairena@seznam.cz</cp:lastModifiedBy>
  <cp:revision>2</cp:revision>
  <cp:lastPrinted>2012-11-26T13:24:00Z</cp:lastPrinted>
  <dcterms:created xsi:type="dcterms:W3CDTF">2021-06-02T07:40:00Z</dcterms:created>
  <dcterms:modified xsi:type="dcterms:W3CDTF">2021-06-02T07:40:00Z</dcterms:modified>
</cp:coreProperties>
</file>