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6C9" w:rsidRPr="00C17B63" w:rsidRDefault="007576C9" w:rsidP="007576C9">
      <w:pPr>
        <w:pStyle w:val="Nzev"/>
        <w:spacing w:after="240"/>
        <w:rPr>
          <w:rFonts w:cs="Arial"/>
        </w:rPr>
      </w:pPr>
      <w:r w:rsidRPr="00C17B63">
        <w:rPr>
          <w:rFonts w:cs="Arial"/>
        </w:rPr>
        <w:t>METODICKÉ POZNÁMKY</w:t>
      </w:r>
    </w:p>
    <w:p w:rsidR="00EA4A8E" w:rsidRPr="00E42B84" w:rsidRDefault="00EA4A8E" w:rsidP="003542E2">
      <w:pPr>
        <w:pStyle w:val="Zkladntext"/>
        <w:spacing w:after="0"/>
        <w:ind w:firstLine="425"/>
        <w:rPr>
          <w:rFonts w:cs="Arial"/>
          <w:b/>
          <w:sz w:val="20"/>
        </w:rPr>
      </w:pPr>
      <w:r w:rsidRPr="00E42B84">
        <w:rPr>
          <w:rFonts w:cs="Arial"/>
          <w:sz w:val="20"/>
        </w:rPr>
        <w:t>Tato publikace obsahuje roční časové řady (od roku 2000), čtvrtletní časové řady a pouze výjimečně měsíční časové řady. Vedle absolutních údajů jsou uváděny také indexy. Pokud není v tabulce nebo v metodických poznámkách uvedeno jinak, jedná se o index za sledované období proti stejnému období předchozího roku, přepočtené na stejné ceny, metodiku a organizační strukturu.</w:t>
      </w:r>
    </w:p>
    <w:p w:rsidR="00EA4A8E" w:rsidRPr="00246B03" w:rsidRDefault="00EA4A8E" w:rsidP="003542E2">
      <w:pPr>
        <w:pStyle w:val="titulek1"/>
        <w:spacing w:before="360" w:after="0"/>
        <w:rPr>
          <w:rFonts w:cs="Arial"/>
          <w:caps/>
        </w:rPr>
      </w:pPr>
      <w:r w:rsidRPr="00E42B84">
        <w:rPr>
          <w:rFonts w:cs="Arial"/>
        </w:rPr>
        <w:tab/>
      </w:r>
      <w:r w:rsidRPr="00246B03">
        <w:rPr>
          <w:rFonts w:cs="Arial"/>
          <w:caps/>
        </w:rPr>
        <w:t>Obyvatelstvo</w:t>
      </w:r>
    </w:p>
    <w:p w:rsidR="00EA4A8E" w:rsidRPr="00E42B84" w:rsidRDefault="00EA4A8E" w:rsidP="003542E2">
      <w:pPr>
        <w:pStyle w:val="Zkladntext"/>
        <w:spacing w:before="120" w:after="0"/>
        <w:ind w:firstLine="425"/>
        <w:rPr>
          <w:sz w:val="20"/>
          <w:szCs w:val="20"/>
        </w:rPr>
      </w:pPr>
      <w:r w:rsidRPr="00E42B84">
        <w:rPr>
          <w:sz w:val="20"/>
          <w:szCs w:val="20"/>
        </w:rPr>
        <w:t>Údaje o počtu, složení obyvatelstva a jejich změnách jsou získávány ze sčítání lidu (zhruba v desetiletých intervalech) a</w:t>
      </w:r>
      <w:r w:rsidR="00A76BE2">
        <w:rPr>
          <w:sz w:val="20"/>
          <w:szCs w:val="20"/>
        </w:rPr>
        <w:t xml:space="preserve"> </w:t>
      </w:r>
      <w:r w:rsidRPr="00E42B84">
        <w:rPr>
          <w:sz w:val="20"/>
          <w:szCs w:val="20"/>
        </w:rPr>
        <w:t> z navazujících údajů o pohybu obyvatelstva a jejich bilancí v intercenzálním období.</w:t>
      </w:r>
    </w:p>
    <w:p w:rsidR="00EA4A8E" w:rsidRPr="00E42B84" w:rsidRDefault="00EA4A8E" w:rsidP="003542E2">
      <w:pPr>
        <w:pStyle w:val="Zkladntext"/>
        <w:spacing w:before="120" w:after="0"/>
        <w:ind w:firstLine="425"/>
        <w:rPr>
          <w:sz w:val="20"/>
          <w:szCs w:val="20"/>
        </w:rPr>
      </w:pPr>
      <w:r w:rsidRPr="00E42B84">
        <w:rPr>
          <w:sz w:val="20"/>
          <w:szCs w:val="20"/>
        </w:rPr>
        <w:t xml:space="preserve">Veškeré údaje se týkají všech obyvatel, kteří mají v České republice trvalé bydliště, a to bez ohledu na státní občanství. Od roku 2001 (v návaznosti na </w:t>
      </w:r>
      <w:r w:rsidR="00CE1808">
        <w:rPr>
          <w:sz w:val="20"/>
          <w:szCs w:val="20"/>
        </w:rPr>
        <w:t>S</w:t>
      </w:r>
      <w:r w:rsidRPr="00E42B84">
        <w:rPr>
          <w:sz w:val="20"/>
          <w:szCs w:val="20"/>
        </w:rPr>
        <w:t>čítání lidu, domů a bytů 2001) údaje zahrnují také cizince s vízy nad 90 dnů (podle zákona č. 326/1999 Sb., o pobytu cizinců</w:t>
      </w:r>
      <w:r w:rsidR="005354F9">
        <w:rPr>
          <w:sz w:val="20"/>
          <w:szCs w:val="20"/>
        </w:rPr>
        <w:t xml:space="preserve"> na území České republiky</w:t>
      </w:r>
      <w:r w:rsidRPr="00E42B84">
        <w:rPr>
          <w:sz w:val="20"/>
          <w:szCs w:val="20"/>
        </w:rPr>
        <w:t>) a cizince s přiznaným azylem (podle zákona č. 325/1999 Sb., o azylu). Od 1. 5. 2004, v návaznosti na tzv. euronovelu zákona č. 326/1999 Sb., o pobytu cizinců, se údaje týkají občanů zemí EU s přechodným pobytem na území ČR a občanů třet</w:t>
      </w:r>
      <w:r w:rsidR="007E0D31">
        <w:rPr>
          <w:sz w:val="20"/>
          <w:szCs w:val="20"/>
        </w:rPr>
        <w:t>ích zemí s dlouhodobým pobytem.</w:t>
      </w:r>
    </w:p>
    <w:p w:rsidR="00EA4A8E" w:rsidRPr="00E42B84" w:rsidRDefault="00EA4A8E" w:rsidP="00B27A8C">
      <w:pPr>
        <w:pStyle w:val="Zkladntext"/>
        <w:spacing w:before="120" w:after="0"/>
        <w:ind w:firstLine="425"/>
        <w:rPr>
          <w:sz w:val="20"/>
          <w:szCs w:val="20"/>
        </w:rPr>
      </w:pPr>
      <w:r w:rsidRPr="00E42B84">
        <w:rPr>
          <w:sz w:val="20"/>
          <w:szCs w:val="20"/>
        </w:rPr>
        <w:t>Údaje zohledňují rovněž události (sňatky, narození a úmrtí) občanů s trvalým pobytem na území ČR, které nastaly v cizině.</w:t>
      </w:r>
    </w:p>
    <w:p w:rsidR="00EA4A8E" w:rsidRPr="00E42B84" w:rsidRDefault="00EA4A8E" w:rsidP="003542E2">
      <w:pPr>
        <w:pStyle w:val="Zkladntext"/>
        <w:spacing w:before="120" w:after="0"/>
        <w:ind w:firstLine="425"/>
        <w:rPr>
          <w:sz w:val="20"/>
          <w:szCs w:val="20"/>
        </w:rPr>
      </w:pPr>
      <w:r w:rsidRPr="00E42B84">
        <w:rPr>
          <w:sz w:val="20"/>
          <w:szCs w:val="20"/>
        </w:rPr>
        <w:t>Relativní míry jsou definovány na tisíc obyvatel středního stavu, kojenecká úmrtnost jako počet zemřelých do jednoho roku na tisíc živě narozených.</w:t>
      </w:r>
    </w:p>
    <w:p w:rsidR="00EA4A8E" w:rsidRPr="00246B03" w:rsidRDefault="00EA4A8E" w:rsidP="003542E2">
      <w:pPr>
        <w:pStyle w:val="titulek1"/>
        <w:spacing w:before="360" w:after="0"/>
        <w:rPr>
          <w:rFonts w:cs="Arial"/>
          <w:caps/>
        </w:rPr>
      </w:pPr>
      <w:r w:rsidRPr="00E42B84">
        <w:rPr>
          <w:rFonts w:cs="Arial"/>
        </w:rPr>
        <w:tab/>
      </w:r>
      <w:r w:rsidRPr="00246B03">
        <w:rPr>
          <w:rFonts w:cs="Arial"/>
          <w:caps/>
        </w:rPr>
        <w:t>Hrubý domácí produkt</w:t>
      </w:r>
    </w:p>
    <w:p w:rsidR="00525B2B" w:rsidRPr="00E42B84" w:rsidRDefault="00525B2B" w:rsidP="003542E2">
      <w:pPr>
        <w:pStyle w:val="Zkladntext"/>
        <w:spacing w:before="120" w:after="0"/>
        <w:ind w:firstLine="425"/>
        <w:rPr>
          <w:rFonts w:cs="Arial"/>
          <w:sz w:val="20"/>
        </w:rPr>
      </w:pPr>
      <w:r w:rsidRPr="00E42B84">
        <w:rPr>
          <w:rFonts w:cs="Arial"/>
          <w:sz w:val="20"/>
        </w:rPr>
        <w:t xml:space="preserve">Hrubý domácí produkt České republiky jako klíčový ukazatel systému národního účetnictví i hlavní složky výdajů na hrubý domácí produkt jsou vypočteny v souladu s principy Evropského systému národních účtů (ESA </w:t>
      </w:r>
      <w:r>
        <w:rPr>
          <w:rFonts w:cs="Arial"/>
          <w:sz w:val="20"/>
        </w:rPr>
        <w:t>2010</w:t>
      </w:r>
      <w:r w:rsidRPr="00E42B84">
        <w:rPr>
          <w:rFonts w:cs="Arial"/>
          <w:sz w:val="20"/>
        </w:rPr>
        <w:t>).</w:t>
      </w:r>
    </w:p>
    <w:p w:rsidR="00525B2B" w:rsidRPr="00E42B84" w:rsidRDefault="00525B2B" w:rsidP="00B27A8C">
      <w:pPr>
        <w:pStyle w:val="Zkladntext"/>
        <w:spacing w:before="120" w:after="0"/>
        <w:ind w:firstLine="425"/>
        <w:rPr>
          <w:rFonts w:cs="Arial"/>
          <w:sz w:val="20"/>
        </w:rPr>
      </w:pPr>
      <w:r w:rsidRPr="00E42B84">
        <w:rPr>
          <w:rFonts w:cs="Arial"/>
          <w:b/>
          <w:bCs/>
          <w:sz w:val="20"/>
        </w:rPr>
        <w:t>Hrubý domácí produkt</w:t>
      </w:r>
      <w:r w:rsidRPr="00E42B84">
        <w:rPr>
          <w:rFonts w:cs="Arial"/>
        </w:rPr>
        <w:t xml:space="preserve"> </w:t>
      </w:r>
      <w:r w:rsidRPr="00E42B84">
        <w:rPr>
          <w:rFonts w:cs="Arial"/>
          <w:sz w:val="20"/>
        </w:rPr>
        <w:t>představuje souhrn hodnot přidaných zpracováním ve všech odvětvích činností považovaných v systému národního účetnictví za produktiv</w:t>
      </w:r>
      <w:r>
        <w:rPr>
          <w:rFonts w:cs="Arial"/>
          <w:sz w:val="20"/>
        </w:rPr>
        <w:t>ní (tj. včetně služeb tržních i </w:t>
      </w:r>
      <w:r w:rsidRPr="00E42B84">
        <w:rPr>
          <w:rFonts w:cs="Arial"/>
          <w:sz w:val="20"/>
        </w:rPr>
        <w:t>netržních). Jde o propočet v kupních cenách, za které jsou realizovány tržní výkony (tzn. včetně daní z produktů a bez dotací na produkty). U netržních služeb jsou výkony vyjádřeny souhrnem mezispotřeby, náhrad zaměstnancům a spotřeby fixního kapitálu. Prvotní propočet je proveden v běžných cenách, pro potřeby sledování vývoje s vyloučením vli</w:t>
      </w:r>
      <w:r>
        <w:rPr>
          <w:rFonts w:cs="Arial"/>
          <w:sz w:val="20"/>
        </w:rPr>
        <w:t>vu změn cen následuje převod do </w:t>
      </w:r>
      <w:r w:rsidR="007E0D31">
        <w:rPr>
          <w:rFonts w:cs="Arial"/>
          <w:sz w:val="20"/>
        </w:rPr>
        <w:t>stálých cen.</w:t>
      </w:r>
    </w:p>
    <w:p w:rsidR="00525B2B" w:rsidRPr="00E42B84" w:rsidRDefault="00525B2B" w:rsidP="00B27A8C">
      <w:pPr>
        <w:pStyle w:val="Zkladntext"/>
        <w:spacing w:before="120" w:after="0"/>
        <w:ind w:firstLine="425"/>
        <w:rPr>
          <w:rFonts w:cs="Arial"/>
          <w:sz w:val="20"/>
        </w:rPr>
      </w:pPr>
      <w:r w:rsidRPr="00E42B84">
        <w:rPr>
          <w:rFonts w:cs="Arial"/>
          <w:b/>
          <w:bCs/>
          <w:sz w:val="20"/>
        </w:rPr>
        <w:t>Výdaje na konečnou spotřebu domácností</w:t>
      </w:r>
      <w:r w:rsidRPr="00E42B84">
        <w:rPr>
          <w:rFonts w:cs="Arial"/>
          <w:sz w:val="20"/>
        </w:rPr>
        <w:t xml:space="preserve"> zahrnují hodnotu výrobků a služeb užitých domácnostmi pro uspokojení individuálních potřeb, uhrazených z důchodů domácností a pořízených nákupem, dary i formou naturální spotřeby. Nepatří sem však nákupy urč</w:t>
      </w:r>
      <w:r w:rsidR="007E0D31">
        <w:rPr>
          <w:rFonts w:cs="Arial"/>
          <w:sz w:val="20"/>
        </w:rPr>
        <w:t>ené pro podnikatelskou činnost.</w:t>
      </w:r>
    </w:p>
    <w:p w:rsidR="00525B2B" w:rsidRPr="00E42B84" w:rsidRDefault="00525B2B" w:rsidP="003542E2">
      <w:pPr>
        <w:pStyle w:val="Zkladntext"/>
        <w:spacing w:before="120" w:after="0"/>
        <w:ind w:firstLine="425"/>
        <w:rPr>
          <w:rFonts w:cs="Arial"/>
          <w:sz w:val="20"/>
        </w:rPr>
      </w:pPr>
      <w:r w:rsidRPr="00E42B84">
        <w:rPr>
          <w:rFonts w:cs="Arial"/>
          <w:b/>
          <w:bCs/>
          <w:sz w:val="20"/>
        </w:rPr>
        <w:t xml:space="preserve">Výdaje na konečnou spotřebu vlády a neziskových institucí sloužících domácnostem </w:t>
      </w:r>
      <w:r w:rsidRPr="00E42B84">
        <w:rPr>
          <w:rFonts w:cs="Arial"/>
          <w:sz w:val="20"/>
        </w:rPr>
        <w:t>(včetně společenských organizací) představují hodnotu netržních služeb poskytovaných uvedenými institucemi pro uspokojení individuálních a kolektivních potřeb, hrazenou ze státního rozpočtu, rozpočtu obcí a z jiných příspěvků. Vyčísluje se jako rozdíl mezi vý</w:t>
      </w:r>
      <w:r>
        <w:rPr>
          <w:rFonts w:cs="Arial"/>
          <w:sz w:val="20"/>
        </w:rPr>
        <w:t>kony (v pojetí výše popsaném) a </w:t>
      </w:r>
      <w:r w:rsidRPr="00E42B84">
        <w:rPr>
          <w:rFonts w:cs="Arial"/>
          <w:sz w:val="20"/>
        </w:rPr>
        <w:t>příjmy z vlastní činnosti (nepatří sem např. daně, pokuty, poplatky) všech rozpočtových institucí a</w:t>
      </w:r>
      <w:r>
        <w:rPr>
          <w:rFonts w:cs="Arial"/>
          <w:sz w:val="20"/>
        </w:rPr>
        <w:t> </w:t>
      </w:r>
      <w:r w:rsidRPr="00E42B84">
        <w:rPr>
          <w:rFonts w:cs="Arial"/>
          <w:sz w:val="20"/>
        </w:rPr>
        <w:t>většiny příspěvkových organizací poskytujících netržní služby, zdravotních pojišťoven a neziskových institucí sloužících domácnostem. Společnou charakteristikou těchto institucí je, že jejich činnost</w:t>
      </w:r>
      <w:r w:rsidR="007E0D31">
        <w:rPr>
          <w:rFonts w:cs="Arial"/>
          <w:sz w:val="20"/>
        </w:rPr>
        <w:t xml:space="preserve"> není motivována tvorbou zisku.</w:t>
      </w:r>
    </w:p>
    <w:p w:rsidR="00525B2B" w:rsidRPr="00E42B84" w:rsidRDefault="00525B2B" w:rsidP="003542E2">
      <w:pPr>
        <w:pStyle w:val="Zkladntext"/>
        <w:spacing w:before="120" w:after="0"/>
        <w:ind w:firstLine="425"/>
        <w:rPr>
          <w:rFonts w:cs="Arial"/>
          <w:sz w:val="20"/>
        </w:rPr>
      </w:pPr>
      <w:r w:rsidRPr="00E42B84">
        <w:rPr>
          <w:rFonts w:cs="Arial"/>
          <w:b/>
          <w:bCs/>
          <w:sz w:val="20"/>
        </w:rPr>
        <w:t>Tvorba hrubého fixního kapitálu</w:t>
      </w:r>
      <w:r w:rsidRPr="00E42B84">
        <w:rPr>
          <w:rFonts w:cs="Arial"/>
          <w:sz w:val="20"/>
        </w:rPr>
        <w:t xml:space="preserve"> obsahuje hodnotu pořízení hmotného i nehmotného investičního majetku koupeného, převzatého nebo vyrobeného ve vlastní režii, sníženou o jeho prodej a předání. Patří sem i pořízení formou finančního leasingu. Cílem pořízení je vždy využívat tento investiční majetek při produktivní činnosti, nespadají sem předměty dlouhodobé spotřeby pořízené domácnostmi pro</w:t>
      </w:r>
      <w:r w:rsidR="007E0D31">
        <w:rPr>
          <w:rFonts w:cs="Arial"/>
          <w:sz w:val="20"/>
        </w:rPr>
        <w:t xml:space="preserve"> uspokojování konečné spotřeby.</w:t>
      </w:r>
    </w:p>
    <w:p w:rsidR="00525B2B" w:rsidRPr="00E42B84" w:rsidRDefault="00525B2B" w:rsidP="003542E2">
      <w:pPr>
        <w:pStyle w:val="Zkladntext"/>
        <w:spacing w:before="120" w:after="0"/>
        <w:ind w:firstLine="425"/>
        <w:rPr>
          <w:rFonts w:cs="Arial"/>
          <w:sz w:val="20"/>
        </w:rPr>
      </w:pPr>
      <w:r w:rsidRPr="00E42B84">
        <w:rPr>
          <w:rFonts w:cs="Arial"/>
          <w:sz w:val="20"/>
        </w:rPr>
        <w:t xml:space="preserve">Tvorba hrubého kapitálu ve formě </w:t>
      </w:r>
      <w:r w:rsidRPr="00E42B84">
        <w:rPr>
          <w:rFonts w:cs="Arial"/>
          <w:b/>
          <w:bCs/>
          <w:sz w:val="20"/>
        </w:rPr>
        <w:t>změny stavu zásob, rezerv a cenností</w:t>
      </w:r>
      <w:r w:rsidRPr="00E42B84">
        <w:rPr>
          <w:rFonts w:cs="Arial"/>
          <w:sz w:val="20"/>
        </w:rPr>
        <w:t xml:space="preserve"> se určuje jako rozdíl mezi doplňováním a čerpáním těchto zásob.</w:t>
      </w:r>
    </w:p>
    <w:p w:rsidR="00525B2B" w:rsidRPr="00E42B84" w:rsidRDefault="00525B2B" w:rsidP="003542E2">
      <w:pPr>
        <w:pStyle w:val="Zkladntext"/>
        <w:spacing w:before="120" w:after="0"/>
        <w:ind w:firstLine="425"/>
        <w:rPr>
          <w:rFonts w:cs="Arial"/>
          <w:sz w:val="20"/>
        </w:rPr>
      </w:pPr>
      <w:r w:rsidRPr="00E42B84">
        <w:rPr>
          <w:rFonts w:cs="Arial"/>
          <w:b/>
          <w:bCs/>
          <w:sz w:val="20"/>
        </w:rPr>
        <w:lastRenderedPageBreak/>
        <w:t>Vývoz zmenšený o dovoz</w:t>
      </w:r>
      <w:r w:rsidRPr="00E42B84">
        <w:rPr>
          <w:rFonts w:cs="Arial"/>
          <w:sz w:val="20"/>
        </w:rPr>
        <w:t xml:space="preserve"> (netto vývoz) charakterizuje vli</w:t>
      </w:r>
      <w:r>
        <w:rPr>
          <w:rFonts w:cs="Arial"/>
          <w:sz w:val="20"/>
        </w:rPr>
        <w:t>v zahraničního obchodu zbožím a </w:t>
      </w:r>
      <w:r w:rsidRPr="00E42B84">
        <w:rPr>
          <w:rFonts w:cs="Arial"/>
          <w:sz w:val="20"/>
        </w:rPr>
        <w:t>službami na možnosti užití produkce rezidenty. Vývoz i dovoz zboží je zachycen v národním pojetí zahrnujícím pouze transakce rezidentů s nerezidenty. Jeho zjištěn</w:t>
      </w:r>
      <w:r>
        <w:rPr>
          <w:rFonts w:cs="Arial"/>
          <w:sz w:val="20"/>
        </w:rPr>
        <w:t>í se opírá zejména o výstupy ze </w:t>
      </w:r>
      <w:r w:rsidRPr="00E42B84">
        <w:rPr>
          <w:rFonts w:cs="Arial"/>
          <w:sz w:val="20"/>
        </w:rPr>
        <w:t>statistického šetření vývozu a dovozu zboží ve vztahu k členským zemím EU (v systému Intrastat) a vyčerpávajícího sledování k ostatním zemím (celní deklarace). Údaje o příjme</w:t>
      </w:r>
      <w:r>
        <w:rPr>
          <w:rFonts w:cs="Arial"/>
          <w:sz w:val="20"/>
        </w:rPr>
        <w:t>ch a výdajích za </w:t>
      </w:r>
      <w:r w:rsidRPr="00E42B84">
        <w:rPr>
          <w:rFonts w:cs="Arial"/>
          <w:sz w:val="20"/>
        </w:rPr>
        <w:t>služby jsou získávány ze statistického šetření a z platební bilance.</w:t>
      </w:r>
    </w:p>
    <w:p w:rsidR="00EA4A8E" w:rsidRPr="00246B03" w:rsidRDefault="00EA4A8E" w:rsidP="003542E2">
      <w:pPr>
        <w:pStyle w:val="titulek1"/>
        <w:spacing w:before="360" w:after="0"/>
        <w:rPr>
          <w:rFonts w:cs="Arial"/>
          <w:caps/>
        </w:rPr>
      </w:pPr>
      <w:r w:rsidRPr="00246B03">
        <w:rPr>
          <w:rFonts w:cs="Arial"/>
          <w:caps/>
        </w:rPr>
        <w:t>Pokladní plnění státního rozpočtu</w:t>
      </w:r>
    </w:p>
    <w:p w:rsidR="00EA4A8E" w:rsidRPr="00E42B84" w:rsidRDefault="00EA4A8E" w:rsidP="003542E2">
      <w:pPr>
        <w:pStyle w:val="Zkladntext"/>
        <w:spacing w:before="120" w:after="0"/>
        <w:ind w:firstLine="425"/>
        <w:rPr>
          <w:rFonts w:cs="Arial"/>
          <w:sz w:val="20"/>
        </w:rPr>
      </w:pPr>
      <w:r w:rsidRPr="00E42B84">
        <w:rPr>
          <w:rFonts w:cs="Arial"/>
          <w:sz w:val="20"/>
        </w:rPr>
        <w:t>Uvedeny jsou pouze ukazatele příjmy celkem, výdaje celkem a přebytek (schodek) státního rozpočtu, a to v metodice a cenách jednotlivých sledovaných let. Je uváděna hodnota rozpočtu příjmů a výdajů platná ke konci období. V ročních údajích je uváděn konečný platný roční rozpočet.</w:t>
      </w:r>
    </w:p>
    <w:p w:rsidR="00EA4A8E" w:rsidRPr="00246B03" w:rsidRDefault="00EA4A8E" w:rsidP="003542E2">
      <w:pPr>
        <w:pStyle w:val="titulek1"/>
        <w:spacing w:before="360" w:after="0"/>
        <w:rPr>
          <w:rFonts w:cs="Arial"/>
          <w:caps/>
        </w:rPr>
      </w:pPr>
      <w:r w:rsidRPr="00246B03">
        <w:rPr>
          <w:rFonts w:cs="Arial"/>
          <w:caps/>
        </w:rPr>
        <w:t>Stav vkladů a půjček domácností</w:t>
      </w:r>
      <w:r w:rsidRPr="00246B03">
        <w:rPr>
          <w:rFonts w:cs="Arial"/>
          <w:caps/>
          <w:sz w:val="22"/>
        </w:rPr>
        <w:t xml:space="preserve"> </w:t>
      </w:r>
      <w:r w:rsidRPr="00246B03">
        <w:rPr>
          <w:rFonts w:cs="Arial"/>
          <w:caps/>
        </w:rPr>
        <w:t>celkem</w:t>
      </w:r>
    </w:p>
    <w:p w:rsidR="00637C23" w:rsidRPr="00C17B63" w:rsidRDefault="00637C23" w:rsidP="003542E2">
      <w:pPr>
        <w:pStyle w:val="Zkladntext"/>
        <w:spacing w:before="120" w:after="0"/>
        <w:ind w:firstLine="425"/>
        <w:rPr>
          <w:rFonts w:cs="Arial"/>
          <w:sz w:val="20"/>
        </w:rPr>
      </w:pPr>
      <w:r w:rsidRPr="00C17B63">
        <w:rPr>
          <w:rFonts w:cs="Arial"/>
          <w:b/>
          <w:sz w:val="20"/>
        </w:rPr>
        <w:t>Vklady a půjčky domácností</w:t>
      </w:r>
      <w:r w:rsidRPr="00C17B63">
        <w:rPr>
          <w:rFonts w:cs="Arial"/>
          <w:sz w:val="20"/>
        </w:rPr>
        <w:t xml:space="preserve"> u rezidentských peněžních ústavů obsahují údaje (v národní a cizí měně) za sektor domácností, tj. za jednotlivé občany a drobné podnikatele nezapsané v obchodním rejstříku. Zdrojem informací jsou údaje </w:t>
      </w:r>
      <w:r>
        <w:rPr>
          <w:rFonts w:cs="Arial"/>
          <w:sz w:val="20"/>
        </w:rPr>
        <w:t>z databáze České národní banky (</w:t>
      </w:r>
      <w:r w:rsidRPr="00C17B63">
        <w:rPr>
          <w:rFonts w:cs="Arial"/>
          <w:sz w:val="20"/>
        </w:rPr>
        <w:t>ČNB</w:t>
      </w:r>
      <w:r>
        <w:rPr>
          <w:rFonts w:cs="Arial"/>
          <w:sz w:val="20"/>
        </w:rPr>
        <w:t>)</w:t>
      </w:r>
      <w:r w:rsidRPr="00C17B63">
        <w:rPr>
          <w:rFonts w:cs="Arial"/>
          <w:sz w:val="20"/>
        </w:rPr>
        <w:t>.</w:t>
      </w:r>
    </w:p>
    <w:p w:rsidR="00EA4A8E" w:rsidRPr="00246B03" w:rsidRDefault="00EA4A8E" w:rsidP="003542E2">
      <w:pPr>
        <w:pStyle w:val="titulek1"/>
        <w:spacing w:before="360" w:after="0"/>
        <w:rPr>
          <w:rFonts w:cs="Arial"/>
          <w:caps/>
        </w:rPr>
      </w:pPr>
      <w:r w:rsidRPr="00246B03">
        <w:rPr>
          <w:rFonts w:cs="Arial"/>
          <w:caps/>
        </w:rPr>
        <w:t>Indexy cen výrobců</w:t>
      </w:r>
    </w:p>
    <w:p w:rsidR="00EA4A8E" w:rsidRPr="00E42B84" w:rsidRDefault="00EA4A8E" w:rsidP="003542E2">
      <w:pPr>
        <w:autoSpaceDE w:val="0"/>
        <w:autoSpaceDN w:val="0"/>
        <w:adjustRightInd w:val="0"/>
        <w:spacing w:before="120"/>
        <w:ind w:firstLine="425"/>
        <w:jc w:val="both"/>
        <w:rPr>
          <w:rFonts w:ascii="Arial" w:hAnsi="Arial" w:cs="Arial"/>
          <w:bCs/>
          <w:sz w:val="20"/>
          <w:szCs w:val="20"/>
        </w:rPr>
      </w:pPr>
      <w:r w:rsidRPr="00E42B84">
        <w:rPr>
          <w:rFonts w:ascii="Arial" w:hAnsi="Arial" w:cs="Arial"/>
          <w:bCs/>
          <w:sz w:val="20"/>
          <w:szCs w:val="20"/>
        </w:rPr>
        <w:t>Od ledna 2009 jsou cenové indexy průmyslových výrobců a tržních služeb sestavovány, počítány a publikovány</w:t>
      </w:r>
      <w:r w:rsidRPr="00E42B84">
        <w:rPr>
          <w:rFonts w:ascii="Arial" w:hAnsi="Arial" w:cs="Arial"/>
          <w:b/>
          <w:bCs/>
          <w:sz w:val="20"/>
          <w:szCs w:val="20"/>
        </w:rPr>
        <w:t xml:space="preserve"> </w:t>
      </w:r>
      <w:r w:rsidRPr="00E42B84">
        <w:rPr>
          <w:rFonts w:ascii="Arial" w:hAnsi="Arial" w:cs="Arial"/>
          <w:bCs/>
          <w:sz w:val="20"/>
          <w:szCs w:val="20"/>
        </w:rPr>
        <w:t>v Klasifikaci produkce CZ-CPA. Vyčerpávající informace o nové klasifikaci jsou uvedeny na webových stránkách ČSÚ pod odkazem:</w:t>
      </w:r>
    </w:p>
    <w:p w:rsidR="00EA4A8E" w:rsidRPr="00E42B84" w:rsidRDefault="00C7783E" w:rsidP="003542E2">
      <w:pPr>
        <w:autoSpaceDE w:val="0"/>
        <w:autoSpaceDN w:val="0"/>
        <w:adjustRightInd w:val="0"/>
        <w:spacing w:before="120"/>
        <w:ind w:firstLine="425"/>
        <w:jc w:val="center"/>
        <w:rPr>
          <w:rFonts w:ascii="Arial" w:hAnsi="Arial" w:cs="Arial"/>
          <w:b/>
          <w:bCs/>
          <w:sz w:val="20"/>
        </w:rPr>
      </w:pPr>
      <w:r>
        <w:rPr>
          <w:rFonts w:ascii="Arial" w:hAnsi="Arial" w:cs="Arial"/>
          <w:b/>
          <w:bCs/>
          <w:sz w:val="20"/>
          <w:szCs w:val="20"/>
        </w:rPr>
        <w:t>www.</w:t>
      </w:r>
      <w:r w:rsidR="00A12D60">
        <w:rPr>
          <w:rFonts w:ascii="Arial" w:hAnsi="Arial" w:cs="Arial"/>
          <w:b/>
          <w:bCs/>
          <w:sz w:val="20"/>
          <w:szCs w:val="20"/>
        </w:rPr>
        <w:t>czso.cz/csu/czso/klasifikace</w:t>
      </w:r>
    </w:p>
    <w:p w:rsidR="00EA4A8E" w:rsidRPr="00E42B84" w:rsidRDefault="00EA4A8E" w:rsidP="003542E2">
      <w:pPr>
        <w:pStyle w:val="Zkladntext2"/>
        <w:spacing w:before="120" w:after="0"/>
        <w:ind w:firstLine="425"/>
        <w:rPr>
          <w:rFonts w:ascii="Arial" w:hAnsi="Arial" w:cs="Arial"/>
          <w:sz w:val="20"/>
        </w:rPr>
      </w:pPr>
      <w:r w:rsidRPr="00E42B84">
        <w:rPr>
          <w:rFonts w:ascii="Arial" w:hAnsi="Arial" w:cs="Arial"/>
          <w:sz w:val="20"/>
        </w:rPr>
        <w:t xml:space="preserve">Cenové indexy jsou počítány na základě cen za výběrové soubory reprezentantů do úhrnu pomocí výpočetního vzorce typu Laspeyres. Pro výpočet se používají váhy základního období </w:t>
      </w:r>
      <w:r w:rsidR="0008330A">
        <w:rPr>
          <w:rFonts w:ascii="Arial" w:hAnsi="Arial" w:cs="Arial"/>
          <w:sz w:val="20"/>
        </w:rPr>
        <w:br/>
      </w:r>
      <w:r w:rsidRPr="00E42B84">
        <w:rPr>
          <w:rFonts w:ascii="Arial" w:hAnsi="Arial" w:cs="Arial"/>
          <w:sz w:val="20"/>
        </w:rPr>
        <w:t xml:space="preserve">(t.j. roční </w:t>
      </w:r>
      <w:r w:rsidR="007E0D31">
        <w:rPr>
          <w:rFonts w:ascii="Arial" w:hAnsi="Arial" w:cs="Arial"/>
          <w:sz w:val="20"/>
        </w:rPr>
        <w:t>struktura tržeb, výnosů apod.).</w:t>
      </w:r>
    </w:p>
    <w:p w:rsidR="00EA4A8E" w:rsidRPr="00E42B84" w:rsidRDefault="00EA4A8E" w:rsidP="003542E2">
      <w:pPr>
        <w:pStyle w:val="Zkladntext2"/>
        <w:spacing w:before="120" w:after="0"/>
        <w:jc w:val="center"/>
        <w:rPr>
          <w:rFonts w:ascii="Arial" w:hAnsi="Arial" w:cs="Arial"/>
          <w:sz w:val="20"/>
        </w:rPr>
      </w:pPr>
      <w:r w:rsidRPr="00E42B84">
        <w:rPr>
          <w:rFonts w:ascii="Arial" w:hAnsi="Arial" w:cs="Arial"/>
          <w:position w:val="-30"/>
          <w:sz w:val="20"/>
        </w:rPr>
        <w:object w:dxaOrig="210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3.4pt" o:ole="">
            <v:imagedata r:id="rId8" o:title=""/>
          </v:shape>
          <o:OLEObject Type="Embed" ProgID="Equation.3" ShapeID="_x0000_i1025" DrawAspect="Content" ObjectID="_1511765715" r:id="rId9"/>
        </w:object>
      </w:r>
    </w:p>
    <w:p w:rsidR="00EA4A8E" w:rsidRPr="00E42B84" w:rsidRDefault="00EA4A8E" w:rsidP="003542E2">
      <w:pPr>
        <w:spacing w:before="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1</w:t>
      </w:r>
      <w:r w:rsidRPr="00E42B84">
        <w:rPr>
          <w:rFonts w:ascii="Arial" w:hAnsi="Arial" w:cs="Arial"/>
          <w:iCs/>
          <w:sz w:val="20"/>
          <w:szCs w:val="20"/>
        </w:rPr>
        <w:tab/>
      </w:r>
      <w:r w:rsidRPr="00E42B84">
        <w:rPr>
          <w:rFonts w:ascii="Arial" w:hAnsi="Arial" w:cs="Arial"/>
          <w:iCs/>
          <w:sz w:val="20"/>
          <w:szCs w:val="20"/>
        </w:rPr>
        <w:tab/>
        <w:t>cena ve sledovaném období</w:t>
      </w:r>
    </w:p>
    <w:p w:rsidR="00EA4A8E" w:rsidRPr="00E42B84" w:rsidRDefault="00EA4A8E" w:rsidP="003542E2">
      <w:pPr>
        <w:spacing w:before="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0</w:t>
      </w:r>
      <w:r w:rsidRPr="00E42B84">
        <w:rPr>
          <w:rFonts w:ascii="Arial" w:hAnsi="Arial" w:cs="Arial"/>
          <w:iCs/>
          <w:sz w:val="20"/>
          <w:szCs w:val="20"/>
        </w:rPr>
        <w:tab/>
      </w:r>
      <w:r w:rsidRPr="00E42B84">
        <w:rPr>
          <w:rFonts w:ascii="Arial" w:hAnsi="Arial" w:cs="Arial"/>
          <w:iCs/>
          <w:sz w:val="20"/>
          <w:szCs w:val="20"/>
        </w:rPr>
        <w:tab/>
        <w:t>cena v základním období</w:t>
      </w:r>
    </w:p>
    <w:p w:rsidR="00EA4A8E" w:rsidRPr="00E42B84" w:rsidRDefault="00EA4A8E" w:rsidP="003542E2">
      <w:pPr>
        <w:spacing w:before="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0</w:t>
      </w:r>
      <w:r w:rsidRPr="00E42B84">
        <w:rPr>
          <w:rFonts w:ascii="Arial" w:hAnsi="Arial" w:cs="Arial"/>
          <w:iCs/>
          <w:sz w:val="20"/>
          <w:szCs w:val="20"/>
        </w:rPr>
        <w:t>.q</w:t>
      </w:r>
      <w:r w:rsidRPr="00E42B84">
        <w:rPr>
          <w:rFonts w:ascii="Arial" w:hAnsi="Arial" w:cs="Arial"/>
          <w:iCs/>
          <w:sz w:val="20"/>
          <w:szCs w:val="20"/>
          <w:vertAlign w:val="subscript"/>
        </w:rPr>
        <w:t>0</w:t>
      </w:r>
      <w:r w:rsidRPr="00E42B84">
        <w:rPr>
          <w:rFonts w:ascii="Arial" w:hAnsi="Arial" w:cs="Arial"/>
          <w:iCs/>
          <w:sz w:val="20"/>
          <w:szCs w:val="20"/>
        </w:rPr>
        <w:tab/>
        <w:t>stálá váha – hodnotový ukazatel základního období (tržby, výnosy apod.)</w:t>
      </w:r>
    </w:p>
    <w:p w:rsidR="00EA4A8E" w:rsidRPr="00E42B84" w:rsidRDefault="00EA4A8E" w:rsidP="003542E2">
      <w:pPr>
        <w:pStyle w:val="Zkladntext2"/>
        <w:spacing w:before="120" w:after="0"/>
        <w:rPr>
          <w:rFonts w:ascii="Arial" w:hAnsi="Arial" w:cs="Arial"/>
          <w:sz w:val="20"/>
        </w:rPr>
      </w:pPr>
      <w:r w:rsidRPr="00E42B84">
        <w:rPr>
          <w:rFonts w:ascii="Arial" w:hAnsi="Arial" w:cs="Arial"/>
          <w:sz w:val="20"/>
        </w:rPr>
        <w:tab/>
      </w:r>
      <w:r w:rsidRPr="00E42B84">
        <w:rPr>
          <w:rFonts w:ascii="Arial" w:hAnsi="Arial" w:cs="Arial"/>
          <w:sz w:val="20"/>
        </w:rPr>
        <w:tab/>
        <w:t>Základem publikovaných indexů po provedené standardní revizi v roce 2006 jsou průměrné ceny za rok 2005. Stálou váhou indexů je roční struktura tržeb resp. roční pojistné, roční výnosy za fin</w:t>
      </w:r>
      <w:r w:rsidR="007E0D31">
        <w:rPr>
          <w:rFonts w:ascii="Arial" w:hAnsi="Arial" w:cs="Arial"/>
          <w:sz w:val="20"/>
        </w:rPr>
        <w:t>anční služby apod. za rok 2005.</w:t>
      </w:r>
    </w:p>
    <w:p w:rsidR="00EA4A8E" w:rsidRPr="00E42B84" w:rsidRDefault="00EA4A8E" w:rsidP="003542E2">
      <w:pPr>
        <w:pStyle w:val="Zkladntext2"/>
        <w:spacing w:before="120" w:after="0"/>
        <w:rPr>
          <w:rFonts w:ascii="Arial" w:hAnsi="Arial" w:cs="Arial"/>
          <w:sz w:val="20"/>
        </w:rPr>
      </w:pPr>
      <w:r w:rsidRPr="00E42B84">
        <w:rPr>
          <w:rFonts w:ascii="Arial" w:hAnsi="Arial" w:cs="Arial"/>
          <w:sz w:val="20"/>
        </w:rPr>
        <w:tab/>
      </w:r>
      <w:r w:rsidRPr="00E42B84">
        <w:rPr>
          <w:rFonts w:ascii="Arial" w:hAnsi="Arial" w:cs="Arial"/>
          <w:sz w:val="20"/>
        </w:rPr>
        <w:tab/>
        <w:t>Ceny, které jsou předmětem statistických zjišťování, jsou cenami převážně realizačními, smluvními (bez vlastní spotřeby), určené výhradně pro tuzemský trh (pro podnikovou sféru). Zjišťované ceny jsou očištěny od daně z přidané hodnoty.</w:t>
      </w:r>
    </w:p>
    <w:p w:rsidR="00EA4A8E" w:rsidRPr="00E42B84" w:rsidRDefault="00EA4A8E" w:rsidP="003542E2">
      <w:pPr>
        <w:pStyle w:val="Nadpis1"/>
        <w:spacing w:before="120"/>
        <w:jc w:val="both"/>
        <w:rPr>
          <w:rFonts w:ascii="Arial" w:hAnsi="Arial" w:cs="Arial"/>
          <w:sz w:val="20"/>
        </w:rPr>
      </w:pPr>
      <w:r w:rsidRPr="00E42B84">
        <w:rPr>
          <w:rFonts w:ascii="Arial" w:hAnsi="Arial" w:cs="Arial"/>
          <w:sz w:val="20"/>
        </w:rPr>
        <w:t>Index cen zemědělských výrobců</w:t>
      </w:r>
    </w:p>
    <w:p w:rsidR="00EA4A8E" w:rsidRPr="00E42B84" w:rsidRDefault="00EA4A8E" w:rsidP="003542E2">
      <w:pPr>
        <w:spacing w:before="120"/>
        <w:ind w:firstLine="425"/>
        <w:jc w:val="both"/>
        <w:rPr>
          <w:rFonts w:ascii="Arial" w:hAnsi="Arial" w:cs="Arial"/>
          <w:b/>
          <w:sz w:val="20"/>
          <w:szCs w:val="20"/>
        </w:rPr>
      </w:pPr>
      <w:r w:rsidRPr="00E42B84">
        <w:rPr>
          <w:rFonts w:ascii="Arial" w:hAnsi="Arial" w:cs="Arial"/>
          <w:b/>
          <w:sz w:val="20"/>
          <w:szCs w:val="20"/>
        </w:rPr>
        <w:t>V průběhu roku 2012</w:t>
      </w:r>
      <w:r w:rsidRPr="00E42B84">
        <w:rPr>
          <w:rFonts w:ascii="Arial" w:hAnsi="Arial" w:cs="Arial"/>
          <w:sz w:val="20"/>
          <w:szCs w:val="20"/>
        </w:rPr>
        <w:t xml:space="preserve"> byl podroben index cen zemědělských výrobců </w:t>
      </w:r>
      <w:r w:rsidRPr="00E42B84">
        <w:rPr>
          <w:rFonts w:ascii="Arial" w:hAnsi="Arial" w:cs="Arial"/>
          <w:b/>
          <w:sz w:val="20"/>
          <w:szCs w:val="20"/>
        </w:rPr>
        <w:t xml:space="preserve">standardní komplexní revizi. </w:t>
      </w:r>
      <w:r w:rsidRPr="00E42B84">
        <w:rPr>
          <w:rFonts w:ascii="Arial" w:hAnsi="Arial" w:cs="Arial"/>
          <w:sz w:val="20"/>
          <w:szCs w:val="20"/>
        </w:rPr>
        <w:t>V rámci této revize byl revidován výběr reprezentantů a respondentů, byl stanoven nový cenový a indexní základ a zavedena nová váhová struktura na bázi struktury tržeb za zemědělskou produkci v jednotlivých měsících.</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 xml:space="preserve">Cenové indexy zemědělských výrobců jsou </w:t>
      </w:r>
      <w:r w:rsidRPr="00E42B84">
        <w:rPr>
          <w:rFonts w:ascii="Arial" w:hAnsi="Arial" w:cs="Arial"/>
          <w:b/>
          <w:sz w:val="20"/>
          <w:szCs w:val="20"/>
        </w:rPr>
        <w:t>od ledna 2013</w:t>
      </w:r>
      <w:r w:rsidRPr="00E42B84">
        <w:rPr>
          <w:rFonts w:ascii="Arial" w:hAnsi="Arial" w:cs="Arial"/>
          <w:sz w:val="20"/>
          <w:szCs w:val="20"/>
        </w:rPr>
        <w:t xml:space="preserve"> počítány na nových váhových schématech odvozených od průměru tržeb za roky 2009, 2010 a 2011. Indexy jsou počítány k novému základu </w:t>
      </w:r>
      <w:r w:rsidRPr="00E42B84">
        <w:rPr>
          <w:rFonts w:ascii="Arial" w:hAnsi="Arial" w:cs="Arial"/>
          <w:b/>
          <w:sz w:val="20"/>
          <w:szCs w:val="20"/>
        </w:rPr>
        <w:t>průměr roku 2010 = 100</w:t>
      </w:r>
      <w:r w:rsidR="007E0D31">
        <w:rPr>
          <w:rFonts w:ascii="Arial" w:hAnsi="Arial" w:cs="Arial"/>
          <w:sz w:val="20"/>
          <w:szCs w:val="20"/>
        </w:rPr>
        <w:t>.</w:t>
      </w:r>
    </w:p>
    <w:p w:rsidR="00EA4A8E" w:rsidRPr="00E42B84" w:rsidRDefault="00EA4A8E" w:rsidP="003542E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425"/>
        <w:jc w:val="both"/>
        <w:rPr>
          <w:rFonts w:ascii="Arial" w:hAnsi="Arial" w:cs="Arial"/>
          <w:sz w:val="20"/>
          <w:szCs w:val="20"/>
        </w:rPr>
      </w:pPr>
      <w:r w:rsidRPr="00E42B84">
        <w:rPr>
          <w:rFonts w:ascii="Arial" w:hAnsi="Arial" w:cs="Arial"/>
          <w:sz w:val="20"/>
          <w:szCs w:val="20"/>
        </w:rPr>
        <w:t>Váhové podíly zemědělských sezónních a nesezónních komodit se v různých měsících roku od sebe navzájem liší, proto bylo ve výpočtu indexu použito dvourozměrného, váhového schématu ve tvaru matice. Jeden rozměr je určen pro vertikální agregaci od úrovně reprezentantů až po nejvyšší úroveň, druhý rozměr je pro 12 měsíců v roce. Nominálnímu součtu 1000 je pak roven součet vah nejvyšší agregace „Zemědělské výroba vče</w:t>
      </w:r>
      <w:r w:rsidR="007E0D31">
        <w:rPr>
          <w:rFonts w:ascii="Arial" w:hAnsi="Arial" w:cs="Arial"/>
          <w:sz w:val="20"/>
          <w:szCs w:val="20"/>
        </w:rPr>
        <w:t>tně ryb“ za každý měsíc v roce.</w:t>
      </w:r>
    </w:p>
    <w:p w:rsidR="00EA4A8E" w:rsidRPr="003542E2" w:rsidRDefault="00EA4A8E" w:rsidP="003542E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425"/>
        <w:jc w:val="both"/>
        <w:rPr>
          <w:rFonts w:ascii="Arial" w:hAnsi="Arial" w:cs="Arial"/>
          <w:b/>
          <w:sz w:val="20"/>
          <w:szCs w:val="20"/>
        </w:rPr>
      </w:pPr>
      <w:r w:rsidRPr="00E42B84">
        <w:rPr>
          <w:rFonts w:ascii="Arial" w:hAnsi="Arial" w:cs="Arial"/>
          <w:b/>
          <w:sz w:val="20"/>
          <w:szCs w:val="20"/>
        </w:rPr>
        <w:lastRenderedPageBreak/>
        <w:t>Od ledna 2013 se tudíž využívá proměnlivých měsíčních vah pro výpočet indexu ce</w:t>
      </w:r>
      <w:r w:rsidR="003542E2">
        <w:rPr>
          <w:rFonts w:ascii="Arial" w:hAnsi="Arial" w:cs="Arial"/>
          <w:b/>
          <w:sz w:val="20"/>
          <w:szCs w:val="20"/>
        </w:rPr>
        <w:t>n zemědělských výrobců.</w:t>
      </w:r>
    </w:p>
    <w:p w:rsidR="00EA4A8E" w:rsidRPr="00E42B84" w:rsidRDefault="00EA4A8E" w:rsidP="00EA4A8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rPr>
          <w:rFonts w:ascii="Arial" w:hAnsi="Arial" w:cs="Arial"/>
          <w:sz w:val="20"/>
          <w:szCs w:val="20"/>
        </w:rPr>
      </w:pPr>
      <w:r w:rsidRPr="00E42B84">
        <w:rPr>
          <w:rFonts w:ascii="Arial" w:hAnsi="Arial" w:cs="Arial"/>
          <w:b/>
          <w:sz w:val="20"/>
          <w:szCs w:val="20"/>
        </w:rPr>
        <w:t>Indexy</w:t>
      </w:r>
      <w:r w:rsidRPr="00E42B84">
        <w:rPr>
          <w:rFonts w:ascii="Arial" w:hAnsi="Arial" w:cs="Arial"/>
          <w:sz w:val="20"/>
          <w:szCs w:val="20"/>
        </w:rPr>
        <w:t xml:space="preserve"> cen zemědělských výrobců jsou počítány na základě zjišťování ze 71 základních zemědělských výrobků (cenových reprezentantů), z toho je 55 rostlinných, včetně ovoce a zeleniny, </w:t>
      </w:r>
      <w:r w:rsidR="009671CA">
        <w:rPr>
          <w:rFonts w:ascii="Arial" w:hAnsi="Arial" w:cs="Arial"/>
          <w:sz w:val="20"/>
          <w:szCs w:val="20"/>
        </w:rPr>
        <w:t>a </w:t>
      </w:r>
      <w:r w:rsidRPr="00E42B84">
        <w:rPr>
          <w:rFonts w:ascii="Arial" w:hAnsi="Arial" w:cs="Arial"/>
          <w:sz w:val="20"/>
          <w:szCs w:val="20"/>
        </w:rPr>
        <w:t xml:space="preserve">16 živočišných výrobků. Dále se sledují ceny dalších 40 reprezentantů, které do výpočtu indexů nevstupují. </w:t>
      </w:r>
      <w:r w:rsidR="007E0D31">
        <w:rPr>
          <w:rFonts w:ascii="Arial" w:hAnsi="Arial" w:cs="Arial"/>
          <w:sz w:val="20"/>
          <w:szCs w:val="20"/>
        </w:rPr>
        <w:t>Publikují se pouze jejich ceny.</w:t>
      </w:r>
    </w:p>
    <w:p w:rsidR="00EA4A8E" w:rsidRPr="00E42B84" w:rsidRDefault="00EA4A8E" w:rsidP="003542E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425"/>
        <w:jc w:val="both"/>
        <w:rPr>
          <w:rFonts w:ascii="Arial" w:hAnsi="Arial" w:cs="Arial"/>
          <w:sz w:val="20"/>
          <w:szCs w:val="20"/>
        </w:rPr>
      </w:pPr>
      <w:r w:rsidRPr="00E42B84">
        <w:rPr>
          <w:rFonts w:ascii="Arial" w:hAnsi="Arial" w:cs="Arial"/>
          <w:b/>
          <w:sz w:val="20"/>
          <w:szCs w:val="20"/>
        </w:rPr>
        <w:t>Ceny</w:t>
      </w:r>
      <w:r w:rsidRPr="00E42B84">
        <w:rPr>
          <w:rFonts w:ascii="Arial" w:hAnsi="Arial" w:cs="Arial"/>
          <w:sz w:val="20"/>
          <w:szCs w:val="20"/>
        </w:rPr>
        <w:t xml:space="preserve"> jsou zjišťovány prostřednictvím státního statistického výkazu </w:t>
      </w:r>
      <w:r w:rsidR="005354F9">
        <w:rPr>
          <w:rFonts w:ascii="Arial" w:hAnsi="Arial" w:cs="Arial"/>
          <w:b/>
          <w:sz w:val="20"/>
          <w:szCs w:val="20"/>
        </w:rPr>
        <w:t>Ceny Zem 1-</w:t>
      </w:r>
      <w:r w:rsidRPr="00E42B84">
        <w:rPr>
          <w:rFonts w:ascii="Arial" w:hAnsi="Arial" w:cs="Arial"/>
          <w:b/>
          <w:sz w:val="20"/>
          <w:szCs w:val="20"/>
        </w:rPr>
        <w:t>12</w:t>
      </w:r>
      <w:r w:rsidRPr="00E42B84">
        <w:rPr>
          <w:rFonts w:ascii="Arial" w:hAnsi="Arial" w:cs="Arial"/>
          <w:sz w:val="20"/>
          <w:szCs w:val="20"/>
        </w:rPr>
        <w:t xml:space="preserve"> u cca </w:t>
      </w:r>
      <w:r w:rsidR="00D559A3">
        <w:rPr>
          <w:rFonts w:ascii="Arial" w:hAnsi="Arial" w:cs="Arial"/>
          <w:sz w:val="20"/>
          <w:szCs w:val="20"/>
        </w:rPr>
        <w:t>500</w:t>
      </w:r>
      <w:r w:rsidR="009671CA">
        <w:rPr>
          <w:rFonts w:ascii="Arial" w:hAnsi="Arial" w:cs="Arial"/>
          <w:sz w:val="20"/>
          <w:szCs w:val="20"/>
        </w:rPr>
        <w:t> </w:t>
      </w:r>
      <w:r w:rsidRPr="00E42B84">
        <w:rPr>
          <w:rFonts w:ascii="Arial" w:hAnsi="Arial" w:cs="Arial"/>
          <w:sz w:val="20"/>
          <w:szCs w:val="20"/>
        </w:rPr>
        <w:t>vybraných výrobců v zemědělství (u družstevních, soukromých a státních organizací). Ceny jsou očištěny od daně z přidané hodnoty. Zjišťovány jsou realizační, smluvní ceny (bez vlastní spotřeby), určené pro tuzemský i zahraniční trh bez dopravních nákladů spoj</w:t>
      </w:r>
      <w:r w:rsidR="007E0D31">
        <w:rPr>
          <w:rFonts w:ascii="Arial" w:hAnsi="Arial" w:cs="Arial"/>
          <w:sz w:val="20"/>
          <w:szCs w:val="20"/>
        </w:rPr>
        <w:t>ených s přepravou k odběrateli.</w:t>
      </w:r>
    </w:p>
    <w:p w:rsidR="00EA4A8E" w:rsidRPr="00E42B84" w:rsidRDefault="00EA4A8E" w:rsidP="003542E2">
      <w:pPr>
        <w:pStyle w:val="titulek2"/>
        <w:spacing w:before="120" w:after="0"/>
        <w:rPr>
          <w:rFonts w:cs="Arial"/>
          <w:sz w:val="20"/>
        </w:rPr>
      </w:pPr>
      <w:r w:rsidRPr="00E42B84">
        <w:rPr>
          <w:rFonts w:cs="Arial"/>
          <w:sz w:val="20"/>
        </w:rPr>
        <w:t>Indexy cen průmyslových výrobců</w:t>
      </w:r>
    </w:p>
    <w:p w:rsidR="00EA4A8E" w:rsidRPr="00E42B84" w:rsidRDefault="00EA4A8E" w:rsidP="003542E2">
      <w:pPr>
        <w:pStyle w:val="Zkladntext"/>
        <w:spacing w:before="120" w:after="0"/>
        <w:ind w:firstLine="425"/>
        <w:rPr>
          <w:rFonts w:cs="Arial"/>
          <w:sz w:val="20"/>
        </w:rPr>
      </w:pPr>
      <w:r w:rsidRPr="00E42B84">
        <w:rPr>
          <w:rFonts w:cs="Arial"/>
          <w:b/>
          <w:bCs/>
          <w:sz w:val="20"/>
        </w:rPr>
        <w:t xml:space="preserve">Ceny průmyslových výrobců </w:t>
      </w:r>
      <w:r w:rsidRPr="00E42B84">
        <w:rPr>
          <w:rFonts w:cs="Arial"/>
          <w:sz w:val="20"/>
        </w:rPr>
        <w:t>jsou zjišťovány měsíčně na základě údajů z vybraných organizací (cca 1 100) za vybrané reprezentanty (cca 4 600). Vykazované ceny jsou ceny sjednané mezi dodavatelem a odběratelem v tuzemsku bez DPH a spotřební daně (bez nákladů na dopravu k zákazníkovi a nákladů s ní spojených) fakturované za významnější obchodní případy.</w:t>
      </w:r>
    </w:p>
    <w:p w:rsidR="00EA4A8E" w:rsidRPr="00E42B84" w:rsidRDefault="00EA4A8E" w:rsidP="003542E2">
      <w:pPr>
        <w:pStyle w:val="Zkladntext"/>
        <w:spacing w:before="120" w:after="0"/>
        <w:ind w:firstLine="425"/>
        <w:rPr>
          <w:rFonts w:cs="Arial"/>
          <w:sz w:val="20"/>
        </w:rPr>
      </w:pPr>
      <w:r w:rsidRPr="00E42B84">
        <w:rPr>
          <w:rFonts w:cs="Arial"/>
          <w:sz w:val="20"/>
        </w:rPr>
        <w:t>Z</w:t>
      </w:r>
      <w:r w:rsidR="00E65FDF">
        <w:rPr>
          <w:rFonts w:cs="Arial"/>
          <w:sz w:val="20"/>
        </w:rPr>
        <w:t> vykázaných cen se na stálých vá</w:t>
      </w:r>
      <w:r w:rsidRPr="00E42B84">
        <w:rPr>
          <w:rFonts w:cs="Arial"/>
          <w:sz w:val="20"/>
        </w:rPr>
        <w:t>hách počítá index cen průmyslových výrobců. Ten měří průměrný cenový vývoj všech průmyslových výrobků vyrobených a prodaných na domácím, českém trhu. Za průmyslové výrobky se považují výrobky vyrobené v odvětvích kategorií B až E podle Klasifikace ekonomických činností (CZ-NACE).</w:t>
      </w:r>
    </w:p>
    <w:p w:rsidR="00EA4A8E" w:rsidRPr="00E42B84" w:rsidRDefault="00EA4A8E" w:rsidP="003542E2">
      <w:pPr>
        <w:pStyle w:val="Zkladntext"/>
        <w:spacing w:before="120" w:after="0"/>
        <w:ind w:firstLine="425"/>
        <w:rPr>
          <w:rFonts w:cs="Arial"/>
          <w:sz w:val="20"/>
        </w:rPr>
      </w:pPr>
      <w:r w:rsidRPr="00E42B84">
        <w:rPr>
          <w:rFonts w:cs="Arial"/>
          <w:sz w:val="20"/>
        </w:rPr>
        <w:t xml:space="preserve">V průběhu roku 2008 došlo k přechodu z původní Standardní klasifikace produkce (SKP 2003) na novou klasifikaci (CZ-CPA 2008). Od ledna 2009 jsou cenové indexy sestavovány, počítány </w:t>
      </w:r>
      <w:r w:rsidR="009671CA">
        <w:rPr>
          <w:rFonts w:cs="Arial"/>
          <w:sz w:val="20"/>
        </w:rPr>
        <w:t>a </w:t>
      </w:r>
      <w:r w:rsidRPr="00E42B84">
        <w:rPr>
          <w:rFonts w:cs="Arial"/>
          <w:sz w:val="20"/>
        </w:rPr>
        <w:t>publikovány v klasifikaci CZ-CPA. Přepočet cenových indexů za minulá období byl proveden až do roku 1991 včetně.</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rPr>
        <w:t xml:space="preserve">Přepočet byl založen na převodu odpovídajících podílů stálých vah jednotlivých 4-místných tříd SKP do tříd nové klasifikace CZ-CPA. </w:t>
      </w:r>
      <w:r w:rsidRPr="00E42B84">
        <w:rPr>
          <w:rFonts w:ascii="Arial" w:hAnsi="Arial" w:cs="Arial"/>
          <w:sz w:val="20"/>
          <w:szCs w:val="20"/>
        </w:rPr>
        <w:t>Více informací o nové klasifikaci je uvedeno pod odkazem Klasifikace, číselníky.</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V průběhu roku 2011 proběhla standardní komplexní revize indexů cen průmyslových výrobců. Na jejím základě jsou cenové indexy od ledna 2012 počítány na nových v</w:t>
      </w:r>
      <w:r w:rsidR="00E65FDF">
        <w:rPr>
          <w:rFonts w:ascii="Arial" w:hAnsi="Arial" w:cs="Arial"/>
          <w:sz w:val="20"/>
          <w:szCs w:val="20"/>
        </w:rPr>
        <w:t>á</w:t>
      </w:r>
      <w:r w:rsidRPr="00E42B84">
        <w:rPr>
          <w:rFonts w:ascii="Arial" w:hAnsi="Arial" w:cs="Arial"/>
          <w:sz w:val="20"/>
          <w:szCs w:val="20"/>
        </w:rPr>
        <w:t xml:space="preserve">hách za rok 2010. Váhy </w:t>
      </w:r>
      <w:r w:rsidR="009671CA">
        <w:rPr>
          <w:rFonts w:ascii="Arial" w:hAnsi="Arial" w:cs="Arial"/>
          <w:sz w:val="20"/>
          <w:szCs w:val="20"/>
        </w:rPr>
        <w:t>u </w:t>
      </w:r>
      <w:r w:rsidRPr="00E42B84">
        <w:rPr>
          <w:rFonts w:ascii="Arial" w:hAnsi="Arial" w:cs="Arial"/>
          <w:sz w:val="20"/>
          <w:szCs w:val="20"/>
        </w:rPr>
        <w:t>indexů cen průmyslových výrobců byly stanoveny na základě struktury tuzemských tržeb za rok 2010 z výkazů Prům 2-01, P4-01 a Ceny Prům 1-12.</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 xml:space="preserve">Cenové indexy vypočítávané k základu prosinec 2005 = 100 byly nahrazeny novými technickými indexy s cenovým základem prosinec 2010 = 100. Takto vypočtené indexy jsou od čtyřmístné úrovně klasifikace CZ-CPA výše řetězeny ke stávajícím indexním základům průměr roku 2005 = 100 </w:t>
      </w:r>
      <w:r w:rsidR="009671CA">
        <w:rPr>
          <w:rFonts w:ascii="Arial" w:hAnsi="Arial" w:cs="Arial"/>
          <w:sz w:val="20"/>
          <w:szCs w:val="20"/>
        </w:rPr>
        <w:t>a </w:t>
      </w:r>
      <w:r w:rsidRPr="00E42B84">
        <w:rPr>
          <w:rFonts w:ascii="Arial" w:hAnsi="Arial" w:cs="Arial"/>
          <w:sz w:val="20"/>
          <w:szCs w:val="20"/>
        </w:rPr>
        <w:t>prosinec 2005 = 100, čímž je zajištěno pokračování současných časových řad indexů.</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Základní časovou řadou pro výpočet odvozených indexů (meziměsíční, meziroční a klouzavý) je průměr 2005 = 100.</w:t>
      </w:r>
    </w:p>
    <w:p w:rsidR="00EA4A8E" w:rsidRPr="00E42B84" w:rsidRDefault="00EA4A8E" w:rsidP="003542E2">
      <w:pPr>
        <w:pStyle w:val="Zkladntext"/>
        <w:spacing w:before="120" w:after="0"/>
        <w:ind w:firstLine="425"/>
        <w:rPr>
          <w:rFonts w:cs="Arial"/>
          <w:sz w:val="20"/>
        </w:rPr>
      </w:pPr>
      <w:r w:rsidRPr="00E42B84">
        <w:rPr>
          <w:rFonts w:cs="Arial"/>
          <w:b/>
          <w:bCs/>
          <w:sz w:val="20"/>
        </w:rPr>
        <w:t xml:space="preserve">Růst (pokles) </w:t>
      </w:r>
      <w:r w:rsidRPr="00E42B84">
        <w:rPr>
          <w:rFonts w:cs="Arial"/>
          <w:sz w:val="20"/>
        </w:rPr>
        <w:t>cen průmyslových výrobců udává, o kolik % se v dané měsíci zvýšila (snížila) průměrná cenová hladina těchto cen v porovnání s průměrnou cenovou hladinou ve stejném období předchozího roku.</w:t>
      </w:r>
    </w:p>
    <w:p w:rsidR="00EA4A8E" w:rsidRPr="00E42B84" w:rsidRDefault="00EA4A8E" w:rsidP="003542E2">
      <w:pPr>
        <w:pStyle w:val="Zkladntext"/>
        <w:spacing w:before="120" w:after="0"/>
        <w:rPr>
          <w:rFonts w:cs="Arial"/>
          <w:b/>
          <w:bCs/>
          <w:sz w:val="20"/>
        </w:rPr>
      </w:pPr>
      <w:r w:rsidRPr="00E42B84">
        <w:rPr>
          <w:rFonts w:cs="Arial"/>
          <w:b/>
          <w:bCs/>
          <w:sz w:val="20"/>
        </w:rPr>
        <w:t>Indexy cen tržních služeb</w:t>
      </w:r>
    </w:p>
    <w:p w:rsidR="00EA4A8E" w:rsidRPr="00E42B84" w:rsidRDefault="00EA4A8E" w:rsidP="003542E2">
      <w:pPr>
        <w:pStyle w:val="Zkladntext"/>
        <w:spacing w:before="120" w:after="0"/>
        <w:ind w:firstLine="425"/>
        <w:rPr>
          <w:rFonts w:cs="Arial"/>
          <w:sz w:val="20"/>
        </w:rPr>
      </w:pPr>
      <w:r w:rsidRPr="00E42B84">
        <w:rPr>
          <w:rFonts w:cs="Arial"/>
          <w:sz w:val="20"/>
        </w:rPr>
        <w:t xml:space="preserve"> Úhrnný index cen </w:t>
      </w:r>
      <w:r w:rsidRPr="00E42B84">
        <w:rPr>
          <w:rFonts w:cs="Arial"/>
          <w:b/>
          <w:bCs/>
          <w:sz w:val="20"/>
        </w:rPr>
        <w:t xml:space="preserve">tržních služeb v podnikatelské sféře </w:t>
      </w:r>
      <w:r w:rsidRPr="00E42B84">
        <w:rPr>
          <w:rFonts w:cs="Arial"/>
          <w:sz w:val="20"/>
        </w:rPr>
        <w:t>(tj. mezi podnikatelskými subjekty) je počítán v měsíční časové řadě od roku 1994. Od ledna 2009 cenová šetření zahrnují vybrané služby obsažené v Klasifikaci produkce (CZ-CPA 2008) v oddílech: 49, 50, 51, 52, 53, 61, 62, 63, 64, 65, 68, 69, 71, 73, 74, 77, 78, 80, 81 a 82.</w:t>
      </w:r>
    </w:p>
    <w:p w:rsidR="00EA4A8E" w:rsidRPr="00E42B84" w:rsidRDefault="00EA4A8E" w:rsidP="003542E2">
      <w:pPr>
        <w:pStyle w:val="Normlnweb"/>
        <w:spacing w:before="120" w:beforeAutospacing="0" w:after="0" w:afterAutospacing="0"/>
        <w:ind w:firstLine="425"/>
        <w:jc w:val="both"/>
        <w:rPr>
          <w:rFonts w:cs="Arial"/>
          <w:color w:val="auto"/>
          <w:sz w:val="20"/>
          <w:szCs w:val="20"/>
        </w:rPr>
      </w:pPr>
      <w:r w:rsidRPr="00E42B84">
        <w:rPr>
          <w:rFonts w:ascii="Arial" w:hAnsi="Arial" w:cs="Arial"/>
          <w:color w:val="auto"/>
          <w:sz w:val="20"/>
          <w:szCs w:val="20"/>
        </w:rPr>
        <w:t xml:space="preserve">V průběhu roku 2012 proběhla standardní komplexní revize výpočtu indexů cen tržních služeb. Cenové indexy jsou od </w:t>
      </w:r>
      <w:r w:rsidR="00E65FDF">
        <w:rPr>
          <w:rFonts w:ascii="Arial" w:hAnsi="Arial" w:cs="Arial"/>
          <w:color w:val="auto"/>
          <w:sz w:val="20"/>
          <w:szCs w:val="20"/>
        </w:rPr>
        <w:t>ledna 2013 počítány na nových vá</w:t>
      </w:r>
      <w:r w:rsidRPr="00E42B84">
        <w:rPr>
          <w:rFonts w:ascii="Arial" w:hAnsi="Arial" w:cs="Arial"/>
          <w:color w:val="auto"/>
          <w:sz w:val="20"/>
          <w:szCs w:val="20"/>
        </w:rPr>
        <w:t>hách, založených na struktuře tržeb roku 2011. Nově vypočtené indexy k základu průměr roku 2011 = 100 byly nařetězeny ke stávajícímu cenovému základu průměr roku 2005 = 100 v prosinci 2012, čímž je zajištěno pokračování dosavadních časových řad indexů.</w:t>
      </w:r>
    </w:p>
    <w:p w:rsidR="00EA4A8E" w:rsidRPr="00E42B84" w:rsidRDefault="00EA4A8E" w:rsidP="003542E2">
      <w:pPr>
        <w:pStyle w:val="Zkladntext"/>
        <w:spacing w:before="120" w:after="0"/>
        <w:ind w:firstLine="425"/>
        <w:rPr>
          <w:rFonts w:cs="Arial"/>
          <w:sz w:val="20"/>
          <w:szCs w:val="20"/>
        </w:rPr>
      </w:pPr>
      <w:r w:rsidRPr="00E42B84">
        <w:rPr>
          <w:rFonts w:cs="Arial"/>
          <w:sz w:val="20"/>
          <w:szCs w:val="20"/>
        </w:rPr>
        <w:t xml:space="preserve">Celkem je zjišťováno pomocí 18 měsíčních výkazů cca </w:t>
      </w:r>
      <w:r w:rsidR="00D559A3">
        <w:rPr>
          <w:rFonts w:cs="Arial"/>
          <w:sz w:val="20"/>
          <w:szCs w:val="20"/>
        </w:rPr>
        <w:t>220</w:t>
      </w:r>
      <w:r w:rsidR="00D559A3" w:rsidRPr="00E42B84">
        <w:rPr>
          <w:rFonts w:cs="Arial"/>
          <w:sz w:val="20"/>
          <w:szCs w:val="20"/>
        </w:rPr>
        <w:t xml:space="preserve"> </w:t>
      </w:r>
      <w:r w:rsidRPr="00E42B84">
        <w:rPr>
          <w:rFonts w:cs="Arial"/>
          <w:sz w:val="20"/>
          <w:szCs w:val="20"/>
        </w:rPr>
        <w:t>stálých cenových reprezentantů od cca 600 respondentů.</w:t>
      </w:r>
    </w:p>
    <w:p w:rsidR="00EA4A8E" w:rsidRPr="00246B03" w:rsidRDefault="00EA4A8E" w:rsidP="003542E2">
      <w:pPr>
        <w:pStyle w:val="Zkladntext"/>
        <w:spacing w:before="120" w:after="0"/>
        <w:ind w:firstLine="425"/>
        <w:rPr>
          <w:rFonts w:cs="Arial"/>
          <w:sz w:val="20"/>
          <w:szCs w:val="20"/>
        </w:rPr>
      </w:pPr>
      <w:r w:rsidRPr="00E42B84">
        <w:rPr>
          <w:rFonts w:cs="Arial"/>
          <w:sz w:val="20"/>
          <w:szCs w:val="20"/>
        </w:rPr>
        <w:t>Sledovanými cenami jsou převážně ceny realizační, smluvní, popřípadě katalogové, které jsou očištěny od daně z přidané hodnoty. Jedná se převážně o ceny služeb, určených pro tuzemský trh.</w:t>
      </w:r>
    </w:p>
    <w:p w:rsidR="00EA4A8E" w:rsidRPr="00E42B84" w:rsidRDefault="00EA4A8E" w:rsidP="003436E2">
      <w:pPr>
        <w:spacing w:before="840"/>
        <w:jc w:val="both"/>
        <w:rPr>
          <w:rFonts w:ascii="Arial" w:hAnsi="Arial" w:cs="Arial"/>
          <w:b/>
          <w:bCs/>
          <w:sz w:val="20"/>
          <w:szCs w:val="20"/>
        </w:rPr>
      </w:pPr>
      <w:r w:rsidRPr="00E42B84">
        <w:rPr>
          <w:rFonts w:ascii="Arial" w:hAnsi="Arial" w:cs="Arial"/>
          <w:b/>
          <w:bCs/>
          <w:sz w:val="20"/>
          <w:szCs w:val="20"/>
        </w:rPr>
        <w:lastRenderedPageBreak/>
        <w:t>Index</w:t>
      </w:r>
      <w:r w:rsidRPr="00E42B84">
        <w:rPr>
          <w:rFonts w:ascii="Arial" w:hAnsi="Arial" w:cs="Arial"/>
          <w:sz w:val="20"/>
          <w:szCs w:val="20"/>
        </w:rPr>
        <w:t xml:space="preserve"> </w:t>
      </w:r>
      <w:r w:rsidRPr="00E42B84">
        <w:rPr>
          <w:rFonts w:ascii="Arial" w:hAnsi="Arial" w:cs="Arial"/>
          <w:b/>
          <w:bCs/>
          <w:sz w:val="20"/>
          <w:szCs w:val="20"/>
        </w:rPr>
        <w:t>cen stavebních prací</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Index cen stavebních prací je odhadován na podkladě výsledků šetření cen materiálů a výrobků spotřebovávaných ve stavebnictví za běžný měsíc (Ceny Prům 1-12). Do odhadu hodnoty indexu jsou kromě materiálových vlivů zahrnuty i vlivy nemateriálové povahy. Jedná se především o pohyb průměrné měsíční mzdy ve stavebnictví, dopravní náklady, režie a zisk.</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 xml:space="preserve">Odhady měsíčního vývoje cenového indexu se vždy po uplynutí čtvrtletí (45. den) </w:t>
      </w:r>
      <w:r w:rsidRPr="00E42B84">
        <w:rPr>
          <w:rFonts w:ascii="Arial" w:hAnsi="Arial" w:cs="Arial"/>
          <w:b/>
          <w:bCs/>
          <w:sz w:val="20"/>
          <w:szCs w:val="20"/>
        </w:rPr>
        <w:t xml:space="preserve">zpětně zpřesňují </w:t>
      </w:r>
      <w:r w:rsidRPr="00E42B84">
        <w:rPr>
          <w:rFonts w:ascii="Arial" w:hAnsi="Arial" w:cs="Arial"/>
          <w:sz w:val="20"/>
          <w:szCs w:val="20"/>
        </w:rPr>
        <w:t>(tj. běžně revidují) podle nejnovějších výsledků přímého čtvrtletního šetření cen stavebních prací Ceny Stav 1-04.</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Základní cenovou hladinou pro výpočet cenových indexů je průměr roku 2005. Odvozeně jsou počítány indexy meziroční a meziměsíční.</w:t>
      </w:r>
    </w:p>
    <w:p w:rsidR="00EA4A8E" w:rsidRPr="00246B03" w:rsidRDefault="00EA4A8E" w:rsidP="003542E2">
      <w:pPr>
        <w:pStyle w:val="titulek1"/>
        <w:spacing w:before="360" w:after="0"/>
        <w:rPr>
          <w:rFonts w:cs="Arial"/>
          <w:caps/>
        </w:rPr>
      </w:pPr>
      <w:r w:rsidRPr="00246B03">
        <w:rPr>
          <w:rFonts w:cs="Arial"/>
          <w:caps/>
        </w:rPr>
        <w:t>Spotřebitelské ceny</w:t>
      </w:r>
    </w:p>
    <w:p w:rsidR="00EA4A8E" w:rsidRPr="00E42B84" w:rsidRDefault="00EA4A8E" w:rsidP="003542E2">
      <w:pPr>
        <w:pStyle w:val="Zkladntext"/>
        <w:spacing w:before="120" w:after="0"/>
        <w:ind w:firstLine="425"/>
        <w:rPr>
          <w:rFonts w:cs="Arial"/>
          <w:sz w:val="20"/>
        </w:rPr>
      </w:pPr>
      <w:r w:rsidRPr="00E42B84">
        <w:rPr>
          <w:rFonts w:cs="Arial"/>
          <w:sz w:val="20"/>
        </w:rPr>
        <w:t>Vývoj indexů spotřebitelských cen (životních nákladů) se sleduje na spotřebních koších založených na souboru vybraných druhů zboží a služeb placených obyvatelstvem. Za cenové reprezentanty byly vybrány takové výrobky a služby, které se významně podílejí na vydáních obyvatelstva a svým rozsahem pokrývají celou sféru spotřeby. Celkový počet reprezentantů je cca 700.</w:t>
      </w:r>
    </w:p>
    <w:p w:rsidR="0092611C" w:rsidRPr="00E42B84" w:rsidRDefault="0092611C" w:rsidP="003542E2">
      <w:pPr>
        <w:pStyle w:val="Zkladntext"/>
        <w:spacing w:before="120" w:after="0"/>
        <w:ind w:firstLine="425"/>
        <w:rPr>
          <w:rFonts w:cs="Arial"/>
          <w:sz w:val="20"/>
        </w:rPr>
      </w:pPr>
      <w:r w:rsidRPr="00E42B84">
        <w:rPr>
          <w:rFonts w:cs="Arial"/>
          <w:sz w:val="20"/>
        </w:rPr>
        <w:t>Váhy ve spotřebních koších pro výpočet indexů spotřebitelských cen od roku 201</w:t>
      </w:r>
      <w:r>
        <w:rPr>
          <w:rFonts w:cs="Arial"/>
          <w:sz w:val="20"/>
        </w:rPr>
        <w:t>4</w:t>
      </w:r>
      <w:r w:rsidRPr="00E42B84">
        <w:rPr>
          <w:rFonts w:cs="Arial"/>
          <w:sz w:val="20"/>
        </w:rPr>
        <w:t xml:space="preserve"> byly stanoveny na základě údajů o výdajích domácností podle výsledků statistiky rodinných účtů za rok 201</w:t>
      </w:r>
      <w:r>
        <w:rPr>
          <w:rFonts w:cs="Arial"/>
          <w:sz w:val="20"/>
        </w:rPr>
        <w:t>2</w:t>
      </w:r>
      <w:r w:rsidRPr="00E42B84">
        <w:rPr>
          <w:rFonts w:cs="Arial"/>
          <w:sz w:val="20"/>
        </w:rPr>
        <w:t>, které byly korigovány na základě údajů statistiky národních účtů.</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Ceny jednotlivých druhů zboží a služeb jsou zjišťovány měsíčně, přímo ve vybraných prodejnách a provozovnách služeb (cca 9 000), pracovníky statistických orgánů ve 35 vybraných okresech v celé ČR a hl.</w:t>
      </w:r>
      <w:r w:rsidR="003436E2">
        <w:rPr>
          <w:rFonts w:ascii="Arial" w:hAnsi="Arial" w:cs="Arial"/>
          <w:sz w:val="20"/>
          <w:szCs w:val="20"/>
        </w:rPr>
        <w:t xml:space="preserve"> </w:t>
      </w:r>
      <w:r w:rsidRPr="00E42B84">
        <w:rPr>
          <w:rFonts w:ascii="Arial" w:hAnsi="Arial" w:cs="Arial"/>
          <w:sz w:val="20"/>
          <w:szCs w:val="20"/>
        </w:rPr>
        <w:t>m. Praze.</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Výpočet indexů spotřebitelských cen (životních ná</w:t>
      </w:r>
      <w:r w:rsidR="00E65FDF">
        <w:rPr>
          <w:rFonts w:ascii="Arial" w:hAnsi="Arial" w:cs="Arial"/>
          <w:sz w:val="20"/>
          <w:szCs w:val="20"/>
        </w:rPr>
        <w:t>kladů) je prováděn na stálých vá</w:t>
      </w:r>
      <w:r w:rsidRPr="00E42B84">
        <w:rPr>
          <w:rFonts w:ascii="Arial" w:hAnsi="Arial" w:cs="Arial"/>
          <w:sz w:val="20"/>
          <w:szCs w:val="20"/>
        </w:rPr>
        <w:t>hách podle vzorce Laspeyresova:</w:t>
      </w:r>
    </w:p>
    <w:p w:rsidR="00EA4A8E" w:rsidRPr="003542E2" w:rsidRDefault="00EA4A8E" w:rsidP="003542E2">
      <w:pPr>
        <w:spacing w:before="120"/>
        <w:jc w:val="center"/>
        <w:rPr>
          <w:rFonts w:ascii="Arial" w:hAnsi="Arial" w:cs="Arial"/>
          <w:sz w:val="20"/>
          <w:szCs w:val="20"/>
        </w:rPr>
      </w:pPr>
      <w:r w:rsidRPr="00E42B84">
        <w:rPr>
          <w:rFonts w:ascii="Arial" w:hAnsi="Arial" w:cs="Arial"/>
          <w:position w:val="-30"/>
          <w:sz w:val="20"/>
        </w:rPr>
        <w:object w:dxaOrig="2100" w:dyaOrig="1060">
          <v:shape id="_x0000_i1026" type="#_x0000_t75" style="width:105pt;height:53.4pt" o:ole="">
            <v:imagedata r:id="rId8" o:title=""/>
          </v:shape>
          <o:OLEObject Type="Embed" ProgID="Equation.3" ShapeID="_x0000_i1026" DrawAspect="Content" ObjectID="_1511765716" r:id="rId10"/>
        </w:object>
      </w:r>
    </w:p>
    <w:p w:rsidR="00EA4A8E" w:rsidRPr="00E42B84" w:rsidRDefault="00EA4A8E" w:rsidP="003542E2">
      <w:pPr>
        <w:spacing w:before="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1</w:t>
      </w:r>
      <w:r w:rsidRPr="00E42B84">
        <w:rPr>
          <w:rFonts w:ascii="Arial" w:hAnsi="Arial" w:cs="Arial"/>
          <w:iCs/>
          <w:sz w:val="20"/>
          <w:szCs w:val="20"/>
        </w:rPr>
        <w:tab/>
      </w:r>
      <w:r w:rsidRPr="00E42B84">
        <w:rPr>
          <w:rFonts w:ascii="Arial" w:hAnsi="Arial" w:cs="Arial"/>
          <w:iCs/>
          <w:sz w:val="20"/>
          <w:szCs w:val="20"/>
        </w:rPr>
        <w:tab/>
        <w:t>cena zboží (služby) ve sledovaném (běžném) období</w:t>
      </w:r>
    </w:p>
    <w:p w:rsidR="00EA4A8E" w:rsidRPr="00E42B84" w:rsidRDefault="00EA4A8E" w:rsidP="003542E2">
      <w:pPr>
        <w:spacing w:before="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0</w:t>
      </w:r>
      <w:r w:rsidRPr="00E42B84">
        <w:rPr>
          <w:rFonts w:ascii="Arial" w:hAnsi="Arial" w:cs="Arial"/>
          <w:iCs/>
          <w:sz w:val="20"/>
          <w:szCs w:val="20"/>
        </w:rPr>
        <w:tab/>
      </w:r>
      <w:r w:rsidRPr="00E42B84">
        <w:rPr>
          <w:rFonts w:ascii="Arial" w:hAnsi="Arial" w:cs="Arial"/>
          <w:iCs/>
          <w:sz w:val="20"/>
          <w:szCs w:val="20"/>
        </w:rPr>
        <w:tab/>
        <w:t>cena zboží (služby) v základním období</w:t>
      </w:r>
    </w:p>
    <w:p w:rsidR="00EA4A8E" w:rsidRPr="00E42B84" w:rsidRDefault="00EA4A8E" w:rsidP="003542E2">
      <w:pPr>
        <w:spacing w:before="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0</w:t>
      </w:r>
      <w:r w:rsidRPr="00E42B84">
        <w:rPr>
          <w:rFonts w:ascii="Arial" w:hAnsi="Arial" w:cs="Arial"/>
          <w:iCs/>
          <w:sz w:val="20"/>
          <w:szCs w:val="20"/>
        </w:rPr>
        <w:t>.q</w:t>
      </w:r>
      <w:r w:rsidRPr="00E42B84">
        <w:rPr>
          <w:rFonts w:ascii="Arial" w:hAnsi="Arial" w:cs="Arial"/>
          <w:iCs/>
          <w:sz w:val="20"/>
          <w:szCs w:val="20"/>
          <w:vertAlign w:val="subscript"/>
        </w:rPr>
        <w:t>0</w:t>
      </w:r>
      <w:r w:rsidRPr="00E42B84">
        <w:rPr>
          <w:rFonts w:ascii="Arial" w:hAnsi="Arial" w:cs="Arial"/>
          <w:iCs/>
          <w:sz w:val="20"/>
          <w:szCs w:val="20"/>
        </w:rPr>
        <w:tab/>
        <w:t>stálá váha - výdaje domácností za zboží (službu) v základním období</w:t>
      </w:r>
    </w:p>
    <w:p w:rsidR="00EA4A8E" w:rsidRPr="00E65FDF" w:rsidRDefault="00EA4A8E" w:rsidP="00E65FD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120"/>
        <w:ind w:firstLine="425"/>
        <w:jc w:val="both"/>
        <w:rPr>
          <w:rFonts w:ascii="Arial" w:hAnsi="Arial" w:cs="Arial"/>
          <w:sz w:val="20"/>
          <w:szCs w:val="20"/>
        </w:rPr>
      </w:pPr>
      <w:r w:rsidRPr="00E65FDF">
        <w:rPr>
          <w:rFonts w:ascii="Arial" w:hAnsi="Arial" w:cs="Arial"/>
          <w:bCs/>
          <w:sz w:val="20"/>
          <w:szCs w:val="20"/>
        </w:rPr>
        <w:t>Od roku 2014</w:t>
      </w:r>
      <w:r w:rsidRPr="00E65FDF">
        <w:rPr>
          <w:rFonts w:ascii="Arial" w:hAnsi="Arial" w:cs="Arial"/>
          <w:sz w:val="20"/>
          <w:szCs w:val="20"/>
        </w:rPr>
        <w:t xml:space="preserve"> došlo u cenových indexů ke změně ceny základního období z prosince 2011 na prosinec 2013. Vypočtené indexy jsou na všech úrovních spotřebního koše řetězeny k základu rok 2005 = 100. K převedení indexu k základu prosinec 2013 = 100 do časové řady indexů k základu 2005 = 100 se používá konstanta (index za prosinec 2013 k základu rok 2005 = 100). Index k základu rok 2005 = 100 je vypočítán vynásobením konstanty indexem k základu prosinec 2013 = 100. Tím je zajištěno pokračování dosavadní časové řady indexů rok 2005 = 100, ze které jsou počítány indexy k dalším základům (předchozí měsíc = 100, stejné období předchozího roku = 100 a index klouzavých průměrů za posledních 12 měsíců k průměru 12-ti předcházejících měsíců).</w:t>
      </w:r>
    </w:p>
    <w:p w:rsidR="00EA4A8E" w:rsidRPr="00246B03" w:rsidRDefault="00EA4A8E" w:rsidP="003542E2">
      <w:pPr>
        <w:pStyle w:val="titulek1"/>
        <w:spacing w:before="360" w:after="0"/>
        <w:rPr>
          <w:rFonts w:cs="Arial"/>
          <w:caps/>
        </w:rPr>
      </w:pPr>
      <w:r w:rsidRPr="00246B03">
        <w:rPr>
          <w:rFonts w:cs="Arial"/>
          <w:caps/>
        </w:rPr>
        <w:t>Peněžní příjmy a vydání domácností</w:t>
      </w:r>
    </w:p>
    <w:p w:rsidR="00EA4A8E" w:rsidRPr="00E42B84" w:rsidRDefault="00EA4A8E" w:rsidP="00DD627D">
      <w:pPr>
        <w:pStyle w:val="Zkladntext"/>
        <w:spacing w:before="120" w:after="0"/>
        <w:ind w:firstLine="425"/>
        <w:rPr>
          <w:sz w:val="20"/>
          <w:szCs w:val="20"/>
        </w:rPr>
      </w:pPr>
      <w:r w:rsidRPr="00E42B84">
        <w:rPr>
          <w:sz w:val="20"/>
          <w:szCs w:val="20"/>
        </w:rPr>
        <w:t>Údaje o příjmech a vydáních domácností byly získány z výsledků výběrového šetření statistiky rodinných účtů. Jednotkou výběru a zpravodajskou jednotkou je domácnost, tzn. soubor osob společně bydlících a společně hospodařících. Zpravodajské domácnosti SRÚ jsou vybírány záměrným kvótním výběrem.</w:t>
      </w:r>
    </w:p>
    <w:p w:rsidR="00EA4A8E" w:rsidRPr="00E42B84" w:rsidRDefault="00EA4A8E" w:rsidP="00DD627D">
      <w:pPr>
        <w:pStyle w:val="Zkladntext"/>
        <w:spacing w:before="120" w:after="0"/>
        <w:rPr>
          <w:sz w:val="20"/>
          <w:szCs w:val="20"/>
        </w:rPr>
      </w:pPr>
      <w:r w:rsidRPr="00E42B84">
        <w:rPr>
          <w:sz w:val="20"/>
          <w:szCs w:val="20"/>
        </w:rPr>
        <w:tab/>
      </w:r>
      <w:r w:rsidRPr="00E42B84">
        <w:rPr>
          <w:sz w:val="20"/>
          <w:szCs w:val="20"/>
        </w:rPr>
        <w:tab/>
        <w:t>Do roku 2005 byly výběrovými znaky sociální skupina domácností (která se určovala podle sociální příslušnosti osoby stojící v čele domácnosti) a čistý peněžní příjem na osobu. Třetím výběrovým znakem byl počet dětí (u domácností</w:t>
      </w:r>
      <w:r w:rsidRPr="00E42B84">
        <w:rPr>
          <w:b/>
          <w:bCs/>
          <w:sz w:val="20"/>
          <w:szCs w:val="20"/>
        </w:rPr>
        <w:t xml:space="preserve"> </w:t>
      </w:r>
      <w:r w:rsidRPr="00E42B84">
        <w:rPr>
          <w:sz w:val="20"/>
          <w:szCs w:val="20"/>
        </w:rPr>
        <w:t>ekonomicky aktivních osob) nebo počet členů a pohlaví (u domácností důchodců bez aktivních členů).</w:t>
      </w:r>
    </w:p>
    <w:p w:rsidR="00EA4A8E" w:rsidRPr="00E42B84" w:rsidRDefault="00EA4A8E" w:rsidP="00DD627D">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before="120" w:after="0"/>
        <w:rPr>
          <w:sz w:val="20"/>
          <w:szCs w:val="20"/>
        </w:rPr>
      </w:pPr>
      <w:r w:rsidRPr="00E42B84">
        <w:rPr>
          <w:sz w:val="20"/>
          <w:szCs w:val="20"/>
        </w:rPr>
        <w:tab/>
        <w:t xml:space="preserve">Od roku 2006 je základním výběrovým znakem skupina domácnosti, odvozená od </w:t>
      </w:r>
      <w:r w:rsidRPr="00E42B84">
        <w:rPr>
          <w:b/>
          <w:bCs/>
          <w:sz w:val="20"/>
          <w:szCs w:val="20"/>
        </w:rPr>
        <w:t xml:space="preserve">ekonomické aktivity a postavení v zaměstnání osoby v čele domácnosti. </w:t>
      </w:r>
      <w:r w:rsidRPr="00E42B84">
        <w:rPr>
          <w:sz w:val="20"/>
          <w:szCs w:val="20"/>
        </w:rPr>
        <w:t xml:space="preserve">Domácnosti s ekonomicky aktivní </w:t>
      </w:r>
      <w:r w:rsidRPr="00E42B84">
        <w:rPr>
          <w:sz w:val="20"/>
          <w:szCs w:val="20"/>
        </w:rPr>
        <w:lastRenderedPageBreak/>
        <w:t>osobou v čele se třídí podle jejího postavení v zaměstnání, u domácností zaměstnanců i podle jejího vzdělání. Domácnosti s ekonomicky neaktivní osobou v čele se v dalším stupni člení v závislosti na tom, zda je některý z dalších členů domácnosti ekonomicky aktivní, příp. zda v čele domácnosti je důchodce.</w:t>
      </w:r>
    </w:p>
    <w:p w:rsidR="00EA4A8E" w:rsidRPr="00E42B84" w:rsidRDefault="00EA4A8E" w:rsidP="00DD627D">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before="120" w:after="0"/>
        <w:ind w:firstLine="425"/>
        <w:rPr>
          <w:sz w:val="20"/>
          <w:szCs w:val="20"/>
        </w:rPr>
      </w:pPr>
      <w:r w:rsidRPr="00E42B84">
        <w:rPr>
          <w:sz w:val="20"/>
          <w:szCs w:val="20"/>
        </w:rPr>
        <w:t>Pro tři nejvýznamnější skupiny domácností se používají ještě další výběrová kritéria, a to:</w:t>
      </w:r>
    </w:p>
    <w:p w:rsidR="00EA4A8E" w:rsidRPr="00E42B84" w:rsidRDefault="00EA4A8E" w:rsidP="00DD627D">
      <w:pPr>
        <w:pStyle w:val="Zkladntext"/>
        <w:numPr>
          <w:ilvl w:val="0"/>
          <w:numId w:val="15"/>
        </w:numPr>
        <w:tabs>
          <w:tab w:val="left" w:pos="-1440"/>
        </w:tabs>
        <w:spacing w:before="120" w:after="0"/>
        <w:ind w:left="1423" w:hanging="357"/>
        <w:rPr>
          <w:sz w:val="20"/>
          <w:szCs w:val="20"/>
        </w:rPr>
      </w:pPr>
      <w:r w:rsidRPr="00E42B84">
        <w:rPr>
          <w:b/>
          <w:bCs/>
          <w:sz w:val="20"/>
          <w:szCs w:val="20"/>
        </w:rPr>
        <w:t>čistý peněžní příjem na jednoho člena domácnosti a počet vyživovaných dětí</w:t>
      </w:r>
      <w:r w:rsidRPr="00E42B84">
        <w:rPr>
          <w:sz w:val="20"/>
          <w:szCs w:val="20"/>
        </w:rPr>
        <w:t xml:space="preserve"> pro domácnosti zaměstnanců a domácnosti osob samostatně výdělečně činných;</w:t>
      </w:r>
    </w:p>
    <w:p w:rsidR="00EA4A8E" w:rsidRPr="00E42B84" w:rsidRDefault="00EA4A8E" w:rsidP="00DD627D">
      <w:pPr>
        <w:pStyle w:val="Zkladntext"/>
        <w:numPr>
          <w:ilvl w:val="0"/>
          <w:numId w:val="15"/>
        </w:numPr>
        <w:tabs>
          <w:tab w:val="left" w:pos="-1440"/>
        </w:tabs>
        <w:spacing w:before="120" w:after="0"/>
        <w:ind w:left="1423" w:hanging="357"/>
        <w:rPr>
          <w:sz w:val="20"/>
          <w:szCs w:val="20"/>
        </w:rPr>
      </w:pPr>
      <w:r w:rsidRPr="00E42B84">
        <w:rPr>
          <w:b/>
          <w:bCs/>
          <w:sz w:val="20"/>
          <w:szCs w:val="20"/>
        </w:rPr>
        <w:t xml:space="preserve">důchod na jednoho člena domácnosti a počet členů </w:t>
      </w:r>
      <w:r w:rsidRPr="00E42B84">
        <w:rPr>
          <w:sz w:val="20"/>
          <w:szCs w:val="20"/>
        </w:rPr>
        <w:t>(u jednočlenných domácností také pohlaví osoby) pro domácnosti důchodců bez ekonomicky aktivních členů.</w:t>
      </w:r>
    </w:p>
    <w:p w:rsidR="00EA4A8E" w:rsidRPr="00E42B84" w:rsidRDefault="00EA4A8E" w:rsidP="00DD627D">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before="120" w:after="0"/>
        <w:ind w:firstLine="425"/>
        <w:rPr>
          <w:sz w:val="20"/>
          <w:szCs w:val="20"/>
        </w:rPr>
      </w:pPr>
      <w:r w:rsidRPr="00E42B84">
        <w:rPr>
          <w:sz w:val="20"/>
          <w:szCs w:val="20"/>
        </w:rPr>
        <w:t xml:space="preserve">Výběrový znak </w:t>
      </w:r>
      <w:r w:rsidRPr="00E42B84">
        <w:rPr>
          <w:b/>
          <w:bCs/>
          <w:sz w:val="20"/>
          <w:szCs w:val="20"/>
        </w:rPr>
        <w:t>velikost obce a druh domu</w:t>
      </w:r>
      <w:r w:rsidRPr="00E42B84">
        <w:rPr>
          <w:sz w:val="20"/>
          <w:szCs w:val="20"/>
        </w:rPr>
        <w:t xml:space="preserve"> se týká všech skupin domácností. Samostatné kvóty podle velikosti obce a druhu domu jsou předepsány pro výše uvedené nejvýznamnější skupiny domácností, zatímco zbývající skupiny se pro tento výběrový znak slučují do jedné kategorie.</w:t>
      </w:r>
    </w:p>
    <w:p w:rsidR="00EA4A8E" w:rsidRPr="00E42B84" w:rsidRDefault="00EA4A8E" w:rsidP="00DD627D">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before="120" w:after="0"/>
        <w:rPr>
          <w:b/>
          <w:sz w:val="20"/>
          <w:szCs w:val="20"/>
        </w:rPr>
      </w:pPr>
      <w:r w:rsidRPr="00E42B84">
        <w:rPr>
          <w:b/>
          <w:sz w:val="20"/>
          <w:szCs w:val="20"/>
        </w:rPr>
        <w:tab/>
        <w:t>Publikované údaje (měsíční průměry v Kč na osobu):</w:t>
      </w:r>
    </w:p>
    <w:p w:rsidR="00EA4A8E" w:rsidRPr="00E42B84" w:rsidRDefault="00EA4A8E" w:rsidP="00DD627D">
      <w:pPr>
        <w:pStyle w:val="Zkladntext"/>
        <w:numPr>
          <w:ilvl w:val="0"/>
          <w:numId w:val="4"/>
        </w:numPr>
        <w:tabs>
          <w:tab w:val="clear" w:pos="-720"/>
          <w:tab w:val="clear" w:pos="1"/>
          <w:tab w:val="clear" w:pos="424"/>
          <w:tab w:val="clear" w:pos="720"/>
          <w:tab w:val="clear" w:pos="1440"/>
          <w:tab w:val="clear" w:pos="2160"/>
          <w:tab w:val="clear" w:pos="24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120" w:after="0"/>
        <w:ind w:left="357" w:hanging="357"/>
        <w:rPr>
          <w:sz w:val="20"/>
          <w:szCs w:val="20"/>
        </w:rPr>
      </w:pPr>
      <w:r w:rsidRPr="00E42B84">
        <w:rPr>
          <w:b/>
          <w:bCs/>
          <w:sz w:val="20"/>
          <w:szCs w:val="20"/>
        </w:rPr>
        <w:t>Průměrná domácnost</w:t>
      </w:r>
      <w:r w:rsidRPr="00E42B84">
        <w:rPr>
          <w:sz w:val="20"/>
          <w:szCs w:val="20"/>
        </w:rPr>
        <w:t xml:space="preserve"> (do roku 2005) </w:t>
      </w:r>
      <w:r w:rsidRPr="00E42B84">
        <w:rPr>
          <w:b/>
          <w:bCs/>
          <w:sz w:val="20"/>
          <w:szCs w:val="20"/>
        </w:rPr>
        <w:t>resp. domácnosti celkem</w:t>
      </w:r>
      <w:r w:rsidRPr="00E42B84">
        <w:rPr>
          <w:sz w:val="20"/>
          <w:szCs w:val="20"/>
        </w:rPr>
        <w:t xml:space="preserve"> (od roku 2006) – do roku 2005 nebyly ve výběru zastoupeny určité typy domácností s nižší četností výskytu (např. domácnosti nezaměstnaných, domácnosti důchodců s ekonomicky aktivními členy apod.). Odhad průměrné domácnosti zpravodajského souboru se získával převážením podle sociálních skupin (na základě struktury domácností zjištěné v mikrocensu), které odstranilo disproporci v zastoupení jednotlivých sociálních skupin v souboru. Od roku 2006 výběr zahrnuje všechny typy domácností zastoupené </w:t>
      </w:r>
      <w:r w:rsidRPr="00E42B84">
        <w:rPr>
          <w:rFonts w:cs="Arial"/>
          <w:sz w:val="20"/>
          <w:szCs w:val="20"/>
        </w:rPr>
        <w:t>v populaci, váha jednotlivých skupin domácností odpovídá jejich podílu zjištěnému v šetření Životní podmínky. Počet domácností důchodců bez ekonomicky aktivních členů byl pro zjišťování zredukován, p</w:t>
      </w:r>
      <w:r w:rsidRPr="00E42B84">
        <w:rPr>
          <w:sz w:val="20"/>
          <w:szCs w:val="20"/>
        </w:rPr>
        <w:t>ři zpracování se tato disproporce eliminuje převážením.</w:t>
      </w:r>
    </w:p>
    <w:p w:rsidR="00EA4A8E" w:rsidRPr="00E42B84" w:rsidRDefault="00EA4A8E" w:rsidP="00DD627D">
      <w:pPr>
        <w:pStyle w:val="Zkladntext"/>
        <w:numPr>
          <w:ilvl w:val="0"/>
          <w:numId w:val="4"/>
        </w:numPr>
        <w:tabs>
          <w:tab w:val="clear" w:pos="-720"/>
          <w:tab w:val="clear" w:pos="1"/>
          <w:tab w:val="clear" w:pos="424"/>
          <w:tab w:val="clear" w:pos="720"/>
          <w:tab w:val="clear" w:pos="1440"/>
          <w:tab w:val="clear" w:pos="2160"/>
          <w:tab w:val="clear" w:pos="24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120" w:after="0"/>
        <w:ind w:left="357" w:hanging="357"/>
        <w:rPr>
          <w:sz w:val="20"/>
          <w:szCs w:val="20"/>
        </w:rPr>
      </w:pPr>
      <w:r w:rsidRPr="00E42B84">
        <w:rPr>
          <w:b/>
          <w:bCs/>
          <w:sz w:val="20"/>
          <w:szCs w:val="20"/>
        </w:rPr>
        <w:t>Domácnosti zaměstnanců</w:t>
      </w:r>
      <w:r w:rsidRPr="00E42B84">
        <w:rPr>
          <w:sz w:val="20"/>
          <w:szCs w:val="20"/>
        </w:rPr>
        <w:t xml:space="preserve"> jsou domácnosti s osobou v čele v pracovním nebo služebním poměru, která pracuje na základě pracovní smlouvy nebo na základě dohody (o pracovní činnosti, o provedení práce). Zaměstnanci jsou i pracující členové produkčních družstev (včetně zemědělských), společníci s.r.o. a komanditisté komanditních společností, kteří pro společnost vykonávají práci na základě pracovní smlouvy a pobírají za ni odměnu, která je příjmem ze závislé činnosti.</w:t>
      </w:r>
    </w:p>
    <w:p w:rsidR="00EA4A8E" w:rsidRPr="00E42B84" w:rsidRDefault="00EA4A8E" w:rsidP="00DD627D">
      <w:pPr>
        <w:pStyle w:val="Zkladntext"/>
        <w:numPr>
          <w:ilvl w:val="0"/>
          <w:numId w:val="4"/>
        </w:numPr>
        <w:tabs>
          <w:tab w:val="clear" w:pos="-720"/>
          <w:tab w:val="clear" w:pos="1"/>
          <w:tab w:val="clear" w:pos="424"/>
          <w:tab w:val="clear" w:pos="720"/>
          <w:tab w:val="clear" w:pos="1440"/>
          <w:tab w:val="clear" w:pos="2160"/>
          <w:tab w:val="clear" w:pos="24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120" w:after="0"/>
        <w:ind w:left="357" w:hanging="357"/>
        <w:rPr>
          <w:sz w:val="20"/>
          <w:szCs w:val="20"/>
        </w:rPr>
      </w:pPr>
      <w:r w:rsidRPr="00E42B84">
        <w:rPr>
          <w:b/>
          <w:bCs/>
          <w:sz w:val="20"/>
          <w:szCs w:val="20"/>
        </w:rPr>
        <w:t>Domácnosti důchodců bez ekonomicky aktivních členů</w:t>
      </w:r>
      <w:r w:rsidRPr="00E42B84">
        <w:rPr>
          <w:sz w:val="20"/>
          <w:szCs w:val="20"/>
        </w:rPr>
        <w:t xml:space="preserve"> jsou domácnosti s osobou v čele pobírající jakýkoliv druh důchodu kromě sirotčího, která nepracuje buď vůbec, nebo má její pracovní činnost pouze omezený rozsah; podmínka omezené ekonomické aktivity platí i pro ostatní členy domácnosti.</w:t>
      </w:r>
    </w:p>
    <w:p w:rsidR="00EA4A8E" w:rsidRPr="00E42B84" w:rsidRDefault="00EA4A8E" w:rsidP="00DD627D">
      <w:pPr>
        <w:pStyle w:val="Zkladntext"/>
        <w:tabs>
          <w:tab w:val="clear" w:pos="424"/>
          <w:tab w:val="left" w:pos="425"/>
        </w:tabs>
        <w:spacing w:before="120" w:after="0"/>
        <w:ind w:firstLine="425"/>
        <w:rPr>
          <w:b/>
          <w:sz w:val="20"/>
          <w:szCs w:val="20"/>
        </w:rPr>
      </w:pPr>
      <w:r w:rsidRPr="00E42B84">
        <w:rPr>
          <w:b/>
          <w:sz w:val="20"/>
          <w:szCs w:val="20"/>
        </w:rPr>
        <w:t>Definice položek:</w:t>
      </w:r>
    </w:p>
    <w:p w:rsidR="00EA4A8E" w:rsidRPr="00E42B84" w:rsidRDefault="00EA4A8E" w:rsidP="00B27A8C">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before="120" w:after="0"/>
        <w:ind w:firstLine="425"/>
        <w:rPr>
          <w:sz w:val="20"/>
          <w:szCs w:val="20"/>
        </w:rPr>
      </w:pPr>
      <w:r w:rsidRPr="00E42B84">
        <w:rPr>
          <w:b/>
          <w:bCs/>
          <w:sz w:val="20"/>
          <w:szCs w:val="20"/>
        </w:rPr>
        <w:t xml:space="preserve">Čisté peněžní příjmy a čistá peněžní vydání </w:t>
      </w:r>
      <w:r w:rsidRPr="00E42B84">
        <w:rPr>
          <w:sz w:val="20"/>
          <w:szCs w:val="20"/>
        </w:rPr>
        <w:t>jsou celkové peněžní příjmy resp. vydání, od kterých jsou odečteny odvody na zdravotní a sociální pojištění a zálohy na daň z příjmů. Nezahrnují také vybrané úspory, přijaté půjčky a úvěry, resp. vklady, splacené půjčky a úvěry. Čistý peněžní příjem je jedním z výběrových znaků, jeho vývoj je tak přirozeně dopředu stanoven, a proto je ho nutno chápat pouze jako doplňkovou informaci.</w:t>
      </w:r>
    </w:p>
    <w:p w:rsidR="00EA4A8E" w:rsidRPr="00E42B84" w:rsidRDefault="00EA4A8E" w:rsidP="00DD627D">
      <w:pPr>
        <w:pStyle w:val="Zkladntext"/>
        <w:spacing w:before="120" w:after="0"/>
        <w:ind w:firstLine="425"/>
        <w:rPr>
          <w:b/>
          <w:sz w:val="20"/>
          <w:szCs w:val="20"/>
        </w:rPr>
      </w:pPr>
      <w:r w:rsidRPr="00E42B84">
        <w:rPr>
          <w:b/>
          <w:sz w:val="20"/>
          <w:szCs w:val="20"/>
        </w:rPr>
        <w:t>Jednotlivé skupiny výdajů zahrnují:</w:t>
      </w:r>
    </w:p>
    <w:p w:rsidR="00EA4A8E" w:rsidRPr="00E42B84" w:rsidRDefault="00EA4A8E" w:rsidP="00DD627D">
      <w:pPr>
        <w:pStyle w:val="Zkladntext"/>
        <w:spacing w:before="120" w:after="0"/>
        <w:ind w:firstLine="425"/>
        <w:rPr>
          <w:sz w:val="20"/>
          <w:szCs w:val="20"/>
        </w:rPr>
      </w:pPr>
      <w:r w:rsidRPr="00E42B84">
        <w:rPr>
          <w:b/>
          <w:bCs/>
          <w:sz w:val="20"/>
          <w:szCs w:val="20"/>
        </w:rPr>
        <w:t xml:space="preserve">potraviny a nealkoholické nápoje </w:t>
      </w:r>
      <w:r w:rsidRPr="00E42B84">
        <w:rPr>
          <w:b/>
          <w:bCs/>
          <w:sz w:val="20"/>
          <w:szCs w:val="20"/>
        </w:rPr>
        <w:sym w:font="Symbol" w:char="F02D"/>
      </w:r>
      <w:r w:rsidRPr="00E42B84">
        <w:rPr>
          <w:sz w:val="20"/>
          <w:szCs w:val="20"/>
        </w:rPr>
        <w:t xml:space="preserve"> všechny druhy potravinářských výrobků a nealkoholických nápojů zakoupené pro spotřebu v domácnosti,</w:t>
      </w:r>
    </w:p>
    <w:p w:rsidR="00EA4A8E" w:rsidRPr="00E42B84" w:rsidRDefault="00EA4A8E" w:rsidP="00DD627D">
      <w:pPr>
        <w:pStyle w:val="Zkladntext"/>
        <w:spacing w:before="120" w:after="0"/>
        <w:ind w:firstLine="425"/>
        <w:rPr>
          <w:sz w:val="20"/>
          <w:szCs w:val="20"/>
        </w:rPr>
      </w:pPr>
      <w:r w:rsidRPr="00E42B84">
        <w:rPr>
          <w:b/>
          <w:bCs/>
          <w:sz w:val="20"/>
          <w:szCs w:val="20"/>
        </w:rPr>
        <w:t xml:space="preserve">alkoholické nápoje, tabák </w:t>
      </w:r>
      <w:r w:rsidRPr="00E42B84">
        <w:rPr>
          <w:b/>
          <w:bCs/>
          <w:sz w:val="20"/>
          <w:szCs w:val="20"/>
        </w:rPr>
        <w:sym w:font="Symbol" w:char="F02D"/>
      </w:r>
      <w:r w:rsidRPr="00E42B84">
        <w:rPr>
          <w:sz w:val="20"/>
          <w:szCs w:val="20"/>
        </w:rPr>
        <w:t xml:space="preserve"> všechny druhy alkoholických nápojů (vč. míchaných a</w:t>
      </w:r>
      <w:r w:rsidR="009671CA">
        <w:rPr>
          <w:sz w:val="20"/>
          <w:szCs w:val="20"/>
        </w:rPr>
        <w:t> </w:t>
      </w:r>
      <w:r w:rsidRPr="00E42B84">
        <w:rPr>
          <w:sz w:val="20"/>
          <w:szCs w:val="20"/>
        </w:rPr>
        <w:t>nealkoholického piva) zakoupené pro spotřebu v domácnosti, tabák a tabákové výrobky,</w:t>
      </w:r>
    </w:p>
    <w:p w:rsidR="00EA4A8E" w:rsidRPr="00E42B84" w:rsidRDefault="00EA4A8E" w:rsidP="00DD627D">
      <w:pPr>
        <w:pStyle w:val="Zkladntext"/>
        <w:spacing w:before="120" w:after="0"/>
        <w:ind w:firstLine="425"/>
        <w:rPr>
          <w:sz w:val="20"/>
          <w:szCs w:val="20"/>
        </w:rPr>
      </w:pPr>
      <w:r w:rsidRPr="00E42B84">
        <w:rPr>
          <w:b/>
          <w:bCs/>
          <w:sz w:val="20"/>
          <w:szCs w:val="20"/>
        </w:rPr>
        <w:t xml:space="preserve">odívání, obuv </w:t>
      </w:r>
      <w:r w:rsidRPr="00E42B84">
        <w:rPr>
          <w:b/>
          <w:bCs/>
          <w:sz w:val="20"/>
          <w:szCs w:val="20"/>
        </w:rPr>
        <w:sym w:font="Symbol" w:char="F02D"/>
      </w:r>
      <w:r w:rsidRPr="00E42B84">
        <w:rPr>
          <w:sz w:val="20"/>
          <w:szCs w:val="20"/>
        </w:rPr>
        <w:t xml:space="preserve"> oděvní materiály, osobní prádlo, pletené svrchní ošacení, konfekce, sportovní a pracovní oblečení, vč. oděvů zhotovených na zakázku, čištění, opravy a půjčování oděvů; obuv všech druhů, vč. zakázkové, opravy a čištění obuvi,</w:t>
      </w:r>
    </w:p>
    <w:p w:rsidR="00EA4A8E" w:rsidRPr="00E42B84" w:rsidRDefault="00EA4A8E" w:rsidP="00DD627D">
      <w:pPr>
        <w:pStyle w:val="Zkladntext"/>
        <w:spacing w:before="120" w:after="0"/>
        <w:ind w:firstLine="425"/>
        <w:rPr>
          <w:sz w:val="20"/>
          <w:szCs w:val="20"/>
        </w:rPr>
      </w:pPr>
      <w:r w:rsidRPr="00E42B84">
        <w:rPr>
          <w:b/>
          <w:bCs/>
          <w:sz w:val="20"/>
          <w:szCs w:val="20"/>
        </w:rPr>
        <w:t xml:space="preserve">bydlení </w:t>
      </w:r>
      <w:r w:rsidRPr="00E42B84">
        <w:rPr>
          <w:b/>
          <w:bCs/>
          <w:sz w:val="20"/>
          <w:szCs w:val="20"/>
        </w:rPr>
        <w:sym w:font="Symbol" w:char="F02D"/>
      </w:r>
      <w:r w:rsidRPr="00E42B84">
        <w:rPr>
          <w:sz w:val="20"/>
          <w:szCs w:val="20"/>
        </w:rPr>
        <w:t xml:space="preserve"> nájemné, vodné a stočné, sběr pevných odpadů a ostatní komunální služby, dodávka tepla a teplé vody, elektřina, plyn, tuhá a kapalná paliva, výrobky a služby pro běžnou údržbu, opravy, rekon</w:t>
      </w:r>
      <w:r w:rsidR="007E0D31">
        <w:rPr>
          <w:sz w:val="20"/>
          <w:szCs w:val="20"/>
        </w:rPr>
        <w:t>strukce a výstavba domu a bytu,</w:t>
      </w:r>
    </w:p>
    <w:p w:rsidR="00EA4A8E" w:rsidRPr="00E42B84" w:rsidRDefault="00EA4A8E" w:rsidP="00DD627D">
      <w:pPr>
        <w:pStyle w:val="Zkladntext"/>
        <w:spacing w:before="120" w:after="0"/>
        <w:ind w:firstLine="425"/>
        <w:rPr>
          <w:sz w:val="20"/>
          <w:szCs w:val="20"/>
        </w:rPr>
      </w:pPr>
      <w:r w:rsidRPr="00E42B84">
        <w:rPr>
          <w:b/>
          <w:bCs/>
          <w:sz w:val="20"/>
          <w:szCs w:val="20"/>
        </w:rPr>
        <w:t xml:space="preserve">bytové vybavení, zařízení domácnosti vč. oprav </w:t>
      </w:r>
      <w:r w:rsidRPr="00E42B84">
        <w:rPr>
          <w:b/>
          <w:bCs/>
          <w:sz w:val="20"/>
          <w:szCs w:val="20"/>
        </w:rPr>
        <w:sym w:font="Symbol" w:char="F02D"/>
      </w:r>
      <w:r w:rsidRPr="00E42B84">
        <w:rPr>
          <w:sz w:val="20"/>
          <w:szCs w:val="20"/>
        </w:rPr>
        <w:t xml:space="preserve"> nábytek, bytové zařízení a doplňky, podlahové krytiny, bytový textil, ložní a stolní prádlo, domácí spotřebiče (chladničky, pračky, sporáky, vysavače aj.), nádobí, nářadí, nástroje a různé potřeby pro dům a zahradu, zboží a služby pro běžnou údržbu domácnosti (prací, čistící a úklidové prostředky, mytí oken, úklid, čištění koberců aj.),</w:t>
      </w:r>
    </w:p>
    <w:p w:rsidR="00EA4A8E" w:rsidRPr="00E42B84" w:rsidRDefault="00EA4A8E" w:rsidP="00DD627D">
      <w:pPr>
        <w:pStyle w:val="Zkladntext"/>
        <w:spacing w:before="120" w:after="0"/>
        <w:ind w:firstLine="425"/>
        <w:rPr>
          <w:sz w:val="20"/>
          <w:szCs w:val="20"/>
        </w:rPr>
      </w:pPr>
      <w:r w:rsidRPr="00E42B84">
        <w:rPr>
          <w:b/>
          <w:bCs/>
          <w:sz w:val="20"/>
          <w:szCs w:val="20"/>
        </w:rPr>
        <w:lastRenderedPageBreak/>
        <w:t xml:space="preserve">doprava a spoje </w:t>
      </w:r>
      <w:r w:rsidRPr="00E42B84">
        <w:rPr>
          <w:b/>
          <w:bCs/>
          <w:sz w:val="20"/>
          <w:szCs w:val="20"/>
        </w:rPr>
        <w:sym w:font="Symbol" w:char="F02D"/>
      </w:r>
      <w:r w:rsidRPr="00E42B84">
        <w:rPr>
          <w:sz w:val="20"/>
          <w:szCs w:val="20"/>
        </w:rPr>
        <w:t xml:space="preserve"> nákup osobních dopravních prostředků, provoz osobních dopravních prostředků (pohonné hmoty, oleje a provozní náplně, náhradní díly, příslušenství a vybavení osobních dopravních prostředků, opravy a údržba, ostatní služby týkající se osobních dopravních prostředků, např. nájemné za garáž nesouvisející s bydlením, parkování, zapůjčení auta, dálniční známka, autoškola aj.), všechny druhy veřejné osobní dopravy a dopravní služby, poštovní služby, nákup telefonních přístrojů, příslušenství a karet, telefonické služby vč. služeb přenosu dat a informací,</w:t>
      </w:r>
    </w:p>
    <w:p w:rsidR="00EA4A8E" w:rsidRPr="00E42B84" w:rsidRDefault="00EA4A8E" w:rsidP="00DD627D">
      <w:pPr>
        <w:pStyle w:val="Zkladntext"/>
        <w:spacing w:before="120" w:after="0"/>
        <w:ind w:firstLine="425"/>
        <w:rPr>
          <w:sz w:val="20"/>
          <w:szCs w:val="20"/>
        </w:rPr>
      </w:pPr>
      <w:r w:rsidRPr="00E42B84">
        <w:rPr>
          <w:b/>
          <w:bCs/>
          <w:sz w:val="20"/>
          <w:szCs w:val="20"/>
        </w:rPr>
        <w:t>volný čas</w:t>
      </w:r>
      <w:r w:rsidRPr="00E42B84">
        <w:rPr>
          <w:sz w:val="20"/>
          <w:szCs w:val="20"/>
        </w:rPr>
        <w:t xml:space="preserve"> </w:t>
      </w:r>
      <w:r w:rsidRPr="00E42B84">
        <w:rPr>
          <w:b/>
          <w:bCs/>
          <w:sz w:val="20"/>
          <w:szCs w:val="20"/>
        </w:rPr>
        <w:sym w:font="Symbol" w:char="F02D"/>
      </w:r>
      <w:r w:rsidRPr="00E42B84">
        <w:rPr>
          <w:sz w:val="20"/>
          <w:szCs w:val="20"/>
        </w:rPr>
        <w:t xml:space="preserve"> zařízení pro příjem, záznam a reprodukci obrazu a zvuku (televizory a videa, radiopříjímače a magnetofony, CD přehrávače, fotoaparáty, počítače vč. software) a jejich opravy, média pro záznam zvuku a obrazu (gramofonové desky, videokazety, CD disky, magnetofonové pásky, filmy), výrobky a zařízení pro rekreaci a sport, hudební nástroje, hračky, sběratelské předměty, květiny a potřeby pro jejich pěstování, domácí zvířata a potřeby pro jejich chov, veterinární služby, rekreační, kulturní a sportovní služby, poplatky za rozhlas a televizi, noviny, knihy a papírenské zboží, rekreace s komplexními službami zahraniční a domácí,</w:t>
      </w:r>
    </w:p>
    <w:p w:rsidR="00EA4A8E" w:rsidRPr="00E42B84" w:rsidRDefault="00EA4A8E" w:rsidP="00DD627D">
      <w:pPr>
        <w:pStyle w:val="Zkladntext"/>
        <w:spacing w:before="120" w:after="0"/>
        <w:ind w:firstLine="425"/>
        <w:rPr>
          <w:sz w:val="20"/>
          <w:szCs w:val="20"/>
        </w:rPr>
      </w:pPr>
      <w:r w:rsidRPr="00E42B84">
        <w:rPr>
          <w:b/>
          <w:bCs/>
          <w:sz w:val="20"/>
          <w:szCs w:val="20"/>
        </w:rPr>
        <w:t>stravovací a ubytovací služby</w:t>
      </w:r>
      <w:r w:rsidRPr="00E42B84">
        <w:rPr>
          <w:sz w:val="20"/>
          <w:szCs w:val="20"/>
        </w:rPr>
        <w:t xml:space="preserve"> </w:t>
      </w:r>
      <w:r w:rsidRPr="00E42B84">
        <w:rPr>
          <w:b/>
          <w:bCs/>
          <w:sz w:val="20"/>
          <w:szCs w:val="20"/>
        </w:rPr>
        <w:sym w:font="Symbol" w:char="F02D"/>
      </w:r>
      <w:r w:rsidRPr="00E42B84">
        <w:rPr>
          <w:sz w:val="20"/>
          <w:szCs w:val="20"/>
        </w:rPr>
        <w:t xml:space="preserve"> jídla (bez nápojů) v restauracích aj. stravovacích zařízeních </w:t>
      </w:r>
      <w:r w:rsidR="009671CA">
        <w:rPr>
          <w:sz w:val="20"/>
          <w:szCs w:val="20"/>
        </w:rPr>
        <w:t>vč. </w:t>
      </w:r>
      <w:r w:rsidRPr="00E42B84">
        <w:rPr>
          <w:sz w:val="20"/>
          <w:szCs w:val="20"/>
        </w:rPr>
        <w:t>dopravních prostředků, svatební a jiné hostiny v podnicích veřejného stravování, dodávaná hotová jídla, jídla v závodních a školních jídelnách, stravování v mateřských školách; ubytování v hotelech, penzionech, turistických ubytovnách, kempech, v soukromí aj.,</w:t>
      </w:r>
    </w:p>
    <w:p w:rsidR="00EA4A8E" w:rsidRPr="00E42B84" w:rsidRDefault="00EA4A8E" w:rsidP="00DD627D">
      <w:pPr>
        <w:pStyle w:val="Zkladntext"/>
        <w:spacing w:before="120" w:after="0"/>
        <w:ind w:firstLine="425"/>
        <w:rPr>
          <w:sz w:val="20"/>
          <w:szCs w:val="20"/>
        </w:rPr>
      </w:pPr>
      <w:r w:rsidRPr="00E42B84">
        <w:rPr>
          <w:sz w:val="20"/>
          <w:szCs w:val="20"/>
        </w:rPr>
        <w:t>náplň ostatních položek je zřejmá z jejich názvu.</w:t>
      </w:r>
    </w:p>
    <w:p w:rsidR="00EA4A8E" w:rsidRPr="00E42B84" w:rsidRDefault="00EA4A8E" w:rsidP="00DD627D">
      <w:pPr>
        <w:pStyle w:val="Zkladntext"/>
        <w:spacing w:before="120" w:after="0"/>
        <w:ind w:firstLine="425"/>
        <w:rPr>
          <w:sz w:val="20"/>
          <w:szCs w:val="20"/>
        </w:rPr>
      </w:pPr>
      <w:r w:rsidRPr="00E42B84">
        <w:rPr>
          <w:sz w:val="20"/>
          <w:szCs w:val="20"/>
        </w:rPr>
        <w:t>Pro třídění spotřebních vydání se v SRÚ od roku 1999</w:t>
      </w:r>
      <w:r w:rsidR="001A3CC1">
        <w:rPr>
          <w:sz w:val="20"/>
          <w:szCs w:val="20"/>
        </w:rPr>
        <w:t xml:space="preserve"> používá klasifikace CZ-COICOP </w:t>
      </w:r>
      <w:r w:rsidRPr="00E42B84">
        <w:rPr>
          <w:sz w:val="20"/>
          <w:szCs w:val="20"/>
        </w:rPr>
        <w:t>Klasifikace in</w:t>
      </w:r>
      <w:r w:rsidR="001A3CC1">
        <w:rPr>
          <w:sz w:val="20"/>
          <w:szCs w:val="20"/>
        </w:rPr>
        <w:t>dividuální spotřeby podle účelu</w:t>
      </w:r>
      <w:r w:rsidRPr="00E42B84">
        <w:rPr>
          <w:sz w:val="20"/>
          <w:szCs w:val="20"/>
        </w:rPr>
        <w:t xml:space="preserve">. Uplatněním této klasifikace se změnil způsob zatřiďování položek, přičemž u některých sledovaných položek se proti třídění používanému do </w:t>
      </w:r>
      <w:r w:rsidR="009671CA">
        <w:rPr>
          <w:sz w:val="20"/>
          <w:szCs w:val="20"/>
        </w:rPr>
        <w:t>r. </w:t>
      </w:r>
      <w:r w:rsidRPr="00E42B84">
        <w:rPr>
          <w:sz w:val="20"/>
          <w:szCs w:val="20"/>
        </w:rPr>
        <w:t>1998 včetně podstatně změnila jejich vnitřní náplň. Aby bylo možné porovnávat údaje v časové řadě, bylo nutno náplň skupin vydání upravit, takže již přesně neodpovídají ani dříve publikovaným údajům ani klasifikaci CZ-COICOP.</w:t>
      </w:r>
    </w:p>
    <w:p w:rsidR="00EA4A8E" w:rsidRPr="00246B03" w:rsidRDefault="00EA4A8E" w:rsidP="00DD627D">
      <w:pPr>
        <w:pStyle w:val="titulek1"/>
        <w:spacing w:before="360" w:after="0"/>
        <w:rPr>
          <w:rFonts w:cs="Arial"/>
          <w:caps/>
        </w:rPr>
      </w:pPr>
      <w:r w:rsidRPr="00246B03">
        <w:rPr>
          <w:rFonts w:cs="Arial"/>
          <w:caps/>
        </w:rPr>
        <w:t>Zaměstnanci a mzdy</w:t>
      </w:r>
    </w:p>
    <w:p w:rsidR="00EA4A8E" w:rsidRPr="00E42B84" w:rsidRDefault="00EA4A8E" w:rsidP="00DD627D">
      <w:pPr>
        <w:pStyle w:val="Zkladntext"/>
        <w:spacing w:before="120" w:after="0"/>
        <w:ind w:firstLine="425"/>
        <w:rPr>
          <w:rFonts w:cs="Arial"/>
          <w:sz w:val="20"/>
        </w:rPr>
      </w:pPr>
      <w:r w:rsidRPr="00E42B84">
        <w:rPr>
          <w:rFonts w:cs="Arial"/>
          <w:sz w:val="20"/>
        </w:rPr>
        <w:t>Údaje se týkají zaměstnanců v evidenčním počtu ekonomických subjektů, který zahrnuje osoby v pracovním, služ</w:t>
      </w:r>
      <w:r w:rsidR="001A3CC1">
        <w:rPr>
          <w:rFonts w:cs="Arial"/>
          <w:sz w:val="20"/>
        </w:rPr>
        <w:t>ebním nebo členském poměru (</w:t>
      </w:r>
      <w:r w:rsidRPr="00E42B84">
        <w:rPr>
          <w:rFonts w:cs="Arial"/>
          <w:sz w:val="20"/>
        </w:rPr>
        <w:t>součástí členství je též pracovní vztah) k zaměstnavate</w:t>
      </w:r>
      <w:r w:rsidR="00DD627D">
        <w:rPr>
          <w:rFonts w:cs="Arial"/>
          <w:sz w:val="20"/>
        </w:rPr>
        <w:t>li (dále jen „pracovní poměr“).</w:t>
      </w:r>
    </w:p>
    <w:p w:rsidR="00EA4A8E" w:rsidRPr="00E42B84" w:rsidRDefault="00EA4A8E" w:rsidP="00DD627D">
      <w:pPr>
        <w:pStyle w:val="Zkladntext"/>
        <w:spacing w:before="120" w:after="0"/>
        <w:ind w:firstLine="425"/>
        <w:rPr>
          <w:rFonts w:cs="Arial"/>
          <w:sz w:val="20"/>
        </w:rPr>
      </w:pPr>
      <w:r w:rsidRPr="00E42B84">
        <w:rPr>
          <w:rFonts w:cs="Arial"/>
          <w:sz w:val="20"/>
        </w:rPr>
        <w:t>V údajích o počtu zaměstnanců a průměrných hrubých měsíčních mzdách nejsou zahrnuty osoby vykonávající veřejné funkce (např. poslanci, senátoři, uvolnění členové zastupitelstev všech stupňů), soudci, ženy na mateřské dovolené, osoby na rodičovské dovolené (nepracují-li současně v pracovním poměru), učni, osoby pracující pro firmu na základě dohod o pracích konaných mimo pracovní poměr, zaměstnanci ekonomických subjektů statisticky nesledovaných.</w:t>
      </w:r>
    </w:p>
    <w:p w:rsidR="00EA4A8E" w:rsidRPr="00E42B84" w:rsidRDefault="00EA4A8E" w:rsidP="00DD627D">
      <w:pPr>
        <w:pStyle w:val="Zkladntext"/>
        <w:spacing w:before="120" w:after="0"/>
        <w:ind w:firstLine="425"/>
        <w:rPr>
          <w:rFonts w:cs="Arial"/>
          <w:b/>
          <w:bCs/>
          <w:sz w:val="20"/>
        </w:rPr>
      </w:pPr>
      <w:r w:rsidRPr="00E42B84">
        <w:rPr>
          <w:rFonts w:cs="Arial"/>
          <w:sz w:val="20"/>
        </w:rPr>
        <w:t xml:space="preserve">Průměrná hrubá měsíční mzda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w:t>
      </w:r>
      <w:r w:rsidR="009671CA">
        <w:rPr>
          <w:rFonts w:cs="Arial"/>
          <w:sz w:val="20"/>
        </w:rPr>
        <w:t>k </w:t>
      </w:r>
      <w:r w:rsidRPr="00E42B84">
        <w:rPr>
          <w:rFonts w:cs="Arial"/>
          <w:sz w:val="20"/>
        </w:rPr>
        <w:t>výplatě. Nezahrnují se náhrady mzdy nebo platu za dobu trvání dočasné pracovní neschopnosti nebo karantény placené zaměstnavatelem. Jedná se o hrubé mzdy, tj. pře</w:t>
      </w:r>
      <w:r w:rsidR="00E36DCF">
        <w:rPr>
          <w:rFonts w:cs="Arial"/>
          <w:sz w:val="20"/>
        </w:rPr>
        <w:t>d snížením o pojistné na veřej</w:t>
      </w:r>
      <w:r w:rsidRPr="00E42B84">
        <w:rPr>
          <w:rFonts w:cs="Arial"/>
          <w:sz w:val="20"/>
        </w:rPr>
        <w:t>né zdravotní pojištění a sociální zabezpečení, zálohové splátky</w:t>
      </w:r>
      <w:r w:rsidR="009671CA">
        <w:rPr>
          <w:rFonts w:cs="Arial"/>
          <w:sz w:val="20"/>
        </w:rPr>
        <w:t xml:space="preserve"> daně z příjmů fyzických osob a </w:t>
      </w:r>
      <w:r w:rsidRPr="00E42B84">
        <w:rPr>
          <w:rFonts w:cs="Arial"/>
          <w:sz w:val="20"/>
        </w:rPr>
        <w:t>další zákonné nebo se zaměstnancem dohodnuté srážky.</w:t>
      </w:r>
    </w:p>
    <w:p w:rsidR="00EA4A8E" w:rsidRPr="00E42B84" w:rsidRDefault="00EA4A8E" w:rsidP="00DD627D">
      <w:pPr>
        <w:spacing w:before="120"/>
        <w:ind w:firstLine="425"/>
        <w:jc w:val="both"/>
        <w:rPr>
          <w:rFonts w:ascii="Arial" w:hAnsi="Arial" w:cs="Arial"/>
          <w:sz w:val="20"/>
        </w:rPr>
      </w:pPr>
      <w:r w:rsidRPr="00E42B84">
        <w:rPr>
          <w:rFonts w:ascii="Arial" w:hAnsi="Arial" w:cs="Arial"/>
          <w:b/>
          <w:bCs/>
          <w:sz w:val="20"/>
        </w:rPr>
        <w:t>Od 1. čtvrtletí 2009</w:t>
      </w:r>
      <w:r w:rsidRPr="00E42B84">
        <w:rPr>
          <w:rFonts w:ascii="Arial" w:hAnsi="Arial" w:cs="Arial"/>
          <w:sz w:val="20"/>
        </w:rPr>
        <w:t xml:space="preserve"> došlo ve statistice práce a mezd ke změnám v metodice zjišťování </w:t>
      </w:r>
      <w:r w:rsidR="009671CA">
        <w:rPr>
          <w:rFonts w:ascii="Arial" w:hAnsi="Arial" w:cs="Arial"/>
          <w:sz w:val="20"/>
        </w:rPr>
        <w:t>a </w:t>
      </w:r>
      <w:r w:rsidRPr="00E42B84">
        <w:rPr>
          <w:rFonts w:ascii="Arial" w:hAnsi="Arial" w:cs="Arial"/>
          <w:sz w:val="20"/>
        </w:rPr>
        <w:t>prezentaci výsledků.</w:t>
      </w:r>
    </w:p>
    <w:p w:rsidR="00EA4A8E" w:rsidRPr="00E42B84" w:rsidRDefault="00EA4A8E" w:rsidP="00DD627D">
      <w:pPr>
        <w:spacing w:before="120"/>
        <w:ind w:firstLine="425"/>
        <w:jc w:val="both"/>
        <w:rPr>
          <w:rFonts w:ascii="Arial" w:hAnsi="Arial" w:cs="Arial"/>
          <w:b/>
          <w:sz w:val="20"/>
        </w:rPr>
      </w:pPr>
      <w:r w:rsidRPr="00E42B84">
        <w:rPr>
          <w:rFonts w:ascii="Arial" w:hAnsi="Arial" w:cs="Arial"/>
          <w:b/>
          <w:sz w:val="20"/>
        </w:rPr>
        <w:t>Mezi nejdůležitější změny v metodice patří:</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 xml:space="preserve">údaje jsou zpracovávány a publikovány podle nové Klasifikace ekonomických činností </w:t>
      </w:r>
      <w:r w:rsidR="009671CA">
        <w:rPr>
          <w:rFonts w:ascii="Arial" w:hAnsi="Arial" w:cs="Arial"/>
          <w:sz w:val="20"/>
        </w:rPr>
        <w:t>CZ NACE </w:t>
      </w:r>
      <w:r w:rsidRPr="00E42B84">
        <w:rPr>
          <w:rFonts w:ascii="Arial" w:hAnsi="Arial" w:cs="Arial"/>
          <w:sz w:val="20"/>
        </w:rPr>
        <w:t>(národní verze NACE Rev.2), která nahradila dříve používanou klasifikaci OKEČ (národní verze NACE Rev.1.1),</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byly uplatněny nové metody odhadů non-response a nově zavedeny doodhady za nešetřenou část populace, které vycházejí z administrativních zdrojů dat,</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údaje o počtu zaměstnanců a průměrných mzdách jsou uvedeny v přepočtu na plně zaměstnané (dříve na fyzické osoby)</w:t>
      </w:r>
      <w:r w:rsidR="00DD627D">
        <w:rPr>
          <w:rFonts w:ascii="Arial" w:hAnsi="Arial" w:cs="Arial"/>
          <w:sz w:val="20"/>
        </w:rPr>
        <w:t>, za celé národní hospodářství.</w:t>
      </w:r>
    </w:p>
    <w:p w:rsidR="00EA4A8E" w:rsidRPr="00E42B84" w:rsidRDefault="00EA4A8E" w:rsidP="00DD627D">
      <w:pPr>
        <w:spacing w:before="120"/>
        <w:ind w:firstLine="425"/>
        <w:jc w:val="both"/>
        <w:rPr>
          <w:rFonts w:ascii="Arial" w:hAnsi="Arial" w:cs="Arial"/>
          <w:sz w:val="20"/>
        </w:rPr>
      </w:pPr>
      <w:r w:rsidRPr="00E42B84">
        <w:rPr>
          <w:rFonts w:ascii="Arial" w:hAnsi="Arial" w:cs="Arial"/>
          <w:sz w:val="20"/>
        </w:rPr>
        <w:lastRenderedPageBreak/>
        <w:t>Průměrný evidenční počet zaměstnanců přepočtený je přepočtem průměrného evidenčního počtu zaměstnanců ve fyzických osobách podle délky jejich pracovních úvazků na zaměstnavatelem stanovenou (plnou) pracovní dobu.</w:t>
      </w:r>
    </w:p>
    <w:p w:rsidR="00EA4A8E" w:rsidRPr="00E42B84" w:rsidRDefault="00EA4A8E" w:rsidP="00DD627D">
      <w:pPr>
        <w:spacing w:before="120"/>
        <w:ind w:firstLine="425"/>
        <w:jc w:val="both"/>
        <w:rPr>
          <w:rFonts w:ascii="Arial" w:hAnsi="Arial" w:cs="Arial"/>
          <w:sz w:val="20"/>
        </w:rPr>
      </w:pPr>
      <w:r w:rsidRPr="00E42B84">
        <w:rPr>
          <w:rFonts w:ascii="Arial" w:hAnsi="Arial" w:cs="Arial"/>
          <w:sz w:val="20"/>
        </w:rPr>
        <w:t>Průměrná hrubá měsíční mzda za celé národní hospodářství zahrnuje údaje za všechny zaměstnance. Je uvedena na přepočtené počty zaměstnanců, zohledňuje tak délku pracovních úvazků zaměstnanců.</w:t>
      </w:r>
    </w:p>
    <w:p w:rsidR="00EA4A8E" w:rsidRPr="00246B03" w:rsidRDefault="00EA4A8E" w:rsidP="00DD627D">
      <w:pPr>
        <w:pStyle w:val="titulek1"/>
        <w:spacing w:before="360" w:after="0"/>
        <w:rPr>
          <w:rFonts w:cs="Arial"/>
          <w:caps/>
        </w:rPr>
      </w:pPr>
      <w:r w:rsidRPr="00246B03">
        <w:rPr>
          <w:rFonts w:cs="Arial"/>
          <w:caps/>
        </w:rPr>
        <w:t>Index nákladů práce</w:t>
      </w:r>
    </w:p>
    <w:p w:rsidR="00EA4A8E" w:rsidRPr="00E42B84" w:rsidRDefault="00EA4A8E" w:rsidP="00DD627D">
      <w:pPr>
        <w:pStyle w:val="Zkladntext"/>
        <w:spacing w:before="120" w:after="0"/>
        <w:ind w:firstLine="425"/>
        <w:rPr>
          <w:rFonts w:cs="Arial"/>
          <w:sz w:val="20"/>
        </w:rPr>
      </w:pPr>
      <w:r w:rsidRPr="00E42B84">
        <w:rPr>
          <w:rFonts w:cs="Arial"/>
          <w:b/>
          <w:bCs/>
          <w:sz w:val="20"/>
        </w:rPr>
        <w:t>Index nákladů práce</w:t>
      </w:r>
      <w:r w:rsidRPr="00E42B84">
        <w:rPr>
          <w:rFonts w:cs="Arial"/>
          <w:sz w:val="20"/>
        </w:rPr>
        <w:t xml:space="preserve"> je čtvrtletní ukazatel vývoje trhu práce, který měří změnu hodinových nákladů práce v aktuálním čtvrtletí k</w:t>
      </w:r>
      <w:r w:rsidR="00A56FE7">
        <w:rPr>
          <w:rFonts w:cs="Arial"/>
          <w:sz w:val="20"/>
        </w:rPr>
        <w:t xml:space="preserve"> základnímu období (celý rok 2012</w:t>
      </w:r>
      <w:r w:rsidRPr="00E42B84">
        <w:rPr>
          <w:rFonts w:cs="Arial"/>
          <w:sz w:val="20"/>
        </w:rPr>
        <w:t xml:space="preserve">). Výpočet vychází z existujících datových zdrojů: data o mzdách jsou přebírána ze čtvrtletního výkaznictví ČSÚ </w:t>
      </w:r>
      <w:r w:rsidRPr="00E42B84">
        <w:rPr>
          <w:rFonts w:cs="Arial"/>
          <w:b/>
          <w:sz w:val="20"/>
        </w:rPr>
        <w:sym w:font="Symbol" w:char="F02D"/>
      </w:r>
      <w:r w:rsidRPr="00E42B84">
        <w:rPr>
          <w:rFonts w:cs="Arial"/>
          <w:sz w:val="20"/>
        </w:rPr>
        <w:t xml:space="preserve"> odhady za celé národní hospodářství; ostatní náklady práce jsou konstruovány jako odhady ze struktury ročního šetření o úplných nákladech práce; data za odpracované hodiny jsou vypočtena pomocí skutečně odpracovaných hodin za týden ve čtvrtletí z Výběrového šetření pracovních sil</w:t>
      </w:r>
      <w:r w:rsidR="001A3CC1">
        <w:rPr>
          <w:rFonts w:cs="Arial"/>
          <w:sz w:val="20"/>
        </w:rPr>
        <w:t xml:space="preserve"> (VŠPS)</w:t>
      </w:r>
      <w:r w:rsidRPr="00E42B84">
        <w:rPr>
          <w:rFonts w:cs="Arial"/>
          <w:sz w:val="20"/>
        </w:rPr>
        <w:t xml:space="preserve">. Schéma výpočtu LCI je legislativně upraveno nařízením Evropské Rady a Parlamentu č. 450/2003 </w:t>
      </w:r>
      <w:r w:rsidR="009671CA">
        <w:rPr>
          <w:rFonts w:cs="Arial"/>
          <w:sz w:val="20"/>
        </w:rPr>
        <w:t>a </w:t>
      </w:r>
      <w:r w:rsidRPr="00E42B84">
        <w:rPr>
          <w:rFonts w:cs="Arial"/>
          <w:sz w:val="20"/>
        </w:rPr>
        <w:t>dále nařízením</w:t>
      </w:r>
      <w:r w:rsidR="00DD627D">
        <w:rPr>
          <w:rFonts w:cs="Arial"/>
          <w:sz w:val="20"/>
        </w:rPr>
        <w:t xml:space="preserve"> Evropské komise č. 1 216/2003.</w:t>
      </w:r>
    </w:p>
    <w:p w:rsidR="00EA4A8E" w:rsidRPr="00E42B84" w:rsidRDefault="00EA4A8E" w:rsidP="00DD627D">
      <w:pPr>
        <w:pStyle w:val="Zkladntext"/>
        <w:spacing w:before="120" w:after="0"/>
        <w:ind w:firstLine="425"/>
        <w:rPr>
          <w:rFonts w:cs="Arial"/>
          <w:sz w:val="20"/>
          <w:szCs w:val="16"/>
        </w:rPr>
      </w:pPr>
      <w:r w:rsidRPr="00E42B84">
        <w:rPr>
          <w:rFonts w:cs="Arial"/>
          <w:b/>
          <w:bCs/>
          <w:sz w:val="20"/>
          <w:szCs w:val="16"/>
        </w:rPr>
        <w:t>Úplné náklady práce</w:t>
      </w:r>
      <w:r w:rsidRPr="00E42B84">
        <w:rPr>
          <w:rFonts w:cs="Arial"/>
          <w:sz w:val="20"/>
          <w:szCs w:val="16"/>
        </w:rPr>
        <w:t xml:space="preserve"> jsou celkové náklady zaměstnavatele na získání a výchovu zaměstnanců, na odměňování za práci a na zabezpečení sociálních potřeb zaměstnanců. Zahrnují mzdy a platy (včetně náhrady mzdy za neodpracovanou dobu), sociální náklady a výdaje (zákonné a dobrovolné), sociální požitky, personální náklady a daně a dotace související se zaměstnáváním lidí.</w:t>
      </w:r>
    </w:p>
    <w:p w:rsidR="00EA4A8E" w:rsidRPr="00246B03" w:rsidRDefault="00DD627D" w:rsidP="00DD627D">
      <w:pPr>
        <w:pStyle w:val="titulek1"/>
        <w:spacing w:before="360" w:after="0"/>
        <w:rPr>
          <w:rFonts w:cs="Arial"/>
          <w:caps/>
        </w:rPr>
      </w:pPr>
      <w:r>
        <w:rPr>
          <w:rFonts w:cs="Arial"/>
          <w:caps/>
        </w:rPr>
        <w:t>Nezaměstnanost</w:t>
      </w:r>
    </w:p>
    <w:p w:rsidR="00EA4A8E" w:rsidRPr="00E42B84" w:rsidRDefault="00EA4A8E" w:rsidP="00DD627D">
      <w:pPr>
        <w:pStyle w:val="Zkladntext"/>
        <w:spacing w:before="120" w:after="0"/>
        <w:ind w:firstLine="425"/>
        <w:rPr>
          <w:rFonts w:cs="Arial"/>
          <w:sz w:val="20"/>
        </w:rPr>
      </w:pPr>
      <w:r w:rsidRPr="00E42B84">
        <w:rPr>
          <w:rFonts w:cs="Arial"/>
          <w:sz w:val="20"/>
        </w:rPr>
        <w:t>Zdrojem dat o počtech neumístěných uchazečů o zaměstnání evidovaných na úřadech práce je Ministe</w:t>
      </w:r>
      <w:r w:rsidR="00775499">
        <w:rPr>
          <w:rFonts w:cs="Arial"/>
          <w:sz w:val="20"/>
        </w:rPr>
        <w:t>rstvo práce a sociálních věcí</w:t>
      </w:r>
      <w:r w:rsidR="005354F9">
        <w:rPr>
          <w:rFonts w:cs="Arial"/>
          <w:sz w:val="20"/>
        </w:rPr>
        <w:t xml:space="preserve"> (MPSV)</w:t>
      </w:r>
      <w:r w:rsidRPr="00E42B84">
        <w:rPr>
          <w:rFonts w:cs="Arial"/>
          <w:sz w:val="20"/>
        </w:rPr>
        <w:t>.</w:t>
      </w:r>
    </w:p>
    <w:p w:rsidR="00EA4A8E" w:rsidRPr="00E42B84" w:rsidRDefault="005354F9" w:rsidP="00DD627D">
      <w:pPr>
        <w:spacing w:before="120"/>
        <w:ind w:firstLine="425"/>
        <w:jc w:val="both"/>
        <w:rPr>
          <w:rFonts w:ascii="Arial" w:hAnsi="Arial" w:cs="Arial"/>
          <w:sz w:val="20"/>
          <w:szCs w:val="20"/>
        </w:rPr>
      </w:pPr>
      <w:r>
        <w:rPr>
          <w:rFonts w:ascii="Arial" w:hAnsi="Arial" w:cs="Arial"/>
          <w:sz w:val="20"/>
          <w:szCs w:val="20"/>
        </w:rPr>
        <w:t>MPSV</w:t>
      </w:r>
      <w:r w:rsidR="00EA4A8E" w:rsidRPr="00E42B84">
        <w:rPr>
          <w:rFonts w:ascii="Arial" w:hAnsi="Arial" w:cs="Arial"/>
          <w:sz w:val="20"/>
          <w:szCs w:val="20"/>
        </w:rPr>
        <w:t xml:space="preserve"> počínaje lednem 2013 přechází na nový ukazatel registrované nezaměstnanosti v ČR </w:t>
      </w:r>
      <w:r w:rsidR="009671CA">
        <w:rPr>
          <w:rFonts w:ascii="Arial" w:hAnsi="Arial" w:cs="Arial"/>
          <w:sz w:val="20"/>
          <w:szCs w:val="20"/>
        </w:rPr>
        <w:t>s </w:t>
      </w:r>
      <w:r w:rsidR="00EA4A8E" w:rsidRPr="00E42B84">
        <w:rPr>
          <w:rFonts w:ascii="Arial" w:hAnsi="Arial" w:cs="Arial"/>
          <w:sz w:val="20"/>
          <w:szCs w:val="20"/>
        </w:rPr>
        <w:t xml:space="preserve">názvem </w:t>
      </w:r>
      <w:r w:rsidR="00EA4A8E" w:rsidRPr="00E42B84">
        <w:rPr>
          <w:rFonts w:ascii="Arial" w:hAnsi="Arial" w:cs="Arial"/>
          <w:b/>
          <w:bCs/>
          <w:sz w:val="20"/>
          <w:szCs w:val="20"/>
        </w:rPr>
        <w:t>Podíl nezaměstnaných osob</w:t>
      </w:r>
      <w:r w:rsidR="00EA4A8E" w:rsidRPr="00E42B84">
        <w:rPr>
          <w:rFonts w:ascii="Arial" w:hAnsi="Arial" w:cs="Arial"/>
          <w:sz w:val="20"/>
          <w:szCs w:val="20"/>
        </w:rPr>
        <w:t>, který vyjadřuje podíl dosažitelných u</w:t>
      </w:r>
      <w:r w:rsidR="00234F45">
        <w:rPr>
          <w:rFonts w:ascii="Arial" w:hAnsi="Arial" w:cs="Arial"/>
          <w:sz w:val="20"/>
          <w:szCs w:val="20"/>
        </w:rPr>
        <w:t>chazečů o zaměstnání ve věku 15–</w:t>
      </w:r>
      <w:r w:rsidR="00EA4A8E" w:rsidRPr="00E42B84">
        <w:rPr>
          <w:rFonts w:ascii="Arial" w:hAnsi="Arial" w:cs="Arial"/>
          <w:sz w:val="20"/>
          <w:szCs w:val="20"/>
        </w:rPr>
        <w:t>64 let ze všech obyvatel ve stejném věku. Tento ukazatel nahrazuje doposud zveřejňovanou míru registrované nezaměstnanosti, která poměřuje</w:t>
      </w:r>
      <w:r w:rsidR="009671CA">
        <w:rPr>
          <w:rFonts w:ascii="Arial" w:hAnsi="Arial" w:cs="Arial"/>
          <w:sz w:val="20"/>
          <w:szCs w:val="20"/>
        </w:rPr>
        <w:t xml:space="preserve"> všechny dosažitelné uchazeče o </w:t>
      </w:r>
      <w:r w:rsidR="00EA4A8E" w:rsidRPr="00E42B84">
        <w:rPr>
          <w:rFonts w:ascii="Arial" w:hAnsi="Arial" w:cs="Arial"/>
          <w:sz w:val="20"/>
          <w:szCs w:val="20"/>
        </w:rPr>
        <w:t>zaměstnání pouze k ekonomicky aktivním osobám.</w:t>
      </w:r>
    </w:p>
    <w:p w:rsidR="00EA4A8E" w:rsidRPr="00E42B84" w:rsidRDefault="00EA4A8E" w:rsidP="00DD627D">
      <w:pPr>
        <w:spacing w:before="120"/>
        <w:ind w:firstLine="425"/>
        <w:jc w:val="both"/>
        <w:rPr>
          <w:rFonts w:ascii="Arial" w:hAnsi="Arial" w:cs="Arial"/>
          <w:b/>
          <w:sz w:val="20"/>
          <w:szCs w:val="20"/>
        </w:rPr>
      </w:pPr>
      <w:r w:rsidRPr="00E42B84">
        <w:rPr>
          <w:rFonts w:ascii="Arial" w:hAnsi="Arial" w:cs="Arial"/>
          <w:b/>
          <w:sz w:val="20"/>
          <w:szCs w:val="20"/>
        </w:rPr>
        <w:t>Důvody pro změnu ukazatele registrované nezaměstnanosti:</w:t>
      </w:r>
    </w:p>
    <w:p w:rsidR="00D8585B" w:rsidRPr="00D8585B" w:rsidRDefault="00D8585B" w:rsidP="00D8585B">
      <w:pPr>
        <w:pStyle w:val="Odstavecseseznamem"/>
        <w:numPr>
          <w:ilvl w:val="0"/>
          <w:numId w:val="17"/>
        </w:numPr>
        <w:spacing w:before="120"/>
        <w:jc w:val="both"/>
        <w:rPr>
          <w:rFonts w:ascii="Arial" w:hAnsi="Arial" w:cs="Arial"/>
          <w:sz w:val="20"/>
          <w:szCs w:val="20"/>
        </w:rPr>
      </w:pPr>
      <w:r>
        <w:rPr>
          <w:rFonts w:ascii="Arial" w:hAnsi="Arial" w:cs="Arial"/>
          <w:sz w:val="20"/>
          <w:szCs w:val="20"/>
        </w:rPr>
        <w:t>U</w:t>
      </w:r>
      <w:r w:rsidR="00EA4A8E" w:rsidRPr="00D8585B">
        <w:rPr>
          <w:rFonts w:ascii="Arial" w:hAnsi="Arial" w:cs="Arial"/>
          <w:sz w:val="20"/>
          <w:szCs w:val="20"/>
        </w:rPr>
        <w:t xml:space="preserve">kazatel míry registrované nezaměstnanosti srovnává dosažitelné uchazeče o zaměstnání </w:t>
      </w:r>
      <w:r w:rsidR="009671CA">
        <w:rPr>
          <w:rFonts w:ascii="Arial" w:hAnsi="Arial" w:cs="Arial"/>
          <w:sz w:val="20"/>
          <w:szCs w:val="20"/>
        </w:rPr>
        <w:t>s </w:t>
      </w:r>
      <w:r w:rsidR="001A3CC1" w:rsidRPr="00D8585B">
        <w:rPr>
          <w:rFonts w:ascii="Arial" w:hAnsi="Arial" w:cs="Arial"/>
          <w:sz w:val="20"/>
          <w:szCs w:val="20"/>
        </w:rPr>
        <w:t>pracovní si</w:t>
      </w:r>
      <w:r w:rsidR="00EA4A8E" w:rsidRPr="00D8585B">
        <w:rPr>
          <w:rFonts w:ascii="Arial" w:hAnsi="Arial" w:cs="Arial"/>
          <w:sz w:val="20"/>
          <w:szCs w:val="20"/>
        </w:rPr>
        <w:t>lou tvořenou kombinací údajů z více zdrojů - dosažitelní uchazeči o zaměstnání z evidence ÚP, zaměstnané osoby z</w:t>
      </w:r>
      <w:r w:rsidR="005354F9">
        <w:rPr>
          <w:rFonts w:ascii="Arial" w:hAnsi="Arial" w:cs="Arial"/>
          <w:sz w:val="20"/>
          <w:szCs w:val="20"/>
        </w:rPr>
        <w:t> </w:t>
      </w:r>
      <w:r w:rsidR="00EA4A8E" w:rsidRPr="00D8585B">
        <w:rPr>
          <w:rFonts w:ascii="Arial" w:hAnsi="Arial" w:cs="Arial"/>
          <w:sz w:val="20"/>
          <w:szCs w:val="20"/>
        </w:rPr>
        <w:t>dat</w:t>
      </w:r>
      <w:r w:rsidR="005354F9">
        <w:rPr>
          <w:rFonts w:ascii="Arial" w:hAnsi="Arial" w:cs="Arial"/>
          <w:sz w:val="20"/>
          <w:szCs w:val="20"/>
        </w:rPr>
        <w:t xml:space="preserve"> VŠPS</w:t>
      </w:r>
      <w:r>
        <w:rPr>
          <w:rFonts w:ascii="Arial" w:hAnsi="Arial" w:cs="Arial"/>
          <w:sz w:val="20"/>
          <w:szCs w:val="20"/>
        </w:rPr>
        <w:t>.</w:t>
      </w:r>
    </w:p>
    <w:p w:rsidR="00D8585B" w:rsidRPr="00D8585B" w:rsidRDefault="00D8585B" w:rsidP="00D8585B">
      <w:pPr>
        <w:pStyle w:val="Odstavecseseznamem"/>
        <w:numPr>
          <w:ilvl w:val="0"/>
          <w:numId w:val="17"/>
        </w:numPr>
        <w:spacing w:before="120"/>
        <w:ind w:left="782" w:hanging="357"/>
        <w:contextualSpacing w:val="0"/>
        <w:jc w:val="both"/>
        <w:rPr>
          <w:rFonts w:ascii="Arial" w:hAnsi="Arial" w:cs="Arial"/>
          <w:sz w:val="20"/>
          <w:szCs w:val="20"/>
        </w:rPr>
      </w:pPr>
      <w:r>
        <w:rPr>
          <w:rFonts w:ascii="Arial" w:hAnsi="Arial" w:cs="Arial"/>
          <w:sz w:val="20"/>
          <w:szCs w:val="20"/>
        </w:rPr>
        <w:t>Ú</w:t>
      </w:r>
      <w:r w:rsidR="00EA4A8E" w:rsidRPr="00D8585B">
        <w:rPr>
          <w:rFonts w:ascii="Arial" w:hAnsi="Arial" w:cs="Arial"/>
          <w:sz w:val="20"/>
          <w:szCs w:val="20"/>
        </w:rPr>
        <w:t>daje o zaměstnanosti z VŠPS na úrovni okresů nejsou dostatečně reprezentativní, detailní výsledky trpí vyšší chybovostí, pro nižší územní celky zcela chybí (v souvislosti s úspornými opatřeními ve státní a veřejné správě další rozšiřování VŠPS tak, aby poskytovalo podrobnější údaje, nepřichází v úvahu, VŠPS bude naopak omezeno pouze na zabezpečení požadavků vyplý</w:t>
      </w:r>
      <w:r>
        <w:rPr>
          <w:rFonts w:ascii="Arial" w:hAnsi="Arial" w:cs="Arial"/>
          <w:sz w:val="20"/>
          <w:szCs w:val="20"/>
        </w:rPr>
        <w:t>vajících z mezinárodních dohod).</w:t>
      </w:r>
    </w:p>
    <w:p w:rsidR="00EA4A8E" w:rsidRPr="00D8585B" w:rsidRDefault="00D8585B" w:rsidP="00D8585B">
      <w:pPr>
        <w:pStyle w:val="Odstavecseseznamem"/>
        <w:numPr>
          <w:ilvl w:val="0"/>
          <w:numId w:val="17"/>
        </w:numPr>
        <w:spacing w:before="120"/>
        <w:ind w:left="782" w:hanging="357"/>
        <w:contextualSpacing w:val="0"/>
        <w:jc w:val="both"/>
        <w:rPr>
          <w:rFonts w:ascii="Arial" w:hAnsi="Arial" w:cs="Arial"/>
          <w:sz w:val="20"/>
          <w:szCs w:val="20"/>
        </w:rPr>
      </w:pPr>
      <w:r>
        <w:rPr>
          <w:rFonts w:ascii="Arial" w:hAnsi="Arial" w:cs="Arial"/>
          <w:sz w:val="20"/>
          <w:szCs w:val="20"/>
        </w:rPr>
        <w:t>N</w:t>
      </w:r>
      <w:r w:rsidR="00EA4A8E" w:rsidRPr="00D8585B">
        <w:rPr>
          <w:rFonts w:ascii="Arial" w:hAnsi="Arial" w:cs="Arial"/>
          <w:sz w:val="20"/>
          <w:szCs w:val="20"/>
        </w:rPr>
        <w:t xml:space="preserve">ezanedbatelným důvodem je také srovnávání nebo záměna míry nezaměstnanosti MPSV </w:t>
      </w:r>
      <w:r w:rsidR="009671CA">
        <w:rPr>
          <w:rFonts w:ascii="Arial" w:hAnsi="Arial" w:cs="Arial"/>
          <w:sz w:val="20"/>
          <w:szCs w:val="20"/>
        </w:rPr>
        <w:t>a </w:t>
      </w:r>
      <w:r>
        <w:rPr>
          <w:rFonts w:ascii="Arial" w:hAnsi="Arial" w:cs="Arial"/>
          <w:sz w:val="20"/>
          <w:szCs w:val="20"/>
        </w:rPr>
        <w:t>VŠPS</w:t>
      </w:r>
      <w:r w:rsidR="00EA4A8E" w:rsidRPr="00D8585B">
        <w:rPr>
          <w:rFonts w:ascii="Arial" w:hAnsi="Arial" w:cs="Arial"/>
          <w:sz w:val="20"/>
          <w:szCs w:val="20"/>
        </w:rPr>
        <w:t xml:space="preserve"> a</w:t>
      </w:r>
      <w:r>
        <w:rPr>
          <w:rFonts w:ascii="Arial" w:hAnsi="Arial" w:cs="Arial"/>
          <w:sz w:val="20"/>
          <w:szCs w:val="20"/>
        </w:rPr>
        <w:t xml:space="preserve"> jejich nesprávná interpretace.</w:t>
      </w:r>
    </w:p>
    <w:p w:rsidR="00EA4A8E" w:rsidRPr="00E42B84" w:rsidRDefault="00EA4A8E" w:rsidP="00DD627D">
      <w:pPr>
        <w:spacing w:before="120"/>
        <w:ind w:firstLine="425"/>
        <w:jc w:val="both"/>
        <w:rPr>
          <w:rFonts w:ascii="Arial" w:hAnsi="Arial" w:cs="Arial"/>
          <w:sz w:val="20"/>
          <w:szCs w:val="20"/>
        </w:rPr>
      </w:pPr>
      <w:r w:rsidRPr="00E42B84">
        <w:rPr>
          <w:rFonts w:ascii="Arial" w:hAnsi="Arial" w:cs="Arial"/>
          <w:sz w:val="20"/>
          <w:szCs w:val="20"/>
        </w:rPr>
        <w:t xml:space="preserve">Nový ukazatel </w:t>
      </w:r>
      <w:r w:rsidRPr="00E42B84">
        <w:rPr>
          <w:rFonts w:ascii="Arial" w:hAnsi="Arial" w:cs="Arial"/>
          <w:b/>
          <w:bCs/>
          <w:sz w:val="20"/>
          <w:szCs w:val="20"/>
        </w:rPr>
        <w:t>Podíl nezaměstnaných osob</w:t>
      </w:r>
      <w:r w:rsidRPr="00E42B84">
        <w:rPr>
          <w:rFonts w:ascii="Arial" w:hAnsi="Arial" w:cs="Arial"/>
          <w:sz w:val="20"/>
          <w:szCs w:val="20"/>
        </w:rPr>
        <w:t xml:space="preserve"> má kvůli odlišné definici jinou úroveň a je tudíž </w:t>
      </w:r>
      <w:r w:rsidR="009671CA">
        <w:rPr>
          <w:rFonts w:ascii="Arial" w:hAnsi="Arial" w:cs="Arial"/>
          <w:sz w:val="20"/>
          <w:szCs w:val="20"/>
        </w:rPr>
        <w:t>s </w:t>
      </w:r>
      <w:r w:rsidRPr="00E42B84">
        <w:rPr>
          <w:rFonts w:ascii="Arial" w:hAnsi="Arial" w:cs="Arial"/>
          <w:sz w:val="20"/>
          <w:szCs w:val="20"/>
        </w:rPr>
        <w:t>původním ukazatelem nesrovnatelný.</w:t>
      </w:r>
    </w:p>
    <w:p w:rsidR="00EA4A8E" w:rsidRPr="00246B03" w:rsidRDefault="00EA4A8E" w:rsidP="00DD627D">
      <w:pPr>
        <w:pStyle w:val="titulek1"/>
        <w:spacing w:before="360" w:after="0"/>
        <w:rPr>
          <w:rFonts w:cs="Arial"/>
          <w:caps/>
        </w:rPr>
      </w:pPr>
      <w:r w:rsidRPr="00246B03">
        <w:rPr>
          <w:rFonts w:cs="Arial"/>
          <w:caps/>
        </w:rPr>
        <w:t>Míra volných pracovních míst</w:t>
      </w:r>
    </w:p>
    <w:p w:rsidR="00EA4A8E" w:rsidRPr="00E42B84" w:rsidRDefault="00EA4A8E" w:rsidP="00DD627D">
      <w:pPr>
        <w:pStyle w:val="Zkladntext"/>
        <w:spacing w:before="120" w:after="0"/>
        <w:ind w:firstLine="425"/>
        <w:rPr>
          <w:rFonts w:eastAsia="SimSun" w:cs="Arial"/>
          <w:sz w:val="20"/>
        </w:rPr>
      </w:pPr>
      <w:r w:rsidRPr="00E42B84">
        <w:rPr>
          <w:rFonts w:cs="Arial"/>
          <w:b/>
          <w:sz w:val="20"/>
        </w:rPr>
        <w:t>M</w:t>
      </w:r>
      <w:r w:rsidRPr="00E42B84">
        <w:rPr>
          <w:rFonts w:cs="Arial"/>
          <w:b/>
          <w:bCs/>
          <w:sz w:val="20"/>
        </w:rPr>
        <w:t>íra volných pracovních míst</w:t>
      </w:r>
      <w:r w:rsidRPr="00E42B84">
        <w:rPr>
          <w:rFonts w:cs="Arial"/>
          <w:sz w:val="20"/>
        </w:rPr>
        <w:t xml:space="preserve"> se počítá jako podíl volných míst na celkovém počtu obsazených a volných míst. V</w:t>
      </w:r>
      <w:r w:rsidRPr="00E42B84">
        <w:rPr>
          <w:rFonts w:eastAsia="SimSun" w:cs="Arial"/>
          <w:sz w:val="20"/>
        </w:rPr>
        <w:t xml:space="preserve"> souladu s doporučením Eurostatu je použita metodika, která do celkového počtu volných míst nezahrnuje místa vznikající u firem či soukromníků, do té doby bez zaměstnanců. </w:t>
      </w:r>
      <w:r w:rsidRPr="00E42B84">
        <w:rPr>
          <w:rFonts w:cs="Arial"/>
          <w:sz w:val="20"/>
        </w:rPr>
        <w:t>Počet volných míst je přebírán ze statistiky MPSV, počet obsazených míst je v podmínkách ČR definován jako součet počtu zam</w:t>
      </w:r>
      <w:r w:rsidRPr="00E42B84">
        <w:rPr>
          <w:rFonts w:eastAsia="SimSun" w:cs="Arial"/>
          <w:sz w:val="20"/>
        </w:rPr>
        <w:t>ěstnanců a členů produkčních družstev s </w:t>
      </w:r>
      <w:r w:rsidR="001A3CC1">
        <w:rPr>
          <w:rFonts w:eastAsia="SimSun" w:cs="Arial"/>
          <w:sz w:val="20"/>
        </w:rPr>
        <w:t>jediným a dalším zaměstnáním z V</w:t>
      </w:r>
      <w:r w:rsidR="005354F9">
        <w:rPr>
          <w:rFonts w:eastAsia="SimSun" w:cs="Arial"/>
          <w:sz w:val="20"/>
        </w:rPr>
        <w:t>ŚPS</w:t>
      </w:r>
      <w:r w:rsidRPr="00E42B84">
        <w:rPr>
          <w:rFonts w:eastAsia="SimSun" w:cs="Arial"/>
          <w:sz w:val="20"/>
        </w:rPr>
        <w:t>.</w:t>
      </w:r>
    </w:p>
    <w:p w:rsidR="00EA4A8E" w:rsidRPr="00246B03" w:rsidRDefault="00EA4A8E" w:rsidP="003436E2">
      <w:pPr>
        <w:pStyle w:val="titulek1"/>
        <w:spacing w:before="840" w:after="0"/>
        <w:rPr>
          <w:rFonts w:cs="Arial"/>
          <w:caps/>
        </w:rPr>
      </w:pPr>
      <w:r w:rsidRPr="00246B03">
        <w:rPr>
          <w:rFonts w:cs="Arial"/>
          <w:caps/>
        </w:rPr>
        <w:lastRenderedPageBreak/>
        <w:t>Vybrané ukazatele z VŠPS</w:t>
      </w:r>
    </w:p>
    <w:p w:rsidR="00EA4A8E" w:rsidRPr="00E42B84" w:rsidRDefault="00EA4A8E" w:rsidP="00DD627D">
      <w:pPr>
        <w:pStyle w:val="Zkladntext"/>
        <w:spacing w:before="120" w:after="0"/>
        <w:ind w:firstLine="425"/>
        <w:rPr>
          <w:rFonts w:cs="Arial"/>
          <w:sz w:val="20"/>
        </w:rPr>
      </w:pPr>
      <w:r w:rsidRPr="00E42B84">
        <w:rPr>
          <w:rFonts w:cs="Arial"/>
          <w:sz w:val="20"/>
        </w:rPr>
        <w:t>Veškeré údaje v časové řadě jsou v jednotné metodice odpovídající platným definicím Eurostatu a dop</w:t>
      </w:r>
      <w:r w:rsidR="00DD627D">
        <w:rPr>
          <w:rFonts w:cs="Arial"/>
          <w:sz w:val="20"/>
        </w:rPr>
        <w:t xml:space="preserve">oručením </w:t>
      </w:r>
      <w:r w:rsidR="005354F9">
        <w:rPr>
          <w:rFonts w:cs="Arial"/>
          <w:sz w:val="20"/>
        </w:rPr>
        <w:t>Mezinárodní organizace práce (</w:t>
      </w:r>
      <w:r w:rsidR="00DD627D">
        <w:rPr>
          <w:rFonts w:cs="Arial"/>
          <w:sz w:val="20"/>
        </w:rPr>
        <w:t>ILO</w:t>
      </w:r>
      <w:r w:rsidR="005354F9">
        <w:rPr>
          <w:rFonts w:cs="Arial"/>
          <w:sz w:val="20"/>
        </w:rPr>
        <w:t>)</w:t>
      </w:r>
      <w:r w:rsidR="00DD627D">
        <w:rPr>
          <w:rFonts w:cs="Arial"/>
          <w:sz w:val="20"/>
        </w:rPr>
        <w:t>.</w:t>
      </w:r>
    </w:p>
    <w:p w:rsidR="002B2D7A" w:rsidRPr="00C17B63" w:rsidRDefault="002B2D7A" w:rsidP="002B2D7A">
      <w:pPr>
        <w:pStyle w:val="Zkladntext"/>
        <w:spacing w:after="120"/>
        <w:ind w:firstLine="425"/>
        <w:rPr>
          <w:rFonts w:cs="Arial"/>
          <w:sz w:val="20"/>
        </w:rPr>
      </w:pPr>
      <w:r w:rsidRPr="00C17B63">
        <w:rPr>
          <w:rFonts w:cs="Arial"/>
          <w:sz w:val="20"/>
        </w:rPr>
        <w:t xml:space="preserve">Do počtu </w:t>
      </w:r>
      <w:r w:rsidRPr="00C17B63">
        <w:rPr>
          <w:rFonts w:cs="Arial"/>
          <w:b/>
          <w:sz w:val="20"/>
        </w:rPr>
        <w:t>zaměstnaných v národním hospodářství</w:t>
      </w:r>
      <w:r w:rsidRPr="00C17B63">
        <w:rPr>
          <w:rFonts w:cs="Arial"/>
          <w:sz w:val="20"/>
        </w:rPr>
        <w:t xml:space="preserve"> nejsou zahrnuty osoby na rodičovské dovolené. Na druhé straně sem jsou zahrnuti příslušníci armády, tj. vojáci z</w:t>
      </w:r>
      <w:r>
        <w:rPr>
          <w:rFonts w:cs="Arial"/>
          <w:sz w:val="20"/>
        </w:rPr>
        <w:t> </w:t>
      </w:r>
      <w:r w:rsidRPr="00C17B63">
        <w:rPr>
          <w:rFonts w:cs="Arial"/>
          <w:sz w:val="20"/>
        </w:rPr>
        <w:t>povolání</w:t>
      </w:r>
      <w:r>
        <w:rPr>
          <w:rFonts w:cs="Arial"/>
          <w:sz w:val="20"/>
        </w:rPr>
        <w:t>.</w:t>
      </w:r>
      <w:r w:rsidRPr="00C17B63">
        <w:rPr>
          <w:rFonts w:cs="Arial"/>
          <w:sz w:val="20"/>
        </w:rPr>
        <w:t xml:space="preserve"> </w:t>
      </w:r>
      <w:r>
        <w:rPr>
          <w:rFonts w:cs="Arial"/>
          <w:sz w:val="20"/>
        </w:rPr>
        <w:t>Do roku 2004 byli započteni mezi zaměstnané</w:t>
      </w:r>
      <w:r w:rsidRPr="00C17B63">
        <w:rPr>
          <w:rFonts w:cs="Arial"/>
          <w:sz w:val="20"/>
        </w:rPr>
        <w:t xml:space="preserve"> i vojáci v základní vojenské službě.</w:t>
      </w:r>
    </w:p>
    <w:p w:rsidR="00EA4A8E" w:rsidRPr="00E42B84" w:rsidRDefault="00EA4A8E" w:rsidP="00DD627D">
      <w:pPr>
        <w:pStyle w:val="Zkladntext"/>
        <w:spacing w:before="120" w:after="0"/>
        <w:ind w:firstLine="425"/>
        <w:rPr>
          <w:rFonts w:cs="Arial"/>
          <w:sz w:val="20"/>
        </w:rPr>
      </w:pPr>
      <w:r w:rsidRPr="00E42B84">
        <w:rPr>
          <w:rFonts w:cs="Arial"/>
          <w:sz w:val="20"/>
        </w:rPr>
        <w:t xml:space="preserve">Kategorie </w:t>
      </w:r>
      <w:r w:rsidRPr="00E42B84">
        <w:rPr>
          <w:rFonts w:cs="Arial"/>
          <w:b/>
          <w:sz w:val="20"/>
        </w:rPr>
        <w:t>nezaměstnaných</w:t>
      </w:r>
      <w:r w:rsidRPr="00E42B84">
        <w:rPr>
          <w:rFonts w:cs="Arial"/>
          <w:sz w:val="20"/>
        </w:rPr>
        <w:t xml:space="preserve"> koresponduje s definicí ILO, tzn., že vedle osob splňujících tři standardní podmínky (osoba nemá zaměstnání, ochota nastoupit do zaměstnání během 14 dnů, aktivní hledání práce) pro zařazení mezi nezaměstnané zahrnuje i osoby, které si již práci našly, ale nástup je st</w:t>
      </w:r>
      <w:r w:rsidR="00DD627D">
        <w:rPr>
          <w:rFonts w:cs="Arial"/>
          <w:sz w:val="20"/>
        </w:rPr>
        <w:t>anoven do 3 měsíců od nalezení.</w:t>
      </w:r>
    </w:p>
    <w:p w:rsidR="00EA4A8E" w:rsidRPr="00246B03" w:rsidRDefault="00EA4A8E" w:rsidP="00DD627D">
      <w:pPr>
        <w:pStyle w:val="titulek1"/>
        <w:spacing w:before="360" w:after="0"/>
        <w:rPr>
          <w:rFonts w:cs="Arial"/>
          <w:caps/>
        </w:rPr>
      </w:pPr>
      <w:r w:rsidRPr="00246B03">
        <w:rPr>
          <w:rFonts w:cs="Arial"/>
          <w:caps/>
        </w:rPr>
        <w:t>Zahraniční obchod podle pohybu zboží (přeshraniční statistika)</w:t>
      </w:r>
    </w:p>
    <w:p w:rsidR="00EA4A8E" w:rsidRPr="00E42B84" w:rsidRDefault="00EA4A8E" w:rsidP="00DD627D">
      <w:pPr>
        <w:pStyle w:val="Zkladntext"/>
        <w:spacing w:before="120" w:after="0"/>
        <w:ind w:firstLine="425"/>
        <w:rPr>
          <w:rFonts w:cs="Arial"/>
          <w:sz w:val="20"/>
          <w:szCs w:val="20"/>
        </w:rPr>
      </w:pPr>
      <w:r w:rsidRPr="00E42B84">
        <w:rPr>
          <w:rFonts w:cs="Arial"/>
          <w:sz w:val="20"/>
          <w:szCs w:val="20"/>
        </w:rPr>
        <w:t xml:space="preserve">Zdrojem informací o zahraničním obchodu jsou data získávaná celními orgány. Od roku 2004 zajišťuje jejich sběr a prvotní kontrolu </w:t>
      </w:r>
      <w:r w:rsidRPr="00E42B84">
        <w:rPr>
          <w:sz w:val="20"/>
          <w:szCs w:val="20"/>
        </w:rPr>
        <w:t>Celní správa České republiky</w:t>
      </w:r>
      <w:r w:rsidRPr="00E42B84">
        <w:rPr>
          <w:rFonts w:cs="Arial"/>
          <w:sz w:val="20"/>
          <w:szCs w:val="20"/>
        </w:rPr>
        <w:t xml:space="preserve">, další zpracování, kontrolu </w:t>
      </w:r>
      <w:r w:rsidR="009671CA">
        <w:rPr>
          <w:rFonts w:cs="Arial"/>
          <w:sz w:val="20"/>
          <w:szCs w:val="20"/>
        </w:rPr>
        <w:t>a </w:t>
      </w:r>
      <w:r w:rsidRPr="00E42B84">
        <w:rPr>
          <w:rFonts w:cs="Arial"/>
          <w:sz w:val="20"/>
          <w:szCs w:val="20"/>
        </w:rPr>
        <w:t>následné zveřejnění dat provádí Český statistický úřad.</w:t>
      </w:r>
    </w:p>
    <w:p w:rsidR="00EA4A8E" w:rsidRPr="00E42B84" w:rsidRDefault="00EA4A8E" w:rsidP="00DD627D">
      <w:pPr>
        <w:spacing w:before="120"/>
        <w:ind w:firstLine="425"/>
        <w:jc w:val="both"/>
        <w:rPr>
          <w:rFonts w:ascii="Arial" w:hAnsi="Arial"/>
          <w:sz w:val="20"/>
          <w:szCs w:val="20"/>
        </w:rPr>
      </w:pPr>
      <w:r w:rsidRPr="00E42B84">
        <w:rPr>
          <w:rFonts w:ascii="Arial" w:hAnsi="Arial"/>
          <w:sz w:val="20"/>
          <w:szCs w:val="20"/>
        </w:rPr>
        <w:t>V souladu se závaznými předpisy EU je zjišťování údajů o vývozu a dovozu legislativně upraveno celním zákonem č. 13/1993 Sb., v</w:t>
      </w:r>
      <w:r w:rsidRPr="00E42B84">
        <w:rPr>
          <w:rFonts w:ascii="Arial" w:hAnsi="Arial" w:hint="eastAsia"/>
          <w:sz w:val="20"/>
          <w:szCs w:val="20"/>
        </w:rPr>
        <w:t>e</w:t>
      </w:r>
      <w:r w:rsidRPr="00E42B84">
        <w:rPr>
          <w:rFonts w:ascii="Arial" w:hAnsi="Arial"/>
          <w:sz w:val="20"/>
          <w:szCs w:val="20"/>
        </w:rPr>
        <w:t xml:space="preserve"> z</w:t>
      </w:r>
      <w:r w:rsidRPr="00E42B84">
        <w:rPr>
          <w:rFonts w:ascii="Arial" w:hAnsi="Arial" w:hint="eastAsia"/>
          <w:sz w:val="20"/>
          <w:szCs w:val="20"/>
        </w:rPr>
        <w:t>nění pozdějších předpisů</w:t>
      </w:r>
      <w:r w:rsidRPr="00E42B84">
        <w:rPr>
          <w:rFonts w:ascii="Arial" w:hAnsi="Arial"/>
          <w:sz w:val="20"/>
          <w:szCs w:val="20"/>
        </w:rPr>
        <w:t>, s platností od 23. listopadu 2012 v</w:t>
      </w:r>
      <w:r w:rsidR="00775499">
        <w:rPr>
          <w:rFonts w:ascii="Arial" w:hAnsi="Arial"/>
          <w:sz w:val="20"/>
          <w:szCs w:val="20"/>
        </w:rPr>
        <w:t>yhláškou Ministerstva financí</w:t>
      </w:r>
      <w:r w:rsidRPr="00E42B84">
        <w:rPr>
          <w:rFonts w:ascii="Arial" w:hAnsi="Arial"/>
          <w:sz w:val="20"/>
          <w:szCs w:val="20"/>
        </w:rPr>
        <w:t xml:space="preserve"> č. 421/2012 Sb., pro obchod s třetími zeměmi, kterou se provádějí některá ustanovení celního zákona. Pravidla provádění Intrastatu stanoví vyhláška č. 201/2005 Sb., o statistice vyváženého a dováženého zboží a způsobu sdělování údajů o obchodu mezi Českou republikou a ostatními členskými státy Evropských společenství, ve znění pozdějších předpisů a zákon č. 235/2004 Sb., o dani z přidané hodnoty, ve znění pozdějších předpisů.</w:t>
      </w:r>
    </w:p>
    <w:p w:rsidR="00EA4A8E" w:rsidRPr="00E42B84" w:rsidRDefault="00EA4A8E" w:rsidP="00DD627D">
      <w:pPr>
        <w:spacing w:before="120"/>
        <w:ind w:firstLine="425"/>
        <w:jc w:val="both"/>
        <w:rPr>
          <w:rFonts w:ascii="Arial" w:hAnsi="Arial" w:cs="Arial"/>
          <w:sz w:val="20"/>
          <w:szCs w:val="20"/>
        </w:rPr>
      </w:pPr>
      <w:r w:rsidRPr="00E42B84">
        <w:rPr>
          <w:rFonts w:ascii="Arial" w:hAnsi="Arial" w:cs="Arial"/>
          <w:b/>
          <w:bCs/>
          <w:sz w:val="20"/>
          <w:szCs w:val="20"/>
        </w:rPr>
        <w:t>Statistika zahraničního obchodu je souhrnem vnitrounijního obchodu (tj. obchodu s členskými státy EU) a obchodu se státy mimo EU.</w:t>
      </w:r>
      <w:r w:rsidRPr="00E42B84">
        <w:rPr>
          <w:rFonts w:ascii="Arial" w:hAnsi="Arial" w:cs="Arial"/>
          <w:sz w:val="20"/>
          <w:szCs w:val="20"/>
        </w:rPr>
        <w:t xml:space="preserve"> Údaje o zboží, které je předmětem obchodu mezi členskými státy Společenství, předává zpravodajská jednotka celnímu úřadu na výkazu pro Intrastat s údaji o odeslání nebo přijetí zboží. Údaje o vyváženém a dováženém zboží v rámci obchodu se státy mimo EU se uvádějí v celním prohlášení (Jednotný správní doklad).</w:t>
      </w:r>
    </w:p>
    <w:p w:rsidR="00EA4A8E" w:rsidRPr="00E42B84" w:rsidRDefault="00EA4A8E" w:rsidP="00DD627D">
      <w:pPr>
        <w:spacing w:before="120"/>
        <w:ind w:firstLine="425"/>
        <w:jc w:val="both"/>
        <w:rPr>
          <w:rFonts w:ascii="Arial" w:hAnsi="Arial" w:cs="Arial"/>
          <w:sz w:val="20"/>
          <w:szCs w:val="20"/>
        </w:rPr>
      </w:pPr>
      <w:r w:rsidRPr="00E42B84">
        <w:rPr>
          <w:rFonts w:ascii="Arial" w:hAnsi="Arial" w:cs="Arial"/>
          <w:sz w:val="20"/>
          <w:szCs w:val="20"/>
        </w:rPr>
        <w:t>Údaje za vývoz jsou sestavovány podle země určení, údaje za dovoz podle země původu.</w:t>
      </w:r>
    </w:p>
    <w:p w:rsidR="00EA4A8E" w:rsidRPr="00246B03" w:rsidRDefault="00EA4A8E" w:rsidP="00DD627D">
      <w:pPr>
        <w:pStyle w:val="titulek1"/>
        <w:spacing w:before="360" w:after="0"/>
        <w:rPr>
          <w:rFonts w:cs="Arial"/>
          <w:caps/>
        </w:rPr>
      </w:pPr>
      <w:r w:rsidRPr="00246B03">
        <w:rPr>
          <w:rFonts w:cs="Arial"/>
          <w:caps/>
        </w:rPr>
        <w:t>Registr ekonomických subjektů</w:t>
      </w:r>
    </w:p>
    <w:p w:rsidR="00EA4A8E" w:rsidRPr="00E42B84" w:rsidRDefault="00EA4A8E" w:rsidP="00DD627D">
      <w:pPr>
        <w:pStyle w:val="Zkladntext"/>
        <w:spacing w:before="120" w:after="0"/>
        <w:ind w:firstLine="425"/>
        <w:rPr>
          <w:rFonts w:cs="Arial"/>
          <w:sz w:val="20"/>
        </w:rPr>
      </w:pPr>
      <w:r w:rsidRPr="00E42B84">
        <w:rPr>
          <w:rFonts w:cs="Arial"/>
          <w:sz w:val="20"/>
        </w:rPr>
        <w:t>Tabulka o počtech jednotek v registru ekonomických subjektů je sestavena na základě údajů z registru ekonomických subjektů podle stavu registrace k příslušnému datu.</w:t>
      </w:r>
    </w:p>
    <w:p w:rsidR="00EA4A8E" w:rsidRPr="00E42B84" w:rsidRDefault="00EA4A8E" w:rsidP="00DD627D">
      <w:pPr>
        <w:pStyle w:val="Zkladntext"/>
        <w:spacing w:before="120" w:after="0"/>
        <w:ind w:firstLine="425"/>
        <w:rPr>
          <w:rFonts w:cs="Arial"/>
          <w:sz w:val="20"/>
        </w:rPr>
      </w:pPr>
      <w:r w:rsidRPr="00E42B84">
        <w:rPr>
          <w:rFonts w:cs="Arial"/>
          <w:b/>
          <w:sz w:val="20"/>
        </w:rPr>
        <w:t>Registr ekonomických subjektů</w:t>
      </w:r>
      <w:r w:rsidRPr="00E42B84">
        <w:rPr>
          <w:rFonts w:cs="Arial"/>
          <w:sz w:val="20"/>
        </w:rPr>
        <w:t xml:space="preserve"> eviduje právnické osoby, organizační složky státu, které jsou účetní jednotky, podílové fondy a dále fyzické osoby, které mají postavení podnikatele.</w:t>
      </w:r>
    </w:p>
    <w:p w:rsidR="00EA4A8E" w:rsidRPr="00E42B84" w:rsidRDefault="00F47B60" w:rsidP="00DD627D">
      <w:pPr>
        <w:pStyle w:val="Zkladntext"/>
        <w:spacing w:before="120" w:after="0"/>
        <w:ind w:firstLine="425"/>
        <w:rPr>
          <w:rFonts w:cs="Arial"/>
          <w:sz w:val="20"/>
        </w:rPr>
      </w:pPr>
      <w:r>
        <w:rPr>
          <w:rFonts w:cs="Arial"/>
          <w:sz w:val="20"/>
        </w:rPr>
        <w:t>Ekonomické subjekty se z</w:t>
      </w:r>
      <w:r w:rsidR="00EA4A8E" w:rsidRPr="00E42B84">
        <w:rPr>
          <w:rFonts w:cs="Arial"/>
          <w:sz w:val="20"/>
        </w:rPr>
        <w:t>jištěnou aktivitou jsou subjekty, které podle informací z administrativních zdrojů nebo ze statistických zjišťování vykazují ekonomickou aktivitu.</w:t>
      </w:r>
    </w:p>
    <w:p w:rsidR="00EA4A8E" w:rsidRPr="00E42B84" w:rsidRDefault="00EA4A8E" w:rsidP="00DD627D">
      <w:pPr>
        <w:pStyle w:val="Zkladntext"/>
        <w:spacing w:before="120" w:after="0"/>
        <w:ind w:firstLine="425"/>
        <w:rPr>
          <w:rFonts w:cs="Arial"/>
          <w:sz w:val="20"/>
        </w:rPr>
      </w:pPr>
      <w:r w:rsidRPr="00E42B84">
        <w:rPr>
          <w:rFonts w:cs="Arial"/>
          <w:sz w:val="20"/>
        </w:rPr>
        <w:t xml:space="preserve">Soukromí podnikatelé celkem zahrnují do konce roku 1991 fyzické osoby s povolením k podnikání podle zákona č. 105/90 Sb., o soukromém podnikání občanů, od roku 1992 fyzické osoby s živnostenským oprávněním a od 3. čtvrtletí 1991 i samostatně hospodařící rolníky, u kterých </w:t>
      </w:r>
      <w:r w:rsidR="009671CA">
        <w:rPr>
          <w:rFonts w:cs="Arial"/>
          <w:sz w:val="20"/>
        </w:rPr>
        <w:t>od 1. 5. </w:t>
      </w:r>
      <w:r w:rsidRPr="00E42B84">
        <w:rPr>
          <w:rFonts w:cs="Arial"/>
          <w:sz w:val="20"/>
        </w:rPr>
        <w:t>2004 do 1. 5. 2009 proběhla transformace na zemědělské podnikatele – fyzické osoby.</w:t>
      </w:r>
    </w:p>
    <w:p w:rsidR="00EA4A8E" w:rsidRPr="00E42B84" w:rsidRDefault="00EA4A8E" w:rsidP="00DD627D">
      <w:pPr>
        <w:pStyle w:val="titulek1"/>
        <w:spacing w:before="120" w:after="0"/>
        <w:ind w:firstLine="425"/>
        <w:rPr>
          <w:rFonts w:cs="Arial"/>
          <w:b w:val="0"/>
          <w:sz w:val="20"/>
        </w:rPr>
      </w:pPr>
      <w:r w:rsidRPr="00E42B84">
        <w:rPr>
          <w:rFonts w:cs="Arial"/>
          <w:b w:val="0"/>
          <w:sz w:val="20"/>
        </w:rPr>
        <w:t>Obchodní společnosti zahrnují veřejné obchodní společnosti, společnosti s ručením omezeným, komanditní společnosti, akciové společnosti a od roku 2010 i evropské společnosti a evropská hospodářská zájmová sdružení. Družstvy se rozumí družstva a evropské družstevní společnosti. Do počtu státních podniků nejsou zahrnuty státní podniky v likvidaci.</w:t>
      </w:r>
    </w:p>
    <w:p w:rsidR="00EA4A8E" w:rsidRPr="00E42B84" w:rsidRDefault="00EA4A8E" w:rsidP="00DD627D">
      <w:pPr>
        <w:pStyle w:val="titulek1"/>
        <w:spacing w:before="120" w:after="0"/>
        <w:ind w:firstLine="425"/>
        <w:rPr>
          <w:rFonts w:cs="Arial"/>
          <w:b w:val="0"/>
          <w:sz w:val="20"/>
        </w:rPr>
      </w:pPr>
      <w:r w:rsidRPr="00E42B84">
        <w:rPr>
          <w:rFonts w:cs="Arial"/>
          <w:b w:val="0"/>
          <w:sz w:val="20"/>
        </w:rPr>
        <w:t>Od roku 2013 se hlavním zdrojem dat pro RES stal registr osob (ROS), který je součástí systému základních registrů. V důsledku této skutečnosti se již nerozlišují fyzické osoby zapsané v obchodním rejstříku.</w:t>
      </w:r>
    </w:p>
    <w:p w:rsidR="003436E2" w:rsidRDefault="003436E2" w:rsidP="00DD627D">
      <w:pPr>
        <w:pStyle w:val="titulek1"/>
        <w:spacing w:before="360" w:after="0"/>
        <w:rPr>
          <w:rFonts w:cs="Arial"/>
          <w:caps/>
        </w:rPr>
      </w:pPr>
    </w:p>
    <w:p w:rsidR="003436E2" w:rsidRDefault="003436E2" w:rsidP="00DD627D">
      <w:pPr>
        <w:pStyle w:val="titulek1"/>
        <w:spacing w:before="360" w:after="0"/>
        <w:rPr>
          <w:rFonts w:cs="Arial"/>
          <w:caps/>
        </w:rPr>
      </w:pPr>
    </w:p>
    <w:p w:rsidR="00EA4A8E" w:rsidRPr="00246B03" w:rsidRDefault="00EA4A8E" w:rsidP="00DD627D">
      <w:pPr>
        <w:pStyle w:val="titulek1"/>
        <w:spacing w:before="360" w:after="0"/>
        <w:rPr>
          <w:rFonts w:cs="Arial"/>
          <w:caps/>
        </w:rPr>
      </w:pPr>
      <w:r w:rsidRPr="00246B03">
        <w:rPr>
          <w:rFonts w:cs="Arial"/>
          <w:caps/>
        </w:rPr>
        <w:lastRenderedPageBreak/>
        <w:t>Zemědělství</w:t>
      </w:r>
    </w:p>
    <w:p w:rsidR="00EA4A8E" w:rsidRPr="00E42B84" w:rsidRDefault="00EA4A8E" w:rsidP="00DD627D">
      <w:pPr>
        <w:pStyle w:val="Zkladntext"/>
        <w:spacing w:before="120" w:after="0"/>
        <w:ind w:firstLine="425"/>
        <w:rPr>
          <w:rFonts w:cs="Arial"/>
          <w:sz w:val="20"/>
        </w:rPr>
      </w:pPr>
      <w:r w:rsidRPr="00E42B84">
        <w:rPr>
          <w:rFonts w:cs="Arial"/>
          <w:sz w:val="20"/>
        </w:rPr>
        <w:t>Výroba hovězího a vepřového masa vyjadřuje hmotnost jatečně upravených těl (jatečnou hmotnost) zvířat, jejichž maso bylo uznáno za vhodné k lidské spotřebě. Zahrnuje jak zvířata z tuzemsk</w:t>
      </w:r>
      <w:r w:rsidR="001A3CC1">
        <w:rPr>
          <w:rFonts w:cs="Arial"/>
          <w:sz w:val="20"/>
        </w:rPr>
        <w:t>ých chovů, tak dovezená zvířata. N</w:t>
      </w:r>
      <w:r w:rsidRPr="00E42B84">
        <w:rPr>
          <w:rFonts w:cs="Arial"/>
          <w:sz w:val="20"/>
        </w:rPr>
        <w:t xml:space="preserve">ezahrnuje zvířata z tuzemských chovů vyvezená do zahraničí. Výroba drůbežího masa je vypočtena z údajů o nákupu jatečné drůbeže, případně </w:t>
      </w:r>
      <w:r w:rsidR="009671CA">
        <w:rPr>
          <w:rFonts w:cs="Arial"/>
          <w:sz w:val="20"/>
        </w:rPr>
        <w:t>o </w:t>
      </w:r>
      <w:r w:rsidRPr="00E42B84">
        <w:rPr>
          <w:rFonts w:cs="Arial"/>
          <w:sz w:val="20"/>
        </w:rPr>
        <w:t>porážkách z vlastního chovu, které jsou přebírány z resortního šet</w:t>
      </w:r>
      <w:r w:rsidR="00775499">
        <w:rPr>
          <w:rFonts w:cs="Arial"/>
          <w:sz w:val="20"/>
        </w:rPr>
        <w:t>ření Ministerstva zemědělství</w:t>
      </w:r>
      <w:r w:rsidRPr="00E42B84">
        <w:rPr>
          <w:rFonts w:cs="Arial"/>
          <w:sz w:val="20"/>
        </w:rPr>
        <w:t xml:space="preserve"> </w:t>
      </w:r>
      <w:r w:rsidR="009671CA">
        <w:rPr>
          <w:rFonts w:cs="Arial"/>
          <w:sz w:val="20"/>
        </w:rPr>
        <w:t>a </w:t>
      </w:r>
      <w:r w:rsidRPr="00E42B84">
        <w:rPr>
          <w:rFonts w:cs="Arial"/>
          <w:sz w:val="20"/>
        </w:rPr>
        <w:t>přepočteny na jatečnou hmotnost. Výroba masa je zjišťována ve všech registrovaných jatkách. Nákup mléka vyjadřuje nákup syrového mléka mlékárnami, včetně syrového mléka n</w:t>
      </w:r>
      <w:r w:rsidR="00D8585B">
        <w:rPr>
          <w:rFonts w:cs="Arial"/>
          <w:sz w:val="20"/>
        </w:rPr>
        <w:t>ásledně vyvezeného do zahraničí. N</w:t>
      </w:r>
      <w:r w:rsidRPr="00E42B84">
        <w:rPr>
          <w:rFonts w:cs="Arial"/>
          <w:sz w:val="20"/>
        </w:rPr>
        <w:t>ezahrnuje nákup mléka ze zahraničí. Údaje jsou přebírány z resortního šet</w:t>
      </w:r>
      <w:r w:rsidR="00246B03">
        <w:rPr>
          <w:rFonts w:cs="Arial"/>
          <w:sz w:val="20"/>
        </w:rPr>
        <w:t>ření Ministerstva zemědělství</w:t>
      </w:r>
      <w:r w:rsidRPr="00E42B84">
        <w:rPr>
          <w:rFonts w:cs="Arial"/>
          <w:sz w:val="20"/>
        </w:rPr>
        <w:t>.</w:t>
      </w:r>
    </w:p>
    <w:p w:rsidR="00EA4A8E" w:rsidRPr="00246B03" w:rsidRDefault="00EA4A8E" w:rsidP="00DD627D">
      <w:pPr>
        <w:pStyle w:val="titulek1"/>
        <w:spacing w:before="360" w:after="0"/>
        <w:rPr>
          <w:rFonts w:cs="Arial"/>
          <w:caps/>
        </w:rPr>
      </w:pPr>
      <w:r w:rsidRPr="00246B03">
        <w:rPr>
          <w:rFonts w:cs="Arial"/>
          <w:caps/>
        </w:rPr>
        <w:t>Průmysl</w:t>
      </w:r>
    </w:p>
    <w:p w:rsidR="00EA4A8E" w:rsidRPr="00E42B84" w:rsidRDefault="00EA4A8E" w:rsidP="00DD627D">
      <w:pPr>
        <w:pStyle w:val="Zkladntext"/>
        <w:spacing w:before="120" w:after="0"/>
        <w:ind w:firstLine="425"/>
        <w:rPr>
          <w:rFonts w:cs="Arial"/>
          <w:sz w:val="20"/>
        </w:rPr>
      </w:pPr>
      <w:r w:rsidRPr="00E42B84">
        <w:rPr>
          <w:rFonts w:cs="Arial"/>
          <w:b/>
          <w:bCs/>
          <w:sz w:val="20"/>
        </w:rPr>
        <w:t xml:space="preserve">Index průmyslové produkce (IPP) </w:t>
      </w:r>
      <w:r w:rsidRPr="00E42B84">
        <w:rPr>
          <w:rFonts w:cs="Arial"/>
          <w:sz w:val="20"/>
        </w:rPr>
        <w:t>měří vlastní výstup průmyslových odvětví i průmyslu celkem očištěný od cenových vlivů. Jedná se o základní ukazatel konjunkturální statistiky průmyslu. Při jeho výpočtu se z větší částí vychází z tržeb za vlastní výrobky a služby přeceněné do stálých cen. V případě vybraných odvětví (oddíly CZ-NACE 05, 06, 19, 35) charakterizují vývoj odvětví fyzické objemy produkce výrobkových reprezentantů. Index je primárně počítán jako měsíční bazický index, v současné době k průměrnému měsíci roku 2010, a to na úrovni dvouciferného oddílu CZ-NACE. Při agregaci na vyšší úroveň se využívají váhy odvozené ze struktury přidané hodnoty v bazickém roce (agregace na úroveň sekcí, hlavních průmyslových seskupení a na průmysl celkem). Od bazických indexů jsou dále indexy meziroční a případné kumulace v čase (čtvrtletní, pololetní, roční kumulace).</w:t>
      </w:r>
    </w:p>
    <w:p w:rsidR="00EA4A8E" w:rsidRPr="00E42B84" w:rsidRDefault="00EA4A8E" w:rsidP="00DD627D">
      <w:pPr>
        <w:pStyle w:val="Zkladntext"/>
        <w:spacing w:before="120" w:after="0"/>
        <w:ind w:firstLine="425"/>
        <w:rPr>
          <w:rFonts w:cs="Arial"/>
          <w:sz w:val="20"/>
        </w:rPr>
      </w:pPr>
      <w:r w:rsidRPr="00E42B84">
        <w:rPr>
          <w:rFonts w:cs="Arial"/>
          <w:sz w:val="20"/>
        </w:rPr>
        <w:t>V souladu s předpisy Eurostatu index průmyslové produkce  pokrývá sekce CZ-NACE B, C, D (kromě skupiny 35.3).</w:t>
      </w:r>
    </w:p>
    <w:p w:rsidR="005354F9" w:rsidRPr="00E42B84" w:rsidRDefault="00EA4A8E" w:rsidP="005354F9">
      <w:pPr>
        <w:pStyle w:val="Zkladntext"/>
        <w:spacing w:before="120" w:after="0"/>
        <w:ind w:firstLine="425"/>
        <w:rPr>
          <w:rFonts w:cs="Arial"/>
          <w:sz w:val="20"/>
        </w:rPr>
      </w:pPr>
      <w:r w:rsidRPr="00E42B84">
        <w:rPr>
          <w:rFonts w:cs="Arial"/>
          <w:sz w:val="20"/>
        </w:rPr>
        <w:t>Dříve používaná klasifikace OKEČ (národní verze NACE Rev.1.1.) byla nahrazena novou klasifikaci ekonomických činnosti CZ-NACE (národní verze NACE Rev.2).</w:t>
      </w:r>
      <w:r w:rsidR="005354F9">
        <w:rPr>
          <w:rFonts w:cs="Arial"/>
          <w:sz w:val="20"/>
        </w:rPr>
        <w:t xml:space="preserve"> </w:t>
      </w:r>
    </w:p>
    <w:p w:rsidR="00EA4A8E" w:rsidRPr="003436E2" w:rsidRDefault="005354F9" w:rsidP="00DD627D">
      <w:pPr>
        <w:pStyle w:val="Zkladntext"/>
        <w:spacing w:before="120" w:after="0"/>
        <w:jc w:val="center"/>
        <w:rPr>
          <w:rFonts w:cs="Arial"/>
          <w:b/>
          <w:iCs/>
          <w:sz w:val="18"/>
        </w:rPr>
      </w:pPr>
      <w:r w:rsidRPr="005354F9">
        <w:rPr>
          <w:sz w:val="20"/>
          <w:szCs w:val="20"/>
        </w:rPr>
        <w:t>Bližší informace viz</w:t>
      </w:r>
      <w:r>
        <w:t xml:space="preserve"> </w:t>
      </w:r>
      <w:hyperlink r:id="rId11" w:history="1">
        <w:r w:rsidR="003436E2" w:rsidRPr="003436E2">
          <w:rPr>
            <w:rStyle w:val="Hypertextovodkaz"/>
            <w:color w:val="auto"/>
            <w:u w:val="none"/>
          </w:rPr>
          <w:t>www.czso.cz/csu/czso/prumysl_metodika</w:t>
        </w:r>
      </w:hyperlink>
      <w:r w:rsidRPr="005354F9">
        <w:rPr>
          <w:sz w:val="20"/>
          <w:szCs w:val="20"/>
        </w:rPr>
        <w:t>.</w:t>
      </w:r>
    </w:p>
    <w:p w:rsidR="00EA4A8E" w:rsidRPr="00E42B84" w:rsidRDefault="00EA4A8E" w:rsidP="003436E2">
      <w:pPr>
        <w:spacing w:before="240"/>
        <w:ind w:firstLine="425"/>
        <w:jc w:val="both"/>
        <w:rPr>
          <w:rFonts w:ascii="Arial" w:hAnsi="Arial" w:cs="Arial"/>
          <w:b/>
          <w:sz w:val="20"/>
        </w:rPr>
      </w:pPr>
      <w:r w:rsidRPr="00E42B84">
        <w:rPr>
          <w:rFonts w:ascii="Arial" w:hAnsi="Arial" w:cs="Arial"/>
          <w:b/>
          <w:sz w:val="20"/>
        </w:rPr>
        <w:t>Změna bazického období od roku 2013</w:t>
      </w:r>
    </w:p>
    <w:p w:rsidR="00EA4A8E" w:rsidRPr="00E42B84" w:rsidRDefault="00EA4A8E" w:rsidP="00DD627D">
      <w:pPr>
        <w:spacing w:before="120"/>
        <w:ind w:firstLine="425"/>
        <w:jc w:val="both"/>
        <w:rPr>
          <w:rFonts w:ascii="Arial" w:hAnsi="Arial" w:cs="Arial"/>
          <w:sz w:val="20"/>
        </w:rPr>
      </w:pPr>
      <w:r w:rsidRPr="00E42B84">
        <w:rPr>
          <w:rFonts w:ascii="Arial" w:hAnsi="Arial" w:cs="Arial"/>
          <w:sz w:val="20"/>
        </w:rPr>
        <w:t xml:space="preserve">Spolu s publikováním výsledků za leden 2013 dochází </w:t>
      </w:r>
      <w:r w:rsidRPr="00E42B84">
        <w:rPr>
          <w:rFonts w:ascii="Arial" w:hAnsi="Arial" w:cs="Arial"/>
          <w:b/>
          <w:sz w:val="20"/>
        </w:rPr>
        <w:t>ke změně bazického období krátkodobých</w:t>
      </w:r>
      <w:r w:rsidRPr="00E42B84">
        <w:rPr>
          <w:rFonts w:ascii="Arial" w:hAnsi="Arial" w:cs="Arial"/>
          <w:sz w:val="20"/>
        </w:rPr>
        <w:t xml:space="preserve"> </w:t>
      </w:r>
      <w:r w:rsidRPr="00E42B84">
        <w:rPr>
          <w:rFonts w:ascii="Arial" w:hAnsi="Arial" w:cs="Arial"/>
          <w:b/>
          <w:sz w:val="20"/>
        </w:rPr>
        <w:t>statistik</w:t>
      </w:r>
      <w:r w:rsidRPr="00E42B84">
        <w:rPr>
          <w:rFonts w:ascii="Arial" w:hAnsi="Arial" w:cs="Arial"/>
          <w:sz w:val="20"/>
        </w:rPr>
        <w:t>, což představuje standardní krok prováděný v pětileté periodě a koordinovaný v rámci Evropského statistického systému. V případě statistiky průmyslu se tato změna týká ukazatelů index průmyslové produkce, tržby z průmyslové činnosti a nové průmyslové zakázky.</w:t>
      </w:r>
    </w:p>
    <w:p w:rsidR="00EA4A8E" w:rsidRPr="00E42B84" w:rsidRDefault="00EA4A8E" w:rsidP="00DD627D">
      <w:pPr>
        <w:spacing w:before="120"/>
        <w:ind w:firstLine="425"/>
        <w:jc w:val="both"/>
        <w:rPr>
          <w:rFonts w:ascii="Arial" w:hAnsi="Arial" w:cs="Arial"/>
          <w:b/>
          <w:sz w:val="20"/>
        </w:rPr>
      </w:pPr>
      <w:r w:rsidRPr="00E42B84">
        <w:rPr>
          <w:rFonts w:ascii="Arial" w:hAnsi="Arial" w:cs="Arial"/>
          <w:b/>
          <w:sz w:val="20"/>
        </w:rPr>
        <w:t>Změna má následující důsledky:</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Základní období u bazických indexů se mění z průměru roku 2005 na průměr roku 2010.</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Došlo k použití nových váhových schémat odvozených z výsledků strukturální podnikové statistiky za rok 2010.</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 xml:space="preserve">V souladu s manuálem Eurostatu ke krátkodobým statistikám byly nové váhy využity </w:t>
      </w:r>
      <w:r w:rsidR="009671CA">
        <w:rPr>
          <w:rFonts w:ascii="Arial" w:hAnsi="Arial" w:cs="Arial"/>
          <w:sz w:val="20"/>
        </w:rPr>
        <w:t>ke </w:t>
      </w:r>
      <w:r w:rsidRPr="00E42B84">
        <w:rPr>
          <w:rFonts w:ascii="Arial" w:hAnsi="Arial" w:cs="Arial"/>
          <w:sz w:val="20"/>
        </w:rPr>
        <w:t>zpětnému přepočtu dat do roku 2009. To má za n</w:t>
      </w:r>
      <w:r w:rsidR="005354F9">
        <w:rPr>
          <w:rFonts w:ascii="Arial" w:hAnsi="Arial" w:cs="Arial"/>
          <w:sz w:val="20"/>
        </w:rPr>
        <w:t>ásledek revizi dat za roky 2009–</w:t>
      </w:r>
      <w:r w:rsidRPr="00E42B84">
        <w:rPr>
          <w:rFonts w:ascii="Arial" w:hAnsi="Arial" w:cs="Arial"/>
          <w:sz w:val="20"/>
        </w:rPr>
        <w:t>2012.</w:t>
      </w:r>
    </w:p>
    <w:p w:rsidR="00EA4A8E" w:rsidRPr="00E42B84" w:rsidRDefault="005354F9" w:rsidP="00DD627D">
      <w:pPr>
        <w:numPr>
          <w:ilvl w:val="0"/>
          <w:numId w:val="17"/>
        </w:numPr>
        <w:spacing w:before="120"/>
        <w:ind w:left="782" w:hanging="357"/>
        <w:jc w:val="both"/>
        <w:rPr>
          <w:rFonts w:ascii="Arial" w:hAnsi="Arial" w:cs="Arial"/>
          <w:sz w:val="20"/>
        </w:rPr>
      </w:pPr>
      <w:r>
        <w:rPr>
          <w:rFonts w:ascii="Arial" w:hAnsi="Arial" w:cs="Arial"/>
          <w:sz w:val="20"/>
        </w:rPr>
        <w:t>Data za roky 2000–</w:t>
      </w:r>
      <w:r w:rsidR="00EA4A8E" w:rsidRPr="00E42B84">
        <w:rPr>
          <w:rFonts w:ascii="Arial" w:hAnsi="Arial" w:cs="Arial"/>
          <w:sz w:val="20"/>
        </w:rPr>
        <w:t xml:space="preserve">2008 byla s aktualizovanými výsledky propojena za pomoci přepočítacích můstků metodou annual overlap. Vlastností této metody je, že meziroční indexy 2009/2008 za celoroční kumulace zůstávají po propojení stejné jako u původních dat </w:t>
      </w:r>
      <w:r w:rsidR="009671CA">
        <w:rPr>
          <w:rFonts w:ascii="Arial" w:hAnsi="Arial" w:cs="Arial"/>
          <w:sz w:val="20"/>
        </w:rPr>
        <w:t>a </w:t>
      </w:r>
      <w:r w:rsidR="00EA4A8E" w:rsidRPr="00E42B84">
        <w:rPr>
          <w:rFonts w:ascii="Arial" w:hAnsi="Arial" w:cs="Arial"/>
          <w:sz w:val="20"/>
        </w:rPr>
        <w:t>ne</w:t>
      </w:r>
      <w:r>
        <w:rPr>
          <w:rFonts w:ascii="Arial" w:hAnsi="Arial" w:cs="Arial"/>
          <w:sz w:val="20"/>
        </w:rPr>
        <w:t>mění se průběh řad za roky 2000–</w:t>
      </w:r>
      <w:r w:rsidR="00EA4A8E" w:rsidRPr="00E42B84">
        <w:rPr>
          <w:rFonts w:ascii="Arial" w:hAnsi="Arial" w:cs="Arial"/>
          <w:sz w:val="20"/>
        </w:rPr>
        <w:t>2008, tzn. po propojení se nemění meziroční indexy. Důsledkem změny však je, že historické řady před rokem 2009 ztrácí aditivitu, tzn. nejsou agregovatelné pomocí aktuálního váhového schématu.</w:t>
      </w:r>
    </w:p>
    <w:p w:rsidR="00EA4A8E" w:rsidRPr="00246B03" w:rsidRDefault="00EA4A8E" w:rsidP="00DD627D">
      <w:pPr>
        <w:pStyle w:val="titulek1"/>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360" w:after="0"/>
        <w:rPr>
          <w:rFonts w:cs="Arial"/>
          <w:bCs/>
          <w:caps/>
        </w:rPr>
      </w:pPr>
      <w:r w:rsidRPr="00246B03">
        <w:rPr>
          <w:rFonts w:cs="Arial"/>
          <w:bCs/>
          <w:caps/>
        </w:rPr>
        <w:t>Stavebnictví</w:t>
      </w:r>
    </w:p>
    <w:p w:rsidR="00EA4A8E" w:rsidRPr="00E42B84" w:rsidRDefault="00EA4A8E" w:rsidP="00DD627D">
      <w:pPr>
        <w:spacing w:before="120"/>
        <w:ind w:firstLine="425"/>
        <w:jc w:val="both"/>
        <w:rPr>
          <w:rFonts w:ascii="Arial" w:hAnsi="Arial" w:cs="Arial"/>
          <w:sz w:val="20"/>
        </w:rPr>
      </w:pPr>
      <w:r w:rsidRPr="00E42B84">
        <w:rPr>
          <w:rFonts w:ascii="Arial" w:hAnsi="Arial" w:cs="Arial"/>
          <w:sz w:val="20"/>
        </w:rPr>
        <w:t xml:space="preserve">Stavebními pracemi se rozumí provádění specializovaných i nespecializovaných stavebních činností. Patří sem práce na novostavbách, opravách, provádění nástaveb a přestaveb budov </w:t>
      </w:r>
      <w:r w:rsidR="009671CA">
        <w:rPr>
          <w:rFonts w:ascii="Arial" w:hAnsi="Arial" w:cs="Arial"/>
          <w:sz w:val="20"/>
        </w:rPr>
        <w:t>i </w:t>
      </w:r>
      <w:r w:rsidRPr="00E42B84">
        <w:rPr>
          <w:rFonts w:ascii="Arial" w:hAnsi="Arial" w:cs="Arial"/>
          <w:sz w:val="20"/>
        </w:rPr>
        <w:t>inženýrských děl, výstavba prefabrikovaných objektů na staveništi a staveb dočasného charakteru. Zahrnují se i montážní práce stavebních konstrukcí a hodnota zabudovaného materiálu a konstrukcí. Jedná se o práce uvedené</w:t>
      </w:r>
      <w:r w:rsidR="00DD627D">
        <w:rPr>
          <w:rFonts w:ascii="Arial" w:hAnsi="Arial" w:cs="Arial"/>
          <w:sz w:val="20"/>
        </w:rPr>
        <w:t xml:space="preserve"> v CZ-CPA pod kódy 41, 42 a 43.</w:t>
      </w:r>
    </w:p>
    <w:p w:rsidR="00EA4A8E" w:rsidRPr="00E42B84" w:rsidRDefault="00EA4A8E" w:rsidP="00DD627D">
      <w:pPr>
        <w:pStyle w:val="Zkladntext"/>
        <w:spacing w:before="120" w:after="0"/>
        <w:ind w:firstLine="425"/>
        <w:rPr>
          <w:rFonts w:cs="Arial"/>
          <w:sz w:val="20"/>
        </w:rPr>
      </w:pPr>
      <w:r w:rsidRPr="00E42B84">
        <w:rPr>
          <w:rFonts w:cs="Arial"/>
          <w:sz w:val="20"/>
        </w:rPr>
        <w:t>Index je vypočten ze stálých cen roku 2010.</w:t>
      </w:r>
    </w:p>
    <w:p w:rsidR="003436E2" w:rsidRDefault="003436E2" w:rsidP="00DD627D">
      <w:pPr>
        <w:spacing w:before="120"/>
        <w:ind w:firstLine="425"/>
        <w:jc w:val="both"/>
        <w:rPr>
          <w:rFonts w:ascii="Arial" w:hAnsi="Arial" w:cs="Arial"/>
          <w:b/>
          <w:sz w:val="20"/>
        </w:rPr>
      </w:pPr>
    </w:p>
    <w:p w:rsidR="00EA4A8E" w:rsidRPr="00E42B84" w:rsidRDefault="00EA4A8E" w:rsidP="00DD627D">
      <w:pPr>
        <w:spacing w:before="120"/>
        <w:ind w:firstLine="425"/>
        <w:jc w:val="both"/>
        <w:rPr>
          <w:rFonts w:ascii="Arial" w:hAnsi="Arial" w:cs="Arial"/>
          <w:b/>
          <w:sz w:val="20"/>
        </w:rPr>
      </w:pPr>
      <w:r w:rsidRPr="00E42B84">
        <w:rPr>
          <w:rFonts w:ascii="Arial" w:hAnsi="Arial" w:cs="Arial"/>
          <w:b/>
          <w:sz w:val="20"/>
        </w:rPr>
        <w:lastRenderedPageBreak/>
        <w:t>Změna bazického období od roku 2013</w:t>
      </w:r>
    </w:p>
    <w:p w:rsidR="00EA4A8E" w:rsidRPr="00E42B84" w:rsidRDefault="00EA4A8E" w:rsidP="00DD627D">
      <w:pPr>
        <w:spacing w:before="120"/>
        <w:ind w:firstLine="425"/>
        <w:jc w:val="both"/>
        <w:rPr>
          <w:rFonts w:ascii="Arial" w:hAnsi="Arial" w:cs="Arial"/>
          <w:sz w:val="20"/>
          <w:szCs w:val="20"/>
        </w:rPr>
      </w:pPr>
      <w:r w:rsidRPr="00E42B84">
        <w:rPr>
          <w:rFonts w:ascii="Arial" w:hAnsi="Arial" w:cs="Arial"/>
          <w:sz w:val="20"/>
        </w:rPr>
        <w:t xml:space="preserve">Spolu s publikováním výsledků za leden 2013 </w:t>
      </w:r>
      <w:r w:rsidRPr="00E42B84">
        <w:rPr>
          <w:rFonts w:ascii="Arial" w:hAnsi="Arial" w:cs="Arial"/>
          <w:b/>
          <w:sz w:val="20"/>
        </w:rPr>
        <w:t>dochází ke změně bazického období krátkodobých statistik</w:t>
      </w:r>
      <w:r w:rsidRPr="00E42B84">
        <w:rPr>
          <w:rFonts w:ascii="Arial" w:hAnsi="Arial" w:cs="Arial"/>
          <w:sz w:val="20"/>
        </w:rPr>
        <w:t xml:space="preserve">, což představuje standardní krok prováděný v pětileté periodě a koordinovaný v rámci Evropského statistického systému. </w:t>
      </w:r>
      <w:r w:rsidRPr="00E42B84">
        <w:rPr>
          <w:rFonts w:ascii="Arial" w:hAnsi="Arial" w:cs="Arial"/>
          <w:sz w:val="20"/>
          <w:szCs w:val="20"/>
        </w:rPr>
        <w:t>V případě statistiky stavebnictví se tato změna týká ukazatele index stavební produkce.</w:t>
      </w:r>
    </w:p>
    <w:p w:rsidR="00EA4A8E" w:rsidRPr="00E42B84" w:rsidRDefault="00EA4A8E" w:rsidP="00DD627D">
      <w:pPr>
        <w:spacing w:before="120"/>
        <w:ind w:firstLine="425"/>
        <w:jc w:val="both"/>
        <w:rPr>
          <w:rFonts w:ascii="Arial" w:hAnsi="Arial" w:cs="Arial"/>
          <w:b/>
          <w:sz w:val="20"/>
        </w:rPr>
      </w:pPr>
      <w:r w:rsidRPr="00E42B84">
        <w:rPr>
          <w:rFonts w:ascii="Arial" w:hAnsi="Arial" w:cs="Arial"/>
          <w:b/>
          <w:sz w:val="20"/>
        </w:rPr>
        <w:t>Změna má následující důsledky:</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Základní období u bazických indexů se mění z průměru roku 2005 na průměr roku 2010.</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Došlo k použití nových váhových schémat odvozených z výsledků strukturální podnikové statistiky za rok 2010.</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 xml:space="preserve">V souladu s manuálem Eurostatu ke krátkodobým statistikám byly nové váhy využity </w:t>
      </w:r>
      <w:r w:rsidR="009671CA">
        <w:rPr>
          <w:rFonts w:ascii="Arial" w:hAnsi="Arial" w:cs="Arial"/>
          <w:sz w:val="20"/>
        </w:rPr>
        <w:t>ke </w:t>
      </w:r>
      <w:r w:rsidRPr="00E42B84">
        <w:rPr>
          <w:rFonts w:ascii="Arial" w:hAnsi="Arial" w:cs="Arial"/>
          <w:sz w:val="20"/>
        </w:rPr>
        <w:t>zpětnému přepočtu dat do roku 2009. To má za n</w:t>
      </w:r>
      <w:r w:rsidR="005354F9">
        <w:rPr>
          <w:rFonts w:ascii="Arial" w:hAnsi="Arial" w:cs="Arial"/>
          <w:sz w:val="20"/>
        </w:rPr>
        <w:t>ásledek revizi dat za roky 2009–</w:t>
      </w:r>
      <w:r w:rsidRPr="00E42B84">
        <w:rPr>
          <w:rFonts w:ascii="Arial" w:hAnsi="Arial" w:cs="Arial"/>
          <w:sz w:val="20"/>
        </w:rPr>
        <w:t>2012.</w:t>
      </w:r>
    </w:p>
    <w:p w:rsidR="00EA4A8E" w:rsidRPr="00E42B84" w:rsidRDefault="005354F9" w:rsidP="00DD627D">
      <w:pPr>
        <w:numPr>
          <w:ilvl w:val="0"/>
          <w:numId w:val="17"/>
        </w:numPr>
        <w:spacing w:before="120"/>
        <w:ind w:left="782" w:hanging="357"/>
        <w:jc w:val="both"/>
        <w:rPr>
          <w:rFonts w:ascii="Arial" w:hAnsi="Arial" w:cs="Arial"/>
          <w:sz w:val="20"/>
        </w:rPr>
      </w:pPr>
      <w:r>
        <w:rPr>
          <w:rFonts w:ascii="Arial" w:hAnsi="Arial" w:cs="Arial"/>
          <w:sz w:val="20"/>
        </w:rPr>
        <w:t>Data za roky 2000–</w:t>
      </w:r>
      <w:r w:rsidR="00EA4A8E" w:rsidRPr="00E42B84">
        <w:rPr>
          <w:rFonts w:ascii="Arial" w:hAnsi="Arial" w:cs="Arial"/>
          <w:sz w:val="20"/>
        </w:rPr>
        <w:t xml:space="preserve">2008 byla s aktualizovanými výsledky propojena za pomoci přepočítacích můstků metodou annual overlap. Vlastností této metody je, že meziroční indexy 2009/2008 za celoroční kumulace zůstávají po propojení stejné jako u původních dat </w:t>
      </w:r>
      <w:r w:rsidR="009671CA">
        <w:rPr>
          <w:rFonts w:ascii="Arial" w:hAnsi="Arial" w:cs="Arial"/>
          <w:sz w:val="20"/>
        </w:rPr>
        <w:t>a </w:t>
      </w:r>
      <w:r w:rsidR="00EA4A8E" w:rsidRPr="00E42B84">
        <w:rPr>
          <w:rFonts w:ascii="Arial" w:hAnsi="Arial" w:cs="Arial"/>
          <w:sz w:val="20"/>
        </w:rPr>
        <w:t>ne</w:t>
      </w:r>
      <w:r>
        <w:rPr>
          <w:rFonts w:ascii="Arial" w:hAnsi="Arial" w:cs="Arial"/>
          <w:sz w:val="20"/>
        </w:rPr>
        <w:t>mění se průběh řad za roky 2000–</w:t>
      </w:r>
      <w:r w:rsidR="00EA4A8E" w:rsidRPr="00E42B84">
        <w:rPr>
          <w:rFonts w:ascii="Arial" w:hAnsi="Arial" w:cs="Arial"/>
          <w:sz w:val="20"/>
        </w:rPr>
        <w:t>2008, tzn. po propojení se nemění meziroční indexy. Důsledkem změny však je, že historické řady před rokem 2009 ztrácí aditivitu, tzn. nejsou agregovatelné pomocí aktuálního váhového schématu.</w:t>
      </w:r>
    </w:p>
    <w:p w:rsidR="00EA4A8E" w:rsidRPr="00E42B84" w:rsidRDefault="00EA4A8E" w:rsidP="00DD627D">
      <w:pPr>
        <w:spacing w:before="120"/>
        <w:ind w:firstLine="425"/>
        <w:jc w:val="both"/>
        <w:rPr>
          <w:rFonts w:ascii="Arial" w:hAnsi="Arial" w:cs="Arial"/>
          <w:sz w:val="20"/>
        </w:rPr>
      </w:pPr>
      <w:r w:rsidRPr="00E42B84">
        <w:rPr>
          <w:rFonts w:ascii="Arial" w:hAnsi="Arial" w:cs="Arial"/>
          <w:sz w:val="20"/>
        </w:rPr>
        <w:t>Spolu s přepočtem byla provedena standardní revize dat za rok 2012</w:t>
      </w:r>
      <w:r w:rsidR="008D0DB7">
        <w:rPr>
          <w:rFonts w:ascii="Arial" w:hAnsi="Arial" w:cs="Arial"/>
          <w:sz w:val="20"/>
        </w:rPr>
        <w:t>.</w:t>
      </w:r>
    </w:p>
    <w:p w:rsidR="00EA4A8E" w:rsidRPr="00246B03" w:rsidRDefault="00EA4A8E" w:rsidP="00DD627D">
      <w:pPr>
        <w:pStyle w:val="titulek1"/>
        <w:spacing w:before="360" w:after="0"/>
        <w:rPr>
          <w:rFonts w:cs="Arial"/>
          <w:caps/>
        </w:rPr>
      </w:pPr>
      <w:r w:rsidRPr="00246B03">
        <w:rPr>
          <w:rFonts w:cs="Arial"/>
          <w:caps/>
        </w:rPr>
        <w:t>Bytová výstavba</w:t>
      </w:r>
    </w:p>
    <w:p w:rsidR="00EA4A8E" w:rsidRPr="00E42B84" w:rsidRDefault="00EA4A8E" w:rsidP="00DD627D">
      <w:pPr>
        <w:pStyle w:val="Zkladntext"/>
        <w:spacing w:before="120" w:after="0"/>
        <w:ind w:firstLine="425"/>
        <w:rPr>
          <w:rFonts w:cs="Arial"/>
          <w:sz w:val="20"/>
          <w:szCs w:val="20"/>
        </w:rPr>
      </w:pPr>
      <w:r w:rsidRPr="00E42B84">
        <w:rPr>
          <w:rFonts w:cs="Arial"/>
          <w:b/>
          <w:sz w:val="20"/>
        </w:rPr>
        <w:t xml:space="preserve">Bytem </w:t>
      </w:r>
      <w:r w:rsidRPr="00E42B84">
        <w:rPr>
          <w:rFonts w:cs="Arial"/>
          <w:sz w:val="20"/>
          <w:szCs w:val="20"/>
        </w:rPr>
        <w:t xml:space="preserve">se rozumí místnost nebo soubor místností, které jsou podle rozhodnutí stavebního úřadu určeny k bydlení a mohou tomuto účelu sloužit jako samostatné bytové jednotky. Do počtu bytů se započítávají i samostatné pokoje v žákovských domovech, vysokoškolských kolejích, domovech pracujícího dorostu a pokoje ve svobodárnách, které nejsou </w:t>
      </w:r>
      <w:r w:rsidR="00DD627D">
        <w:rPr>
          <w:rFonts w:cs="Arial"/>
          <w:sz w:val="20"/>
          <w:szCs w:val="20"/>
        </w:rPr>
        <w:t>obhospodařovány obecními úřady.</w:t>
      </w:r>
    </w:p>
    <w:p w:rsidR="00EA4A8E" w:rsidRPr="00E42B84" w:rsidRDefault="00EA4A8E" w:rsidP="00DD627D">
      <w:pPr>
        <w:pStyle w:val="Zkladntext"/>
        <w:spacing w:before="120" w:after="0"/>
        <w:ind w:firstLine="425"/>
        <w:rPr>
          <w:rFonts w:cs="Arial"/>
          <w:sz w:val="20"/>
        </w:rPr>
      </w:pPr>
      <w:r w:rsidRPr="00E42B84">
        <w:rPr>
          <w:rFonts w:cs="Arial"/>
          <w:b/>
          <w:sz w:val="20"/>
        </w:rPr>
        <w:t xml:space="preserve">Byty zahájené </w:t>
      </w:r>
      <w:r w:rsidRPr="00E42B84">
        <w:rPr>
          <w:rFonts w:cs="Arial"/>
          <w:sz w:val="20"/>
        </w:rPr>
        <w:t xml:space="preserve">jsou od roku 2006 byty v těch domech, jejichž výstavba byla ve sledovaném období povolena na základě vydaného stavebního povolení, a od roku 2007 na základě vydaného stavebního povolení nebo stavebního ohlášení, a to bez ohledu na to, zda tyto byty byly </w:t>
      </w:r>
      <w:r w:rsidR="009671CA">
        <w:rPr>
          <w:rFonts w:cs="Arial"/>
          <w:sz w:val="20"/>
        </w:rPr>
        <w:t>ve </w:t>
      </w:r>
      <w:r w:rsidRPr="00E42B84">
        <w:rPr>
          <w:rFonts w:cs="Arial"/>
          <w:sz w:val="20"/>
        </w:rPr>
        <w:t>sledovaném období dokončeny či nikoliv. Za dům je pro účely této definice považován rodinný dům, bytový dům, nástavba, vestavba nebo přístavba k oběma uvedeným domům, dům s pečovatelskou službou a domov-penzion, nebytový objekt (služební byty – zpravidla mimo bytové objekty) a jakýkoliv nebytový prostor, jehož adaptací vznikne nový byt.</w:t>
      </w:r>
    </w:p>
    <w:p w:rsidR="00EA4A8E" w:rsidRPr="00E42B84" w:rsidRDefault="00EA4A8E" w:rsidP="00DD627D">
      <w:pPr>
        <w:pStyle w:val="Zkladntext"/>
        <w:spacing w:before="120" w:after="0"/>
        <w:ind w:firstLine="425"/>
        <w:rPr>
          <w:rFonts w:cs="Arial"/>
          <w:sz w:val="20"/>
        </w:rPr>
      </w:pPr>
      <w:r w:rsidRPr="00E42B84">
        <w:rPr>
          <w:rFonts w:cs="Arial"/>
          <w:b/>
          <w:bCs/>
          <w:sz w:val="20"/>
        </w:rPr>
        <w:t>Byty</w:t>
      </w:r>
      <w:r w:rsidRPr="00E42B84">
        <w:rPr>
          <w:rFonts w:cs="Arial"/>
          <w:sz w:val="20"/>
        </w:rPr>
        <w:t xml:space="preserve"> </w:t>
      </w:r>
      <w:r w:rsidRPr="00E42B84">
        <w:rPr>
          <w:rFonts w:cs="Arial"/>
          <w:b/>
          <w:sz w:val="20"/>
        </w:rPr>
        <w:t xml:space="preserve">dokončené </w:t>
      </w:r>
      <w:r w:rsidRPr="00E42B84">
        <w:rPr>
          <w:rFonts w:cs="Arial"/>
          <w:sz w:val="20"/>
        </w:rPr>
        <w:t xml:space="preserve">jsou byty, na které ve smyslu zákona č. 183/2006 Sb. (Stavební zákon), </w:t>
      </w:r>
      <w:r w:rsidR="009671CA">
        <w:rPr>
          <w:rFonts w:cs="Arial"/>
          <w:sz w:val="20"/>
        </w:rPr>
        <w:t>ve </w:t>
      </w:r>
      <w:r w:rsidRPr="00E42B84">
        <w:rPr>
          <w:rFonts w:cs="Arial"/>
          <w:sz w:val="20"/>
        </w:rPr>
        <w:t>znění pozdějších předpisů, byl příslušným stavebním úřadem do konce sledovaného období podle § 12</w:t>
      </w:r>
      <w:r w:rsidR="00DD627D">
        <w:rPr>
          <w:rFonts w:cs="Arial"/>
          <w:sz w:val="20"/>
        </w:rPr>
        <w:t>2 vystaven kolaudační souhlas.</w:t>
      </w:r>
    </w:p>
    <w:p w:rsidR="00EA4A8E" w:rsidRPr="00246B03" w:rsidRDefault="00EA4A8E" w:rsidP="00DD627D">
      <w:pPr>
        <w:pStyle w:val="titulek1"/>
        <w:spacing w:before="360" w:after="0"/>
        <w:rPr>
          <w:rFonts w:cs="Arial"/>
          <w:caps/>
        </w:rPr>
      </w:pPr>
      <w:r w:rsidRPr="00246B03">
        <w:rPr>
          <w:rFonts w:cs="Arial"/>
          <w:caps/>
        </w:rPr>
        <w:t>Stavební povolení</w:t>
      </w:r>
    </w:p>
    <w:p w:rsidR="00EA4A8E" w:rsidRPr="00E42B84" w:rsidRDefault="00EA4A8E" w:rsidP="00DD627D">
      <w:pPr>
        <w:pStyle w:val="Zkladntext"/>
        <w:spacing w:before="120" w:after="0"/>
        <w:ind w:firstLine="425"/>
        <w:rPr>
          <w:rFonts w:cs="Arial"/>
          <w:sz w:val="20"/>
        </w:rPr>
      </w:pPr>
      <w:r w:rsidRPr="00E42B84">
        <w:rPr>
          <w:rFonts w:cs="Arial"/>
          <w:b/>
          <w:bCs/>
          <w:sz w:val="20"/>
        </w:rPr>
        <w:t>Stavebním povolením</w:t>
      </w:r>
      <w:r w:rsidRPr="00E42B84">
        <w:rPr>
          <w:rFonts w:cs="Arial"/>
          <w:bCs/>
          <w:sz w:val="20"/>
        </w:rPr>
        <w:t xml:space="preserve"> se rozumí stavební </w:t>
      </w:r>
      <w:r w:rsidR="00871DFF">
        <w:rPr>
          <w:rFonts w:cs="Arial"/>
          <w:bCs/>
          <w:sz w:val="20"/>
        </w:rPr>
        <w:t>celkový počet stavebních povolení,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w:t>
      </w:r>
    </w:p>
    <w:p w:rsidR="00EA4A8E" w:rsidRPr="00E42B84" w:rsidRDefault="00EA4A8E" w:rsidP="00DD627D">
      <w:pPr>
        <w:pStyle w:val="Zkladntext"/>
        <w:spacing w:before="120" w:after="0"/>
        <w:ind w:firstLine="425"/>
        <w:rPr>
          <w:rFonts w:cs="Arial"/>
          <w:sz w:val="20"/>
        </w:rPr>
      </w:pPr>
      <w:r w:rsidRPr="00E42B84">
        <w:rPr>
          <w:rFonts w:cs="Arial"/>
          <w:b/>
          <w:sz w:val="20"/>
        </w:rPr>
        <w:t>Orientační hodnota staveb</w:t>
      </w:r>
      <w:r w:rsidRPr="00E42B84">
        <w:rPr>
          <w:rFonts w:cs="Arial"/>
          <w:sz w:val="20"/>
        </w:rPr>
        <w:t xml:space="preserve"> zahrnuje celkové náklady včetně technologie (v běžných cenách) vynaložené na přípravu, realizaci a uvedení stavby do provozu.</w:t>
      </w:r>
    </w:p>
    <w:p w:rsidR="00EA4A8E" w:rsidRPr="00246B03" w:rsidRDefault="00EA4A8E" w:rsidP="00DD627D">
      <w:pPr>
        <w:pStyle w:val="titulek1"/>
        <w:tabs>
          <w:tab w:val="clear" w:pos="424"/>
          <w:tab w:val="left" w:pos="426"/>
        </w:tabs>
        <w:spacing w:before="360" w:after="0"/>
        <w:jc w:val="left"/>
        <w:rPr>
          <w:rFonts w:cs="Arial"/>
          <w:caps/>
        </w:rPr>
      </w:pPr>
      <w:r w:rsidRPr="00246B03">
        <w:rPr>
          <w:rFonts w:cs="Arial"/>
          <w:caps/>
        </w:rPr>
        <w:t>Tržby v motoristickém segmentu, maloobchodě, ubytování, stravování a pohostinství</w:t>
      </w:r>
    </w:p>
    <w:p w:rsidR="00EA4A8E" w:rsidRPr="00E42B84" w:rsidRDefault="00EA4A8E" w:rsidP="00DD627D">
      <w:pPr>
        <w:pStyle w:val="Zkladntext"/>
        <w:spacing w:before="120" w:after="0"/>
        <w:ind w:firstLine="425"/>
        <w:rPr>
          <w:rFonts w:cs="Arial"/>
          <w:sz w:val="20"/>
        </w:rPr>
      </w:pPr>
      <w:r w:rsidRPr="00E42B84">
        <w:rPr>
          <w:rFonts w:cs="Arial"/>
          <w:b/>
          <w:bCs/>
          <w:sz w:val="20"/>
        </w:rPr>
        <w:t>Tržby v motoristickém segmentu, maloobchodě, ubytování, stravování a pohostinství</w:t>
      </w:r>
      <w:r w:rsidRPr="00E42B84">
        <w:rPr>
          <w:rFonts w:cs="Arial"/>
          <w:sz w:val="20"/>
        </w:rPr>
        <w:t xml:space="preserve"> </w:t>
      </w:r>
      <w:r w:rsidRPr="00E42B84">
        <w:rPr>
          <w:rFonts w:cs="Arial"/>
          <w:sz w:val="20"/>
        </w:rPr>
        <w:sym w:font="Symbol" w:char="F02D"/>
      </w:r>
      <w:r w:rsidRPr="00E42B84">
        <w:rPr>
          <w:rFonts w:cs="Arial"/>
          <w:sz w:val="20"/>
        </w:rPr>
        <w:t xml:space="preserve"> celkové tržby bez DPH za zboží, vlastní výrobky a služby, zjišťované měsíčním šetřením na konstantním poli podniků.</w:t>
      </w:r>
    </w:p>
    <w:p w:rsidR="00FF1781" w:rsidRPr="00E42B84" w:rsidRDefault="001310E8" w:rsidP="00660DC4">
      <w:pPr>
        <w:pStyle w:val="Zkladntext"/>
        <w:spacing w:before="120" w:after="0"/>
        <w:ind w:firstLine="425"/>
        <w:rPr>
          <w:rFonts w:cs="Arial"/>
          <w:sz w:val="20"/>
        </w:rPr>
      </w:pPr>
      <w:r w:rsidRPr="00660DC4">
        <w:rPr>
          <w:rFonts w:cs="Arial"/>
          <w:sz w:val="20"/>
        </w:rPr>
        <w:t xml:space="preserve">Publikovaný ukazatel je index těchto tržeb proti stejnému období předchozího roku, a to za motoristický segment, maloobchod, ubytování, stravování a pohostinství; podle Klasifikace </w:t>
      </w:r>
      <w:r w:rsidRPr="00660DC4">
        <w:rPr>
          <w:rFonts w:cs="Arial"/>
          <w:sz w:val="20"/>
        </w:rPr>
        <w:lastRenderedPageBreak/>
        <w:t>ekonomických činností CZ-NACE, což je národní verze klasifikace NACE Rev. 2, se jedná o tyto oddíly:</w:t>
      </w:r>
      <w:r w:rsidR="00FF1781" w:rsidRPr="00E42B84">
        <w:rPr>
          <w:rFonts w:cs="Arial"/>
          <w:sz w:val="20"/>
        </w:rPr>
        <w:t xml:space="preserve"> </w:t>
      </w:r>
    </w:p>
    <w:p w:rsidR="00EA4A8E" w:rsidRPr="00E42B84" w:rsidRDefault="00EA4A8E" w:rsidP="00DD627D">
      <w:pPr>
        <w:pStyle w:val="Zkladntext"/>
        <w:spacing w:before="120" w:after="0"/>
        <w:rPr>
          <w:rFonts w:cs="Arial"/>
          <w:sz w:val="20"/>
        </w:rPr>
      </w:pPr>
      <w:r w:rsidRPr="00E42B84">
        <w:rPr>
          <w:rFonts w:cs="Arial"/>
          <w:sz w:val="20"/>
        </w:rPr>
        <w:t>45</w:t>
      </w:r>
      <w:r w:rsidRPr="00E42B84">
        <w:rPr>
          <w:rFonts w:cs="Arial"/>
          <w:sz w:val="20"/>
        </w:rPr>
        <w:tab/>
        <w:t>tržby za obchod, údržbu a opravy motorových vozidel</w:t>
      </w:r>
    </w:p>
    <w:p w:rsidR="00EA4A8E" w:rsidRPr="00E42B84" w:rsidRDefault="00EA4A8E" w:rsidP="00DD627D">
      <w:pPr>
        <w:pStyle w:val="Zkladntext"/>
        <w:spacing w:before="120" w:after="0"/>
        <w:rPr>
          <w:rFonts w:cs="Arial"/>
          <w:sz w:val="20"/>
        </w:rPr>
      </w:pPr>
      <w:r w:rsidRPr="00E42B84">
        <w:rPr>
          <w:rFonts w:cs="Arial"/>
          <w:sz w:val="20"/>
        </w:rPr>
        <w:t>47</w:t>
      </w:r>
      <w:r w:rsidRPr="00E42B84">
        <w:rPr>
          <w:rFonts w:cs="Arial"/>
          <w:sz w:val="20"/>
        </w:rPr>
        <w:tab/>
        <w:t>tržby maloobchodu kromě motorových vozidel včetně maloobchodního prodeje pohonných hmot</w:t>
      </w:r>
    </w:p>
    <w:p w:rsidR="00EA4A8E" w:rsidRPr="00E42B84" w:rsidRDefault="00EA4A8E" w:rsidP="00DD627D">
      <w:pPr>
        <w:pStyle w:val="Zkladntext"/>
        <w:spacing w:before="120" w:after="0"/>
        <w:rPr>
          <w:rFonts w:cs="Arial"/>
          <w:sz w:val="20"/>
        </w:rPr>
      </w:pPr>
      <w:r w:rsidRPr="00E42B84">
        <w:rPr>
          <w:rFonts w:cs="Arial"/>
          <w:sz w:val="20"/>
        </w:rPr>
        <w:t>55</w:t>
      </w:r>
      <w:r w:rsidRPr="00E42B84">
        <w:rPr>
          <w:rFonts w:cs="Arial"/>
          <w:sz w:val="20"/>
        </w:rPr>
        <w:tab/>
        <w:t>tržby za ubytování</w:t>
      </w:r>
    </w:p>
    <w:p w:rsidR="00EA4A8E" w:rsidRPr="00E42B84" w:rsidRDefault="00EA4A8E" w:rsidP="00DD627D">
      <w:pPr>
        <w:pStyle w:val="Zkladntext"/>
        <w:spacing w:before="120" w:after="0"/>
        <w:rPr>
          <w:rFonts w:cs="Arial"/>
          <w:sz w:val="20"/>
        </w:rPr>
      </w:pPr>
      <w:r w:rsidRPr="00E42B84">
        <w:rPr>
          <w:rFonts w:cs="Arial"/>
          <w:sz w:val="20"/>
        </w:rPr>
        <w:t>56</w:t>
      </w:r>
      <w:r w:rsidRPr="00E42B84">
        <w:rPr>
          <w:rFonts w:cs="Arial"/>
          <w:sz w:val="20"/>
        </w:rPr>
        <w:tab/>
        <w:t>tržby za stravování a pohostinství</w:t>
      </w:r>
    </w:p>
    <w:p w:rsidR="00EA4A8E" w:rsidRPr="00E42B84" w:rsidRDefault="00EA4A8E" w:rsidP="00DD627D">
      <w:pPr>
        <w:pStyle w:val="Zkladntext"/>
        <w:spacing w:before="120" w:after="0"/>
        <w:ind w:firstLine="425"/>
        <w:rPr>
          <w:rFonts w:cs="Arial"/>
          <w:sz w:val="20"/>
        </w:rPr>
      </w:pPr>
      <w:r w:rsidRPr="00E42B84">
        <w:rPr>
          <w:rFonts w:cs="Arial"/>
          <w:sz w:val="20"/>
        </w:rPr>
        <w:t>Specifikace indexů tržeb podle podrobnějšího sortimentního členění:</w:t>
      </w:r>
    </w:p>
    <w:p w:rsidR="00EA4A8E" w:rsidRPr="00E42B84" w:rsidRDefault="00EA4A8E" w:rsidP="00DD627D">
      <w:pPr>
        <w:pStyle w:val="Zkladntext"/>
        <w:spacing w:before="120" w:after="0"/>
        <w:rPr>
          <w:rFonts w:cs="Arial"/>
          <w:sz w:val="20"/>
        </w:rPr>
      </w:pPr>
      <w:r w:rsidRPr="00E42B84">
        <w:rPr>
          <w:rFonts w:cs="Arial"/>
          <w:sz w:val="20"/>
        </w:rPr>
        <w:t>maloobchod kromě maloobchodního prodeje pohonných hmot – CZ-NACE 47 bez 47.3</w:t>
      </w:r>
    </w:p>
    <w:p w:rsidR="00EA4A8E" w:rsidRPr="00E42B84" w:rsidRDefault="00EA4A8E" w:rsidP="00DD627D">
      <w:pPr>
        <w:pStyle w:val="Zkladntext"/>
        <w:spacing w:before="120" w:after="0"/>
        <w:rPr>
          <w:rFonts w:cs="Arial"/>
          <w:sz w:val="20"/>
        </w:rPr>
      </w:pPr>
      <w:r w:rsidRPr="00E42B84">
        <w:rPr>
          <w:rFonts w:cs="Arial"/>
          <w:sz w:val="20"/>
        </w:rPr>
        <w:t>maloobchodní prodej pohonných hmot – CZ-NACE 47.3</w:t>
      </w:r>
    </w:p>
    <w:p w:rsidR="00EA4A8E" w:rsidRPr="00E42B84" w:rsidRDefault="00EA4A8E" w:rsidP="00DD627D">
      <w:pPr>
        <w:pStyle w:val="Zkladntext"/>
        <w:spacing w:before="120" w:after="0"/>
        <w:rPr>
          <w:rFonts w:cs="Arial"/>
          <w:sz w:val="20"/>
        </w:rPr>
      </w:pPr>
      <w:r w:rsidRPr="00E42B84">
        <w:rPr>
          <w:rFonts w:cs="Arial"/>
          <w:sz w:val="20"/>
        </w:rPr>
        <w:t>maloobchod s převahou potravin v nespecializovaných prodejnách – CZ-NACE 47.11</w:t>
      </w:r>
    </w:p>
    <w:p w:rsidR="00EA4A8E" w:rsidRPr="00E42B84" w:rsidRDefault="00EA4A8E" w:rsidP="00DD627D">
      <w:pPr>
        <w:pStyle w:val="Zkladntext"/>
        <w:spacing w:before="120" w:after="0"/>
        <w:rPr>
          <w:rFonts w:cs="Arial"/>
          <w:sz w:val="20"/>
        </w:rPr>
      </w:pPr>
      <w:r w:rsidRPr="00E42B84">
        <w:rPr>
          <w:rFonts w:cs="Arial"/>
          <w:sz w:val="20"/>
        </w:rPr>
        <w:t>maloobchod s potravinami ve specializovan</w:t>
      </w:r>
      <w:r w:rsidR="00DD627D">
        <w:rPr>
          <w:rFonts w:cs="Arial"/>
          <w:sz w:val="20"/>
        </w:rPr>
        <w:t>ých prodejnách – CZ-NACE 47.2</w:t>
      </w:r>
    </w:p>
    <w:p w:rsidR="00EA4A8E" w:rsidRPr="00E42B84" w:rsidRDefault="00EA4A8E" w:rsidP="00DD627D">
      <w:pPr>
        <w:pStyle w:val="Zkladntext"/>
        <w:spacing w:before="120" w:after="0"/>
        <w:rPr>
          <w:rFonts w:cs="Arial"/>
          <w:sz w:val="20"/>
        </w:rPr>
      </w:pPr>
      <w:r w:rsidRPr="00E42B84">
        <w:rPr>
          <w:rFonts w:cs="Arial"/>
          <w:sz w:val="20"/>
        </w:rPr>
        <w:t>maloobchod s nepotravinářským zbožím</w:t>
      </w:r>
      <w:r w:rsidR="00DD627D">
        <w:rPr>
          <w:rFonts w:cs="Arial"/>
          <w:sz w:val="20"/>
        </w:rPr>
        <w:t xml:space="preserve"> – CZ-NACE 47.19 + 47.4 až 47.9</w:t>
      </w:r>
    </w:p>
    <w:p w:rsidR="00EA4A8E" w:rsidRPr="00E42B84" w:rsidRDefault="00EA4A8E" w:rsidP="00DD627D">
      <w:pPr>
        <w:pStyle w:val="Zkladntext"/>
        <w:spacing w:before="120" w:after="0"/>
        <w:rPr>
          <w:rFonts w:cs="Arial"/>
          <w:sz w:val="20"/>
        </w:rPr>
      </w:pPr>
      <w:r w:rsidRPr="00E42B84">
        <w:rPr>
          <w:rFonts w:cs="Arial"/>
          <w:sz w:val="20"/>
        </w:rPr>
        <w:t>ubytování – CZ-NACE 55</w:t>
      </w:r>
    </w:p>
    <w:p w:rsidR="00EA4A8E" w:rsidRPr="00E42B84" w:rsidRDefault="00EA4A8E" w:rsidP="00DD627D">
      <w:pPr>
        <w:pStyle w:val="Zkladntext"/>
        <w:spacing w:before="120" w:after="0"/>
        <w:rPr>
          <w:rFonts w:cs="Arial"/>
          <w:sz w:val="20"/>
        </w:rPr>
      </w:pPr>
      <w:r w:rsidRPr="00E42B84">
        <w:rPr>
          <w:rFonts w:cs="Arial"/>
          <w:sz w:val="20"/>
        </w:rPr>
        <w:t>stravování a pohostinství – CZ-NACE 56</w:t>
      </w:r>
    </w:p>
    <w:p w:rsidR="00EA4A8E" w:rsidRPr="00E42B84" w:rsidRDefault="00EA4A8E" w:rsidP="00DD627D">
      <w:pPr>
        <w:pStyle w:val="Zkladntext"/>
        <w:spacing w:before="120" w:after="0"/>
        <w:rPr>
          <w:rFonts w:cs="Arial"/>
          <w:sz w:val="20"/>
        </w:rPr>
      </w:pPr>
      <w:r w:rsidRPr="00E42B84">
        <w:rPr>
          <w:rFonts w:cs="Arial"/>
          <w:sz w:val="20"/>
        </w:rPr>
        <w:t>Index v běžných cenách: stejné období předchozího roku = 100</w:t>
      </w:r>
    </w:p>
    <w:p w:rsidR="00EA4A8E" w:rsidRPr="00E42B84" w:rsidRDefault="00EA4A8E" w:rsidP="00DD627D">
      <w:pPr>
        <w:pStyle w:val="Zkladntext"/>
        <w:spacing w:before="120" w:after="0"/>
        <w:rPr>
          <w:rFonts w:cs="Arial"/>
          <w:sz w:val="20"/>
        </w:rPr>
      </w:pPr>
      <w:r w:rsidRPr="00E42B84">
        <w:rPr>
          <w:rFonts w:cs="Arial"/>
          <w:sz w:val="20"/>
        </w:rPr>
        <w:t>Index ve stálých cenách: stejné období předchozího roku = 100</w:t>
      </w:r>
    </w:p>
    <w:p w:rsidR="00EA4A8E" w:rsidRPr="00E42B84" w:rsidRDefault="00EA4A8E" w:rsidP="00DD627D">
      <w:pPr>
        <w:pStyle w:val="Zkladntext"/>
        <w:spacing w:before="120" w:after="0"/>
        <w:ind w:firstLine="425"/>
        <w:rPr>
          <w:rFonts w:cs="Arial"/>
          <w:sz w:val="20"/>
        </w:rPr>
      </w:pPr>
      <w:r w:rsidRPr="00E42B84">
        <w:rPr>
          <w:rFonts w:cs="Arial"/>
          <w:sz w:val="20"/>
        </w:rPr>
        <w:tab/>
      </w:r>
      <w:r w:rsidRPr="00E42B84">
        <w:rPr>
          <w:rFonts w:cs="Arial"/>
          <w:sz w:val="20"/>
        </w:rPr>
        <w:tab/>
        <w:t xml:space="preserve">              (pro deflaci použit cenový index k průměru roku 2010)</w:t>
      </w:r>
    </w:p>
    <w:p w:rsidR="00EA4A8E" w:rsidRPr="00E42B84" w:rsidRDefault="00EA4A8E" w:rsidP="00DD627D">
      <w:pPr>
        <w:pStyle w:val="Zkladntext"/>
        <w:spacing w:before="120" w:after="0"/>
        <w:rPr>
          <w:rFonts w:cs="Arial"/>
          <w:b/>
          <w:bCs/>
          <w:sz w:val="20"/>
        </w:rPr>
      </w:pPr>
      <w:r w:rsidRPr="00E42B84">
        <w:rPr>
          <w:rFonts w:cs="Arial"/>
          <w:b/>
          <w:bCs/>
          <w:sz w:val="20"/>
        </w:rPr>
        <w:t>Revize</w:t>
      </w:r>
    </w:p>
    <w:p w:rsidR="00EA4A8E" w:rsidRPr="00E42B84" w:rsidRDefault="00EA4A8E" w:rsidP="00DD627D">
      <w:pPr>
        <w:spacing w:before="120"/>
        <w:ind w:firstLine="425"/>
        <w:jc w:val="both"/>
        <w:rPr>
          <w:rFonts w:ascii="Arial" w:hAnsi="Arial" w:cs="Arial"/>
          <w:sz w:val="20"/>
        </w:rPr>
      </w:pPr>
      <w:r w:rsidRPr="00E42B84">
        <w:rPr>
          <w:rFonts w:ascii="Arial" w:hAnsi="Arial" w:cs="Arial"/>
          <w:sz w:val="20"/>
        </w:rPr>
        <w:t>Se zpracováním únorových dat je prováděna revize lednových dat. V případě potřeby se provádějí revize dat se zpracováním prvního měsíce, který následuje po publikování čtvrtletních dat, např. se zpracováním dubnových dat se revidují data za leden až březen. Definitivní údaje budou publikovány po zpracování všech měsíců sledovaného roku, nejpozději v červnu následujícího roku.</w:t>
      </w:r>
    </w:p>
    <w:p w:rsidR="00EA4A8E" w:rsidRPr="00E42B84" w:rsidRDefault="00EA4A8E" w:rsidP="004A6D7B">
      <w:pPr>
        <w:spacing w:before="120"/>
        <w:ind w:firstLine="425"/>
        <w:jc w:val="both"/>
        <w:rPr>
          <w:rFonts w:ascii="Arial" w:hAnsi="Arial" w:cs="Arial"/>
          <w:b/>
          <w:sz w:val="20"/>
        </w:rPr>
      </w:pPr>
      <w:r w:rsidRPr="00E42B84">
        <w:rPr>
          <w:rFonts w:ascii="Arial" w:hAnsi="Arial" w:cs="Arial"/>
          <w:b/>
          <w:sz w:val="20"/>
        </w:rPr>
        <w:t>Změna bazického období od roku 2013</w:t>
      </w:r>
    </w:p>
    <w:p w:rsidR="00EA4A8E" w:rsidRPr="00E42B84" w:rsidRDefault="00EA4A8E" w:rsidP="004A6D7B">
      <w:pPr>
        <w:spacing w:before="120"/>
        <w:ind w:firstLine="425"/>
        <w:jc w:val="both"/>
        <w:rPr>
          <w:rFonts w:ascii="Arial" w:hAnsi="Arial" w:cs="Arial"/>
          <w:sz w:val="20"/>
        </w:rPr>
      </w:pPr>
      <w:r w:rsidRPr="00E42B84">
        <w:rPr>
          <w:rFonts w:ascii="Arial" w:hAnsi="Arial" w:cs="Arial"/>
          <w:sz w:val="20"/>
        </w:rPr>
        <w:t xml:space="preserve">Spolu s publikováním výsledků za leden 2013 </w:t>
      </w:r>
      <w:r w:rsidR="00FF1781">
        <w:rPr>
          <w:rFonts w:ascii="Arial" w:hAnsi="Arial" w:cs="Arial"/>
          <w:sz w:val="20"/>
        </w:rPr>
        <w:t>došlo</w:t>
      </w:r>
      <w:r w:rsidRPr="00E42B84">
        <w:rPr>
          <w:rFonts w:ascii="Arial" w:hAnsi="Arial" w:cs="Arial"/>
          <w:sz w:val="20"/>
        </w:rPr>
        <w:t xml:space="preserve"> </w:t>
      </w:r>
      <w:r w:rsidRPr="00E42B84">
        <w:rPr>
          <w:rFonts w:ascii="Arial" w:hAnsi="Arial" w:cs="Arial"/>
          <w:b/>
          <w:sz w:val="20"/>
        </w:rPr>
        <w:t>ke změně bazického období krátkodobých statistik</w:t>
      </w:r>
      <w:r w:rsidRPr="00E42B84">
        <w:rPr>
          <w:rFonts w:ascii="Arial" w:hAnsi="Arial" w:cs="Arial"/>
          <w:sz w:val="20"/>
        </w:rPr>
        <w:t>, což představuje standardní krok prováděný v pětileté periodě a koordinovaný v rámci Evropského statistického systému.</w:t>
      </w:r>
    </w:p>
    <w:p w:rsidR="00EA4A8E" w:rsidRPr="00E42B84" w:rsidRDefault="00EA4A8E" w:rsidP="004A6D7B">
      <w:pPr>
        <w:spacing w:before="120"/>
        <w:ind w:firstLine="425"/>
        <w:jc w:val="both"/>
        <w:rPr>
          <w:rFonts w:ascii="Arial" w:hAnsi="Arial" w:cs="Arial"/>
          <w:b/>
          <w:sz w:val="20"/>
        </w:rPr>
      </w:pPr>
      <w:r w:rsidRPr="00E42B84">
        <w:rPr>
          <w:rFonts w:ascii="Arial" w:hAnsi="Arial" w:cs="Arial"/>
          <w:b/>
          <w:sz w:val="20"/>
        </w:rPr>
        <w:t>Změna m</w:t>
      </w:r>
      <w:r w:rsidR="00FF1781">
        <w:rPr>
          <w:rFonts w:ascii="Arial" w:hAnsi="Arial" w:cs="Arial"/>
          <w:b/>
          <w:sz w:val="20"/>
        </w:rPr>
        <w:t>ěla</w:t>
      </w:r>
      <w:r w:rsidRPr="00E42B84">
        <w:rPr>
          <w:rFonts w:ascii="Arial" w:hAnsi="Arial" w:cs="Arial"/>
          <w:b/>
          <w:sz w:val="20"/>
        </w:rPr>
        <w:t xml:space="preserve"> následující důsledky:</w:t>
      </w:r>
    </w:p>
    <w:p w:rsidR="00EA4A8E" w:rsidRPr="00E42B84" w:rsidRDefault="00EA4A8E" w:rsidP="004A6D7B">
      <w:pPr>
        <w:numPr>
          <w:ilvl w:val="0"/>
          <w:numId w:val="17"/>
        </w:numPr>
        <w:spacing w:before="120"/>
        <w:ind w:left="782" w:hanging="357"/>
        <w:jc w:val="both"/>
        <w:rPr>
          <w:rFonts w:ascii="Arial" w:hAnsi="Arial" w:cs="Arial"/>
          <w:sz w:val="20"/>
        </w:rPr>
      </w:pPr>
      <w:r w:rsidRPr="00E42B84">
        <w:rPr>
          <w:rFonts w:ascii="Arial" w:hAnsi="Arial" w:cs="Arial"/>
          <w:sz w:val="20"/>
        </w:rPr>
        <w:t xml:space="preserve">Základní období u bazických indexů se </w:t>
      </w:r>
      <w:r w:rsidR="00FF1781">
        <w:rPr>
          <w:rFonts w:ascii="Arial" w:hAnsi="Arial" w:cs="Arial"/>
          <w:sz w:val="20"/>
        </w:rPr>
        <w:t>změnilo</w:t>
      </w:r>
      <w:r w:rsidRPr="00E42B84">
        <w:rPr>
          <w:rFonts w:ascii="Arial" w:hAnsi="Arial" w:cs="Arial"/>
          <w:sz w:val="20"/>
        </w:rPr>
        <w:t xml:space="preserve"> z průměru roku 2005 na průměr roku 2010.</w:t>
      </w:r>
    </w:p>
    <w:p w:rsidR="00EA4A8E" w:rsidRPr="00E42B84" w:rsidRDefault="00EA4A8E" w:rsidP="004A6D7B">
      <w:pPr>
        <w:numPr>
          <w:ilvl w:val="0"/>
          <w:numId w:val="17"/>
        </w:numPr>
        <w:spacing w:before="120"/>
        <w:ind w:left="782" w:hanging="357"/>
        <w:jc w:val="both"/>
        <w:rPr>
          <w:rFonts w:ascii="Arial" w:hAnsi="Arial" w:cs="Arial"/>
          <w:sz w:val="20"/>
        </w:rPr>
      </w:pPr>
      <w:r w:rsidRPr="00E42B84">
        <w:rPr>
          <w:rFonts w:ascii="Arial" w:hAnsi="Arial" w:cs="Arial"/>
          <w:sz w:val="20"/>
        </w:rPr>
        <w:t>Došlo k použití nových váhových schémat odvozených z výsledků strukturální podnikové statistiky za rok 2010.</w:t>
      </w:r>
    </w:p>
    <w:p w:rsidR="00EA4A8E" w:rsidRPr="00E42B84" w:rsidRDefault="00EA4A8E" w:rsidP="004A6D7B">
      <w:pPr>
        <w:numPr>
          <w:ilvl w:val="0"/>
          <w:numId w:val="17"/>
        </w:numPr>
        <w:spacing w:before="120"/>
        <w:ind w:left="782" w:hanging="357"/>
        <w:jc w:val="both"/>
        <w:rPr>
          <w:rFonts w:ascii="Arial" w:hAnsi="Arial" w:cs="Arial"/>
          <w:sz w:val="20"/>
        </w:rPr>
      </w:pPr>
      <w:r w:rsidRPr="00E42B84">
        <w:rPr>
          <w:rFonts w:ascii="Arial" w:hAnsi="Arial" w:cs="Arial"/>
          <w:sz w:val="20"/>
        </w:rPr>
        <w:t xml:space="preserve">V souladu s manuálem Eurostatu ke krátkodobým statistikám byly nové váhy využity </w:t>
      </w:r>
      <w:r w:rsidR="009671CA">
        <w:rPr>
          <w:rFonts w:ascii="Arial" w:hAnsi="Arial" w:cs="Arial"/>
          <w:sz w:val="20"/>
        </w:rPr>
        <w:t>ke </w:t>
      </w:r>
      <w:r w:rsidRPr="00E42B84">
        <w:rPr>
          <w:rFonts w:ascii="Arial" w:hAnsi="Arial" w:cs="Arial"/>
          <w:sz w:val="20"/>
        </w:rPr>
        <w:t>zpětnému přepočtu dat do roku 2009. To m</w:t>
      </w:r>
      <w:r w:rsidR="00FF1781">
        <w:rPr>
          <w:rFonts w:ascii="Arial" w:hAnsi="Arial" w:cs="Arial"/>
          <w:sz w:val="20"/>
        </w:rPr>
        <w:t>ělo</w:t>
      </w:r>
      <w:r w:rsidRPr="00E42B84">
        <w:rPr>
          <w:rFonts w:ascii="Arial" w:hAnsi="Arial" w:cs="Arial"/>
          <w:sz w:val="20"/>
        </w:rPr>
        <w:t xml:space="preserve"> za n</w:t>
      </w:r>
      <w:r w:rsidR="00234F45">
        <w:rPr>
          <w:rFonts w:ascii="Arial" w:hAnsi="Arial" w:cs="Arial"/>
          <w:sz w:val="20"/>
        </w:rPr>
        <w:t>ásledek revizi dat za roky 2009–</w:t>
      </w:r>
      <w:r w:rsidRPr="00E42B84">
        <w:rPr>
          <w:rFonts w:ascii="Arial" w:hAnsi="Arial" w:cs="Arial"/>
          <w:sz w:val="20"/>
        </w:rPr>
        <w:t>2012.</w:t>
      </w:r>
    </w:p>
    <w:p w:rsidR="00EA4A8E" w:rsidRPr="00E42B84" w:rsidRDefault="005354F9" w:rsidP="004A6D7B">
      <w:pPr>
        <w:numPr>
          <w:ilvl w:val="0"/>
          <w:numId w:val="17"/>
        </w:numPr>
        <w:spacing w:before="120"/>
        <w:ind w:left="782" w:hanging="357"/>
        <w:jc w:val="both"/>
        <w:rPr>
          <w:rFonts w:ascii="Arial" w:hAnsi="Arial" w:cs="Arial"/>
          <w:sz w:val="20"/>
        </w:rPr>
      </w:pPr>
      <w:r>
        <w:rPr>
          <w:rFonts w:ascii="Arial" w:hAnsi="Arial" w:cs="Arial"/>
          <w:sz w:val="20"/>
        </w:rPr>
        <w:t>Data za roky 2000–</w:t>
      </w:r>
      <w:r w:rsidR="00EA4A8E" w:rsidRPr="00E42B84">
        <w:rPr>
          <w:rFonts w:ascii="Arial" w:hAnsi="Arial" w:cs="Arial"/>
          <w:sz w:val="20"/>
        </w:rPr>
        <w:t xml:space="preserve">2008 byla s aktualizovanými výsledky propojena za pomoci přepočítacích můstků metodou annual overlap. Vlastností této metody je, že meziroční indexy 2009/2008 za celoroční kumulace zůstávají po propojení stejné jako u původních dat </w:t>
      </w:r>
      <w:r w:rsidR="009671CA">
        <w:rPr>
          <w:rFonts w:ascii="Arial" w:hAnsi="Arial" w:cs="Arial"/>
          <w:sz w:val="20"/>
        </w:rPr>
        <w:t>a </w:t>
      </w:r>
      <w:r w:rsidR="00EA4A8E" w:rsidRPr="00E42B84">
        <w:rPr>
          <w:rFonts w:ascii="Arial" w:hAnsi="Arial" w:cs="Arial"/>
          <w:sz w:val="20"/>
        </w:rPr>
        <w:t>ne</w:t>
      </w:r>
      <w:r>
        <w:rPr>
          <w:rFonts w:ascii="Arial" w:hAnsi="Arial" w:cs="Arial"/>
          <w:sz w:val="20"/>
        </w:rPr>
        <w:t>mění se průběh řad za roky 2000–</w:t>
      </w:r>
      <w:r w:rsidR="00EA4A8E" w:rsidRPr="00E42B84">
        <w:rPr>
          <w:rFonts w:ascii="Arial" w:hAnsi="Arial" w:cs="Arial"/>
          <w:sz w:val="20"/>
        </w:rPr>
        <w:t>2008, tzn. po propojení se nemění meziroční indexy. Důsledkem změny však je, že historické řady před rokem 2009 ztrácí aditivitu, tzn. nejsou agregovatelné pomocí aktuálního váhového schématu.</w:t>
      </w:r>
    </w:p>
    <w:p w:rsidR="00EA4A8E" w:rsidRPr="00A77833" w:rsidRDefault="00EA4A8E" w:rsidP="004A6D7B">
      <w:pPr>
        <w:pStyle w:val="titulek1"/>
        <w:spacing w:before="360" w:after="0"/>
        <w:rPr>
          <w:rFonts w:cs="Arial"/>
          <w:caps/>
        </w:rPr>
      </w:pPr>
      <w:r w:rsidRPr="00A77833">
        <w:rPr>
          <w:rFonts w:cs="Arial"/>
          <w:caps/>
        </w:rPr>
        <w:t>Doprava</w:t>
      </w:r>
    </w:p>
    <w:p w:rsidR="00940392" w:rsidRPr="00940392" w:rsidRDefault="00940392" w:rsidP="00940392">
      <w:pPr>
        <w:spacing w:before="120"/>
        <w:ind w:firstLine="425"/>
        <w:jc w:val="both"/>
        <w:rPr>
          <w:rFonts w:ascii="Arial" w:hAnsi="Arial" w:cs="Arial"/>
          <w:sz w:val="20"/>
          <w:szCs w:val="20"/>
        </w:rPr>
      </w:pPr>
      <w:r w:rsidRPr="00ED5DC5">
        <w:rPr>
          <w:rFonts w:ascii="Arial" w:hAnsi="Arial" w:cs="Arial"/>
          <w:b/>
          <w:bCs/>
          <w:sz w:val="20"/>
        </w:rPr>
        <w:t xml:space="preserve">Tržby v dopravě a skladování </w:t>
      </w:r>
      <w:r w:rsidRPr="00ED5DC5">
        <w:rPr>
          <w:rFonts w:ascii="Arial" w:hAnsi="Arial" w:cs="Arial"/>
          <w:bCs/>
          <w:sz w:val="20"/>
        </w:rPr>
        <w:t>–</w:t>
      </w:r>
      <w:r w:rsidRPr="00ED5DC5">
        <w:rPr>
          <w:rFonts w:ascii="Arial" w:hAnsi="Arial" w:cs="Arial"/>
          <w:sz w:val="20"/>
          <w:szCs w:val="20"/>
        </w:rPr>
        <w:t xml:space="preserve"> z</w:t>
      </w:r>
      <w:r w:rsidRPr="00940392">
        <w:rPr>
          <w:rFonts w:ascii="Arial" w:hAnsi="Arial" w:cs="Arial"/>
          <w:sz w:val="20"/>
          <w:szCs w:val="20"/>
        </w:rPr>
        <w:t xml:space="preserve">drojem dat je měsíční zjišťování SP1-12 s přílohami. Měsíčně jsou sledovány celkové tržby bez DPH za zboží, vlastní výrobky a služby. Publikovaný ukazatel je index těchto tržeb </w:t>
      </w:r>
      <w:r w:rsidR="00726819">
        <w:rPr>
          <w:rFonts w:ascii="Arial" w:hAnsi="Arial" w:cs="Arial"/>
          <w:sz w:val="20"/>
          <w:szCs w:val="20"/>
        </w:rPr>
        <w:t>o</w:t>
      </w:r>
      <w:r w:rsidRPr="00940392">
        <w:rPr>
          <w:rFonts w:ascii="Arial" w:hAnsi="Arial" w:cs="Arial"/>
          <w:sz w:val="20"/>
          <w:szCs w:val="20"/>
        </w:rPr>
        <w:t>proti stejnému období předchozího roku a to za Dopravu a skladování (CZ-NACE 49 až 53 dle klasifikace ekonomických činností).</w:t>
      </w:r>
    </w:p>
    <w:p w:rsidR="003436E2" w:rsidRDefault="003436E2" w:rsidP="004A6D7B">
      <w:pPr>
        <w:pStyle w:val="titulek1"/>
        <w:spacing w:before="360" w:after="0"/>
        <w:rPr>
          <w:rFonts w:cs="Arial"/>
          <w:caps/>
        </w:rPr>
      </w:pPr>
    </w:p>
    <w:p w:rsidR="00EA4A8E" w:rsidRPr="00A77833" w:rsidRDefault="00EA4A8E" w:rsidP="004A6D7B">
      <w:pPr>
        <w:pStyle w:val="titulek1"/>
        <w:spacing w:before="360" w:after="0"/>
        <w:rPr>
          <w:rFonts w:cs="Arial"/>
          <w:caps/>
        </w:rPr>
      </w:pPr>
      <w:r w:rsidRPr="00A77833">
        <w:rPr>
          <w:rFonts w:cs="Arial"/>
          <w:caps/>
        </w:rPr>
        <w:lastRenderedPageBreak/>
        <w:t>Návštěvnost v hromadných ubytovacích zařízeních</w:t>
      </w:r>
    </w:p>
    <w:p w:rsidR="00EA4A8E" w:rsidRPr="00E42B84" w:rsidRDefault="00EA4A8E" w:rsidP="00940392">
      <w:pPr>
        <w:spacing w:before="120"/>
        <w:ind w:firstLine="425"/>
        <w:jc w:val="both"/>
        <w:rPr>
          <w:rFonts w:ascii="Arial" w:hAnsi="Arial" w:cs="Arial"/>
          <w:sz w:val="20"/>
          <w:szCs w:val="20"/>
        </w:rPr>
      </w:pPr>
      <w:r w:rsidRPr="00E42B84">
        <w:rPr>
          <w:rFonts w:ascii="Arial" w:hAnsi="Arial" w:cs="Arial"/>
          <w:sz w:val="20"/>
          <w:szCs w:val="20"/>
        </w:rPr>
        <w:t>Na základě výsledků projektu Ministerstva pro místní rozvoj "Zkvalitnění informací o vybraných sektorech cestovního ruchu" byl aktualizován Registr hromadných u</w:t>
      </w:r>
      <w:r w:rsidR="007E0D31">
        <w:rPr>
          <w:rFonts w:ascii="Arial" w:hAnsi="Arial" w:cs="Arial"/>
          <w:sz w:val="20"/>
          <w:szCs w:val="20"/>
        </w:rPr>
        <w:t>b</w:t>
      </w:r>
      <w:r w:rsidR="009671CA">
        <w:rPr>
          <w:rFonts w:ascii="Arial" w:hAnsi="Arial" w:cs="Arial"/>
          <w:sz w:val="20"/>
          <w:szCs w:val="20"/>
        </w:rPr>
        <w:t>ytovacích zařízení ČSÚ a došlo k </w:t>
      </w:r>
      <w:r w:rsidRPr="00E42B84">
        <w:rPr>
          <w:rFonts w:ascii="Arial" w:hAnsi="Arial" w:cs="Arial"/>
          <w:sz w:val="20"/>
          <w:szCs w:val="20"/>
        </w:rPr>
        <w:t>revizi dat kapacit i návštěvnosti za roky 2012 a 2013. Z to</w:t>
      </w:r>
      <w:r w:rsidR="007E0D31">
        <w:rPr>
          <w:rFonts w:ascii="Arial" w:hAnsi="Arial" w:cs="Arial"/>
          <w:sz w:val="20"/>
          <w:szCs w:val="20"/>
        </w:rPr>
        <w:t xml:space="preserve">hoto důvodu dochází k přerušení </w:t>
      </w:r>
      <w:r w:rsidRPr="00E42B84">
        <w:rPr>
          <w:rFonts w:ascii="Arial" w:hAnsi="Arial" w:cs="Arial"/>
          <w:sz w:val="20"/>
          <w:szCs w:val="20"/>
        </w:rPr>
        <w:t>publiko</w:t>
      </w:r>
      <w:r w:rsidR="00C83ADC">
        <w:rPr>
          <w:rFonts w:ascii="Arial" w:hAnsi="Arial" w:cs="Arial"/>
          <w:sz w:val="20"/>
          <w:szCs w:val="20"/>
        </w:rPr>
        <w:t>-</w:t>
      </w:r>
      <w:r w:rsidRPr="00E42B84">
        <w:rPr>
          <w:rFonts w:ascii="Arial" w:hAnsi="Arial" w:cs="Arial"/>
          <w:sz w:val="20"/>
          <w:szCs w:val="20"/>
        </w:rPr>
        <w:t>vání dat v souvislé časové řadě. Nové srovnatelné časové řady</w:t>
      </w:r>
      <w:r w:rsidR="007E0D31">
        <w:rPr>
          <w:rFonts w:ascii="Arial" w:hAnsi="Arial" w:cs="Arial"/>
          <w:sz w:val="20"/>
          <w:szCs w:val="20"/>
        </w:rPr>
        <w:t xml:space="preserve"> jsou publikované od roku 2012. </w:t>
      </w:r>
      <w:r w:rsidRPr="00E42B84">
        <w:rPr>
          <w:rFonts w:ascii="Arial" w:hAnsi="Arial" w:cs="Arial"/>
          <w:sz w:val="20"/>
          <w:szCs w:val="20"/>
        </w:rPr>
        <w:t>Nerevidované údaje za roky 2000 až 2013 jsou umístěny v archivu.</w:t>
      </w:r>
    </w:p>
    <w:p w:rsidR="00EA4A8E" w:rsidRPr="00E42B84" w:rsidRDefault="00EA4A8E" w:rsidP="004A6D7B">
      <w:pPr>
        <w:pStyle w:val="Zkladntext"/>
        <w:spacing w:before="120" w:after="0"/>
        <w:ind w:firstLine="425"/>
        <w:rPr>
          <w:rFonts w:cs="Arial"/>
          <w:sz w:val="20"/>
        </w:rPr>
      </w:pPr>
      <w:r w:rsidRPr="00E42B84">
        <w:rPr>
          <w:rFonts w:cs="Arial"/>
          <w:sz w:val="20"/>
        </w:rPr>
        <w:t>Údaje o návštěvnosti v hromadných ubytovacích zařízeních vycházejí z pravidelného šetření organizovaného ČSÚ. Do roku 2002 (včetně) byla hromadná ubytovací zařízení do šetření zah</w:t>
      </w:r>
      <w:r w:rsidR="00234F45">
        <w:rPr>
          <w:rFonts w:cs="Arial"/>
          <w:sz w:val="20"/>
        </w:rPr>
        <w:t>rnována na základě náhodného 30</w:t>
      </w:r>
      <w:r w:rsidRPr="00E42B84">
        <w:rPr>
          <w:rFonts w:cs="Arial"/>
          <w:sz w:val="20"/>
        </w:rPr>
        <w:t>% výběru z Registru ubytovacích zařízení. Byla stanovena měsíční výkaznická povinnost pro respondenty a výsledky byly zveřejňovány čtvrtletně. Od roku 2003 jsou do šetření zahrnuta všechna hromadná ubytovací zařízení plošně. Šetření je rozděleno na měsíční šetření, do kterého jsou zahrnuty vybrané jednotky, a čtvrtletní šetření obsahující zbylá hromadná ubytovací zařízení. Údaje o návštěvnosti jsou souhrnem zpracovaných dat za předložené dotazníky a za statisticky dopočtená data ubytovacích zařízení, od kterých nebyl vyplněný dotazník získán.</w:t>
      </w:r>
    </w:p>
    <w:p w:rsidR="00EA4A8E" w:rsidRPr="00E42B84" w:rsidRDefault="00EA4A8E" w:rsidP="004A6D7B">
      <w:pPr>
        <w:pStyle w:val="Zkladntext"/>
        <w:spacing w:before="120" w:after="0"/>
        <w:ind w:firstLine="425"/>
        <w:rPr>
          <w:rFonts w:cs="Arial"/>
          <w:sz w:val="20"/>
        </w:rPr>
      </w:pPr>
      <w:r w:rsidRPr="00E42B84">
        <w:rPr>
          <w:rFonts w:cs="Arial"/>
          <w:sz w:val="20"/>
        </w:rPr>
        <w:t>V září 2007 proved</w:t>
      </w:r>
      <w:r w:rsidR="00234F45">
        <w:rPr>
          <w:rFonts w:cs="Arial"/>
          <w:sz w:val="20"/>
        </w:rPr>
        <w:t>l ČSÚ revizi dat za období 2000–</w:t>
      </w:r>
      <w:r w:rsidRPr="00E42B84">
        <w:rPr>
          <w:rFonts w:cs="Arial"/>
          <w:sz w:val="20"/>
        </w:rPr>
        <w:t>2006 v souvislosti se změnou územního členě</w:t>
      </w:r>
      <w:r w:rsidR="006010D8">
        <w:rPr>
          <w:rFonts w:cs="Arial"/>
          <w:sz w:val="20"/>
        </w:rPr>
        <w:t>ní ve smyslu z</w:t>
      </w:r>
      <w:r w:rsidRPr="00E42B84">
        <w:rPr>
          <w:rFonts w:cs="Arial"/>
          <w:sz w:val="20"/>
        </w:rPr>
        <w:t>ákona č. 387/2004 Sb., o změnách hranic krajů. Při této příležitosti došlo rovněž k zpětné opravě údajů. Revize se dotkla dat za jednotlivé kraje nikoli údajů za ČR celkem.</w:t>
      </w:r>
    </w:p>
    <w:p w:rsidR="00EA4A8E" w:rsidRPr="00E42B84" w:rsidRDefault="00EA4A8E" w:rsidP="004A6D7B">
      <w:pPr>
        <w:pStyle w:val="Zkladntext"/>
        <w:spacing w:before="120" w:after="0"/>
        <w:ind w:firstLine="425"/>
        <w:rPr>
          <w:rFonts w:cs="Arial"/>
          <w:sz w:val="20"/>
        </w:rPr>
      </w:pPr>
      <w:r w:rsidRPr="00E42B84">
        <w:rPr>
          <w:rFonts w:cs="Arial"/>
          <w:b/>
          <w:bCs/>
          <w:sz w:val="20"/>
        </w:rPr>
        <w:t xml:space="preserve">Hromadné ubytovací zařízení </w:t>
      </w:r>
      <w:r w:rsidRPr="00E42B84">
        <w:rPr>
          <w:rFonts w:cs="Arial"/>
          <w:sz w:val="20"/>
        </w:rPr>
        <w:t>– zařízení s minimálně pěti pokoji nebo deseti lůžky, sloužící pro účely cestovního ruchu, tj. poskytující přechodné ubytování hostům (včetně dětí) za účelem dovolené, zájezdu, lázeňské péče, služební cesty, školení, kursu, kongresu, symposia, pobytu dětí ve škole v přírodě, v letních a zimních táborech apod.</w:t>
      </w:r>
    </w:p>
    <w:p w:rsidR="00EA4A8E" w:rsidRPr="00E42B84" w:rsidRDefault="00EA4A8E" w:rsidP="004A6D7B">
      <w:pPr>
        <w:pStyle w:val="Zkladntext"/>
        <w:spacing w:before="120" w:after="0"/>
        <w:ind w:firstLine="425"/>
        <w:rPr>
          <w:rFonts w:cs="Arial"/>
          <w:sz w:val="20"/>
        </w:rPr>
      </w:pPr>
      <w:r w:rsidRPr="00E42B84">
        <w:rPr>
          <w:rFonts w:cs="Arial"/>
          <w:b/>
          <w:bCs/>
          <w:sz w:val="20"/>
        </w:rPr>
        <w:t xml:space="preserve">Počet hostů </w:t>
      </w:r>
      <w:bookmarkStart w:id="0" w:name="OLE_LINK1"/>
      <w:r w:rsidRPr="00E42B84">
        <w:rPr>
          <w:rFonts w:cs="Arial"/>
          <w:sz w:val="20"/>
        </w:rPr>
        <w:t>–</w:t>
      </w:r>
      <w:bookmarkEnd w:id="0"/>
      <w:r w:rsidRPr="00E42B84">
        <w:rPr>
          <w:rFonts w:cs="Arial"/>
          <w:sz w:val="20"/>
        </w:rPr>
        <w:t xml:space="preserve"> host v ubytovacím zařízení je každá osoba (nezahrnuje se personál a majitelé ubytovacího zařízení, kteří v ubytovacím zařízení bydlí), která použila služeb zařízení k přechodnému ubytování včetně dětí. Host může použít služeb ubytovacího zařízení z důvodu dovolené, zájezdu, lázeňské péče, služební cesty, školení, kursu, kongresu, symposia, pobytu dětí ve škole v přírodě, v letních a zimních táborech apod. V rekreačních zařízeních a školících střediscích podniku (odborových svazů) se hostem rozumí každá osoba, která použila zařízení k přechodnému ubytování z výše vyjmenovaných důvodů, ať se jedná o vlastní zaměstnance podniku, jejich rodinné příslušníky nebo osoby k podnikům cizí. V léčebných lázních se hostem rozumí každá osoba, která podstoupí lázeňskou léčbu bez ohledu na způsob hrazení léčení, komplexnost léčby apod. Mezi hosty se nezapočítávají osoby, které využívají služeb ubytovacího zařízení k přechodnému ubytování za účelem zaměstnání, či řádného studia (pokud doba jeho trvání překročí 1 rok).</w:t>
      </w:r>
    </w:p>
    <w:p w:rsidR="00EA4A8E" w:rsidRPr="00E42B84" w:rsidRDefault="00EA4A8E" w:rsidP="004A6D7B">
      <w:pPr>
        <w:pStyle w:val="Zkladntext"/>
        <w:spacing w:before="120" w:after="0"/>
        <w:ind w:firstLine="425"/>
        <w:rPr>
          <w:rFonts w:cs="Arial"/>
          <w:sz w:val="20"/>
        </w:rPr>
      </w:pPr>
      <w:r w:rsidRPr="00E42B84">
        <w:rPr>
          <w:rFonts w:cs="Arial"/>
          <w:b/>
          <w:bCs/>
          <w:sz w:val="20"/>
        </w:rPr>
        <w:t xml:space="preserve">Počet přenocování </w:t>
      </w:r>
      <w:r w:rsidRPr="00E42B84">
        <w:rPr>
          <w:rFonts w:cs="Arial"/>
          <w:sz w:val="20"/>
        </w:rPr>
        <w:t>– celkový počet přenocování (strávených nocí) hostů ubytovaných v ubytovacích zařízeních ve sledovaném období.</w:t>
      </w:r>
    </w:p>
    <w:p w:rsidR="00EA4A8E" w:rsidRPr="00A77833" w:rsidRDefault="00EA4A8E" w:rsidP="004A6D7B">
      <w:pPr>
        <w:pStyle w:val="titulek1"/>
        <w:spacing w:before="360" w:after="0"/>
        <w:rPr>
          <w:rFonts w:cs="Arial"/>
          <w:caps/>
        </w:rPr>
      </w:pPr>
      <w:r w:rsidRPr="00A77833">
        <w:rPr>
          <w:rFonts w:cs="Arial"/>
          <w:caps/>
        </w:rPr>
        <w:t>Indexy tržeb bez DPH ve vybraných službách</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t>Indexy tržeb slouží pro analýzy krátkodobého vývoje a možné predikce budoucího vývoje v jednotlivých odvětvích. Zdrojem dat je měsíční statistické zjišťování SP 1-12 s přílohami.</w:t>
      </w:r>
      <w:r w:rsidRPr="00E42B84">
        <w:rPr>
          <w:rFonts w:cs="Arial"/>
          <w:sz w:val="20"/>
        </w:rPr>
        <w:tab/>
        <w:t>Měsíčně jsou sledovány celkové tržby bez DPH za zboží, vlastní výrobky a služby. Publikovaný ukazatel je index těchto tržeb proti stejnému období předchozího roku za sekce L, M a N podle Klasifikace</w:t>
      </w:r>
      <w:r w:rsidR="004A6D7B">
        <w:rPr>
          <w:rFonts w:cs="Arial"/>
          <w:sz w:val="20"/>
        </w:rPr>
        <w:t xml:space="preserve"> ekonomických činností CZ-NACE.</w:t>
      </w:r>
    </w:p>
    <w:p w:rsidR="00EA4A8E" w:rsidRPr="00E42B84" w:rsidRDefault="00EA4A8E" w:rsidP="004A6D7B">
      <w:pPr>
        <w:pStyle w:val="Zkladntext"/>
        <w:spacing w:before="120" w:after="0"/>
        <w:ind w:firstLine="425"/>
        <w:rPr>
          <w:rFonts w:cs="Arial"/>
          <w:sz w:val="20"/>
        </w:rPr>
      </w:pPr>
      <w:r w:rsidRPr="00E42B84">
        <w:rPr>
          <w:rFonts w:cs="Arial"/>
          <w:sz w:val="20"/>
        </w:rPr>
        <w:t>Výše uvedené sekce zahrnují následující oddíly činností:</w:t>
      </w:r>
    </w:p>
    <w:p w:rsidR="00EA4A8E" w:rsidRPr="00E42B84" w:rsidRDefault="00EA4A8E" w:rsidP="004A6D7B">
      <w:pPr>
        <w:pStyle w:val="Zkladntext"/>
        <w:spacing w:before="120" w:after="0"/>
        <w:rPr>
          <w:rFonts w:cs="Arial"/>
          <w:sz w:val="20"/>
        </w:rPr>
      </w:pPr>
      <w:r w:rsidRPr="00E42B84">
        <w:rPr>
          <w:rFonts w:cs="Arial"/>
          <w:sz w:val="20"/>
        </w:rPr>
        <w:t>Sekce L – Činnosti v oblasti nemovitostí</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68</w:t>
      </w:r>
      <w:r w:rsidRPr="00E42B84">
        <w:rPr>
          <w:rFonts w:cs="Arial"/>
          <w:sz w:val="20"/>
        </w:rPr>
        <w:tab/>
      </w:r>
      <w:r w:rsidRPr="00E42B84">
        <w:rPr>
          <w:rFonts w:cs="Arial"/>
          <w:sz w:val="20"/>
        </w:rPr>
        <w:tab/>
        <w:t>Činnosti v oblasti nemovitostí</w:t>
      </w:r>
    </w:p>
    <w:p w:rsidR="00EA4A8E" w:rsidRPr="00E42B84" w:rsidRDefault="00EA4A8E" w:rsidP="004A6D7B">
      <w:pPr>
        <w:pStyle w:val="Zkladntext"/>
        <w:spacing w:before="120" w:after="0"/>
        <w:rPr>
          <w:rFonts w:cs="Arial"/>
          <w:sz w:val="20"/>
        </w:rPr>
      </w:pPr>
      <w:r w:rsidRPr="00E42B84">
        <w:rPr>
          <w:rFonts w:cs="Arial"/>
          <w:sz w:val="20"/>
        </w:rPr>
        <w:t>Sekce M –  Profesní, vědecké a technické činnosti</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69</w:t>
      </w:r>
      <w:r w:rsidRPr="00E42B84">
        <w:rPr>
          <w:rFonts w:cs="Arial"/>
          <w:sz w:val="20"/>
        </w:rPr>
        <w:tab/>
      </w:r>
      <w:r w:rsidRPr="00E42B84">
        <w:rPr>
          <w:rFonts w:cs="Arial"/>
          <w:sz w:val="20"/>
        </w:rPr>
        <w:tab/>
        <w:t>Právní a účetnické činnosti</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70</w:t>
      </w:r>
      <w:r w:rsidRPr="00E42B84">
        <w:rPr>
          <w:rFonts w:cs="Arial"/>
          <w:sz w:val="20"/>
        </w:rPr>
        <w:tab/>
      </w:r>
      <w:r w:rsidRPr="00E42B84">
        <w:rPr>
          <w:rFonts w:cs="Arial"/>
          <w:sz w:val="20"/>
        </w:rPr>
        <w:tab/>
        <w:t>Činnosti vedení podniků; poradenství v oblasti řízení</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71</w:t>
      </w:r>
      <w:r w:rsidRPr="00E42B84">
        <w:rPr>
          <w:rFonts w:cs="Arial"/>
          <w:sz w:val="20"/>
        </w:rPr>
        <w:tab/>
      </w:r>
      <w:r w:rsidRPr="00E42B84">
        <w:rPr>
          <w:rFonts w:cs="Arial"/>
          <w:sz w:val="20"/>
        </w:rPr>
        <w:tab/>
        <w:t>Architektonické a inženýrské činnosti; technické zkoušky a analýzy</w:t>
      </w:r>
    </w:p>
    <w:p w:rsidR="00EA4A8E" w:rsidRPr="00E42B84" w:rsidRDefault="00EA4A8E" w:rsidP="004A6D7B">
      <w:pPr>
        <w:pStyle w:val="Zkladntext"/>
        <w:spacing w:before="120" w:after="0"/>
        <w:rPr>
          <w:rFonts w:cs="Arial"/>
          <w:sz w:val="20"/>
        </w:rPr>
      </w:pPr>
      <w:r w:rsidRPr="00E42B84">
        <w:rPr>
          <w:rFonts w:cs="Arial"/>
          <w:sz w:val="20"/>
        </w:rPr>
        <w:t xml:space="preserve">                   </w:t>
      </w:r>
      <w:r w:rsidRPr="00E42B84">
        <w:rPr>
          <w:rFonts w:cs="Arial"/>
          <w:sz w:val="20"/>
        </w:rPr>
        <w:tab/>
        <w:t>oddíl 73</w:t>
      </w:r>
      <w:r w:rsidRPr="00E42B84">
        <w:rPr>
          <w:rFonts w:cs="Arial"/>
          <w:sz w:val="20"/>
        </w:rPr>
        <w:tab/>
      </w:r>
      <w:r w:rsidRPr="00E42B84">
        <w:rPr>
          <w:rFonts w:cs="Arial"/>
          <w:sz w:val="20"/>
        </w:rPr>
        <w:tab/>
        <w:t>Reklama a průzkum trhu</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74</w:t>
      </w:r>
      <w:r w:rsidRPr="00E42B84">
        <w:rPr>
          <w:rFonts w:cs="Arial"/>
          <w:sz w:val="20"/>
        </w:rPr>
        <w:tab/>
      </w:r>
      <w:r w:rsidRPr="00E42B84">
        <w:rPr>
          <w:rFonts w:cs="Arial"/>
          <w:sz w:val="20"/>
        </w:rPr>
        <w:tab/>
        <w:t>Ostatní profesní, vědecké a technické činnosti</w:t>
      </w:r>
    </w:p>
    <w:p w:rsidR="009A7807" w:rsidRDefault="009A7807" w:rsidP="004A6D7B">
      <w:pPr>
        <w:pStyle w:val="Zkladntext"/>
        <w:spacing w:before="120" w:after="0"/>
        <w:rPr>
          <w:rFonts w:cs="Arial"/>
          <w:sz w:val="20"/>
        </w:rPr>
      </w:pPr>
    </w:p>
    <w:p w:rsidR="00EA4A8E" w:rsidRPr="00E42B84" w:rsidRDefault="00EA4A8E" w:rsidP="004A6D7B">
      <w:pPr>
        <w:pStyle w:val="Zkladntext"/>
        <w:spacing w:before="120" w:after="0"/>
        <w:rPr>
          <w:rFonts w:cs="Arial"/>
          <w:sz w:val="20"/>
        </w:rPr>
      </w:pPr>
      <w:r w:rsidRPr="00E42B84">
        <w:rPr>
          <w:rFonts w:cs="Arial"/>
          <w:sz w:val="20"/>
        </w:rPr>
        <w:lastRenderedPageBreak/>
        <w:t>Sekce N –  Administrativní a podpůrné činnosti</w:t>
      </w:r>
    </w:p>
    <w:p w:rsidR="00EA4A8E" w:rsidRPr="00E42B84" w:rsidRDefault="00EA4A8E" w:rsidP="004A6D7B">
      <w:pPr>
        <w:pStyle w:val="Zkladntext"/>
        <w:spacing w:before="120" w:after="0"/>
        <w:rPr>
          <w:rFonts w:cs="Arial"/>
          <w:sz w:val="20"/>
        </w:rPr>
      </w:pPr>
      <w:r w:rsidRPr="00E42B84">
        <w:rPr>
          <w:rFonts w:cs="Arial"/>
          <w:sz w:val="20"/>
        </w:rPr>
        <w:t xml:space="preserve">                   </w:t>
      </w:r>
      <w:r w:rsidRPr="00E42B84">
        <w:rPr>
          <w:rFonts w:cs="Arial"/>
          <w:sz w:val="20"/>
        </w:rPr>
        <w:tab/>
        <w:t>oddíl 77</w:t>
      </w:r>
      <w:r w:rsidRPr="00E42B84">
        <w:rPr>
          <w:rFonts w:cs="Arial"/>
          <w:sz w:val="20"/>
        </w:rPr>
        <w:tab/>
      </w:r>
      <w:r w:rsidRPr="00E42B84">
        <w:rPr>
          <w:rFonts w:cs="Arial"/>
          <w:sz w:val="20"/>
        </w:rPr>
        <w:tab/>
        <w:t>Činnosti v oblasti pronájmu a operativního leasingu</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78</w:t>
      </w:r>
      <w:r w:rsidRPr="00E42B84">
        <w:rPr>
          <w:rFonts w:cs="Arial"/>
          <w:sz w:val="20"/>
        </w:rPr>
        <w:tab/>
      </w:r>
      <w:r w:rsidRPr="00E42B84">
        <w:rPr>
          <w:rFonts w:cs="Arial"/>
          <w:sz w:val="20"/>
        </w:rPr>
        <w:tab/>
        <w:t>Činnosti související se zaměstnáním</w:t>
      </w:r>
    </w:p>
    <w:p w:rsidR="00EA4A8E" w:rsidRPr="00E42B84" w:rsidRDefault="00EA4A8E" w:rsidP="004A6D7B">
      <w:pPr>
        <w:pStyle w:val="Zkladntext"/>
        <w:spacing w:before="120" w:after="0"/>
        <w:ind w:left="2829" w:hanging="2829"/>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79</w:t>
      </w:r>
      <w:r w:rsidRPr="00E42B84">
        <w:rPr>
          <w:rFonts w:cs="Arial"/>
          <w:sz w:val="20"/>
        </w:rPr>
        <w:tab/>
      </w:r>
      <w:r w:rsidRPr="00E42B84">
        <w:rPr>
          <w:rFonts w:cs="Arial"/>
          <w:sz w:val="20"/>
        </w:rPr>
        <w:tab/>
        <w:t>Činnosti cestovních agentur, kanceláří a jiné rezervační a související činnosti</w:t>
      </w:r>
    </w:p>
    <w:p w:rsidR="00EA4A8E" w:rsidRPr="00E42B84" w:rsidRDefault="00EA4A8E" w:rsidP="004A6D7B">
      <w:pPr>
        <w:pStyle w:val="Zkladntext"/>
        <w:spacing w:before="120" w:after="0"/>
        <w:rPr>
          <w:rFonts w:cs="Arial"/>
          <w:sz w:val="20"/>
        </w:rPr>
      </w:pPr>
      <w:r w:rsidRPr="00E42B84">
        <w:rPr>
          <w:rFonts w:cs="Arial"/>
          <w:sz w:val="20"/>
        </w:rPr>
        <w:t xml:space="preserve">                   </w:t>
      </w:r>
      <w:r w:rsidRPr="00E42B84">
        <w:rPr>
          <w:rFonts w:cs="Arial"/>
          <w:sz w:val="20"/>
        </w:rPr>
        <w:tab/>
        <w:t>oddíl 80</w:t>
      </w:r>
      <w:r w:rsidRPr="00E42B84">
        <w:rPr>
          <w:rFonts w:cs="Arial"/>
          <w:sz w:val="20"/>
        </w:rPr>
        <w:tab/>
      </w:r>
      <w:r w:rsidRPr="00E42B84">
        <w:rPr>
          <w:rFonts w:cs="Arial"/>
          <w:sz w:val="20"/>
        </w:rPr>
        <w:tab/>
        <w:t>Bezpečnostní a pátrací činnosti</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81</w:t>
      </w:r>
      <w:r w:rsidRPr="00E42B84">
        <w:rPr>
          <w:rFonts w:cs="Arial"/>
          <w:sz w:val="20"/>
        </w:rPr>
        <w:tab/>
      </w:r>
      <w:r w:rsidRPr="00E42B84">
        <w:rPr>
          <w:rFonts w:cs="Arial"/>
          <w:sz w:val="20"/>
        </w:rPr>
        <w:tab/>
        <w:t>Činnosti související se stavbami a úpravou krajiny</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82</w:t>
      </w:r>
      <w:r w:rsidRPr="00E42B84">
        <w:rPr>
          <w:rFonts w:cs="Arial"/>
          <w:sz w:val="20"/>
        </w:rPr>
        <w:tab/>
      </w:r>
      <w:r w:rsidRPr="00E42B84">
        <w:rPr>
          <w:rFonts w:cs="Arial"/>
          <w:sz w:val="20"/>
        </w:rPr>
        <w:tab/>
        <w:t>Administrativní, kancelářské a jiné podpůrné činnosti pro podnikání</w:t>
      </w:r>
    </w:p>
    <w:p w:rsidR="00EA4A8E" w:rsidRPr="00E42B84" w:rsidRDefault="00EA4A8E" w:rsidP="004A6D7B">
      <w:pPr>
        <w:spacing w:before="120"/>
        <w:ind w:firstLine="425"/>
        <w:jc w:val="both"/>
        <w:rPr>
          <w:rFonts w:ascii="Arial" w:hAnsi="Arial" w:cs="Arial"/>
          <w:sz w:val="20"/>
        </w:rPr>
      </w:pPr>
      <w:r w:rsidRPr="00E42B84">
        <w:rPr>
          <w:rFonts w:ascii="Arial" w:hAnsi="Arial" w:cs="Arial"/>
          <w:sz w:val="20"/>
        </w:rPr>
        <w:t>V rámci sekce M nejsou sledovány oddíly 72 – Výzkum a vývoj a 75 – Veterinární činnosti, sekce N neobsahuje skupinu 813 – Činnosti spojené s úpravou krajiny.</w:t>
      </w:r>
    </w:p>
    <w:p w:rsidR="00EA4A8E" w:rsidRPr="00E42B84" w:rsidRDefault="00EA4A8E" w:rsidP="004A6D7B">
      <w:pPr>
        <w:tabs>
          <w:tab w:val="left" w:pos="426"/>
        </w:tabs>
        <w:spacing w:before="120"/>
        <w:ind w:right="62"/>
        <w:jc w:val="both"/>
        <w:rPr>
          <w:rFonts w:ascii="Arial" w:hAnsi="Arial" w:cs="Arial"/>
          <w:sz w:val="20"/>
          <w:szCs w:val="20"/>
        </w:rPr>
      </w:pPr>
      <w:r w:rsidRPr="00E42B84">
        <w:rPr>
          <w:rFonts w:ascii="Arial" w:hAnsi="Arial" w:cs="Arial"/>
          <w:b/>
          <w:bCs/>
          <w:iCs/>
          <w:sz w:val="20"/>
          <w:szCs w:val="20"/>
        </w:rPr>
        <w:tab/>
        <w:t xml:space="preserve">V roce 2013 se změnilo základní období (báze) na rok 2010 a byla použita nová váhová </w:t>
      </w:r>
      <w:bookmarkStart w:id="1" w:name="_GoBack"/>
      <w:bookmarkEnd w:id="1"/>
      <w:r w:rsidRPr="00E42B84">
        <w:rPr>
          <w:rFonts w:ascii="Arial" w:hAnsi="Arial" w:cs="Arial"/>
          <w:b/>
          <w:bCs/>
          <w:iCs/>
          <w:sz w:val="20"/>
          <w:szCs w:val="20"/>
        </w:rPr>
        <w:t>schémata.</w:t>
      </w:r>
      <w:r w:rsidRPr="00E42B84">
        <w:rPr>
          <w:rFonts w:ascii="Arial" w:hAnsi="Arial" w:cs="Arial"/>
          <w:bCs/>
          <w:iCs/>
          <w:sz w:val="20"/>
          <w:szCs w:val="20"/>
        </w:rPr>
        <w:t> Revi</w:t>
      </w:r>
      <w:r w:rsidR="00234F45">
        <w:rPr>
          <w:rFonts w:ascii="Arial" w:hAnsi="Arial" w:cs="Arial"/>
          <w:bCs/>
          <w:iCs/>
          <w:sz w:val="20"/>
          <w:szCs w:val="20"/>
        </w:rPr>
        <w:t>ze se týkala údajů za roky 2009–</w:t>
      </w:r>
      <w:r w:rsidRPr="00E42B84">
        <w:rPr>
          <w:rFonts w:ascii="Arial" w:hAnsi="Arial" w:cs="Arial"/>
          <w:bCs/>
          <w:iCs/>
          <w:sz w:val="20"/>
          <w:szCs w:val="20"/>
        </w:rPr>
        <w:t>2012. Data za roky</w:t>
      </w:r>
      <w:r w:rsidRPr="00E42B84">
        <w:rPr>
          <w:rFonts w:ascii="Arial" w:hAnsi="Arial" w:cs="Arial"/>
          <w:bCs/>
          <w:iCs/>
          <w:sz w:val="14"/>
          <w:szCs w:val="14"/>
        </w:rPr>
        <w:t> </w:t>
      </w:r>
      <w:r w:rsidR="00234F45">
        <w:rPr>
          <w:rFonts w:ascii="Arial" w:hAnsi="Arial" w:cs="Arial"/>
          <w:bCs/>
          <w:iCs/>
          <w:sz w:val="20"/>
        </w:rPr>
        <w:t>2000–</w:t>
      </w:r>
      <w:r w:rsidRPr="00E42B84">
        <w:rPr>
          <w:rFonts w:ascii="Arial" w:hAnsi="Arial" w:cs="Arial"/>
          <w:bCs/>
          <w:iCs/>
          <w:sz w:val="20"/>
        </w:rPr>
        <w:t>2008 byla s aktualizovanými výsledky propojena za pomoci přepočítacích můstků metodou annual overlap. Vlastností této metody je, že meziroční indexy 2009/2008 za celoroční kumulace zůstávají po propojení stejné jako u původních dat a ne</w:t>
      </w:r>
      <w:r w:rsidR="00234F45">
        <w:rPr>
          <w:rFonts w:ascii="Arial" w:hAnsi="Arial" w:cs="Arial"/>
          <w:bCs/>
          <w:iCs/>
          <w:sz w:val="20"/>
        </w:rPr>
        <w:t>mění se průběh řad za roky 2000–</w:t>
      </w:r>
      <w:r w:rsidRPr="00E42B84">
        <w:rPr>
          <w:rFonts w:ascii="Arial" w:hAnsi="Arial" w:cs="Arial"/>
          <w:bCs/>
          <w:iCs/>
          <w:sz w:val="20"/>
        </w:rPr>
        <w:t>2008, tzn. po propojení se nemnění meziroční indexy. Důsledkem změny však je, že historické řady před rokem 2009 ztrácí aditivitu, tzn. nejsou agregovatelné pomocí aktuálního váhového schématu.</w:t>
      </w:r>
    </w:p>
    <w:p w:rsidR="00EA4A8E" w:rsidRPr="003702EC" w:rsidRDefault="00EA4A8E" w:rsidP="004A6D7B">
      <w:pPr>
        <w:pStyle w:val="titulek1"/>
        <w:spacing w:before="360" w:after="0"/>
        <w:rPr>
          <w:rFonts w:cs="Arial"/>
          <w:caps/>
        </w:rPr>
      </w:pPr>
      <w:r w:rsidRPr="003702EC">
        <w:rPr>
          <w:rFonts w:cs="Arial"/>
          <w:caps/>
        </w:rPr>
        <w:t>Sociální dávky a sociální výpomoci, příspěvky na sociální zabezpečení</w:t>
      </w:r>
    </w:p>
    <w:p w:rsidR="00637C23" w:rsidRPr="00C17B63" w:rsidRDefault="00637C23" w:rsidP="004A6D7B">
      <w:pPr>
        <w:pStyle w:val="Zkladntext"/>
        <w:spacing w:before="120" w:after="0"/>
        <w:ind w:firstLine="425"/>
        <w:rPr>
          <w:rFonts w:cs="Arial"/>
          <w:sz w:val="20"/>
        </w:rPr>
      </w:pPr>
      <w:r w:rsidRPr="00C17B63">
        <w:rPr>
          <w:rFonts w:cs="Arial"/>
          <w:b/>
          <w:sz w:val="20"/>
        </w:rPr>
        <w:t>Sociální dávky a sociální výpomoci</w:t>
      </w:r>
      <w:r w:rsidRPr="00C17B63">
        <w:rPr>
          <w:rFonts w:cs="Arial"/>
          <w:sz w:val="20"/>
        </w:rPr>
        <w:t xml:space="preserve"> vyplacené domácnostem jsou běžné, pravidelné </w:t>
      </w:r>
      <w:r w:rsidR="009671CA">
        <w:rPr>
          <w:rFonts w:cs="Arial"/>
          <w:sz w:val="20"/>
        </w:rPr>
        <w:t>i </w:t>
      </w:r>
      <w:r w:rsidRPr="00C17B63">
        <w:rPr>
          <w:rFonts w:cs="Arial"/>
          <w:sz w:val="20"/>
        </w:rPr>
        <w:t>nepravidelné, peněžní i naturální platby (transfery) občanům z fondů sociálního zabezpečení, včetně dávek z rozpočtů ústředních orgánů pro tzv. necivilní složky a dávek ze zahraničí.  Dále se sem zahrnují platby z důchodového připojištění od pojišťoven (na základě právních nároků), dobrovolné podpory od zaměstnavatelů, vlády a od soukromých neziskových organizací, které poskytují služby obyvatelstvu. Sociální dávky a výpomoci se rozdělují na:</w:t>
      </w:r>
    </w:p>
    <w:p w:rsidR="00637C23" w:rsidRPr="00C17B63" w:rsidRDefault="00637C23" w:rsidP="004A6D7B">
      <w:pPr>
        <w:pStyle w:val="Zkladntext"/>
        <w:spacing w:before="120" w:after="0"/>
        <w:ind w:firstLine="425"/>
        <w:rPr>
          <w:rFonts w:cs="Arial"/>
          <w:sz w:val="20"/>
        </w:rPr>
      </w:pPr>
      <w:r w:rsidRPr="00C17B63">
        <w:rPr>
          <w:rFonts w:cs="Arial"/>
          <w:b/>
          <w:sz w:val="20"/>
        </w:rPr>
        <w:t>Dávky důchodového pojištění</w:t>
      </w:r>
      <w:r w:rsidRPr="00C17B63">
        <w:rPr>
          <w:rFonts w:cs="Arial"/>
          <w:sz w:val="20"/>
        </w:rPr>
        <w:t>, které zahrnují starobní, invalidní, sirotčí a jiné důchody (včetně důchodů z připojištění).</w:t>
      </w:r>
    </w:p>
    <w:p w:rsidR="00637C23" w:rsidRPr="00C17B63" w:rsidRDefault="00637C23" w:rsidP="004A6D7B">
      <w:pPr>
        <w:pStyle w:val="Zkladntext"/>
        <w:spacing w:before="120" w:after="0"/>
        <w:ind w:firstLine="425"/>
        <w:rPr>
          <w:rFonts w:cs="Arial"/>
          <w:sz w:val="20"/>
        </w:rPr>
      </w:pPr>
      <w:r w:rsidRPr="00C17B63">
        <w:rPr>
          <w:rFonts w:cs="Arial"/>
          <w:b/>
          <w:sz w:val="20"/>
        </w:rPr>
        <w:t>Dávky nemocenského pojištění</w:t>
      </w:r>
      <w:r w:rsidRPr="00C17B63">
        <w:rPr>
          <w:rFonts w:cs="Arial"/>
          <w:sz w:val="20"/>
        </w:rPr>
        <w:t xml:space="preserve"> zahrnují nemocenské, podporu při ošetřování člena rodiny, peněžitou pomoc v mateřství, vyrovnávací příspěvek v těhotenství a mateřství a dávky nemocenského pojištění jinde nezařazené. Nezahrnuje náhrady mezd v době nemoci poskytované zaměstnavatelem.</w:t>
      </w:r>
    </w:p>
    <w:p w:rsidR="00637C23" w:rsidRPr="00C17B63" w:rsidRDefault="00637C23" w:rsidP="004A6D7B">
      <w:pPr>
        <w:pStyle w:val="Zkladntext"/>
        <w:spacing w:before="120" w:after="0"/>
        <w:ind w:firstLine="425"/>
        <w:rPr>
          <w:rFonts w:cs="Arial"/>
          <w:sz w:val="20"/>
        </w:rPr>
      </w:pPr>
      <w:r w:rsidRPr="00C17B63">
        <w:rPr>
          <w:rFonts w:cs="Arial"/>
          <w:b/>
          <w:sz w:val="20"/>
        </w:rPr>
        <w:t>Dávky v nezaměstnanosti</w:t>
      </w:r>
      <w:r w:rsidRPr="00C17B63">
        <w:rPr>
          <w:rFonts w:cs="Arial"/>
          <w:sz w:val="20"/>
        </w:rPr>
        <w:t xml:space="preserve">. Podporu v nezaměstnanosti pobírá uchazeč o zaměstnání, registrovaný u úřadu práce, zpravidla po dobu </w:t>
      </w:r>
      <w:r>
        <w:rPr>
          <w:rFonts w:cs="Arial"/>
          <w:sz w:val="20"/>
        </w:rPr>
        <w:t>pěti</w:t>
      </w:r>
      <w:r w:rsidRPr="00C17B63">
        <w:rPr>
          <w:rFonts w:cs="Arial"/>
          <w:sz w:val="20"/>
        </w:rPr>
        <w:t xml:space="preserve"> měsíců.</w:t>
      </w:r>
    </w:p>
    <w:p w:rsidR="00637C23" w:rsidRPr="00C17B63" w:rsidRDefault="00637C23" w:rsidP="004A6D7B">
      <w:pPr>
        <w:pStyle w:val="Zkladntext"/>
        <w:spacing w:before="120" w:after="0"/>
        <w:ind w:firstLine="425"/>
        <w:rPr>
          <w:rFonts w:cs="Arial"/>
          <w:sz w:val="20"/>
        </w:rPr>
      </w:pPr>
      <w:r w:rsidRPr="00C17B63">
        <w:rPr>
          <w:rFonts w:cs="Arial"/>
          <w:b/>
          <w:sz w:val="20"/>
        </w:rPr>
        <w:t xml:space="preserve">Dávky státní sociální podpory </w:t>
      </w:r>
      <w:r w:rsidRPr="00C17B63">
        <w:rPr>
          <w:rFonts w:cs="Arial"/>
          <w:bCs/>
          <w:sz w:val="20"/>
        </w:rPr>
        <w:t xml:space="preserve">zahrnují </w:t>
      </w:r>
      <w:r w:rsidRPr="00C17B63">
        <w:rPr>
          <w:rFonts w:cs="Arial"/>
          <w:sz w:val="20"/>
        </w:rPr>
        <w:t>přídavek na dítě, sociální příplatek, porodné, rodičovský příspěvek, zaopatřovací příspěvek a dávky pěstounské péče.</w:t>
      </w:r>
    </w:p>
    <w:p w:rsidR="003E1ACE" w:rsidRDefault="00637C23" w:rsidP="004A6D7B">
      <w:pPr>
        <w:pStyle w:val="Zkladntext"/>
        <w:spacing w:before="120" w:after="0"/>
        <w:ind w:firstLine="425"/>
        <w:rPr>
          <w:rFonts w:cs="Arial"/>
          <w:sz w:val="20"/>
        </w:rPr>
      </w:pPr>
      <w:r w:rsidRPr="00C17B63">
        <w:rPr>
          <w:rFonts w:cs="Arial"/>
          <w:b/>
          <w:sz w:val="20"/>
        </w:rPr>
        <w:t xml:space="preserve">Ostatní dávky a výpomoci </w:t>
      </w:r>
      <w:r w:rsidR="00954478">
        <w:rPr>
          <w:rFonts w:cs="Arial"/>
          <w:b/>
          <w:sz w:val="20"/>
        </w:rPr>
        <w:t>sociálního zabezpečení</w:t>
      </w:r>
      <w:r w:rsidRPr="00C17B63">
        <w:rPr>
          <w:rFonts w:cs="Arial"/>
          <w:sz w:val="20"/>
        </w:rPr>
        <w:t xml:space="preserve"> </w:t>
      </w:r>
      <w:r>
        <w:rPr>
          <w:rFonts w:cs="Arial"/>
          <w:sz w:val="20"/>
        </w:rPr>
        <w:t xml:space="preserve">zahrnují především </w:t>
      </w:r>
      <w:r w:rsidRPr="00C17B63">
        <w:rPr>
          <w:rFonts w:cs="Arial"/>
          <w:sz w:val="20"/>
        </w:rPr>
        <w:t>imputovaný státní příspěvek na zdravotní pojištění za osoby, za něž je plátcem stát</w:t>
      </w:r>
      <w:r>
        <w:rPr>
          <w:rFonts w:cs="Arial"/>
          <w:sz w:val="20"/>
        </w:rPr>
        <w:t>,</w:t>
      </w:r>
      <w:r w:rsidRPr="00C17B63">
        <w:rPr>
          <w:rFonts w:cs="Arial"/>
          <w:sz w:val="20"/>
        </w:rPr>
        <w:t xml:space="preserve"> dále </w:t>
      </w:r>
      <w:r>
        <w:rPr>
          <w:rFonts w:cs="Arial"/>
          <w:sz w:val="20"/>
        </w:rPr>
        <w:t xml:space="preserve">zvláštní sociální </w:t>
      </w:r>
      <w:r w:rsidRPr="00C17B63">
        <w:rPr>
          <w:rFonts w:cs="Arial"/>
          <w:sz w:val="20"/>
        </w:rPr>
        <w:t xml:space="preserve">dávky </w:t>
      </w:r>
      <w:r>
        <w:rPr>
          <w:rFonts w:cs="Arial"/>
          <w:sz w:val="20"/>
        </w:rPr>
        <w:t>pro příslušníky ozbrojených sil při skončení služebního poměru, dávky pomoci v hmotné nouzi a ostatní dávky povahy sociálního zabezpečení (např. příspěvek na péči)</w:t>
      </w:r>
      <w:r w:rsidR="00836E9E">
        <w:rPr>
          <w:rFonts w:cs="Arial"/>
          <w:sz w:val="20"/>
        </w:rPr>
        <w:t>.</w:t>
      </w:r>
      <w:r>
        <w:rPr>
          <w:rFonts w:cs="Arial"/>
          <w:sz w:val="20"/>
        </w:rPr>
        <w:t xml:space="preserve"> </w:t>
      </w:r>
      <w:r w:rsidRPr="00C17B63">
        <w:rPr>
          <w:rFonts w:cs="Arial"/>
          <w:sz w:val="20"/>
        </w:rPr>
        <w:t xml:space="preserve"> Patří sem také sociální dávky poskytované mimo vládní programy sociálního zabezpečení, tj. sociální podpory od zaměstnavatele (např. náhrady mezd v době nemoci poskytované zaměstnavatelem nebo podpory ze sociálního fondu)</w:t>
      </w:r>
      <w:r>
        <w:rPr>
          <w:rFonts w:cs="Arial"/>
          <w:sz w:val="20"/>
        </w:rPr>
        <w:t xml:space="preserve">. </w:t>
      </w:r>
      <w:r w:rsidRPr="00C17B63">
        <w:rPr>
          <w:rFonts w:cs="Arial"/>
          <w:sz w:val="20"/>
        </w:rPr>
        <w:t xml:space="preserve"> </w:t>
      </w:r>
    </w:p>
    <w:p w:rsidR="00637C23" w:rsidRPr="00C17B63" w:rsidRDefault="00637C23" w:rsidP="004A6D7B">
      <w:pPr>
        <w:pStyle w:val="Zkladntext"/>
        <w:spacing w:before="120" w:after="0"/>
        <w:ind w:firstLine="425"/>
        <w:rPr>
          <w:rFonts w:cs="Arial"/>
          <w:b/>
          <w:sz w:val="20"/>
        </w:rPr>
      </w:pPr>
      <w:r w:rsidRPr="00C17B63">
        <w:rPr>
          <w:rFonts w:cs="Arial"/>
          <w:b/>
          <w:sz w:val="20"/>
        </w:rPr>
        <w:t xml:space="preserve">Naturální sociální dávky </w:t>
      </w:r>
      <w:r w:rsidRPr="00C17B63">
        <w:rPr>
          <w:rFonts w:cs="Arial"/>
          <w:sz w:val="20"/>
        </w:rPr>
        <w:t>zahrnují hodnotu výkonů zdravotních zařízení ve výši uhrazené zdravotními pojišťovnami, dávky státní sociální podpory poskytované na bydlení a pohřebné a věcné dávky poskytované v rámci programů pro osoby zdravotně postižené a péče o staré občany.</w:t>
      </w:r>
    </w:p>
    <w:p w:rsidR="00637C23" w:rsidRPr="00C17B63" w:rsidRDefault="00637C23" w:rsidP="004A6D7B">
      <w:pPr>
        <w:pStyle w:val="Zkladntext"/>
        <w:spacing w:before="120" w:after="0"/>
        <w:ind w:firstLine="425"/>
        <w:rPr>
          <w:rFonts w:cs="Arial"/>
          <w:sz w:val="20"/>
        </w:rPr>
      </w:pPr>
      <w:r w:rsidRPr="00C17B63">
        <w:rPr>
          <w:rFonts w:cs="Arial"/>
          <w:b/>
          <w:sz w:val="20"/>
        </w:rPr>
        <w:t xml:space="preserve">Příspěvky na sociální zabezpečení </w:t>
      </w:r>
      <w:r w:rsidRPr="00C17B63">
        <w:rPr>
          <w:rFonts w:cs="Arial"/>
          <w:bCs/>
          <w:sz w:val="20"/>
        </w:rPr>
        <w:t>za sektor domácností</w:t>
      </w:r>
      <w:r w:rsidRPr="00C17B63">
        <w:rPr>
          <w:rFonts w:cs="Arial"/>
          <w:b/>
          <w:sz w:val="20"/>
        </w:rPr>
        <w:t xml:space="preserve"> </w:t>
      </w:r>
      <w:r w:rsidRPr="00C17B63">
        <w:rPr>
          <w:rFonts w:cs="Arial"/>
          <w:sz w:val="20"/>
        </w:rPr>
        <w:t xml:space="preserve">obsahují všechny (povinné </w:t>
      </w:r>
      <w:r w:rsidR="009671CA">
        <w:rPr>
          <w:rFonts w:cs="Arial"/>
          <w:sz w:val="20"/>
        </w:rPr>
        <w:t>i </w:t>
      </w:r>
      <w:r w:rsidRPr="00C17B63">
        <w:rPr>
          <w:rFonts w:cs="Arial"/>
          <w:sz w:val="20"/>
        </w:rPr>
        <w:t xml:space="preserve">dobrovolné) platby hrazené přímo nebo zprostředkovaně těm, kdo poskytují sociální dávky, tj. fondy sociálního zabezpečení (vč. fondu nezaměstnanosti), zdravotní pojišťovny a penzijní fondy. Jsou uvedeny od </w:t>
      </w:r>
      <w:r w:rsidR="004A6D7B">
        <w:rPr>
          <w:rFonts w:cs="Arial"/>
          <w:sz w:val="20"/>
        </w:rPr>
        <w:t>roku jejich zákonného zavedení.</w:t>
      </w:r>
    </w:p>
    <w:p w:rsidR="00637C23" w:rsidRPr="00C17B63" w:rsidRDefault="00637C23" w:rsidP="004A6D7B">
      <w:pPr>
        <w:pStyle w:val="Zkladntext"/>
        <w:spacing w:before="120" w:after="0"/>
        <w:ind w:firstLine="425"/>
        <w:rPr>
          <w:rFonts w:cs="Arial"/>
          <w:sz w:val="20"/>
        </w:rPr>
      </w:pPr>
      <w:r w:rsidRPr="00C17B63">
        <w:rPr>
          <w:rFonts w:cs="Arial"/>
          <w:sz w:val="20"/>
        </w:rPr>
        <w:t xml:space="preserve">Sociální příspěvky zaměstnavatelů zahrnují zákonné sociální pojištění (na zajištění penzí, nemocenského, včetně příspěvku do fondu nezaměstnanosti), zdravotní a zákonné pojištění škod při </w:t>
      </w:r>
      <w:r w:rsidRPr="00C17B63">
        <w:rPr>
          <w:rFonts w:cs="Arial"/>
          <w:sz w:val="20"/>
        </w:rPr>
        <w:lastRenderedPageBreak/>
        <w:t>pracovních úrazech nebo nemoci z povolání. Dobrovolné sociální příspěvky obsahují příspěvky zaměstnavatelů na penzijní připojištění, dobrovolné příspěvky na zdravotní a životní pojištění.</w:t>
      </w:r>
    </w:p>
    <w:p w:rsidR="00637C23" w:rsidRPr="00C17B63" w:rsidRDefault="00637C23" w:rsidP="004A6D7B">
      <w:pPr>
        <w:pStyle w:val="Zkladntext"/>
        <w:spacing w:before="120" w:after="0"/>
        <w:ind w:firstLine="425"/>
        <w:rPr>
          <w:rFonts w:cs="Arial"/>
          <w:sz w:val="20"/>
        </w:rPr>
      </w:pPr>
      <w:r w:rsidRPr="00C17B63">
        <w:rPr>
          <w:rFonts w:cs="Arial"/>
          <w:sz w:val="20"/>
        </w:rPr>
        <w:t>Platby těchto příspěvků vytvářejí nárok občana na sociální dávky a na zabezpečení lékařské péče ve prospěch pojištěnce nebo uživatele náhrady (např. nároky rodinných příslušníků nebo dědiců při úmrtí pojištěné osoby).</w:t>
      </w:r>
    </w:p>
    <w:p w:rsidR="0016710A" w:rsidRDefault="00637C23" w:rsidP="007E0D31">
      <w:pPr>
        <w:pStyle w:val="Zkladntext"/>
        <w:spacing w:before="120" w:after="0"/>
        <w:ind w:firstLine="425"/>
        <w:rPr>
          <w:rFonts w:cs="Arial"/>
          <w:sz w:val="20"/>
        </w:rPr>
      </w:pPr>
      <w:r w:rsidRPr="00C17B63">
        <w:rPr>
          <w:rFonts w:cs="Arial"/>
          <w:sz w:val="20"/>
        </w:rPr>
        <w:t>Plátcem příspěvků jsou zaměstnavatelé, kteří platí pojistné za své zaměstnance, zaměstnanci (formou s</w:t>
      </w:r>
      <w:r w:rsidR="00BA5BE4">
        <w:rPr>
          <w:rFonts w:cs="Arial"/>
          <w:sz w:val="20"/>
        </w:rPr>
        <w:t>rážky ze mzdy), samoplátci (</w:t>
      </w:r>
      <w:r w:rsidRPr="00C17B63">
        <w:rPr>
          <w:rFonts w:cs="Arial"/>
          <w:sz w:val="20"/>
        </w:rPr>
        <w:t>osoby samostatně výdělečně činné a jiné osoby, které se účastní da</w:t>
      </w:r>
      <w:r w:rsidR="004A6D7B">
        <w:rPr>
          <w:rFonts w:cs="Arial"/>
          <w:sz w:val="20"/>
        </w:rPr>
        <w:t>ného systému pojištění) a stát.</w:t>
      </w:r>
    </w:p>
    <w:p w:rsidR="00714640" w:rsidRDefault="00714640" w:rsidP="00E120E7">
      <w:pPr>
        <w:pStyle w:val="Nadpis20"/>
        <w:spacing w:before="1680" w:line="228" w:lineRule="auto"/>
        <w:rPr>
          <w:rFonts w:cs="Arial"/>
          <w:bCs/>
          <w:sz w:val="24"/>
        </w:rPr>
      </w:pPr>
      <w:r w:rsidRPr="00145516">
        <w:rPr>
          <w:rFonts w:cs="Arial"/>
          <w:bCs/>
          <w:sz w:val="24"/>
        </w:rPr>
        <w:t xml:space="preserve">ZNAČKY </w:t>
      </w:r>
      <w:r>
        <w:rPr>
          <w:rFonts w:cs="Arial"/>
          <w:bCs/>
          <w:sz w:val="24"/>
        </w:rPr>
        <w:t xml:space="preserve">POUŽITÉ </w:t>
      </w:r>
      <w:r w:rsidRPr="00145516">
        <w:rPr>
          <w:rFonts w:cs="Arial"/>
          <w:bCs/>
          <w:sz w:val="24"/>
        </w:rPr>
        <w:t>V</w:t>
      </w:r>
      <w:r>
        <w:rPr>
          <w:rFonts w:cs="Arial"/>
          <w:bCs/>
          <w:sz w:val="24"/>
        </w:rPr>
        <w:t> </w:t>
      </w:r>
      <w:r w:rsidRPr="00145516">
        <w:rPr>
          <w:rFonts w:cs="Arial"/>
          <w:bCs/>
          <w:sz w:val="24"/>
        </w:rPr>
        <w:t>TABULKÁCH</w:t>
      </w:r>
      <w:r>
        <w:rPr>
          <w:rFonts w:cs="Arial"/>
          <w:bCs/>
          <w:sz w:val="24"/>
        </w:rPr>
        <w:t xml:space="preserve"> PUBLIKACE</w:t>
      </w:r>
    </w:p>
    <w:p w:rsidR="00E120E7" w:rsidRPr="00E120E7" w:rsidRDefault="00E120E7" w:rsidP="00E120E7"/>
    <w:p w:rsidR="00714640" w:rsidRPr="00145516" w:rsidRDefault="00E120E7" w:rsidP="00714640">
      <w:pPr>
        <w:spacing w:line="228" w:lineRule="auto"/>
        <w:jc w:val="both"/>
        <w:rPr>
          <w:rFonts w:ascii="Arial" w:hAnsi="Arial" w:cs="Arial"/>
          <w:sz w:val="20"/>
        </w:rPr>
      </w:pPr>
      <w:r w:rsidRPr="00E120E7">
        <w:rPr>
          <w:rFonts w:ascii="Arial" w:hAnsi="Arial" w:cs="Arial"/>
          <w:sz w:val="20"/>
        </w:rPr>
        <w:t>x</w:t>
      </w:r>
      <w:r w:rsidR="00714640" w:rsidRPr="00145516">
        <w:rPr>
          <w:rFonts w:ascii="Arial" w:hAnsi="Arial" w:cs="Arial"/>
          <w:sz w:val="20"/>
        </w:rPr>
        <w:t xml:space="preserve"> </w:t>
      </w:r>
      <w:r w:rsidR="00714640">
        <w:rPr>
          <w:rFonts w:ascii="Arial" w:hAnsi="Arial" w:cs="Arial"/>
          <w:sz w:val="20"/>
        </w:rPr>
        <w:t xml:space="preserve">    </w:t>
      </w:r>
      <w:r w:rsidR="00714640" w:rsidRPr="00145516">
        <w:rPr>
          <w:rFonts w:ascii="Arial" w:hAnsi="Arial" w:cs="Arial"/>
          <w:sz w:val="20"/>
        </w:rPr>
        <w:t>číselný údaj není</w:t>
      </w:r>
      <w:r w:rsidR="00714640">
        <w:rPr>
          <w:rFonts w:ascii="Arial" w:hAnsi="Arial" w:cs="Arial"/>
          <w:sz w:val="20"/>
        </w:rPr>
        <w:t xml:space="preserve"> </w:t>
      </w:r>
      <w:r w:rsidR="00714640" w:rsidRPr="00145516">
        <w:rPr>
          <w:rFonts w:ascii="Arial" w:hAnsi="Arial" w:cs="Arial"/>
          <w:sz w:val="20"/>
        </w:rPr>
        <w:t>možný</w:t>
      </w:r>
      <w:r w:rsidR="00714640">
        <w:rPr>
          <w:rFonts w:ascii="Arial" w:hAnsi="Arial" w:cs="Arial"/>
          <w:sz w:val="20"/>
        </w:rPr>
        <w:t xml:space="preserve"> z logických důvodů</w:t>
      </w:r>
      <w:r w:rsidR="00714640" w:rsidRPr="00145516">
        <w:rPr>
          <w:rFonts w:ascii="Arial" w:hAnsi="Arial" w:cs="Arial"/>
          <w:sz w:val="20"/>
        </w:rPr>
        <w:t xml:space="preserve"> </w:t>
      </w:r>
    </w:p>
    <w:p w:rsidR="00714640" w:rsidRDefault="00714640" w:rsidP="00714640">
      <w:pPr>
        <w:spacing w:line="228" w:lineRule="auto"/>
        <w:jc w:val="both"/>
        <w:rPr>
          <w:rFonts w:ascii="Arial" w:hAnsi="Arial" w:cs="Arial"/>
          <w:sz w:val="20"/>
        </w:rPr>
      </w:pPr>
      <w:r w:rsidRPr="00E120E7">
        <w:rPr>
          <w:rFonts w:ascii="Arial" w:hAnsi="Arial" w:cs="Arial"/>
          <w:sz w:val="20"/>
        </w:rPr>
        <w:t xml:space="preserve">. </w:t>
      </w:r>
      <w:r w:rsidR="00E120E7">
        <w:rPr>
          <w:rFonts w:ascii="Arial" w:hAnsi="Arial" w:cs="Arial"/>
          <w:sz w:val="20"/>
        </w:rPr>
        <w:t xml:space="preserve">     </w:t>
      </w:r>
      <w:r w:rsidRPr="00145516">
        <w:rPr>
          <w:rFonts w:ascii="Arial" w:hAnsi="Arial" w:cs="Arial"/>
          <w:sz w:val="20"/>
        </w:rPr>
        <w:t xml:space="preserve">údaj </w:t>
      </w:r>
      <w:r>
        <w:rPr>
          <w:rFonts w:ascii="Arial" w:hAnsi="Arial" w:cs="Arial"/>
          <w:sz w:val="20"/>
        </w:rPr>
        <w:t>není k dispozici nebo není dostatečně spolehlivý</w:t>
      </w:r>
      <w:r w:rsidRPr="00145516">
        <w:rPr>
          <w:rFonts w:ascii="Arial" w:hAnsi="Arial" w:cs="Arial"/>
          <w:sz w:val="20"/>
        </w:rPr>
        <w:t xml:space="preserve"> </w:t>
      </w:r>
    </w:p>
    <w:p w:rsidR="00E120E7" w:rsidRPr="00145516" w:rsidRDefault="00E120E7" w:rsidP="00714640">
      <w:pPr>
        <w:spacing w:line="228" w:lineRule="auto"/>
        <w:jc w:val="both"/>
        <w:rPr>
          <w:rFonts w:ascii="Arial" w:hAnsi="Arial" w:cs="Arial"/>
          <w:sz w:val="20"/>
        </w:rPr>
      </w:pPr>
    </w:p>
    <w:p w:rsidR="00714640" w:rsidRPr="00B27A8C" w:rsidRDefault="00714640" w:rsidP="00B27A8C">
      <w:pPr>
        <w:spacing w:line="228" w:lineRule="auto"/>
        <w:jc w:val="both"/>
        <w:rPr>
          <w:rFonts w:ascii="Arial" w:hAnsi="Arial" w:cs="Arial"/>
          <w:sz w:val="20"/>
        </w:rPr>
      </w:pPr>
      <w:r w:rsidRPr="00145516">
        <w:rPr>
          <w:rFonts w:ascii="Arial" w:hAnsi="Arial" w:cs="Arial"/>
          <w:sz w:val="20"/>
        </w:rPr>
        <w:t>Výpočty v tabulkách jsou prováděny z nezaokrouhlených údajů (včetně součtů)</w:t>
      </w:r>
      <w:r>
        <w:rPr>
          <w:rFonts w:ascii="Arial" w:hAnsi="Arial" w:cs="Arial"/>
          <w:sz w:val="20"/>
        </w:rPr>
        <w:t>.</w:t>
      </w:r>
    </w:p>
    <w:sectPr w:rsidR="00714640" w:rsidRPr="00B27A8C" w:rsidSect="00477A11">
      <w:footerReference w:type="even" r:id="rId12"/>
      <w:pgSz w:w="11906" w:h="16838" w:code="9"/>
      <w:pgMar w:top="1021" w:right="1418" w:bottom="1418" w:left="1418" w:header="709" w:footer="851" w:gutter="0"/>
      <w:pgNumType w:fmt="numberInDash"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D14" w:rsidRDefault="00717D14">
      <w:r>
        <w:separator/>
      </w:r>
    </w:p>
  </w:endnote>
  <w:endnote w:type="continuationSeparator" w:id="0">
    <w:p w:rsidR="00717D14" w:rsidRDefault="00717D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10A" w:rsidRDefault="00E34221">
    <w:pPr>
      <w:pStyle w:val="Zpat"/>
      <w:framePr w:wrap="around" w:vAnchor="text" w:hAnchor="margin" w:xAlign="center" w:y="1"/>
      <w:rPr>
        <w:rStyle w:val="slostrnky"/>
      </w:rPr>
    </w:pPr>
    <w:r>
      <w:rPr>
        <w:rStyle w:val="slostrnky"/>
      </w:rPr>
      <w:fldChar w:fldCharType="begin"/>
    </w:r>
    <w:r w:rsidR="0016710A">
      <w:rPr>
        <w:rStyle w:val="slostrnky"/>
      </w:rPr>
      <w:instrText xml:space="preserve">PAGE  </w:instrText>
    </w:r>
    <w:r>
      <w:rPr>
        <w:rStyle w:val="slostrnky"/>
      </w:rPr>
      <w:fldChar w:fldCharType="end"/>
    </w:r>
  </w:p>
  <w:p w:rsidR="0016710A" w:rsidRDefault="0016710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D14" w:rsidRDefault="00717D14">
      <w:r>
        <w:separator/>
      </w:r>
    </w:p>
  </w:footnote>
  <w:footnote w:type="continuationSeparator" w:id="0">
    <w:p w:rsidR="00717D14" w:rsidRDefault="00717D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E74"/>
    <w:multiLevelType w:val="hybridMultilevel"/>
    <w:tmpl w:val="F50A2D1C"/>
    <w:lvl w:ilvl="0" w:tplc="0405000F">
      <w:start w:val="1"/>
      <w:numFmt w:val="decimal"/>
      <w:lvlText w:val="%1."/>
      <w:lvlJc w:val="left"/>
      <w:pPr>
        <w:tabs>
          <w:tab w:val="num" w:pos="2420"/>
        </w:tabs>
        <w:ind w:left="2420" w:hanging="360"/>
      </w:pPr>
    </w:lvl>
    <w:lvl w:ilvl="1" w:tplc="04050019" w:tentative="1">
      <w:start w:val="1"/>
      <w:numFmt w:val="lowerLetter"/>
      <w:lvlText w:val="%2."/>
      <w:lvlJc w:val="left"/>
      <w:pPr>
        <w:tabs>
          <w:tab w:val="num" w:pos="3140"/>
        </w:tabs>
        <w:ind w:left="3140" w:hanging="360"/>
      </w:pPr>
    </w:lvl>
    <w:lvl w:ilvl="2" w:tplc="0405001B" w:tentative="1">
      <w:start w:val="1"/>
      <w:numFmt w:val="lowerRoman"/>
      <w:lvlText w:val="%3."/>
      <w:lvlJc w:val="right"/>
      <w:pPr>
        <w:tabs>
          <w:tab w:val="num" w:pos="3860"/>
        </w:tabs>
        <w:ind w:left="3860" w:hanging="180"/>
      </w:pPr>
    </w:lvl>
    <w:lvl w:ilvl="3" w:tplc="0405000F" w:tentative="1">
      <w:start w:val="1"/>
      <w:numFmt w:val="decimal"/>
      <w:lvlText w:val="%4."/>
      <w:lvlJc w:val="left"/>
      <w:pPr>
        <w:tabs>
          <w:tab w:val="num" w:pos="4580"/>
        </w:tabs>
        <w:ind w:left="4580" w:hanging="360"/>
      </w:pPr>
    </w:lvl>
    <w:lvl w:ilvl="4" w:tplc="04050019" w:tentative="1">
      <w:start w:val="1"/>
      <w:numFmt w:val="lowerLetter"/>
      <w:lvlText w:val="%5."/>
      <w:lvlJc w:val="left"/>
      <w:pPr>
        <w:tabs>
          <w:tab w:val="num" w:pos="5300"/>
        </w:tabs>
        <w:ind w:left="5300" w:hanging="360"/>
      </w:pPr>
    </w:lvl>
    <w:lvl w:ilvl="5" w:tplc="0405001B" w:tentative="1">
      <w:start w:val="1"/>
      <w:numFmt w:val="lowerRoman"/>
      <w:lvlText w:val="%6."/>
      <w:lvlJc w:val="right"/>
      <w:pPr>
        <w:tabs>
          <w:tab w:val="num" w:pos="6020"/>
        </w:tabs>
        <w:ind w:left="6020" w:hanging="180"/>
      </w:pPr>
    </w:lvl>
    <w:lvl w:ilvl="6" w:tplc="0405000F" w:tentative="1">
      <w:start w:val="1"/>
      <w:numFmt w:val="decimal"/>
      <w:lvlText w:val="%7."/>
      <w:lvlJc w:val="left"/>
      <w:pPr>
        <w:tabs>
          <w:tab w:val="num" w:pos="6740"/>
        </w:tabs>
        <w:ind w:left="6740" w:hanging="360"/>
      </w:pPr>
    </w:lvl>
    <w:lvl w:ilvl="7" w:tplc="04050019" w:tentative="1">
      <w:start w:val="1"/>
      <w:numFmt w:val="lowerLetter"/>
      <w:lvlText w:val="%8."/>
      <w:lvlJc w:val="left"/>
      <w:pPr>
        <w:tabs>
          <w:tab w:val="num" w:pos="7460"/>
        </w:tabs>
        <w:ind w:left="7460" w:hanging="360"/>
      </w:pPr>
    </w:lvl>
    <w:lvl w:ilvl="8" w:tplc="0405001B" w:tentative="1">
      <w:start w:val="1"/>
      <w:numFmt w:val="lowerRoman"/>
      <w:lvlText w:val="%9."/>
      <w:lvlJc w:val="right"/>
      <w:pPr>
        <w:tabs>
          <w:tab w:val="num" w:pos="8180"/>
        </w:tabs>
        <w:ind w:left="8180" w:hanging="180"/>
      </w:pPr>
    </w:lvl>
  </w:abstractNum>
  <w:abstractNum w:abstractNumId="1">
    <w:nsid w:val="05FA6E0B"/>
    <w:multiLevelType w:val="hybridMultilevel"/>
    <w:tmpl w:val="E38061DC"/>
    <w:lvl w:ilvl="0" w:tplc="97ECC506">
      <w:start w:val="1"/>
      <w:numFmt w:val="bullet"/>
      <w:lvlText w:val=""/>
      <w:lvlJc w:val="left"/>
      <w:pPr>
        <w:tabs>
          <w:tab w:val="num" w:pos="720"/>
        </w:tabs>
        <w:ind w:left="720" w:hanging="360"/>
      </w:pPr>
      <w:rPr>
        <w:rFonts w:ascii="Symbol" w:hAnsi="Symbol" w:hint="default"/>
        <w:sz w:val="20"/>
      </w:rPr>
    </w:lvl>
    <w:lvl w:ilvl="1" w:tplc="2A3EE8B4" w:tentative="1">
      <w:start w:val="1"/>
      <w:numFmt w:val="bullet"/>
      <w:lvlText w:val="o"/>
      <w:lvlJc w:val="left"/>
      <w:pPr>
        <w:tabs>
          <w:tab w:val="num" w:pos="1440"/>
        </w:tabs>
        <w:ind w:left="1440" w:hanging="360"/>
      </w:pPr>
      <w:rPr>
        <w:rFonts w:ascii="Courier New" w:hAnsi="Courier New" w:hint="default"/>
        <w:sz w:val="20"/>
      </w:rPr>
    </w:lvl>
    <w:lvl w:ilvl="2" w:tplc="E794AC16" w:tentative="1">
      <w:start w:val="1"/>
      <w:numFmt w:val="bullet"/>
      <w:lvlText w:val=""/>
      <w:lvlJc w:val="left"/>
      <w:pPr>
        <w:tabs>
          <w:tab w:val="num" w:pos="2160"/>
        </w:tabs>
        <w:ind w:left="2160" w:hanging="360"/>
      </w:pPr>
      <w:rPr>
        <w:rFonts w:ascii="Wingdings" w:hAnsi="Wingdings" w:hint="default"/>
        <w:sz w:val="20"/>
      </w:rPr>
    </w:lvl>
    <w:lvl w:ilvl="3" w:tplc="6A5CC2D8" w:tentative="1">
      <w:start w:val="1"/>
      <w:numFmt w:val="bullet"/>
      <w:lvlText w:val=""/>
      <w:lvlJc w:val="left"/>
      <w:pPr>
        <w:tabs>
          <w:tab w:val="num" w:pos="2880"/>
        </w:tabs>
        <w:ind w:left="2880" w:hanging="360"/>
      </w:pPr>
      <w:rPr>
        <w:rFonts w:ascii="Wingdings" w:hAnsi="Wingdings" w:hint="default"/>
        <w:sz w:val="20"/>
      </w:rPr>
    </w:lvl>
    <w:lvl w:ilvl="4" w:tplc="5F2474C0" w:tentative="1">
      <w:start w:val="1"/>
      <w:numFmt w:val="bullet"/>
      <w:lvlText w:val=""/>
      <w:lvlJc w:val="left"/>
      <w:pPr>
        <w:tabs>
          <w:tab w:val="num" w:pos="3600"/>
        </w:tabs>
        <w:ind w:left="3600" w:hanging="360"/>
      </w:pPr>
      <w:rPr>
        <w:rFonts w:ascii="Wingdings" w:hAnsi="Wingdings" w:hint="default"/>
        <w:sz w:val="20"/>
      </w:rPr>
    </w:lvl>
    <w:lvl w:ilvl="5" w:tplc="6AB2C87E" w:tentative="1">
      <w:start w:val="1"/>
      <w:numFmt w:val="bullet"/>
      <w:lvlText w:val=""/>
      <w:lvlJc w:val="left"/>
      <w:pPr>
        <w:tabs>
          <w:tab w:val="num" w:pos="4320"/>
        </w:tabs>
        <w:ind w:left="4320" w:hanging="360"/>
      </w:pPr>
      <w:rPr>
        <w:rFonts w:ascii="Wingdings" w:hAnsi="Wingdings" w:hint="default"/>
        <w:sz w:val="20"/>
      </w:rPr>
    </w:lvl>
    <w:lvl w:ilvl="6" w:tplc="396AEE18" w:tentative="1">
      <w:start w:val="1"/>
      <w:numFmt w:val="bullet"/>
      <w:lvlText w:val=""/>
      <w:lvlJc w:val="left"/>
      <w:pPr>
        <w:tabs>
          <w:tab w:val="num" w:pos="5040"/>
        </w:tabs>
        <w:ind w:left="5040" w:hanging="360"/>
      </w:pPr>
      <w:rPr>
        <w:rFonts w:ascii="Wingdings" w:hAnsi="Wingdings" w:hint="default"/>
        <w:sz w:val="20"/>
      </w:rPr>
    </w:lvl>
    <w:lvl w:ilvl="7" w:tplc="BD7CB432" w:tentative="1">
      <w:start w:val="1"/>
      <w:numFmt w:val="bullet"/>
      <w:lvlText w:val=""/>
      <w:lvlJc w:val="left"/>
      <w:pPr>
        <w:tabs>
          <w:tab w:val="num" w:pos="5760"/>
        </w:tabs>
        <w:ind w:left="5760" w:hanging="360"/>
      </w:pPr>
      <w:rPr>
        <w:rFonts w:ascii="Wingdings" w:hAnsi="Wingdings" w:hint="default"/>
        <w:sz w:val="20"/>
      </w:rPr>
    </w:lvl>
    <w:lvl w:ilvl="8" w:tplc="5F34AEC0"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E4AEF"/>
    <w:multiLevelType w:val="multilevel"/>
    <w:tmpl w:val="0405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C856AE6"/>
    <w:multiLevelType w:val="hybridMultilevel"/>
    <w:tmpl w:val="5A387F0A"/>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4259B0"/>
    <w:multiLevelType w:val="hybridMultilevel"/>
    <w:tmpl w:val="DB70D908"/>
    <w:lvl w:ilvl="0" w:tplc="C280652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14A780E"/>
    <w:multiLevelType w:val="multilevel"/>
    <w:tmpl w:val="647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1610F"/>
    <w:multiLevelType w:val="hybridMultilevel"/>
    <w:tmpl w:val="9EF231E6"/>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nsid w:val="1D9F0A59"/>
    <w:multiLevelType w:val="hybridMultilevel"/>
    <w:tmpl w:val="5A387F0A"/>
    <w:lvl w:ilvl="0" w:tplc="3500A4D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658447B"/>
    <w:multiLevelType w:val="hybridMultilevel"/>
    <w:tmpl w:val="80F83B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E4736E"/>
    <w:multiLevelType w:val="hybridMultilevel"/>
    <w:tmpl w:val="3DE02FAC"/>
    <w:lvl w:ilvl="0" w:tplc="433E078C">
      <w:start w:val="1"/>
      <w:numFmt w:val="bullet"/>
      <w:lvlText w:val=""/>
      <w:lvlJc w:val="left"/>
      <w:pPr>
        <w:tabs>
          <w:tab w:val="num" w:pos="720"/>
        </w:tabs>
        <w:ind w:left="720" w:hanging="360"/>
      </w:pPr>
      <w:rPr>
        <w:rFonts w:ascii="Symbol" w:hAnsi="Symbol" w:hint="default"/>
        <w:sz w:val="20"/>
      </w:rPr>
    </w:lvl>
    <w:lvl w:ilvl="1" w:tplc="EC30AB86" w:tentative="1">
      <w:start w:val="1"/>
      <w:numFmt w:val="bullet"/>
      <w:lvlText w:val="o"/>
      <w:lvlJc w:val="left"/>
      <w:pPr>
        <w:tabs>
          <w:tab w:val="num" w:pos="1440"/>
        </w:tabs>
        <w:ind w:left="1440" w:hanging="360"/>
      </w:pPr>
      <w:rPr>
        <w:rFonts w:ascii="Courier New" w:hAnsi="Courier New" w:hint="default"/>
        <w:sz w:val="20"/>
      </w:rPr>
    </w:lvl>
    <w:lvl w:ilvl="2" w:tplc="BEE86218" w:tentative="1">
      <w:start w:val="1"/>
      <w:numFmt w:val="bullet"/>
      <w:lvlText w:val=""/>
      <w:lvlJc w:val="left"/>
      <w:pPr>
        <w:tabs>
          <w:tab w:val="num" w:pos="2160"/>
        </w:tabs>
        <w:ind w:left="2160" w:hanging="360"/>
      </w:pPr>
      <w:rPr>
        <w:rFonts w:ascii="Wingdings" w:hAnsi="Wingdings" w:hint="default"/>
        <w:sz w:val="20"/>
      </w:rPr>
    </w:lvl>
    <w:lvl w:ilvl="3" w:tplc="A00A0D24" w:tentative="1">
      <w:start w:val="1"/>
      <w:numFmt w:val="bullet"/>
      <w:lvlText w:val=""/>
      <w:lvlJc w:val="left"/>
      <w:pPr>
        <w:tabs>
          <w:tab w:val="num" w:pos="2880"/>
        </w:tabs>
        <w:ind w:left="2880" w:hanging="360"/>
      </w:pPr>
      <w:rPr>
        <w:rFonts w:ascii="Wingdings" w:hAnsi="Wingdings" w:hint="default"/>
        <w:sz w:val="20"/>
      </w:rPr>
    </w:lvl>
    <w:lvl w:ilvl="4" w:tplc="7CF42432" w:tentative="1">
      <w:start w:val="1"/>
      <w:numFmt w:val="bullet"/>
      <w:lvlText w:val=""/>
      <w:lvlJc w:val="left"/>
      <w:pPr>
        <w:tabs>
          <w:tab w:val="num" w:pos="3600"/>
        </w:tabs>
        <w:ind w:left="3600" w:hanging="360"/>
      </w:pPr>
      <w:rPr>
        <w:rFonts w:ascii="Wingdings" w:hAnsi="Wingdings" w:hint="default"/>
        <w:sz w:val="20"/>
      </w:rPr>
    </w:lvl>
    <w:lvl w:ilvl="5" w:tplc="19A89918" w:tentative="1">
      <w:start w:val="1"/>
      <w:numFmt w:val="bullet"/>
      <w:lvlText w:val=""/>
      <w:lvlJc w:val="left"/>
      <w:pPr>
        <w:tabs>
          <w:tab w:val="num" w:pos="4320"/>
        </w:tabs>
        <w:ind w:left="4320" w:hanging="360"/>
      </w:pPr>
      <w:rPr>
        <w:rFonts w:ascii="Wingdings" w:hAnsi="Wingdings" w:hint="default"/>
        <w:sz w:val="20"/>
      </w:rPr>
    </w:lvl>
    <w:lvl w:ilvl="6" w:tplc="D3367B90" w:tentative="1">
      <w:start w:val="1"/>
      <w:numFmt w:val="bullet"/>
      <w:lvlText w:val=""/>
      <w:lvlJc w:val="left"/>
      <w:pPr>
        <w:tabs>
          <w:tab w:val="num" w:pos="5040"/>
        </w:tabs>
        <w:ind w:left="5040" w:hanging="360"/>
      </w:pPr>
      <w:rPr>
        <w:rFonts w:ascii="Wingdings" w:hAnsi="Wingdings" w:hint="default"/>
        <w:sz w:val="20"/>
      </w:rPr>
    </w:lvl>
    <w:lvl w:ilvl="7" w:tplc="CCE4EAB0" w:tentative="1">
      <w:start w:val="1"/>
      <w:numFmt w:val="bullet"/>
      <w:lvlText w:val=""/>
      <w:lvlJc w:val="left"/>
      <w:pPr>
        <w:tabs>
          <w:tab w:val="num" w:pos="5760"/>
        </w:tabs>
        <w:ind w:left="5760" w:hanging="360"/>
      </w:pPr>
      <w:rPr>
        <w:rFonts w:ascii="Wingdings" w:hAnsi="Wingdings" w:hint="default"/>
        <w:sz w:val="20"/>
      </w:rPr>
    </w:lvl>
    <w:lvl w:ilvl="8" w:tplc="0232AED2"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F31805"/>
    <w:multiLevelType w:val="multilevel"/>
    <w:tmpl w:val="4FD886BA"/>
    <w:lvl w:ilvl="0">
      <w:start w:val="1"/>
      <w:numFmt w:val="decimal"/>
      <w:lvlText w:val="%1"/>
      <w:lvlJc w:val="left"/>
      <w:pPr>
        <w:tabs>
          <w:tab w:val="num" w:pos="510"/>
        </w:tabs>
        <w:ind w:left="510" w:hanging="510"/>
      </w:pPr>
      <w:rPr>
        <w:rFonts w:hint="default"/>
        <w:b/>
        <w:i/>
      </w:rPr>
    </w:lvl>
    <w:lvl w:ilvl="1">
      <w:start w:val="1"/>
      <w:numFmt w:val="decimal"/>
      <w:lvlText w:val="%1.%2"/>
      <w:lvlJc w:val="left"/>
      <w:pPr>
        <w:tabs>
          <w:tab w:val="num" w:pos="510"/>
        </w:tabs>
        <w:ind w:left="510" w:hanging="51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1">
    <w:nsid w:val="29FF52AB"/>
    <w:multiLevelType w:val="multilevel"/>
    <w:tmpl w:val="810E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0D3C9B"/>
    <w:multiLevelType w:val="hybridMultilevel"/>
    <w:tmpl w:val="6906AD68"/>
    <w:lvl w:ilvl="0" w:tplc="FB3817BC">
      <w:start w:val="1"/>
      <w:numFmt w:val="bullet"/>
      <w:lvlText w:val=""/>
      <w:lvlJc w:val="left"/>
      <w:pPr>
        <w:tabs>
          <w:tab w:val="num" w:pos="720"/>
        </w:tabs>
        <w:ind w:left="720" w:hanging="360"/>
      </w:pPr>
      <w:rPr>
        <w:rFonts w:ascii="Symbol" w:hAnsi="Symbol" w:hint="default"/>
        <w:sz w:val="20"/>
      </w:rPr>
    </w:lvl>
    <w:lvl w:ilvl="1" w:tplc="C72C6B16" w:tentative="1">
      <w:start w:val="1"/>
      <w:numFmt w:val="bullet"/>
      <w:lvlText w:val="o"/>
      <w:lvlJc w:val="left"/>
      <w:pPr>
        <w:tabs>
          <w:tab w:val="num" w:pos="1440"/>
        </w:tabs>
        <w:ind w:left="1440" w:hanging="360"/>
      </w:pPr>
      <w:rPr>
        <w:rFonts w:ascii="Courier New" w:hAnsi="Courier New" w:hint="default"/>
        <w:sz w:val="20"/>
      </w:rPr>
    </w:lvl>
    <w:lvl w:ilvl="2" w:tplc="8B222CFC" w:tentative="1">
      <w:start w:val="1"/>
      <w:numFmt w:val="bullet"/>
      <w:lvlText w:val=""/>
      <w:lvlJc w:val="left"/>
      <w:pPr>
        <w:tabs>
          <w:tab w:val="num" w:pos="2160"/>
        </w:tabs>
        <w:ind w:left="2160" w:hanging="360"/>
      </w:pPr>
      <w:rPr>
        <w:rFonts w:ascii="Wingdings" w:hAnsi="Wingdings" w:hint="default"/>
        <w:sz w:val="20"/>
      </w:rPr>
    </w:lvl>
    <w:lvl w:ilvl="3" w:tplc="26363C4C" w:tentative="1">
      <w:start w:val="1"/>
      <w:numFmt w:val="bullet"/>
      <w:lvlText w:val=""/>
      <w:lvlJc w:val="left"/>
      <w:pPr>
        <w:tabs>
          <w:tab w:val="num" w:pos="2880"/>
        </w:tabs>
        <w:ind w:left="2880" w:hanging="360"/>
      </w:pPr>
      <w:rPr>
        <w:rFonts w:ascii="Wingdings" w:hAnsi="Wingdings" w:hint="default"/>
        <w:sz w:val="20"/>
      </w:rPr>
    </w:lvl>
    <w:lvl w:ilvl="4" w:tplc="9334CCCA" w:tentative="1">
      <w:start w:val="1"/>
      <w:numFmt w:val="bullet"/>
      <w:lvlText w:val=""/>
      <w:lvlJc w:val="left"/>
      <w:pPr>
        <w:tabs>
          <w:tab w:val="num" w:pos="3600"/>
        </w:tabs>
        <w:ind w:left="3600" w:hanging="360"/>
      </w:pPr>
      <w:rPr>
        <w:rFonts w:ascii="Wingdings" w:hAnsi="Wingdings" w:hint="default"/>
        <w:sz w:val="20"/>
      </w:rPr>
    </w:lvl>
    <w:lvl w:ilvl="5" w:tplc="EDC09B88" w:tentative="1">
      <w:start w:val="1"/>
      <w:numFmt w:val="bullet"/>
      <w:lvlText w:val=""/>
      <w:lvlJc w:val="left"/>
      <w:pPr>
        <w:tabs>
          <w:tab w:val="num" w:pos="4320"/>
        </w:tabs>
        <w:ind w:left="4320" w:hanging="360"/>
      </w:pPr>
      <w:rPr>
        <w:rFonts w:ascii="Wingdings" w:hAnsi="Wingdings" w:hint="default"/>
        <w:sz w:val="20"/>
      </w:rPr>
    </w:lvl>
    <w:lvl w:ilvl="6" w:tplc="3E2EE0B4" w:tentative="1">
      <w:start w:val="1"/>
      <w:numFmt w:val="bullet"/>
      <w:lvlText w:val=""/>
      <w:lvlJc w:val="left"/>
      <w:pPr>
        <w:tabs>
          <w:tab w:val="num" w:pos="5040"/>
        </w:tabs>
        <w:ind w:left="5040" w:hanging="360"/>
      </w:pPr>
      <w:rPr>
        <w:rFonts w:ascii="Wingdings" w:hAnsi="Wingdings" w:hint="default"/>
        <w:sz w:val="20"/>
      </w:rPr>
    </w:lvl>
    <w:lvl w:ilvl="7" w:tplc="06DEEAEE" w:tentative="1">
      <w:start w:val="1"/>
      <w:numFmt w:val="bullet"/>
      <w:lvlText w:val=""/>
      <w:lvlJc w:val="left"/>
      <w:pPr>
        <w:tabs>
          <w:tab w:val="num" w:pos="5760"/>
        </w:tabs>
        <w:ind w:left="5760" w:hanging="360"/>
      </w:pPr>
      <w:rPr>
        <w:rFonts w:ascii="Wingdings" w:hAnsi="Wingdings" w:hint="default"/>
        <w:sz w:val="20"/>
      </w:rPr>
    </w:lvl>
    <w:lvl w:ilvl="8" w:tplc="3C0270EA"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8669D2"/>
    <w:multiLevelType w:val="hybridMultilevel"/>
    <w:tmpl w:val="BDD63268"/>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720668A"/>
    <w:multiLevelType w:val="hybridMultilevel"/>
    <w:tmpl w:val="74EADA04"/>
    <w:lvl w:ilvl="0" w:tplc="3A623938">
      <w:start w:val="1"/>
      <w:numFmt w:val="bullet"/>
      <w:lvlText w:val=""/>
      <w:lvlJc w:val="left"/>
      <w:pPr>
        <w:tabs>
          <w:tab w:val="num" w:pos="927"/>
        </w:tabs>
        <w:ind w:left="851"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4F859C7"/>
    <w:multiLevelType w:val="multilevel"/>
    <w:tmpl w:val="FBDC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BF249C"/>
    <w:multiLevelType w:val="hybridMultilevel"/>
    <w:tmpl w:val="9798153E"/>
    <w:lvl w:ilvl="0" w:tplc="D966B8C2">
      <w:start w:val="1"/>
      <w:numFmt w:val="decimal"/>
      <w:lvlText w:val="%1."/>
      <w:lvlJc w:val="left"/>
      <w:pPr>
        <w:tabs>
          <w:tab w:val="num" w:pos="705"/>
        </w:tabs>
        <w:ind w:left="705" w:hanging="360"/>
      </w:pPr>
      <w:rPr>
        <w:rFonts w:hint="default"/>
      </w:rPr>
    </w:lvl>
    <w:lvl w:ilvl="1" w:tplc="04050019" w:tentative="1">
      <w:start w:val="1"/>
      <w:numFmt w:val="lowerLetter"/>
      <w:lvlText w:val="%2."/>
      <w:lvlJc w:val="left"/>
      <w:pPr>
        <w:tabs>
          <w:tab w:val="num" w:pos="1425"/>
        </w:tabs>
        <w:ind w:left="1425" w:hanging="360"/>
      </w:p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17">
    <w:nsid w:val="76B53DBA"/>
    <w:multiLevelType w:val="hybridMultilevel"/>
    <w:tmpl w:val="AABEDBF0"/>
    <w:lvl w:ilvl="0" w:tplc="0405000F">
      <w:start w:val="1"/>
      <w:numFmt w:val="decimal"/>
      <w:lvlText w:val="%1."/>
      <w:lvlJc w:val="left"/>
      <w:pPr>
        <w:tabs>
          <w:tab w:val="num" w:pos="1290"/>
        </w:tabs>
        <w:ind w:left="1290" w:hanging="360"/>
      </w:pPr>
    </w:lvl>
    <w:lvl w:ilvl="1" w:tplc="04050019" w:tentative="1">
      <w:start w:val="1"/>
      <w:numFmt w:val="lowerLetter"/>
      <w:lvlText w:val="%2."/>
      <w:lvlJc w:val="left"/>
      <w:pPr>
        <w:tabs>
          <w:tab w:val="num" w:pos="2010"/>
        </w:tabs>
        <w:ind w:left="2010" w:hanging="360"/>
      </w:pPr>
    </w:lvl>
    <w:lvl w:ilvl="2" w:tplc="0405001B" w:tentative="1">
      <w:start w:val="1"/>
      <w:numFmt w:val="lowerRoman"/>
      <w:lvlText w:val="%3."/>
      <w:lvlJc w:val="right"/>
      <w:pPr>
        <w:tabs>
          <w:tab w:val="num" w:pos="2730"/>
        </w:tabs>
        <w:ind w:left="2730" w:hanging="180"/>
      </w:pPr>
    </w:lvl>
    <w:lvl w:ilvl="3" w:tplc="0405000F" w:tentative="1">
      <w:start w:val="1"/>
      <w:numFmt w:val="decimal"/>
      <w:lvlText w:val="%4."/>
      <w:lvlJc w:val="left"/>
      <w:pPr>
        <w:tabs>
          <w:tab w:val="num" w:pos="3450"/>
        </w:tabs>
        <w:ind w:left="3450" w:hanging="360"/>
      </w:pPr>
    </w:lvl>
    <w:lvl w:ilvl="4" w:tplc="04050019" w:tentative="1">
      <w:start w:val="1"/>
      <w:numFmt w:val="lowerLetter"/>
      <w:lvlText w:val="%5."/>
      <w:lvlJc w:val="left"/>
      <w:pPr>
        <w:tabs>
          <w:tab w:val="num" w:pos="4170"/>
        </w:tabs>
        <w:ind w:left="4170" w:hanging="360"/>
      </w:pPr>
    </w:lvl>
    <w:lvl w:ilvl="5" w:tplc="0405001B" w:tentative="1">
      <w:start w:val="1"/>
      <w:numFmt w:val="lowerRoman"/>
      <w:lvlText w:val="%6."/>
      <w:lvlJc w:val="right"/>
      <w:pPr>
        <w:tabs>
          <w:tab w:val="num" w:pos="4890"/>
        </w:tabs>
        <w:ind w:left="4890" w:hanging="180"/>
      </w:pPr>
    </w:lvl>
    <w:lvl w:ilvl="6" w:tplc="0405000F" w:tentative="1">
      <w:start w:val="1"/>
      <w:numFmt w:val="decimal"/>
      <w:lvlText w:val="%7."/>
      <w:lvlJc w:val="left"/>
      <w:pPr>
        <w:tabs>
          <w:tab w:val="num" w:pos="5610"/>
        </w:tabs>
        <w:ind w:left="5610" w:hanging="360"/>
      </w:pPr>
    </w:lvl>
    <w:lvl w:ilvl="7" w:tplc="04050019" w:tentative="1">
      <w:start w:val="1"/>
      <w:numFmt w:val="lowerLetter"/>
      <w:lvlText w:val="%8."/>
      <w:lvlJc w:val="left"/>
      <w:pPr>
        <w:tabs>
          <w:tab w:val="num" w:pos="6330"/>
        </w:tabs>
        <w:ind w:left="6330" w:hanging="360"/>
      </w:pPr>
    </w:lvl>
    <w:lvl w:ilvl="8" w:tplc="0405001B" w:tentative="1">
      <w:start w:val="1"/>
      <w:numFmt w:val="lowerRoman"/>
      <w:lvlText w:val="%9."/>
      <w:lvlJc w:val="right"/>
      <w:pPr>
        <w:tabs>
          <w:tab w:val="num" w:pos="7050"/>
        </w:tabs>
        <w:ind w:left="7050" w:hanging="180"/>
      </w:pPr>
    </w:lvl>
  </w:abstractNum>
  <w:abstractNum w:abstractNumId="18">
    <w:nsid w:val="785F3440"/>
    <w:multiLevelType w:val="hybridMultilevel"/>
    <w:tmpl w:val="F990C068"/>
    <w:lvl w:ilvl="0" w:tplc="DAAA3306">
      <w:numFmt w:val="bullet"/>
      <w:lvlText w:val="-"/>
      <w:lvlJc w:val="left"/>
      <w:pPr>
        <w:tabs>
          <w:tab w:val="num" w:pos="785"/>
        </w:tabs>
        <w:ind w:left="785" w:hanging="360"/>
      </w:pPr>
      <w:rPr>
        <w:rFonts w:ascii="Times New Roman" w:eastAsia="Times New Roman" w:hAnsi="Times New Roman" w:cs="Times New Roman" w:hint="default"/>
      </w:rPr>
    </w:lvl>
    <w:lvl w:ilvl="1" w:tplc="04050003" w:tentative="1">
      <w:start w:val="1"/>
      <w:numFmt w:val="bullet"/>
      <w:lvlText w:val="o"/>
      <w:lvlJc w:val="left"/>
      <w:pPr>
        <w:tabs>
          <w:tab w:val="num" w:pos="1505"/>
        </w:tabs>
        <w:ind w:left="1505" w:hanging="360"/>
      </w:pPr>
      <w:rPr>
        <w:rFonts w:ascii="Courier New" w:hAnsi="Courier New" w:hint="default"/>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19">
    <w:nsid w:val="78D56612"/>
    <w:multiLevelType w:val="hybridMultilevel"/>
    <w:tmpl w:val="BB3C776A"/>
    <w:lvl w:ilvl="0" w:tplc="D1E61116">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nsid w:val="7C2E51AA"/>
    <w:multiLevelType w:val="hybridMultilevel"/>
    <w:tmpl w:val="4D9E16FA"/>
    <w:lvl w:ilvl="0" w:tplc="DAAA3306">
      <w:numFmt w:val="bullet"/>
      <w:lvlText w:val="-"/>
      <w:lvlJc w:val="left"/>
      <w:pPr>
        <w:tabs>
          <w:tab w:val="num" w:pos="1210"/>
        </w:tabs>
        <w:ind w:left="1210"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8"/>
  </w:num>
  <w:num w:numId="2">
    <w:abstractNumId w:val="14"/>
  </w:num>
  <w:num w:numId="3">
    <w:abstractNumId w:val="17"/>
  </w:num>
  <w:num w:numId="4">
    <w:abstractNumId w:val="0"/>
  </w:num>
  <w:num w:numId="5">
    <w:abstractNumId w:val="7"/>
  </w:num>
  <w:num w:numId="6">
    <w:abstractNumId w:val="13"/>
  </w:num>
  <w:num w:numId="7">
    <w:abstractNumId w:val="1"/>
  </w:num>
  <w:num w:numId="8">
    <w:abstractNumId w:val="2"/>
  </w:num>
  <w:num w:numId="9">
    <w:abstractNumId w:val="10"/>
  </w:num>
  <w:num w:numId="10">
    <w:abstractNumId w:val="19"/>
  </w:num>
  <w:num w:numId="11">
    <w:abstractNumId w:val="16"/>
  </w:num>
  <w:num w:numId="12">
    <w:abstractNumId w:val="3"/>
  </w:num>
  <w:num w:numId="13">
    <w:abstractNumId w:val="9"/>
  </w:num>
  <w:num w:numId="14">
    <w:abstractNumId w:val="12"/>
  </w:num>
  <w:num w:numId="15">
    <w:abstractNumId w:val="6"/>
  </w:num>
  <w:num w:numId="16">
    <w:abstractNumId w:val="4"/>
  </w:num>
  <w:num w:numId="17">
    <w:abstractNumId w:val="18"/>
  </w:num>
  <w:num w:numId="18">
    <w:abstractNumId w:val="5"/>
  </w:num>
  <w:num w:numId="19">
    <w:abstractNumId w:val="15"/>
  </w:num>
  <w:num w:numId="20">
    <w:abstractNumId w:val="11"/>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GB" w:vendorID="64" w:dllVersion="131078" w:nlCheck="1" w:checkStyle="1"/>
  <w:defaultTabStop w:val="708"/>
  <w:hyphenationZone w:val="425"/>
  <w:noPunctuationKerning/>
  <w:characterSpacingControl w:val="doNotCompress"/>
  <w:footnotePr>
    <w:footnote w:id="-1"/>
    <w:footnote w:id="0"/>
  </w:footnotePr>
  <w:endnotePr>
    <w:endnote w:id="-1"/>
    <w:endnote w:id="0"/>
  </w:endnotePr>
  <w:compat/>
  <w:rsids>
    <w:rsidRoot w:val="00897507"/>
    <w:rsid w:val="00001EE2"/>
    <w:rsid w:val="0000604B"/>
    <w:rsid w:val="0001716E"/>
    <w:rsid w:val="000207EE"/>
    <w:rsid w:val="00022DBD"/>
    <w:rsid w:val="00025069"/>
    <w:rsid w:val="00027CD6"/>
    <w:rsid w:val="000441FB"/>
    <w:rsid w:val="00045934"/>
    <w:rsid w:val="000477C9"/>
    <w:rsid w:val="00050CA9"/>
    <w:rsid w:val="00055242"/>
    <w:rsid w:val="00056F1C"/>
    <w:rsid w:val="000626C7"/>
    <w:rsid w:val="00062C3D"/>
    <w:rsid w:val="000659A8"/>
    <w:rsid w:val="000660B6"/>
    <w:rsid w:val="000676A6"/>
    <w:rsid w:val="00074031"/>
    <w:rsid w:val="00075866"/>
    <w:rsid w:val="000777C6"/>
    <w:rsid w:val="00077F3D"/>
    <w:rsid w:val="000818DE"/>
    <w:rsid w:val="000820FB"/>
    <w:rsid w:val="0008330A"/>
    <w:rsid w:val="0008489F"/>
    <w:rsid w:val="000A4BBE"/>
    <w:rsid w:val="000B0396"/>
    <w:rsid w:val="000B55D3"/>
    <w:rsid w:val="000B62DB"/>
    <w:rsid w:val="000C002D"/>
    <w:rsid w:val="000C2F16"/>
    <w:rsid w:val="000C5F22"/>
    <w:rsid w:val="000C6D93"/>
    <w:rsid w:val="000E7231"/>
    <w:rsid w:val="000E76F7"/>
    <w:rsid w:val="000F2A28"/>
    <w:rsid w:val="000F38AC"/>
    <w:rsid w:val="000F454E"/>
    <w:rsid w:val="0010080C"/>
    <w:rsid w:val="00101C1D"/>
    <w:rsid w:val="00103B36"/>
    <w:rsid w:val="00105EC2"/>
    <w:rsid w:val="001102E3"/>
    <w:rsid w:val="001113E9"/>
    <w:rsid w:val="001235B6"/>
    <w:rsid w:val="001267EF"/>
    <w:rsid w:val="00130645"/>
    <w:rsid w:val="001310E8"/>
    <w:rsid w:val="00132A72"/>
    <w:rsid w:val="001444D0"/>
    <w:rsid w:val="00156D11"/>
    <w:rsid w:val="001616E3"/>
    <w:rsid w:val="00162690"/>
    <w:rsid w:val="00163F33"/>
    <w:rsid w:val="00164761"/>
    <w:rsid w:val="00165B07"/>
    <w:rsid w:val="001666D2"/>
    <w:rsid w:val="0016710A"/>
    <w:rsid w:val="00171E72"/>
    <w:rsid w:val="00190621"/>
    <w:rsid w:val="0019532F"/>
    <w:rsid w:val="00195E64"/>
    <w:rsid w:val="001A0450"/>
    <w:rsid w:val="001A3CC1"/>
    <w:rsid w:val="001A7C42"/>
    <w:rsid w:val="001B3C62"/>
    <w:rsid w:val="001C7432"/>
    <w:rsid w:val="001C7FD7"/>
    <w:rsid w:val="001D1D95"/>
    <w:rsid w:val="001D289F"/>
    <w:rsid w:val="001D2F84"/>
    <w:rsid w:val="001E47F4"/>
    <w:rsid w:val="001F5260"/>
    <w:rsid w:val="001F5E4A"/>
    <w:rsid w:val="00202E26"/>
    <w:rsid w:val="0020631A"/>
    <w:rsid w:val="00210178"/>
    <w:rsid w:val="002105D0"/>
    <w:rsid w:val="00212511"/>
    <w:rsid w:val="002173C8"/>
    <w:rsid w:val="002202C2"/>
    <w:rsid w:val="00220B5E"/>
    <w:rsid w:val="00226E67"/>
    <w:rsid w:val="00234F45"/>
    <w:rsid w:val="00240B5C"/>
    <w:rsid w:val="002460EC"/>
    <w:rsid w:val="00246B03"/>
    <w:rsid w:val="0025205C"/>
    <w:rsid w:val="00257276"/>
    <w:rsid w:val="00267A2A"/>
    <w:rsid w:val="002707AA"/>
    <w:rsid w:val="002729F2"/>
    <w:rsid w:val="0027342B"/>
    <w:rsid w:val="0027654B"/>
    <w:rsid w:val="00277DFE"/>
    <w:rsid w:val="0029197B"/>
    <w:rsid w:val="002977D4"/>
    <w:rsid w:val="002A0D3A"/>
    <w:rsid w:val="002A7059"/>
    <w:rsid w:val="002B016C"/>
    <w:rsid w:val="002B2D7A"/>
    <w:rsid w:val="002B66CE"/>
    <w:rsid w:val="002D271E"/>
    <w:rsid w:val="002D3630"/>
    <w:rsid w:val="002E465A"/>
    <w:rsid w:val="002E4A32"/>
    <w:rsid w:val="002E7325"/>
    <w:rsid w:val="002F526F"/>
    <w:rsid w:val="002F610E"/>
    <w:rsid w:val="002F71C8"/>
    <w:rsid w:val="00300D0F"/>
    <w:rsid w:val="003015A3"/>
    <w:rsid w:val="00304780"/>
    <w:rsid w:val="00304B39"/>
    <w:rsid w:val="00305100"/>
    <w:rsid w:val="003058DB"/>
    <w:rsid w:val="003107FA"/>
    <w:rsid w:val="003179EB"/>
    <w:rsid w:val="00321170"/>
    <w:rsid w:val="003212ED"/>
    <w:rsid w:val="00324ADB"/>
    <w:rsid w:val="00327E3D"/>
    <w:rsid w:val="003337C2"/>
    <w:rsid w:val="00334457"/>
    <w:rsid w:val="003377A2"/>
    <w:rsid w:val="003431E5"/>
    <w:rsid w:val="003436E2"/>
    <w:rsid w:val="00344EC1"/>
    <w:rsid w:val="00347760"/>
    <w:rsid w:val="003522A7"/>
    <w:rsid w:val="003542E2"/>
    <w:rsid w:val="00355073"/>
    <w:rsid w:val="003608A6"/>
    <w:rsid w:val="00364B32"/>
    <w:rsid w:val="003657A8"/>
    <w:rsid w:val="0036611D"/>
    <w:rsid w:val="003702EC"/>
    <w:rsid w:val="00370939"/>
    <w:rsid w:val="00375BE5"/>
    <w:rsid w:val="0039466D"/>
    <w:rsid w:val="003A68B9"/>
    <w:rsid w:val="003B05EF"/>
    <w:rsid w:val="003B2F47"/>
    <w:rsid w:val="003D0BF5"/>
    <w:rsid w:val="003D3B6A"/>
    <w:rsid w:val="003D4692"/>
    <w:rsid w:val="003D47C9"/>
    <w:rsid w:val="003D6224"/>
    <w:rsid w:val="003D6F39"/>
    <w:rsid w:val="003D7FF2"/>
    <w:rsid w:val="003E1ACE"/>
    <w:rsid w:val="003F6983"/>
    <w:rsid w:val="00412FA2"/>
    <w:rsid w:val="0041477E"/>
    <w:rsid w:val="00434D0D"/>
    <w:rsid w:val="00444E55"/>
    <w:rsid w:val="0044677D"/>
    <w:rsid w:val="00456C6A"/>
    <w:rsid w:val="004737F4"/>
    <w:rsid w:val="00475EF4"/>
    <w:rsid w:val="00476DA1"/>
    <w:rsid w:val="00477A11"/>
    <w:rsid w:val="00480549"/>
    <w:rsid w:val="00480E0F"/>
    <w:rsid w:val="0048271A"/>
    <w:rsid w:val="00496D5D"/>
    <w:rsid w:val="004A2D6D"/>
    <w:rsid w:val="004A6D7B"/>
    <w:rsid w:val="004B3080"/>
    <w:rsid w:val="004B5606"/>
    <w:rsid w:val="004B74CF"/>
    <w:rsid w:val="004C3DFA"/>
    <w:rsid w:val="004C6BE3"/>
    <w:rsid w:val="004D1A66"/>
    <w:rsid w:val="004D2898"/>
    <w:rsid w:val="004E1E38"/>
    <w:rsid w:val="004E2920"/>
    <w:rsid w:val="004E3310"/>
    <w:rsid w:val="004E3806"/>
    <w:rsid w:val="004F3149"/>
    <w:rsid w:val="004F4207"/>
    <w:rsid w:val="00502A35"/>
    <w:rsid w:val="005032E3"/>
    <w:rsid w:val="0050384F"/>
    <w:rsid w:val="00511273"/>
    <w:rsid w:val="00514703"/>
    <w:rsid w:val="0052108D"/>
    <w:rsid w:val="005235DF"/>
    <w:rsid w:val="00523E6F"/>
    <w:rsid w:val="005243C5"/>
    <w:rsid w:val="00525B2B"/>
    <w:rsid w:val="005354F9"/>
    <w:rsid w:val="00536365"/>
    <w:rsid w:val="005438A1"/>
    <w:rsid w:val="005475E8"/>
    <w:rsid w:val="00547702"/>
    <w:rsid w:val="005513C3"/>
    <w:rsid w:val="00552831"/>
    <w:rsid w:val="00554C3E"/>
    <w:rsid w:val="005563DF"/>
    <w:rsid w:val="005576FE"/>
    <w:rsid w:val="005648EC"/>
    <w:rsid w:val="00567306"/>
    <w:rsid w:val="005700C1"/>
    <w:rsid w:val="00581AE8"/>
    <w:rsid w:val="0058446D"/>
    <w:rsid w:val="00585C70"/>
    <w:rsid w:val="005925BA"/>
    <w:rsid w:val="00593402"/>
    <w:rsid w:val="005A2226"/>
    <w:rsid w:val="005B4401"/>
    <w:rsid w:val="005B4C1B"/>
    <w:rsid w:val="005C1E82"/>
    <w:rsid w:val="005C61A9"/>
    <w:rsid w:val="005E5C6C"/>
    <w:rsid w:val="005E7850"/>
    <w:rsid w:val="005F0B28"/>
    <w:rsid w:val="005F2391"/>
    <w:rsid w:val="00600C51"/>
    <w:rsid w:val="006010D8"/>
    <w:rsid w:val="0060659E"/>
    <w:rsid w:val="00612CC0"/>
    <w:rsid w:val="00617D6E"/>
    <w:rsid w:val="00620027"/>
    <w:rsid w:val="00625B5A"/>
    <w:rsid w:val="00631761"/>
    <w:rsid w:val="006376B3"/>
    <w:rsid w:val="00637C23"/>
    <w:rsid w:val="0064303A"/>
    <w:rsid w:val="006517A5"/>
    <w:rsid w:val="00654A30"/>
    <w:rsid w:val="00657E27"/>
    <w:rsid w:val="00660AEF"/>
    <w:rsid w:val="00660DC4"/>
    <w:rsid w:val="00667696"/>
    <w:rsid w:val="00670393"/>
    <w:rsid w:val="00676C59"/>
    <w:rsid w:val="006846DF"/>
    <w:rsid w:val="0069241D"/>
    <w:rsid w:val="00694557"/>
    <w:rsid w:val="00696338"/>
    <w:rsid w:val="006A089E"/>
    <w:rsid w:val="006A35EC"/>
    <w:rsid w:val="006A40C2"/>
    <w:rsid w:val="006A6159"/>
    <w:rsid w:val="006A6554"/>
    <w:rsid w:val="006B1401"/>
    <w:rsid w:val="006B284B"/>
    <w:rsid w:val="006C78D8"/>
    <w:rsid w:val="006C7EB9"/>
    <w:rsid w:val="006D039F"/>
    <w:rsid w:val="006D1505"/>
    <w:rsid w:val="006D1DA5"/>
    <w:rsid w:val="006D49C7"/>
    <w:rsid w:val="006E2E5C"/>
    <w:rsid w:val="006F48EC"/>
    <w:rsid w:val="006F710C"/>
    <w:rsid w:val="00703FFC"/>
    <w:rsid w:val="00706416"/>
    <w:rsid w:val="0070710F"/>
    <w:rsid w:val="00714640"/>
    <w:rsid w:val="00717D14"/>
    <w:rsid w:val="00721D61"/>
    <w:rsid w:val="00724BDE"/>
    <w:rsid w:val="0072526D"/>
    <w:rsid w:val="00726819"/>
    <w:rsid w:val="00726D05"/>
    <w:rsid w:val="007335C1"/>
    <w:rsid w:val="00736CE3"/>
    <w:rsid w:val="0074524B"/>
    <w:rsid w:val="00750D27"/>
    <w:rsid w:val="00755791"/>
    <w:rsid w:val="00756C26"/>
    <w:rsid w:val="007576C9"/>
    <w:rsid w:val="00766E5B"/>
    <w:rsid w:val="00770F01"/>
    <w:rsid w:val="00775499"/>
    <w:rsid w:val="007765C3"/>
    <w:rsid w:val="00776CA3"/>
    <w:rsid w:val="00776CAF"/>
    <w:rsid w:val="00780575"/>
    <w:rsid w:val="007809C3"/>
    <w:rsid w:val="00791BA4"/>
    <w:rsid w:val="0079412E"/>
    <w:rsid w:val="007A4A31"/>
    <w:rsid w:val="007A4FC5"/>
    <w:rsid w:val="007A7C34"/>
    <w:rsid w:val="007B0945"/>
    <w:rsid w:val="007B5771"/>
    <w:rsid w:val="007B6725"/>
    <w:rsid w:val="007C1D32"/>
    <w:rsid w:val="007C2324"/>
    <w:rsid w:val="007D29E3"/>
    <w:rsid w:val="007D56EB"/>
    <w:rsid w:val="007D6E37"/>
    <w:rsid w:val="007E0D31"/>
    <w:rsid w:val="007E2032"/>
    <w:rsid w:val="007E485E"/>
    <w:rsid w:val="007F2D30"/>
    <w:rsid w:val="007F4494"/>
    <w:rsid w:val="00804970"/>
    <w:rsid w:val="0080519F"/>
    <w:rsid w:val="008058AD"/>
    <w:rsid w:val="00810D8E"/>
    <w:rsid w:val="00811253"/>
    <w:rsid w:val="008113D2"/>
    <w:rsid w:val="0081354C"/>
    <w:rsid w:val="0081570E"/>
    <w:rsid w:val="008204E4"/>
    <w:rsid w:val="008242C3"/>
    <w:rsid w:val="008270BD"/>
    <w:rsid w:val="00830C64"/>
    <w:rsid w:val="00832135"/>
    <w:rsid w:val="0083395D"/>
    <w:rsid w:val="0083480F"/>
    <w:rsid w:val="0083507C"/>
    <w:rsid w:val="00835137"/>
    <w:rsid w:val="00836E9E"/>
    <w:rsid w:val="008457A3"/>
    <w:rsid w:val="00846BEA"/>
    <w:rsid w:val="008578FC"/>
    <w:rsid w:val="0086076C"/>
    <w:rsid w:val="00871DFF"/>
    <w:rsid w:val="0087615A"/>
    <w:rsid w:val="00877E67"/>
    <w:rsid w:val="008811B1"/>
    <w:rsid w:val="00883BDD"/>
    <w:rsid w:val="008862DF"/>
    <w:rsid w:val="0089264D"/>
    <w:rsid w:val="00892C66"/>
    <w:rsid w:val="00894AD8"/>
    <w:rsid w:val="00897507"/>
    <w:rsid w:val="008A11EE"/>
    <w:rsid w:val="008A208F"/>
    <w:rsid w:val="008A343D"/>
    <w:rsid w:val="008B5A31"/>
    <w:rsid w:val="008B5BF1"/>
    <w:rsid w:val="008C2250"/>
    <w:rsid w:val="008C329D"/>
    <w:rsid w:val="008C750B"/>
    <w:rsid w:val="008D05E3"/>
    <w:rsid w:val="008D0DB7"/>
    <w:rsid w:val="008D5157"/>
    <w:rsid w:val="008D5809"/>
    <w:rsid w:val="008D689C"/>
    <w:rsid w:val="008D794D"/>
    <w:rsid w:val="008F324C"/>
    <w:rsid w:val="00902B1A"/>
    <w:rsid w:val="00910673"/>
    <w:rsid w:val="009240FB"/>
    <w:rsid w:val="0092611C"/>
    <w:rsid w:val="00926184"/>
    <w:rsid w:val="009270DC"/>
    <w:rsid w:val="00932917"/>
    <w:rsid w:val="00940392"/>
    <w:rsid w:val="009409BA"/>
    <w:rsid w:val="0094108D"/>
    <w:rsid w:val="009507AB"/>
    <w:rsid w:val="00954478"/>
    <w:rsid w:val="009671CA"/>
    <w:rsid w:val="00971449"/>
    <w:rsid w:val="0098031E"/>
    <w:rsid w:val="0098295E"/>
    <w:rsid w:val="00986C0A"/>
    <w:rsid w:val="0099088D"/>
    <w:rsid w:val="00995A2B"/>
    <w:rsid w:val="00997857"/>
    <w:rsid w:val="009A4F40"/>
    <w:rsid w:val="009A54FD"/>
    <w:rsid w:val="009A63E9"/>
    <w:rsid w:val="009A7807"/>
    <w:rsid w:val="009B0A54"/>
    <w:rsid w:val="009B147E"/>
    <w:rsid w:val="009B2248"/>
    <w:rsid w:val="009B64AC"/>
    <w:rsid w:val="009C1DF7"/>
    <w:rsid w:val="009C4217"/>
    <w:rsid w:val="009C45E3"/>
    <w:rsid w:val="009D2186"/>
    <w:rsid w:val="009D7C77"/>
    <w:rsid w:val="009D7EF6"/>
    <w:rsid w:val="009E06EA"/>
    <w:rsid w:val="009E3050"/>
    <w:rsid w:val="009E56CF"/>
    <w:rsid w:val="009E5949"/>
    <w:rsid w:val="009F075B"/>
    <w:rsid w:val="009F1A2F"/>
    <w:rsid w:val="009F6D8A"/>
    <w:rsid w:val="00A12149"/>
    <w:rsid w:val="00A12CD9"/>
    <w:rsid w:val="00A12D60"/>
    <w:rsid w:val="00A1350D"/>
    <w:rsid w:val="00A24093"/>
    <w:rsid w:val="00A25CEE"/>
    <w:rsid w:val="00A26835"/>
    <w:rsid w:val="00A319B1"/>
    <w:rsid w:val="00A336C3"/>
    <w:rsid w:val="00A413AD"/>
    <w:rsid w:val="00A41D14"/>
    <w:rsid w:val="00A451EE"/>
    <w:rsid w:val="00A55C45"/>
    <w:rsid w:val="00A56FE7"/>
    <w:rsid w:val="00A625B9"/>
    <w:rsid w:val="00A67AD6"/>
    <w:rsid w:val="00A720A1"/>
    <w:rsid w:val="00A749CA"/>
    <w:rsid w:val="00A76BE2"/>
    <w:rsid w:val="00A77833"/>
    <w:rsid w:val="00A778A3"/>
    <w:rsid w:val="00A82CA9"/>
    <w:rsid w:val="00A86C6F"/>
    <w:rsid w:val="00A93B80"/>
    <w:rsid w:val="00A94F40"/>
    <w:rsid w:val="00AA1885"/>
    <w:rsid w:val="00AA4950"/>
    <w:rsid w:val="00AB0FF7"/>
    <w:rsid w:val="00AB2168"/>
    <w:rsid w:val="00AB4A18"/>
    <w:rsid w:val="00AB4D50"/>
    <w:rsid w:val="00AC29AA"/>
    <w:rsid w:val="00AC6B63"/>
    <w:rsid w:val="00AD530B"/>
    <w:rsid w:val="00AF06DA"/>
    <w:rsid w:val="00AF06E8"/>
    <w:rsid w:val="00AF2B6B"/>
    <w:rsid w:val="00AF4271"/>
    <w:rsid w:val="00AF5A45"/>
    <w:rsid w:val="00B01AD8"/>
    <w:rsid w:val="00B102FD"/>
    <w:rsid w:val="00B20271"/>
    <w:rsid w:val="00B22813"/>
    <w:rsid w:val="00B27A8C"/>
    <w:rsid w:val="00B307AB"/>
    <w:rsid w:val="00B35B37"/>
    <w:rsid w:val="00B41CCD"/>
    <w:rsid w:val="00B42380"/>
    <w:rsid w:val="00B424A4"/>
    <w:rsid w:val="00B43778"/>
    <w:rsid w:val="00B438C0"/>
    <w:rsid w:val="00B457FF"/>
    <w:rsid w:val="00B515DD"/>
    <w:rsid w:val="00B622A9"/>
    <w:rsid w:val="00B64551"/>
    <w:rsid w:val="00B66502"/>
    <w:rsid w:val="00B71073"/>
    <w:rsid w:val="00B81E99"/>
    <w:rsid w:val="00B8486B"/>
    <w:rsid w:val="00B924DE"/>
    <w:rsid w:val="00B92538"/>
    <w:rsid w:val="00B92BC3"/>
    <w:rsid w:val="00BA42CC"/>
    <w:rsid w:val="00BA5BE4"/>
    <w:rsid w:val="00BB23CB"/>
    <w:rsid w:val="00BC46C8"/>
    <w:rsid w:val="00BC6433"/>
    <w:rsid w:val="00BD34DF"/>
    <w:rsid w:val="00BD70FD"/>
    <w:rsid w:val="00BE0730"/>
    <w:rsid w:val="00BE202E"/>
    <w:rsid w:val="00BE2D65"/>
    <w:rsid w:val="00BE602D"/>
    <w:rsid w:val="00BE7A03"/>
    <w:rsid w:val="00BF7841"/>
    <w:rsid w:val="00C15C15"/>
    <w:rsid w:val="00C17B63"/>
    <w:rsid w:val="00C21E86"/>
    <w:rsid w:val="00C232AB"/>
    <w:rsid w:val="00C35780"/>
    <w:rsid w:val="00C4003C"/>
    <w:rsid w:val="00C57A91"/>
    <w:rsid w:val="00C62711"/>
    <w:rsid w:val="00C71491"/>
    <w:rsid w:val="00C7311C"/>
    <w:rsid w:val="00C7783E"/>
    <w:rsid w:val="00C8144A"/>
    <w:rsid w:val="00C83ADC"/>
    <w:rsid w:val="00C849E9"/>
    <w:rsid w:val="00CA4AB3"/>
    <w:rsid w:val="00CA7E90"/>
    <w:rsid w:val="00CB141B"/>
    <w:rsid w:val="00CB295C"/>
    <w:rsid w:val="00CB40C1"/>
    <w:rsid w:val="00CD1194"/>
    <w:rsid w:val="00CD69B5"/>
    <w:rsid w:val="00CE11B2"/>
    <w:rsid w:val="00CE1808"/>
    <w:rsid w:val="00CF1D7A"/>
    <w:rsid w:val="00CF1FD8"/>
    <w:rsid w:val="00CF408D"/>
    <w:rsid w:val="00D02379"/>
    <w:rsid w:val="00D07EB7"/>
    <w:rsid w:val="00D20E13"/>
    <w:rsid w:val="00D21838"/>
    <w:rsid w:val="00D26D54"/>
    <w:rsid w:val="00D35A91"/>
    <w:rsid w:val="00D36AE2"/>
    <w:rsid w:val="00D36D3D"/>
    <w:rsid w:val="00D370DD"/>
    <w:rsid w:val="00D40308"/>
    <w:rsid w:val="00D419CE"/>
    <w:rsid w:val="00D4304B"/>
    <w:rsid w:val="00D5254D"/>
    <w:rsid w:val="00D559A3"/>
    <w:rsid w:val="00D57F13"/>
    <w:rsid w:val="00D616CC"/>
    <w:rsid w:val="00D62D51"/>
    <w:rsid w:val="00D6712C"/>
    <w:rsid w:val="00D721B3"/>
    <w:rsid w:val="00D73101"/>
    <w:rsid w:val="00D747CF"/>
    <w:rsid w:val="00D75564"/>
    <w:rsid w:val="00D80F2B"/>
    <w:rsid w:val="00D8585B"/>
    <w:rsid w:val="00D86E5E"/>
    <w:rsid w:val="00D870D3"/>
    <w:rsid w:val="00D92AAE"/>
    <w:rsid w:val="00DA7534"/>
    <w:rsid w:val="00DA7DA1"/>
    <w:rsid w:val="00DB145A"/>
    <w:rsid w:val="00DB4AA9"/>
    <w:rsid w:val="00DB5769"/>
    <w:rsid w:val="00DB6E71"/>
    <w:rsid w:val="00DC05B1"/>
    <w:rsid w:val="00DC4C32"/>
    <w:rsid w:val="00DC53E5"/>
    <w:rsid w:val="00DD627D"/>
    <w:rsid w:val="00DE1494"/>
    <w:rsid w:val="00DE2334"/>
    <w:rsid w:val="00DF0292"/>
    <w:rsid w:val="00DF0F63"/>
    <w:rsid w:val="00E062B1"/>
    <w:rsid w:val="00E120E7"/>
    <w:rsid w:val="00E14DA0"/>
    <w:rsid w:val="00E1532B"/>
    <w:rsid w:val="00E158B0"/>
    <w:rsid w:val="00E22540"/>
    <w:rsid w:val="00E23EDE"/>
    <w:rsid w:val="00E34221"/>
    <w:rsid w:val="00E36DCF"/>
    <w:rsid w:val="00E45E71"/>
    <w:rsid w:val="00E45EDE"/>
    <w:rsid w:val="00E467CD"/>
    <w:rsid w:val="00E46D00"/>
    <w:rsid w:val="00E5679B"/>
    <w:rsid w:val="00E6591A"/>
    <w:rsid w:val="00E65FDF"/>
    <w:rsid w:val="00E66C8D"/>
    <w:rsid w:val="00E67E57"/>
    <w:rsid w:val="00E70554"/>
    <w:rsid w:val="00E70B4D"/>
    <w:rsid w:val="00E7181A"/>
    <w:rsid w:val="00E80F43"/>
    <w:rsid w:val="00E813EC"/>
    <w:rsid w:val="00E85E41"/>
    <w:rsid w:val="00E90462"/>
    <w:rsid w:val="00E95399"/>
    <w:rsid w:val="00E97E79"/>
    <w:rsid w:val="00EA4A8E"/>
    <w:rsid w:val="00EA4BDF"/>
    <w:rsid w:val="00EB197E"/>
    <w:rsid w:val="00EB2DC9"/>
    <w:rsid w:val="00EB405B"/>
    <w:rsid w:val="00ED3CF6"/>
    <w:rsid w:val="00ED5BA3"/>
    <w:rsid w:val="00ED5DC5"/>
    <w:rsid w:val="00EE06B9"/>
    <w:rsid w:val="00EE3F7D"/>
    <w:rsid w:val="00EF4F44"/>
    <w:rsid w:val="00F02879"/>
    <w:rsid w:val="00F048FD"/>
    <w:rsid w:val="00F15C46"/>
    <w:rsid w:val="00F20F22"/>
    <w:rsid w:val="00F24435"/>
    <w:rsid w:val="00F247C1"/>
    <w:rsid w:val="00F2770B"/>
    <w:rsid w:val="00F32C95"/>
    <w:rsid w:val="00F36F54"/>
    <w:rsid w:val="00F37C22"/>
    <w:rsid w:val="00F41956"/>
    <w:rsid w:val="00F45AA6"/>
    <w:rsid w:val="00F47B60"/>
    <w:rsid w:val="00F60A72"/>
    <w:rsid w:val="00F60E96"/>
    <w:rsid w:val="00F61021"/>
    <w:rsid w:val="00F63992"/>
    <w:rsid w:val="00F73EA7"/>
    <w:rsid w:val="00F740DC"/>
    <w:rsid w:val="00F75A6C"/>
    <w:rsid w:val="00F7654B"/>
    <w:rsid w:val="00F812E0"/>
    <w:rsid w:val="00F909D4"/>
    <w:rsid w:val="00F90D44"/>
    <w:rsid w:val="00F91842"/>
    <w:rsid w:val="00F9389B"/>
    <w:rsid w:val="00FB3FBE"/>
    <w:rsid w:val="00FB7BFC"/>
    <w:rsid w:val="00FD1B1F"/>
    <w:rsid w:val="00FD5637"/>
    <w:rsid w:val="00FD58B1"/>
    <w:rsid w:val="00FE42B9"/>
    <w:rsid w:val="00FE61B4"/>
    <w:rsid w:val="00FF1781"/>
    <w:rsid w:val="00FF48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0575"/>
    <w:rPr>
      <w:sz w:val="24"/>
      <w:szCs w:val="24"/>
    </w:rPr>
  </w:style>
  <w:style w:type="paragraph" w:styleId="Nadpis1">
    <w:name w:val="heading 1"/>
    <w:basedOn w:val="Normln"/>
    <w:next w:val="Normln"/>
    <w:qFormat/>
    <w:rsid w:val="00780575"/>
    <w:pPr>
      <w:keepNext/>
      <w:outlineLvl w:val="0"/>
    </w:pPr>
    <w:rPr>
      <w:b/>
      <w:bCs/>
      <w:lang w:eastAsia="en-US"/>
    </w:rPr>
  </w:style>
  <w:style w:type="paragraph" w:styleId="Nadpis2">
    <w:name w:val="heading 2"/>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outlineLvl w:val="1"/>
    </w:pPr>
    <w:rPr>
      <w:rFonts w:ascii="Arial" w:hAnsi="Arial"/>
      <w:i/>
      <w:iCs/>
      <w:sz w:val="20"/>
      <w:lang w:val="en-GB"/>
    </w:rPr>
  </w:style>
  <w:style w:type="paragraph" w:styleId="Nadpis3">
    <w:name w:val="heading 3"/>
    <w:basedOn w:val="Normln"/>
    <w:next w:val="Normln"/>
    <w:qFormat/>
    <w:rsid w:val="00780575"/>
    <w:pPr>
      <w:keepNext/>
      <w:jc w:val="both"/>
      <w:outlineLvl w:val="2"/>
    </w:pPr>
    <w:rPr>
      <w:rFonts w:ascii="Arial" w:hAnsi="Arial" w:cs="Arial"/>
      <w:b/>
      <w:bCs/>
      <w:i/>
      <w:iCs/>
      <w:color w:val="0000FF"/>
      <w:sz w:val="20"/>
    </w:rPr>
  </w:style>
  <w:style w:type="paragraph" w:styleId="Nadpis4">
    <w:name w:val="heading 4"/>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outlineLvl w:val="3"/>
    </w:pPr>
    <w:rPr>
      <w:rFonts w:ascii="Arial" w:hAnsi="Arial"/>
      <w:i/>
      <w:iCs/>
      <w:sz w:val="20"/>
      <w:lang w:val="en-GB"/>
    </w:rPr>
  </w:style>
  <w:style w:type="paragraph" w:styleId="Nadpis5">
    <w:name w:val="heading 5"/>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outlineLvl w:val="4"/>
    </w:pPr>
    <w:rPr>
      <w:i/>
      <w:iCs/>
      <w:lang w:val="en-GB"/>
    </w:rPr>
  </w:style>
  <w:style w:type="paragraph" w:styleId="Nadpis6">
    <w:name w:val="heading 6"/>
    <w:basedOn w:val="Normln"/>
    <w:next w:val="Normln"/>
    <w:qFormat/>
    <w:rsid w:val="00780575"/>
    <w:pPr>
      <w:keepNext/>
      <w:outlineLvl w:val="5"/>
    </w:pPr>
    <w:rPr>
      <w:rFonts w:ascii="Arial" w:hAnsi="Arial" w:cs="Arial"/>
      <w:i/>
      <w:iCs/>
      <w:lang w:val="en-GB"/>
    </w:rPr>
  </w:style>
  <w:style w:type="paragraph" w:styleId="Nadpis7">
    <w:name w:val="heading 7"/>
    <w:basedOn w:val="Normln"/>
    <w:next w:val="Normln"/>
    <w:qFormat/>
    <w:rsid w:val="00780575"/>
    <w:pPr>
      <w:keepNext/>
      <w:outlineLvl w:val="6"/>
    </w:pPr>
    <w:rPr>
      <w:rFonts w:ascii="Arial" w:hAnsi="Arial" w:cs="Arial"/>
      <w:i/>
      <w:iCs/>
      <w:color w:val="0000FF"/>
      <w:sz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80575"/>
    <w:pPr>
      <w:tabs>
        <w:tab w:val="center" w:pos="4536"/>
        <w:tab w:val="right" w:pos="9072"/>
      </w:tabs>
    </w:pPr>
  </w:style>
  <w:style w:type="paragraph" w:styleId="Zpat">
    <w:name w:val="footer"/>
    <w:basedOn w:val="Normln"/>
    <w:link w:val="ZpatChar"/>
    <w:uiPriority w:val="99"/>
    <w:rsid w:val="00780575"/>
    <w:pPr>
      <w:tabs>
        <w:tab w:val="center" w:pos="4536"/>
        <w:tab w:val="right" w:pos="9072"/>
      </w:tabs>
    </w:pPr>
  </w:style>
  <w:style w:type="paragraph" w:styleId="Nzev">
    <w:name w:val="Title"/>
    <w:basedOn w:val="Normln"/>
    <w:qFormat/>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center"/>
    </w:pPr>
    <w:rPr>
      <w:rFonts w:ascii="Arial" w:hAnsi="Arial"/>
      <w:b/>
      <w:sz w:val="28"/>
    </w:rPr>
  </w:style>
  <w:style w:type="paragraph" w:styleId="Zkladntext">
    <w:name w:val="Body Text"/>
    <w:basedOn w:val="Normln"/>
    <w:link w:val="ZkladntextChar"/>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both"/>
    </w:pPr>
    <w:rPr>
      <w:rFonts w:ascii="Arial" w:hAnsi="Arial"/>
      <w:sz w:val="22"/>
    </w:rPr>
  </w:style>
  <w:style w:type="paragraph" w:customStyle="1" w:styleId="titulek1">
    <w:name w:val="titulek1"/>
    <w:basedOn w:val="Norml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before="280" w:after="118"/>
      <w:jc w:val="both"/>
    </w:pPr>
    <w:rPr>
      <w:rFonts w:ascii="Arial" w:hAnsi="Arial"/>
      <w:b/>
    </w:rPr>
  </w:style>
  <w:style w:type="paragraph" w:styleId="Zkladntextodsazen">
    <w:name w:val="Body Text Indent"/>
    <w:basedOn w:val="Normln"/>
    <w:semiHidden/>
    <w:rsid w:val="00780575"/>
    <w:pPr>
      <w:ind w:left="360"/>
      <w:jc w:val="both"/>
    </w:pPr>
    <w:rPr>
      <w:rFonts w:ascii="Arial" w:hAnsi="Arial" w:cs="Arial"/>
      <w:sz w:val="22"/>
    </w:rPr>
  </w:style>
  <w:style w:type="paragraph" w:customStyle="1" w:styleId="titulek2">
    <w:name w:val="titulek2"/>
    <w:basedOn w:val="titulek1"/>
    <w:rsid w:val="00780575"/>
    <w:rPr>
      <w:sz w:val="22"/>
    </w:rPr>
  </w:style>
  <w:style w:type="paragraph" w:styleId="Zkladntextodsazen2">
    <w:name w:val="Body Text Inden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ind w:left="357" w:hanging="357"/>
      <w:jc w:val="both"/>
    </w:pPr>
    <w:rPr>
      <w:rFonts w:ascii="Arial" w:hAnsi="Arial" w:cs="Arial"/>
      <w:sz w:val="22"/>
    </w:rPr>
  </w:style>
  <w:style w:type="character" w:styleId="slostrnky">
    <w:name w:val="page number"/>
    <w:basedOn w:val="Standardnpsmoodstavce"/>
    <w:semiHidden/>
    <w:rsid w:val="00780575"/>
  </w:style>
  <w:style w:type="paragraph" w:styleId="Zkladntext2">
    <w:name w:val="Body Tex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29"/>
      <w:jc w:val="both"/>
    </w:pPr>
  </w:style>
  <w:style w:type="paragraph" w:styleId="Zkladntext3">
    <w:name w:val="Body Text 3"/>
    <w:basedOn w:val="Normln"/>
    <w:semiHidden/>
    <w:rsid w:val="00780575"/>
    <w:rPr>
      <w:rFonts w:ascii="Arial" w:hAnsi="Arial" w:cs="Arial"/>
      <w:sz w:val="22"/>
    </w:rPr>
  </w:style>
  <w:style w:type="paragraph" w:styleId="Normlnweb">
    <w:name w:val="Normal (Web)"/>
    <w:basedOn w:val="Normln"/>
    <w:uiPriority w:val="99"/>
    <w:rsid w:val="00780575"/>
    <w:pPr>
      <w:spacing w:before="100" w:beforeAutospacing="1" w:after="100" w:afterAutospacing="1"/>
    </w:pPr>
    <w:rPr>
      <w:color w:val="000000"/>
    </w:rPr>
  </w:style>
  <w:style w:type="paragraph" w:styleId="Zkladntextodsazen3">
    <w:name w:val="Body Text Indent 3"/>
    <w:basedOn w:val="Normln"/>
    <w:semiHidden/>
    <w:rsid w:val="00780575"/>
    <w:pPr>
      <w:spacing w:after="118"/>
      <w:ind w:firstLine="425"/>
      <w:jc w:val="both"/>
    </w:pPr>
    <w:rPr>
      <w:rFonts w:ascii="Arial" w:hAnsi="Arial" w:cs="Arial"/>
      <w:sz w:val="22"/>
    </w:rPr>
  </w:style>
  <w:style w:type="character" w:styleId="Hypertextovodkaz">
    <w:name w:val="Hyperlink"/>
    <w:basedOn w:val="Standardnpsmoodstavce"/>
    <w:semiHidden/>
    <w:rsid w:val="00780575"/>
    <w:rPr>
      <w:color w:val="0000FF"/>
      <w:u w:val="single"/>
    </w:rPr>
  </w:style>
  <w:style w:type="character" w:styleId="Sledovanodkaz">
    <w:name w:val="FollowedHyperlink"/>
    <w:basedOn w:val="Standardnpsmoodstavce"/>
    <w:semiHidden/>
    <w:rsid w:val="00780575"/>
    <w:rPr>
      <w:color w:val="800080"/>
      <w:u w:val="single"/>
    </w:rPr>
  </w:style>
  <w:style w:type="paragraph" w:styleId="Textpoznpodarou">
    <w:name w:val="footnote text"/>
    <w:basedOn w:val="Normln"/>
    <w:semiHidden/>
    <w:rsid w:val="00780575"/>
    <w:rPr>
      <w:rFonts w:ascii="Arial" w:hAnsi="Arial"/>
      <w:sz w:val="20"/>
      <w:szCs w:val="20"/>
    </w:rPr>
  </w:style>
  <w:style w:type="character" w:styleId="Odkaznakoment">
    <w:name w:val="annotation reference"/>
    <w:basedOn w:val="Standardnpsmoodstavce"/>
    <w:semiHidden/>
    <w:rsid w:val="00780575"/>
    <w:rPr>
      <w:sz w:val="16"/>
      <w:szCs w:val="16"/>
    </w:rPr>
  </w:style>
  <w:style w:type="paragraph" w:styleId="Textkomente">
    <w:name w:val="annotation text"/>
    <w:basedOn w:val="Normln"/>
    <w:semiHidden/>
    <w:rsid w:val="00780575"/>
    <w:rPr>
      <w:rFonts w:ascii="Arial" w:hAnsi="Arial"/>
      <w:sz w:val="20"/>
      <w:szCs w:val="20"/>
    </w:rPr>
  </w:style>
  <w:style w:type="character" w:customStyle="1" w:styleId="ZkladntextChar">
    <w:name w:val="Základní text Char"/>
    <w:basedOn w:val="Standardnpsmoodstavce"/>
    <w:link w:val="Zkladntext"/>
    <w:semiHidden/>
    <w:rsid w:val="00D36D3D"/>
    <w:rPr>
      <w:rFonts w:ascii="Arial" w:hAnsi="Arial"/>
      <w:sz w:val="22"/>
      <w:szCs w:val="24"/>
    </w:rPr>
  </w:style>
  <w:style w:type="paragraph" w:styleId="Podtitul">
    <w:name w:val="Subtitle"/>
    <w:basedOn w:val="Normln"/>
    <w:link w:val="PodtitulChar"/>
    <w:qFormat/>
    <w:rsid w:val="005576FE"/>
    <w:pPr>
      <w:jc w:val="center"/>
    </w:pPr>
    <w:rPr>
      <w:rFonts w:ascii="Arial" w:hAnsi="Arial" w:cs="Arial"/>
      <w:sz w:val="28"/>
    </w:rPr>
  </w:style>
  <w:style w:type="character" w:customStyle="1" w:styleId="PodtitulChar">
    <w:name w:val="Podtitul Char"/>
    <w:basedOn w:val="Standardnpsmoodstavce"/>
    <w:link w:val="Podtitul"/>
    <w:rsid w:val="005576FE"/>
    <w:rPr>
      <w:rFonts w:ascii="Arial" w:hAnsi="Arial" w:cs="Arial"/>
      <w:sz w:val="28"/>
      <w:szCs w:val="24"/>
    </w:rPr>
  </w:style>
  <w:style w:type="paragraph" w:customStyle="1" w:styleId="Zkladntextodsazen1">
    <w:name w:val="Základní text odsazený1"/>
    <w:basedOn w:val="Normln"/>
    <w:rsid w:val="00075866"/>
    <w:pPr>
      <w:spacing w:after="120"/>
      <w:ind w:left="283"/>
    </w:pPr>
  </w:style>
  <w:style w:type="character" w:customStyle="1" w:styleId="hps">
    <w:name w:val="hps"/>
    <w:basedOn w:val="Standardnpsmoodstavce"/>
    <w:rsid w:val="008D689C"/>
  </w:style>
  <w:style w:type="paragraph" w:styleId="Textbubliny">
    <w:name w:val="Balloon Text"/>
    <w:basedOn w:val="Normln"/>
    <w:link w:val="TextbublinyChar"/>
    <w:uiPriority w:val="99"/>
    <w:semiHidden/>
    <w:unhideWhenUsed/>
    <w:rsid w:val="004E2920"/>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4E2920"/>
    <w:rPr>
      <w:rFonts w:ascii="Tahoma" w:hAnsi="Tahoma" w:cs="Tahoma"/>
      <w:sz w:val="16"/>
      <w:szCs w:val="16"/>
      <w:lang w:eastAsia="en-US"/>
    </w:rPr>
  </w:style>
  <w:style w:type="paragraph" w:customStyle="1" w:styleId="Zkladntextodsazen10">
    <w:name w:val="Základní text odsazený1"/>
    <w:basedOn w:val="Normln"/>
    <w:rsid w:val="00C15C15"/>
    <w:pPr>
      <w:spacing w:after="120"/>
      <w:ind w:left="283"/>
    </w:pPr>
  </w:style>
  <w:style w:type="character" w:customStyle="1" w:styleId="ZpatChar">
    <w:name w:val="Zápatí Char"/>
    <w:basedOn w:val="Standardnpsmoodstavce"/>
    <w:link w:val="Zpat"/>
    <w:uiPriority w:val="99"/>
    <w:rsid w:val="005032E3"/>
    <w:rPr>
      <w:sz w:val="24"/>
      <w:szCs w:val="24"/>
    </w:rPr>
  </w:style>
  <w:style w:type="character" w:styleId="Siln">
    <w:name w:val="Strong"/>
    <w:basedOn w:val="Standardnpsmoodstavce"/>
    <w:uiPriority w:val="22"/>
    <w:qFormat/>
    <w:rsid w:val="00940392"/>
    <w:rPr>
      <w:b/>
      <w:bCs/>
    </w:rPr>
  </w:style>
  <w:style w:type="paragraph" w:customStyle="1" w:styleId="Rbntext">
    <w:name w:val="R běžný text"/>
    <w:rsid w:val="00714640"/>
    <w:pPr>
      <w:spacing w:before="120"/>
      <w:jc w:val="both"/>
    </w:pPr>
    <w:rPr>
      <w:rFonts w:ascii="Arial" w:hAnsi="Arial"/>
    </w:rPr>
  </w:style>
  <w:style w:type="paragraph" w:customStyle="1" w:styleId="Nadpis20">
    <w:name w:val="Nadpis2"/>
    <w:basedOn w:val="Normln"/>
    <w:next w:val="Normln"/>
    <w:rsid w:val="00714640"/>
    <w:pPr>
      <w:spacing w:before="120"/>
      <w:jc w:val="both"/>
    </w:pPr>
    <w:rPr>
      <w:rFonts w:ascii="Arial" w:hAnsi="Arial"/>
      <w:b/>
      <w:sz w:val="20"/>
    </w:rPr>
  </w:style>
  <w:style w:type="paragraph" w:styleId="Odstavecseseznamem">
    <w:name w:val="List Paragraph"/>
    <w:basedOn w:val="Normln"/>
    <w:uiPriority w:val="34"/>
    <w:qFormat/>
    <w:rsid w:val="00D8585B"/>
    <w:pPr>
      <w:ind w:left="720"/>
      <w:contextualSpacing/>
    </w:pPr>
  </w:style>
</w:styles>
</file>

<file path=word/webSettings.xml><?xml version="1.0" encoding="utf-8"?>
<w:webSettings xmlns:r="http://schemas.openxmlformats.org/officeDocument/2006/relationships" xmlns:w="http://schemas.openxmlformats.org/wordprocessingml/2006/main">
  <w:divs>
    <w:div w:id="1423645210">
      <w:bodyDiv w:val="1"/>
      <w:marLeft w:val="48"/>
      <w:marRight w:val="48"/>
      <w:marTop w:val="48"/>
      <w:marBottom w:val="12"/>
      <w:divBdr>
        <w:top w:val="none" w:sz="0" w:space="0" w:color="auto"/>
        <w:left w:val="none" w:sz="0" w:space="0" w:color="auto"/>
        <w:bottom w:val="none" w:sz="0" w:space="0" w:color="auto"/>
        <w:right w:val="none" w:sz="0" w:space="0" w:color="auto"/>
      </w:divBdr>
      <w:divsChild>
        <w:div w:id="739718777">
          <w:marLeft w:val="0"/>
          <w:marRight w:val="0"/>
          <w:marTop w:val="0"/>
          <w:marBottom w:val="0"/>
          <w:divBdr>
            <w:top w:val="none" w:sz="0" w:space="0" w:color="auto"/>
            <w:left w:val="none" w:sz="0" w:space="0" w:color="auto"/>
            <w:bottom w:val="none" w:sz="0" w:space="0" w:color="auto"/>
            <w:right w:val="none" w:sz="0" w:space="0" w:color="auto"/>
          </w:divBdr>
          <w:divsChild>
            <w:div w:id="108477928">
              <w:marLeft w:val="0"/>
              <w:marRight w:val="0"/>
              <w:marTop w:val="0"/>
              <w:marBottom w:val="0"/>
              <w:divBdr>
                <w:top w:val="none" w:sz="0" w:space="0" w:color="auto"/>
                <w:left w:val="none" w:sz="0" w:space="0" w:color="auto"/>
                <w:bottom w:val="none" w:sz="0" w:space="0" w:color="auto"/>
                <w:right w:val="none" w:sz="0" w:space="0" w:color="auto"/>
              </w:divBdr>
            </w:div>
            <w:div w:id="432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4312">
      <w:bodyDiv w:val="1"/>
      <w:marLeft w:val="48"/>
      <w:marRight w:val="48"/>
      <w:marTop w:val="48"/>
      <w:marBottom w:val="12"/>
      <w:divBdr>
        <w:top w:val="none" w:sz="0" w:space="0" w:color="auto"/>
        <w:left w:val="none" w:sz="0" w:space="0" w:color="auto"/>
        <w:bottom w:val="none" w:sz="0" w:space="0" w:color="auto"/>
        <w:right w:val="none" w:sz="0" w:space="0" w:color="auto"/>
      </w:divBdr>
      <w:divsChild>
        <w:div w:id="155730164">
          <w:marLeft w:val="0"/>
          <w:marRight w:val="0"/>
          <w:marTop w:val="0"/>
          <w:marBottom w:val="0"/>
          <w:divBdr>
            <w:top w:val="none" w:sz="0" w:space="0" w:color="auto"/>
            <w:left w:val="none" w:sz="0" w:space="0" w:color="auto"/>
            <w:bottom w:val="none" w:sz="0" w:space="0" w:color="auto"/>
            <w:right w:val="none" w:sz="0" w:space="0" w:color="auto"/>
          </w:divBdr>
          <w:divsChild>
            <w:div w:id="1628005803">
              <w:marLeft w:val="0"/>
              <w:marRight w:val="0"/>
              <w:marTop w:val="0"/>
              <w:marBottom w:val="0"/>
              <w:divBdr>
                <w:top w:val="none" w:sz="0" w:space="0" w:color="auto"/>
                <w:left w:val="none" w:sz="0" w:space="0" w:color="auto"/>
                <w:bottom w:val="none" w:sz="0" w:space="0" w:color="auto"/>
                <w:right w:val="none" w:sz="0" w:space="0" w:color="auto"/>
              </w:divBdr>
            </w:div>
            <w:div w:id="20233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prumysl_metodika" TargetMode="Externa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08F6F-A774-4488-AFD4-AB1820E5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7128</Words>
  <Characters>42062</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49092</CharactersWithSpaces>
  <SharedDoc>false</SharedDoc>
  <HLinks>
    <vt:vector size="12" baseType="variant">
      <vt:variant>
        <vt:i4>393279</vt:i4>
      </vt:variant>
      <vt:variant>
        <vt:i4>10</vt:i4>
      </vt:variant>
      <vt:variant>
        <vt:i4>0</vt:i4>
      </vt:variant>
      <vt:variant>
        <vt:i4>5</vt:i4>
      </vt:variant>
      <vt:variant>
        <vt:lpwstr>http://www.czso.cz/csu/redakce.nsf/i/prumysl_metodika</vt:lpwstr>
      </vt:variant>
      <vt:variant>
        <vt:lpwstr/>
      </vt:variant>
      <vt:variant>
        <vt:i4>65577</vt:i4>
      </vt:variant>
      <vt:variant>
        <vt:i4>8</vt:i4>
      </vt:variant>
      <vt:variant>
        <vt:i4>0</vt:i4>
      </vt:variant>
      <vt:variant>
        <vt:i4>5</vt:i4>
      </vt:variant>
      <vt:variant>
        <vt:lpwstr>http://www.czso.cz/csu/redakce.nsf/i/prumysl_zuks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creator>Josef Neckář</dc:creator>
  <cp:lastModifiedBy>palivcova5849</cp:lastModifiedBy>
  <cp:revision>3</cp:revision>
  <cp:lastPrinted>2015-06-18T10:19:00Z</cp:lastPrinted>
  <dcterms:created xsi:type="dcterms:W3CDTF">2015-12-16T09:04:00Z</dcterms:created>
  <dcterms:modified xsi:type="dcterms:W3CDTF">2015-12-16T09:09:00Z</dcterms:modified>
</cp:coreProperties>
</file>