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8115" w14:textId="04135B85" w:rsidR="00867569" w:rsidRPr="00E17DC9" w:rsidRDefault="00312CC1" w:rsidP="00E42E00">
      <w:pPr>
        <w:pStyle w:val="Datum"/>
      </w:pPr>
      <w:r>
        <w:t>2</w:t>
      </w:r>
      <w:r w:rsidR="00BE7435">
        <w:t>1</w:t>
      </w:r>
      <w:r w:rsidR="00F03815" w:rsidRPr="00E17DC9">
        <w:t>. </w:t>
      </w:r>
      <w:r w:rsidR="00BE7435">
        <w:t>ledna</w:t>
      </w:r>
      <w:r w:rsidR="003F1366">
        <w:t xml:space="preserve"> </w:t>
      </w:r>
      <w:r w:rsidR="007F6239" w:rsidRPr="00E17DC9">
        <w:t>202</w:t>
      </w:r>
      <w:r w:rsidR="00BE7435">
        <w:t>6</w:t>
      </w:r>
    </w:p>
    <w:p w14:paraId="6D0ECC95" w14:textId="38E8675B" w:rsidR="00867569" w:rsidRPr="00E17DC9" w:rsidRDefault="000B7652" w:rsidP="00634C34">
      <w:pPr>
        <w:pStyle w:val="Nzev"/>
        <w:spacing w:before="120" w:after="120"/>
      </w:pPr>
      <w:r w:rsidRPr="00E17DC9">
        <w:t>Analýza sektorových účtů</w:t>
      </w:r>
      <w:r w:rsidR="00FF04D9" w:rsidRPr="00E17DC9">
        <w:t> </w:t>
      </w:r>
      <w:r w:rsidR="00FB7E0F" w:rsidRPr="00E17DC9">
        <w:t>–</w:t>
      </w:r>
      <w:r w:rsidR="00FF04D9" w:rsidRPr="00E17DC9">
        <w:t xml:space="preserve"> </w:t>
      </w:r>
      <w:r w:rsidR="00BE7435">
        <w:t>3</w:t>
      </w:r>
      <w:r w:rsidRPr="00E17DC9">
        <w:t>.</w:t>
      </w:r>
      <w:r w:rsidR="00F03815" w:rsidRPr="00E17DC9">
        <w:t> čtvrtlet</w:t>
      </w:r>
      <w:r w:rsidRPr="00E17DC9">
        <w:t>í 202</w:t>
      </w:r>
      <w:r w:rsidR="00E9280F">
        <w:t>5</w:t>
      </w:r>
    </w:p>
    <w:p w14:paraId="05BE9CAC" w14:textId="70EB89BE" w:rsidR="008F6AD8" w:rsidRDefault="005F157E" w:rsidP="000302A6">
      <w:pPr>
        <w:pStyle w:val="Nadpis1"/>
        <w:spacing w:after="120"/>
      </w:pPr>
      <w:r>
        <w:t xml:space="preserve">Základní ekonomické tendence </w:t>
      </w:r>
    </w:p>
    <w:p w14:paraId="6E485E9E" w14:textId="4F4ECE19" w:rsidR="00FF15EB" w:rsidRPr="004274E8" w:rsidRDefault="0014674D" w:rsidP="006F321E">
      <w:pPr>
        <w:spacing w:after="120"/>
        <w:rPr>
          <w:spacing w:val="-2"/>
        </w:rPr>
      </w:pPr>
      <w:r>
        <w:rPr>
          <w:spacing w:val="-2"/>
        </w:rPr>
        <w:t>R</w:t>
      </w:r>
      <w:r w:rsidR="000E42C9">
        <w:rPr>
          <w:spacing w:val="-2"/>
        </w:rPr>
        <w:t xml:space="preserve">ůst české ekonomiky </w:t>
      </w:r>
      <w:r>
        <w:rPr>
          <w:spacing w:val="-2"/>
        </w:rPr>
        <w:t xml:space="preserve">pokračoval </w:t>
      </w:r>
      <w:r w:rsidR="000E42C9">
        <w:rPr>
          <w:spacing w:val="-2"/>
        </w:rPr>
        <w:t>v</w:t>
      </w:r>
      <w:r>
        <w:rPr>
          <w:spacing w:val="-2"/>
        </w:rPr>
        <w:t>e</w:t>
      </w:r>
      <w:r w:rsidR="000E42C9">
        <w:rPr>
          <w:spacing w:val="-2"/>
        </w:rPr>
        <w:t> </w:t>
      </w:r>
      <w:r w:rsidR="00E7119E">
        <w:rPr>
          <w:spacing w:val="-2"/>
        </w:rPr>
        <w:t>3</w:t>
      </w:r>
      <w:r w:rsidR="00E4610F">
        <w:rPr>
          <w:spacing w:val="-2"/>
        </w:rPr>
        <w:t xml:space="preserve">. čtvrtletí 2025 </w:t>
      </w:r>
      <w:r w:rsidR="005A4C98">
        <w:rPr>
          <w:spacing w:val="-2"/>
        </w:rPr>
        <w:t>podobn</w:t>
      </w:r>
      <w:r>
        <w:rPr>
          <w:spacing w:val="-2"/>
        </w:rPr>
        <w:t xml:space="preserve">ě </w:t>
      </w:r>
      <w:r w:rsidR="004E6682">
        <w:rPr>
          <w:spacing w:val="-2"/>
        </w:rPr>
        <w:t xml:space="preserve">dynamickým </w:t>
      </w:r>
      <w:r>
        <w:rPr>
          <w:spacing w:val="-2"/>
        </w:rPr>
        <w:t>tempem</w:t>
      </w:r>
      <w:r w:rsidR="005A4C98">
        <w:rPr>
          <w:spacing w:val="-2"/>
        </w:rPr>
        <w:t xml:space="preserve"> </w:t>
      </w:r>
      <w:r w:rsidR="004E6682">
        <w:rPr>
          <w:spacing w:val="-2"/>
        </w:rPr>
        <w:t>jako v</w:t>
      </w:r>
      <w:r w:rsidR="00E7119E">
        <w:rPr>
          <w:spacing w:val="-2"/>
        </w:rPr>
        <w:t> </w:t>
      </w:r>
      <w:r w:rsidR="00E4610F">
        <w:rPr>
          <w:spacing w:val="-2"/>
        </w:rPr>
        <w:t>předchozí</w:t>
      </w:r>
      <w:r w:rsidR="00E7119E">
        <w:rPr>
          <w:spacing w:val="-2"/>
        </w:rPr>
        <w:t>ch dvou čtvrtletích roku</w:t>
      </w:r>
      <w:r w:rsidR="00E4610F">
        <w:rPr>
          <w:spacing w:val="-2"/>
        </w:rPr>
        <w:t>. H</w:t>
      </w:r>
      <w:r w:rsidR="00E4610F" w:rsidRPr="00494F60">
        <w:rPr>
          <w:spacing w:val="-2"/>
        </w:rPr>
        <w:t xml:space="preserve">rubý domácí produkt (HDP) </w:t>
      </w:r>
      <w:r w:rsidR="00E4610F">
        <w:rPr>
          <w:spacing w:val="-2"/>
        </w:rPr>
        <w:t xml:space="preserve">vzrostl oproti předchozímu čtvrtletí </w:t>
      </w:r>
      <w:r w:rsidR="00E4610F" w:rsidRPr="00494F60">
        <w:rPr>
          <w:spacing w:val="-2"/>
        </w:rPr>
        <w:t>o 0,</w:t>
      </w:r>
      <w:r w:rsidR="00E7119E">
        <w:rPr>
          <w:spacing w:val="-2"/>
        </w:rPr>
        <w:t>8</w:t>
      </w:r>
      <w:r w:rsidR="00E4610F" w:rsidRPr="00494F60">
        <w:rPr>
          <w:spacing w:val="-2"/>
        </w:rPr>
        <w:t> %</w:t>
      </w:r>
      <w:r w:rsidR="00E4610F" w:rsidRPr="00E4610F">
        <w:rPr>
          <w:spacing w:val="-2"/>
          <w:vertAlign w:val="superscript"/>
        </w:rPr>
        <w:t>1</w:t>
      </w:r>
      <w:r w:rsidR="00E4610F">
        <w:rPr>
          <w:spacing w:val="-2"/>
        </w:rPr>
        <w:t>. Meziročně byl HDP</w:t>
      </w:r>
      <w:r w:rsidR="00DA7692" w:rsidRPr="00494F60">
        <w:rPr>
          <w:spacing w:val="-2"/>
        </w:rPr>
        <w:t> o </w:t>
      </w:r>
      <w:r w:rsidR="00973777">
        <w:rPr>
          <w:spacing w:val="-2"/>
        </w:rPr>
        <w:t>2,</w:t>
      </w:r>
      <w:r w:rsidR="00E7119E">
        <w:rPr>
          <w:spacing w:val="-2"/>
        </w:rPr>
        <w:t>8</w:t>
      </w:r>
      <w:r w:rsidR="00BD66B4">
        <w:rPr>
          <w:spacing w:val="-2"/>
        </w:rPr>
        <w:t> </w:t>
      </w:r>
      <w:r w:rsidR="00267604" w:rsidRPr="00494F60">
        <w:rPr>
          <w:spacing w:val="-2"/>
        </w:rPr>
        <w:t>%</w:t>
      </w:r>
      <w:r w:rsidR="00E4610F" w:rsidRPr="00494F60">
        <w:rPr>
          <w:rStyle w:val="Znakapoznpodarou"/>
          <w:spacing w:val="-2"/>
        </w:rPr>
        <w:footnoteReference w:id="1"/>
      </w:r>
      <w:r w:rsidR="00267604" w:rsidRPr="00494F60">
        <w:rPr>
          <w:spacing w:val="-2"/>
        </w:rPr>
        <w:t xml:space="preserve"> </w:t>
      </w:r>
      <w:r w:rsidR="00003202" w:rsidRPr="00494F60">
        <w:rPr>
          <w:spacing w:val="-2"/>
        </w:rPr>
        <w:t>vyšší</w:t>
      </w:r>
      <w:r w:rsidR="00267604" w:rsidRPr="00494F60">
        <w:rPr>
          <w:spacing w:val="-2"/>
        </w:rPr>
        <w:t xml:space="preserve">. </w:t>
      </w:r>
      <w:r w:rsidR="00E7119E">
        <w:rPr>
          <w:spacing w:val="-2"/>
        </w:rPr>
        <w:t>Podobně jako v předchozích čtvrtletích byl m</w:t>
      </w:r>
      <w:r w:rsidR="004E6682">
        <w:rPr>
          <w:spacing w:val="-2"/>
        </w:rPr>
        <w:t>eziroční</w:t>
      </w:r>
      <w:r w:rsidR="00CB79D1">
        <w:rPr>
          <w:spacing w:val="-2"/>
        </w:rPr>
        <w:t xml:space="preserve"> r</w:t>
      </w:r>
      <w:r w:rsidR="00AB52F2">
        <w:rPr>
          <w:spacing w:val="-2"/>
        </w:rPr>
        <w:t>ůst ekonomiky</w:t>
      </w:r>
      <w:r w:rsidR="004E6682">
        <w:rPr>
          <w:spacing w:val="-2"/>
        </w:rPr>
        <w:t xml:space="preserve"> </w:t>
      </w:r>
      <w:r w:rsidR="00512A14">
        <w:rPr>
          <w:spacing w:val="-2"/>
        </w:rPr>
        <w:t xml:space="preserve">tažen </w:t>
      </w:r>
      <w:r w:rsidR="00484B07">
        <w:rPr>
          <w:spacing w:val="-2"/>
        </w:rPr>
        <w:t>domácí</w:t>
      </w:r>
      <w:r w:rsidR="00982BFC">
        <w:rPr>
          <w:rStyle w:val="Znakapoznpodarou"/>
          <w:spacing w:val="-2"/>
        </w:rPr>
        <w:footnoteReference w:id="2"/>
      </w:r>
      <w:r w:rsidR="00484B07">
        <w:rPr>
          <w:spacing w:val="-2"/>
        </w:rPr>
        <w:t xml:space="preserve"> i zahraniční poptávkou. </w:t>
      </w:r>
      <w:r w:rsidR="00783040" w:rsidRPr="001B28DE">
        <w:rPr>
          <w:spacing w:val="-2"/>
        </w:rPr>
        <w:t>Mezičtvrtletně byl růst</w:t>
      </w:r>
      <w:r w:rsidR="002E4764" w:rsidRPr="001B28DE">
        <w:rPr>
          <w:spacing w:val="-2"/>
        </w:rPr>
        <w:t xml:space="preserve"> česk</w:t>
      </w:r>
      <w:r w:rsidR="00783040" w:rsidRPr="001B28DE">
        <w:rPr>
          <w:spacing w:val="-2"/>
        </w:rPr>
        <w:t>é</w:t>
      </w:r>
      <w:r w:rsidR="002E4764" w:rsidRPr="001B28DE">
        <w:rPr>
          <w:spacing w:val="-2"/>
        </w:rPr>
        <w:t xml:space="preserve"> ekonomik</w:t>
      </w:r>
      <w:r w:rsidR="00783040" w:rsidRPr="001B28DE">
        <w:rPr>
          <w:spacing w:val="-2"/>
        </w:rPr>
        <w:t>y</w:t>
      </w:r>
      <w:r w:rsidR="002E4764" w:rsidRPr="001B28DE">
        <w:rPr>
          <w:spacing w:val="-2"/>
        </w:rPr>
        <w:t xml:space="preserve"> podpořen </w:t>
      </w:r>
      <w:r w:rsidR="004E6682">
        <w:rPr>
          <w:spacing w:val="-2"/>
        </w:rPr>
        <w:t xml:space="preserve">především </w:t>
      </w:r>
      <w:r w:rsidR="00982BFC">
        <w:rPr>
          <w:spacing w:val="-2"/>
        </w:rPr>
        <w:t>zahraniční poptávkou, podpořenou pokračujícím mírným růstem spotřeby domácností</w:t>
      </w:r>
      <w:r w:rsidR="00783040" w:rsidRPr="00F70EB9">
        <w:rPr>
          <w:spacing w:val="-2"/>
        </w:rPr>
        <w:t>.</w:t>
      </w:r>
      <w:r w:rsidR="002E4764" w:rsidRPr="00F70EB9">
        <w:rPr>
          <w:spacing w:val="-2"/>
        </w:rPr>
        <w:t xml:space="preserve"> </w:t>
      </w:r>
      <w:r w:rsidR="00EF4FE3" w:rsidRPr="00F70EB9">
        <w:t xml:space="preserve">Meziroční růst </w:t>
      </w:r>
      <w:r w:rsidR="00030506">
        <w:t>domácí i zahraniční spotřeby</w:t>
      </w:r>
      <w:r w:rsidR="001B28DE" w:rsidRPr="00F70EB9">
        <w:t xml:space="preserve"> </w:t>
      </w:r>
      <w:r w:rsidR="00EF4FE3" w:rsidRPr="00F70EB9">
        <w:t xml:space="preserve">se </w:t>
      </w:r>
      <w:r w:rsidR="00634C34" w:rsidRPr="00F70EB9">
        <w:rPr>
          <w:spacing w:val="-2"/>
        </w:rPr>
        <w:t>pro</w:t>
      </w:r>
      <w:r w:rsidR="00EF4FE3" w:rsidRPr="00F70EB9">
        <w:rPr>
          <w:spacing w:val="-2"/>
        </w:rPr>
        <w:t xml:space="preserve">jevil </w:t>
      </w:r>
      <w:r w:rsidR="00030506">
        <w:rPr>
          <w:spacing w:val="-2"/>
        </w:rPr>
        <w:t xml:space="preserve">růstem přidané hodnoty napříč téměř všemi odvětvími, zejména ve stavebnictví a </w:t>
      </w:r>
      <w:r w:rsidR="004E6682">
        <w:rPr>
          <w:spacing w:val="-2"/>
        </w:rPr>
        <w:t>ve službách</w:t>
      </w:r>
      <w:r w:rsidR="007D4587">
        <w:rPr>
          <w:spacing w:val="-2"/>
        </w:rPr>
        <w:t xml:space="preserve">, např. </w:t>
      </w:r>
      <w:r w:rsidR="00634C34" w:rsidRPr="00F70EB9">
        <w:rPr>
          <w:spacing w:val="-2"/>
        </w:rPr>
        <w:t>v</w:t>
      </w:r>
      <w:r w:rsidR="007D4587">
        <w:rPr>
          <w:spacing w:val="-2"/>
        </w:rPr>
        <w:t> </w:t>
      </w:r>
      <w:r w:rsidR="00634C34" w:rsidRPr="00F70EB9">
        <w:rPr>
          <w:spacing w:val="-2"/>
        </w:rPr>
        <w:t>obchodě</w:t>
      </w:r>
      <w:r w:rsidR="007D4587">
        <w:rPr>
          <w:spacing w:val="-2"/>
        </w:rPr>
        <w:t xml:space="preserve"> a </w:t>
      </w:r>
      <w:r w:rsidR="00634C34" w:rsidRPr="00F70EB9">
        <w:rPr>
          <w:spacing w:val="-2"/>
        </w:rPr>
        <w:t>dopravě</w:t>
      </w:r>
      <w:r w:rsidR="007D4587">
        <w:rPr>
          <w:spacing w:val="-2"/>
        </w:rPr>
        <w:t>. Zpracovatelský průmysl rostl v porovnání s celou ekonomikou jen velmi mírně, spíše stagnoval.</w:t>
      </w:r>
      <w:r w:rsidR="00F70EB9" w:rsidRPr="00F70EB9">
        <w:rPr>
          <w:spacing w:val="-2"/>
        </w:rPr>
        <w:t xml:space="preserve"> </w:t>
      </w:r>
    </w:p>
    <w:p w14:paraId="5C276041" w14:textId="46AD6638" w:rsidR="008F6AD8" w:rsidRDefault="008F6AD8" w:rsidP="00837EF5">
      <w:pPr>
        <w:pStyle w:val="TabulkaGraf"/>
        <w:keepNext/>
        <w:spacing w:before="60"/>
        <w:jc w:val="both"/>
      </w:pPr>
      <w:r w:rsidRPr="00F4754F">
        <w:t xml:space="preserve">Graf 1: </w:t>
      </w:r>
      <w:r>
        <w:t>Příspěvky</w:t>
      </w:r>
      <w:r w:rsidR="00994B5B" w:rsidRPr="00994B5B">
        <w:rPr>
          <w:rStyle w:val="Znakapoznpodarou"/>
          <w:b w:val="0"/>
        </w:rPr>
        <w:footnoteReference w:id="3"/>
      </w:r>
      <w:r>
        <w:t xml:space="preserve"> k meziročnímu reálné</w:t>
      </w:r>
      <w:r w:rsidR="003F14E8">
        <w:t>mu</w:t>
      </w:r>
      <w:r>
        <w:t xml:space="preserve"> růstu HDP</w:t>
      </w:r>
      <w:r w:rsidR="008A608C" w:rsidRPr="008A608C">
        <w:rPr>
          <w:b w:val="0"/>
          <w:vertAlign w:val="superscript"/>
        </w:rPr>
        <w:t>1</w:t>
      </w:r>
      <w:r>
        <w:t xml:space="preserve"> (v procentních bodech)</w:t>
      </w:r>
    </w:p>
    <w:p w14:paraId="4DA307D1" w14:textId="043D989F" w:rsidR="009C515A" w:rsidRPr="009C515A" w:rsidRDefault="00E7119E" w:rsidP="009C515A">
      <w:r w:rsidRPr="00E7119E">
        <w:rPr>
          <w:noProof/>
        </w:rPr>
        <w:drawing>
          <wp:inline distT="0" distB="0" distL="0" distR="0" wp14:anchorId="470B94E4" wp14:editId="6F89603B">
            <wp:extent cx="5039360" cy="2209800"/>
            <wp:effectExtent l="0" t="0" r="8890" b="0"/>
            <wp:docPr id="28029898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432E" w14:textId="6129EFC4" w:rsidR="008F6AD8" w:rsidRDefault="008F6AD8" w:rsidP="002B65EC">
      <w:pPr>
        <w:pStyle w:val="TabulkaGraf"/>
        <w:keepNext/>
        <w:spacing w:before="240"/>
        <w:jc w:val="both"/>
      </w:pPr>
      <w:r>
        <w:t>Graf 2</w:t>
      </w:r>
      <w:r w:rsidRPr="00F4754F">
        <w:t xml:space="preserve">: </w:t>
      </w:r>
      <w:r>
        <w:t>Příspěvky</w:t>
      </w:r>
      <w:r w:rsidR="007824C5" w:rsidRPr="007824C5">
        <w:rPr>
          <w:b w:val="0"/>
          <w:vertAlign w:val="superscript"/>
        </w:rPr>
        <w:t>3</w:t>
      </w:r>
      <w:r>
        <w:t xml:space="preserve"> k mezičtvrtletnímu reálné</w:t>
      </w:r>
      <w:r w:rsidR="003F14E8">
        <w:t>mu</w:t>
      </w:r>
      <w:r>
        <w:t xml:space="preserve"> růstu HDP</w:t>
      </w:r>
      <w:r w:rsidR="008A608C" w:rsidRPr="008A608C">
        <w:rPr>
          <w:b w:val="0"/>
          <w:vertAlign w:val="superscript"/>
        </w:rPr>
        <w:t>1</w:t>
      </w:r>
      <w:r>
        <w:t xml:space="preserve"> (v procentních bodech)</w:t>
      </w:r>
    </w:p>
    <w:p w14:paraId="320150C7" w14:textId="7C910213" w:rsidR="009C515A" w:rsidRPr="009C515A" w:rsidRDefault="00B45497" w:rsidP="009C515A">
      <w:r w:rsidRPr="00B45497">
        <w:rPr>
          <w:noProof/>
        </w:rPr>
        <w:drawing>
          <wp:inline distT="0" distB="0" distL="0" distR="0" wp14:anchorId="09B4AFDF" wp14:editId="45E1A558">
            <wp:extent cx="5041265" cy="2209800"/>
            <wp:effectExtent l="0" t="0" r="6985" b="0"/>
            <wp:docPr id="1229530088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C8E6B" w14:textId="5A9D2935" w:rsidR="00066E38" w:rsidRPr="00997580" w:rsidRDefault="00997580" w:rsidP="008F6AD8">
      <w:pPr>
        <w:pStyle w:val="Nadpis1"/>
        <w:spacing w:before="240" w:after="120"/>
        <w:rPr>
          <w:u w:val="single"/>
        </w:rPr>
      </w:pPr>
      <w:r w:rsidRPr="00997580">
        <w:rPr>
          <w:u w:val="single"/>
        </w:rPr>
        <w:lastRenderedPageBreak/>
        <w:t>Sektor n</w:t>
      </w:r>
      <w:r w:rsidR="008F35E4" w:rsidRPr="00997580">
        <w:rPr>
          <w:u w:val="single"/>
        </w:rPr>
        <w:t>efinanční</w:t>
      </w:r>
      <w:r w:rsidRPr="00997580">
        <w:rPr>
          <w:u w:val="single"/>
        </w:rPr>
        <w:t>ch</w:t>
      </w:r>
      <w:r w:rsidR="008F35E4" w:rsidRPr="00997580">
        <w:rPr>
          <w:u w:val="single"/>
        </w:rPr>
        <w:t xml:space="preserve"> podnik</w:t>
      </w:r>
      <w:r w:rsidRPr="00997580">
        <w:rPr>
          <w:u w:val="single"/>
        </w:rPr>
        <w:t>ů</w:t>
      </w:r>
    </w:p>
    <w:p w14:paraId="230AABEF" w14:textId="5514B669" w:rsidR="004E2B75" w:rsidRDefault="00111215" w:rsidP="000E5EB2">
      <w:pPr>
        <w:spacing w:after="120"/>
      </w:pPr>
      <w:r>
        <w:t>Sektor nefinančních podniků je tradičně h</w:t>
      </w:r>
      <w:r w:rsidR="007331CB">
        <w:t xml:space="preserve">lavním hybatelem </w:t>
      </w:r>
      <w:r>
        <w:t xml:space="preserve">produktivního </w:t>
      </w:r>
      <w:r w:rsidR="007331CB">
        <w:t xml:space="preserve">výkonu české ekonomiky. </w:t>
      </w:r>
      <w:r>
        <w:t>R</w:t>
      </w:r>
      <w:r w:rsidRPr="00304CD0">
        <w:t xml:space="preserve">eálný výkon </w:t>
      </w:r>
      <w:r>
        <w:t>nefinančních podniků v</w:t>
      </w:r>
      <w:r w:rsidR="00C34DF4">
        <w:t>e </w:t>
      </w:r>
      <w:r>
        <w:t>3</w:t>
      </w:r>
      <w:r w:rsidR="00C34DF4">
        <w:t>. </w:t>
      </w:r>
      <w:r w:rsidR="008F4BC1">
        <w:t xml:space="preserve">čtvrtletí 2025 </w:t>
      </w:r>
      <w:r>
        <w:t xml:space="preserve">tak </w:t>
      </w:r>
      <w:r w:rsidR="008F4BC1">
        <w:t xml:space="preserve">byl </w:t>
      </w:r>
      <w:r w:rsidR="00DA5525">
        <w:t>velmi podobný</w:t>
      </w:r>
      <w:r w:rsidR="00076FF9">
        <w:t xml:space="preserve"> vývoj</w:t>
      </w:r>
      <w:r w:rsidR="00DA5525">
        <w:t>i</w:t>
      </w:r>
      <w:r w:rsidR="00076FF9">
        <w:t xml:space="preserve"> celé ekonomiky</w:t>
      </w:r>
      <w:r w:rsidR="003A0CC7">
        <w:t xml:space="preserve">. Hrubá přidaná hodnota byla reálně </w:t>
      </w:r>
      <w:r w:rsidR="00FC4D7F" w:rsidRPr="00304CD0">
        <w:t xml:space="preserve">o </w:t>
      </w:r>
      <w:r w:rsidR="00BA22D5">
        <w:t>2,</w:t>
      </w:r>
      <w:r>
        <w:t>9</w:t>
      </w:r>
      <w:r w:rsidR="00CB012C" w:rsidRPr="00304CD0">
        <w:t> </w:t>
      </w:r>
      <w:r w:rsidR="00FC4D7F" w:rsidRPr="00304CD0">
        <w:t>%</w:t>
      </w:r>
      <w:r w:rsidR="003A0CC7" w:rsidRPr="00304CD0">
        <w:rPr>
          <w:rStyle w:val="Znakapoznpodarou"/>
        </w:rPr>
        <w:footnoteReference w:id="4"/>
      </w:r>
      <w:r w:rsidR="00261474">
        <w:t xml:space="preserve"> </w:t>
      </w:r>
      <w:r w:rsidR="00076FF9">
        <w:t>vyšší</w:t>
      </w:r>
      <w:r w:rsidR="003A0CC7">
        <w:t xml:space="preserve"> než před rokem a oproti předchozímu čtvrtletí </w:t>
      </w:r>
      <w:r w:rsidR="00C34DF4">
        <w:t>vzrostla</w:t>
      </w:r>
      <w:r w:rsidR="00076FF9">
        <w:t xml:space="preserve"> </w:t>
      </w:r>
      <w:r w:rsidR="00DA5525">
        <w:t>o </w:t>
      </w:r>
      <w:r w:rsidR="003A0CC7">
        <w:t>0</w:t>
      </w:r>
      <w:r w:rsidR="00832FC3">
        <w:t>,</w:t>
      </w:r>
      <w:r>
        <w:t>5</w:t>
      </w:r>
      <w:r w:rsidR="00BA22D5">
        <w:t> </w:t>
      </w:r>
      <w:r w:rsidR="00FC4D7F" w:rsidRPr="00304CD0">
        <w:t>%</w:t>
      </w:r>
      <w:r w:rsidR="003A0CC7" w:rsidRPr="00304CD0">
        <w:rPr>
          <w:rStyle w:val="Znakapoznpodarou"/>
        </w:rPr>
        <w:footnoteReference w:id="5"/>
      </w:r>
      <w:r w:rsidR="00FC4D7F" w:rsidRPr="00304CD0">
        <w:t xml:space="preserve">. </w:t>
      </w:r>
      <w:r w:rsidR="00BB73D6" w:rsidRPr="00304CD0">
        <w:t xml:space="preserve">Mezi odvětvími </w:t>
      </w:r>
      <w:r w:rsidR="00304CD0" w:rsidRPr="00304CD0">
        <w:t>nicméně</w:t>
      </w:r>
      <w:r w:rsidR="00BB73D6" w:rsidRPr="00304CD0">
        <w:t xml:space="preserve"> existovaly značné rozdíly. </w:t>
      </w:r>
      <w:r w:rsidR="00D700D7">
        <w:t>Meziroční růst z</w:t>
      </w:r>
      <w:r w:rsidR="00B17D6C">
        <w:t>pracovatelsk</w:t>
      </w:r>
      <w:r w:rsidR="00D700D7">
        <w:t>ého</w:t>
      </w:r>
      <w:r w:rsidR="00B17D6C">
        <w:t xml:space="preserve"> průmysl</w:t>
      </w:r>
      <w:r w:rsidR="00D700D7">
        <w:t xml:space="preserve">u </w:t>
      </w:r>
      <w:r w:rsidR="00723339">
        <w:t>byl velice mírný a spíše se blížil stagnaci. Na druhou stranu s</w:t>
      </w:r>
      <w:r w:rsidR="0096668C">
        <w:t xml:space="preserve">tavebnictví rostlo vysokým tempem meziročně i mezičtvrtletně. </w:t>
      </w:r>
      <w:r w:rsidR="0079294E">
        <w:t>Vedle toho byl r</w:t>
      </w:r>
      <w:r w:rsidR="00120D03">
        <w:t xml:space="preserve">ůst </w:t>
      </w:r>
      <w:r w:rsidR="001774A0">
        <w:t xml:space="preserve">výkonnosti nefinančních podniků </w:t>
      </w:r>
      <w:r w:rsidR="00B17D6C">
        <w:t xml:space="preserve">podpořen </w:t>
      </w:r>
      <w:r w:rsidR="009206ED">
        <w:t xml:space="preserve">zejména </w:t>
      </w:r>
      <w:r w:rsidR="004F0245">
        <w:t>růstem</w:t>
      </w:r>
      <w:r w:rsidR="00120D03">
        <w:t xml:space="preserve"> </w:t>
      </w:r>
      <w:r w:rsidR="004F0245">
        <w:t xml:space="preserve">odvětví </w:t>
      </w:r>
      <w:r w:rsidR="00120D03">
        <w:t xml:space="preserve">služeb, např. </w:t>
      </w:r>
      <w:r w:rsidR="00304CD0" w:rsidRPr="00304CD0">
        <w:t>obchod</w:t>
      </w:r>
      <w:r w:rsidR="00B17D6C">
        <w:t xml:space="preserve">em, </w:t>
      </w:r>
      <w:r w:rsidR="00304CD0" w:rsidRPr="00304CD0">
        <w:t>doprav</w:t>
      </w:r>
      <w:r w:rsidR="00B17D6C">
        <w:t>ou</w:t>
      </w:r>
      <w:r w:rsidR="00304CD0" w:rsidRPr="00304CD0">
        <w:t xml:space="preserve"> či </w:t>
      </w:r>
      <w:r w:rsidR="0096668C">
        <w:t>informačními službami</w:t>
      </w:r>
      <w:r w:rsidR="00304CD0" w:rsidRPr="00304CD0">
        <w:t xml:space="preserve">. </w:t>
      </w:r>
    </w:p>
    <w:p w14:paraId="0B5BBFB7" w14:textId="4A290752" w:rsidR="004E79FC" w:rsidRDefault="007B76DC" w:rsidP="000E5EB2">
      <w:pPr>
        <w:spacing w:after="120"/>
      </w:pPr>
      <w:r>
        <w:t xml:space="preserve">Tento vývoj byl doprovázen mírným růstem zaměstnanosti. </w:t>
      </w:r>
      <w:r w:rsidR="00304CD0" w:rsidRPr="0030604C">
        <w:t xml:space="preserve">Celková </w:t>
      </w:r>
      <w:r w:rsidR="00437A01" w:rsidRPr="0030604C">
        <w:rPr>
          <w:b/>
        </w:rPr>
        <w:t>zaměstnanost</w:t>
      </w:r>
      <w:r w:rsidR="00437A01" w:rsidRPr="0030604C">
        <w:rPr>
          <w:rStyle w:val="Znakapoznpodarou"/>
        </w:rPr>
        <w:footnoteReference w:id="6"/>
      </w:r>
      <w:r w:rsidR="00307551" w:rsidRPr="0030604C">
        <w:t xml:space="preserve"> </w:t>
      </w:r>
      <w:r w:rsidR="00304CD0" w:rsidRPr="0030604C">
        <w:t xml:space="preserve">sektoru nefinančních podniků </w:t>
      </w:r>
      <w:r w:rsidR="003B4AB8">
        <w:t xml:space="preserve">byla </w:t>
      </w:r>
      <w:r w:rsidR="00304CD0" w:rsidRPr="0030604C">
        <w:t>v</w:t>
      </w:r>
      <w:r w:rsidR="0096668C">
        <w:t>e</w:t>
      </w:r>
      <w:r w:rsidR="003B4AB8">
        <w:t xml:space="preserve"> </w:t>
      </w:r>
      <w:r w:rsidR="001A28D1">
        <w:t>3</w:t>
      </w:r>
      <w:r w:rsidR="00304CD0" w:rsidRPr="0030604C">
        <w:t xml:space="preserve">. čtvrtletí </w:t>
      </w:r>
      <w:r w:rsidR="003B4AB8">
        <w:t xml:space="preserve">2025 </w:t>
      </w:r>
      <w:r>
        <w:t>o 0,</w:t>
      </w:r>
      <w:r w:rsidR="001A28D1">
        <w:t>4</w:t>
      </w:r>
      <w:r w:rsidR="00BD66B4">
        <w:t> </w:t>
      </w:r>
      <w:r>
        <w:t>% vyšší než před rokem</w:t>
      </w:r>
      <w:r w:rsidR="005D4967" w:rsidRPr="0030604C">
        <w:t xml:space="preserve">. </w:t>
      </w:r>
      <w:r w:rsidR="00DA5525">
        <w:t xml:space="preserve">Ovšem </w:t>
      </w:r>
      <w:r>
        <w:t>ve</w:t>
      </w:r>
      <w:r w:rsidR="00DA5525">
        <w:t> </w:t>
      </w:r>
      <w:r>
        <w:t xml:space="preserve">zpracovatelském průmyslu </w:t>
      </w:r>
      <w:r w:rsidR="00DA5525">
        <w:t xml:space="preserve">klesala </w:t>
      </w:r>
      <w:r w:rsidR="003B4AB8">
        <w:t xml:space="preserve">meziročně </w:t>
      </w:r>
      <w:r>
        <w:t xml:space="preserve">již </w:t>
      </w:r>
      <w:r w:rsidR="003B4AB8">
        <w:t>1</w:t>
      </w:r>
      <w:r w:rsidR="00D62B8D">
        <w:t>2</w:t>
      </w:r>
      <w:r>
        <w:t xml:space="preserve"> čtvrtletí v</w:t>
      </w:r>
      <w:r w:rsidR="004E2B75">
        <w:t> </w:t>
      </w:r>
      <w:r>
        <w:t>řadě</w:t>
      </w:r>
      <w:r w:rsidR="004E2B75">
        <w:t>.</w:t>
      </w:r>
      <w:r w:rsidR="00D62B8D">
        <w:t xml:space="preserve"> </w:t>
      </w:r>
    </w:p>
    <w:p w14:paraId="4F702B86" w14:textId="5C592791" w:rsidR="00825477" w:rsidRDefault="008F6AD8" w:rsidP="00C34DF4">
      <w:pPr>
        <w:pStyle w:val="TabulkaGraf"/>
        <w:jc w:val="both"/>
      </w:pPr>
      <w:r w:rsidRPr="00E3363A">
        <w:t>Graf 3: Rozklad meziroční nominální změny hrubé přidané hodnoty sektoru nefinančních</w:t>
      </w:r>
      <w:r w:rsidRPr="008F6AD8">
        <w:t xml:space="preserve"> podniků (v mil. Kč</w:t>
      </w:r>
      <w:r>
        <w:t>, sezónně neočištěno</w:t>
      </w:r>
      <w:r w:rsidRPr="008F6AD8">
        <w:t>)</w:t>
      </w:r>
    </w:p>
    <w:p w14:paraId="634FBA1E" w14:textId="4A4B69DC" w:rsidR="00C53D32" w:rsidRPr="00C53D32" w:rsidRDefault="004E2B75" w:rsidP="00C53D32">
      <w:r w:rsidRPr="004E2B75">
        <w:rPr>
          <w:noProof/>
        </w:rPr>
        <w:drawing>
          <wp:inline distT="0" distB="0" distL="0" distR="0" wp14:anchorId="6D3AE525" wp14:editId="40A9B9D8">
            <wp:extent cx="5041265" cy="2197735"/>
            <wp:effectExtent l="0" t="0" r="6985" b="0"/>
            <wp:docPr id="44212136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5FEB" w14:textId="1E164393" w:rsidR="005631FE" w:rsidRPr="0095197C" w:rsidRDefault="0095197C" w:rsidP="004E2B75">
      <w:pPr>
        <w:rPr>
          <w:b/>
          <w:highlight w:val="yellow"/>
        </w:rPr>
      </w:pPr>
      <w:r w:rsidRPr="0095197C">
        <w:rPr>
          <w:b/>
        </w:rPr>
        <w:t>Graf 4: Míra zisku a podíl náhrad zaměstnanců na hrubé přidané hodnotě sektoru nefinančních podniků (v %</w:t>
      </w:r>
      <w:r w:rsidR="001D34CC">
        <w:rPr>
          <w:b/>
        </w:rPr>
        <w:t>, sezónně očištěno</w:t>
      </w:r>
      <w:r w:rsidRPr="0095197C">
        <w:rPr>
          <w:b/>
        </w:rPr>
        <w:t>)</w:t>
      </w:r>
    </w:p>
    <w:p w14:paraId="69E56B56" w14:textId="758D80C8" w:rsidR="00437A01" w:rsidRPr="0095197C" w:rsidRDefault="004E2B75" w:rsidP="00C34DF4">
      <w:r w:rsidRPr="004E2B75">
        <w:rPr>
          <w:noProof/>
        </w:rPr>
        <w:drawing>
          <wp:inline distT="0" distB="0" distL="0" distR="0" wp14:anchorId="3D5F8127" wp14:editId="52BB4687">
            <wp:extent cx="5041265" cy="2225675"/>
            <wp:effectExtent l="0" t="0" r="6985" b="3175"/>
            <wp:docPr id="484906832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3198" w14:textId="013F6117" w:rsidR="006459B0" w:rsidRPr="001469C6" w:rsidRDefault="00D158E3" w:rsidP="006459B0">
      <w:pPr>
        <w:spacing w:after="120"/>
      </w:pPr>
      <w:r w:rsidRPr="00A0533B">
        <w:lastRenderedPageBreak/>
        <w:t>R</w:t>
      </w:r>
      <w:r w:rsidR="000A364B" w:rsidRPr="00A0533B">
        <w:t>ůst hrubé přidané hodnoty</w:t>
      </w:r>
      <w:r w:rsidR="00A834BD" w:rsidRPr="00A0533B">
        <w:rPr>
          <w:rStyle w:val="Znakapoznpodarou"/>
        </w:rPr>
        <w:footnoteReference w:id="7"/>
      </w:r>
      <w:r w:rsidR="00C53D32" w:rsidRPr="00A0533B">
        <w:t xml:space="preserve"> </w:t>
      </w:r>
      <w:r w:rsidR="008537E4" w:rsidRPr="00A0533B">
        <w:t xml:space="preserve">stačil </w:t>
      </w:r>
      <w:r w:rsidR="00510C79" w:rsidRPr="00A0533B">
        <w:t xml:space="preserve">jak </w:t>
      </w:r>
      <w:r w:rsidR="008537E4" w:rsidRPr="00A0533B">
        <w:t xml:space="preserve">na </w:t>
      </w:r>
      <w:r w:rsidRPr="00A0533B">
        <w:t>pokry</w:t>
      </w:r>
      <w:r w:rsidR="008537E4" w:rsidRPr="00A0533B">
        <w:t>tí</w:t>
      </w:r>
      <w:r w:rsidRPr="00A0533B">
        <w:t xml:space="preserve"> </w:t>
      </w:r>
      <w:r w:rsidR="00A834BD" w:rsidRPr="00A0533B">
        <w:t>růst</w:t>
      </w:r>
      <w:r w:rsidR="008537E4" w:rsidRPr="00A0533B">
        <w:t xml:space="preserve">u </w:t>
      </w:r>
      <w:r w:rsidR="00A834BD" w:rsidRPr="00A0533B">
        <w:t xml:space="preserve">mzdových nákladů </w:t>
      </w:r>
      <w:r w:rsidR="003E7C3E" w:rsidRPr="00A0533B">
        <w:t xml:space="preserve">nefinančních podniků </w:t>
      </w:r>
      <w:r w:rsidR="00A834BD" w:rsidRPr="00A0533B">
        <w:t>(</w:t>
      </w:r>
      <w:r w:rsidR="008537E4" w:rsidRPr="00A0533B">
        <w:t xml:space="preserve">o </w:t>
      </w:r>
      <w:r w:rsidR="00A0533B" w:rsidRPr="00A0533B">
        <w:t>8,</w:t>
      </w:r>
      <w:r w:rsidR="00520246">
        <w:t>2</w:t>
      </w:r>
      <w:r w:rsidR="008537E4" w:rsidRPr="00A0533B">
        <w:t> %</w:t>
      </w:r>
      <w:r w:rsidR="00A834BD" w:rsidRPr="00A0533B">
        <w:t xml:space="preserve"> v běžných cenách</w:t>
      </w:r>
      <w:r w:rsidR="008537E4" w:rsidRPr="00A0533B">
        <w:rPr>
          <w:rStyle w:val="Znakapoznpodarou"/>
        </w:rPr>
        <w:footnoteReference w:id="8"/>
      </w:r>
      <w:r w:rsidR="00A834BD" w:rsidRPr="00A0533B">
        <w:t xml:space="preserve">), </w:t>
      </w:r>
      <w:r w:rsidR="00510C79" w:rsidRPr="00A0533B">
        <w:t xml:space="preserve">tak i na </w:t>
      </w:r>
      <w:r w:rsidR="00520246">
        <w:t xml:space="preserve">relativně rostoucí </w:t>
      </w:r>
      <w:r w:rsidR="008839AC" w:rsidRPr="00A0533B">
        <w:t>t</w:t>
      </w:r>
      <w:r w:rsidR="000A364B" w:rsidRPr="00A0533B">
        <w:t>vorbu zisku</w:t>
      </w:r>
      <w:r w:rsidR="00F96765" w:rsidRPr="00A0533B">
        <w:t xml:space="preserve"> z pohledu celého sektoru</w:t>
      </w:r>
      <w:r w:rsidR="00E363F8" w:rsidRPr="00A0533B">
        <w:t>.</w:t>
      </w:r>
      <w:r w:rsidR="00C875D9" w:rsidRPr="00A0533B">
        <w:t xml:space="preserve"> </w:t>
      </w:r>
      <w:r w:rsidR="00BF11BA" w:rsidRPr="00A0533B">
        <w:t xml:space="preserve">Hrubý provozní přebytek </w:t>
      </w:r>
      <w:r w:rsidR="00510C79" w:rsidRPr="00A0533B">
        <w:t xml:space="preserve">vzrostl </w:t>
      </w:r>
      <w:r w:rsidR="00BF11BA" w:rsidRPr="00A0533B">
        <w:t xml:space="preserve">v běžných cenách o </w:t>
      </w:r>
      <w:r w:rsidR="00520246">
        <w:t>5,7</w:t>
      </w:r>
      <w:r w:rsidR="00A834BD" w:rsidRPr="00A0533B">
        <w:t> </w:t>
      </w:r>
      <w:r w:rsidR="00BF11BA" w:rsidRPr="00A0533B">
        <w:t xml:space="preserve">%. </w:t>
      </w:r>
      <w:r w:rsidR="000A364B" w:rsidRPr="00A0533B">
        <w:rPr>
          <w:b/>
        </w:rPr>
        <w:t>Míra</w:t>
      </w:r>
      <w:r w:rsidR="00C875D9" w:rsidRPr="00A0533B">
        <w:rPr>
          <w:b/>
        </w:rPr>
        <w:t> </w:t>
      </w:r>
      <w:r w:rsidR="000A364B" w:rsidRPr="00A0533B">
        <w:rPr>
          <w:b/>
        </w:rPr>
        <w:t>zisku</w:t>
      </w:r>
      <w:r w:rsidR="000A364B" w:rsidRPr="00A0533B">
        <w:t xml:space="preserve"> </w:t>
      </w:r>
      <w:r w:rsidR="00C12352" w:rsidRPr="00A0533B">
        <w:t>tak</w:t>
      </w:r>
      <w:r w:rsidRPr="00A0533B">
        <w:t xml:space="preserve"> </w:t>
      </w:r>
      <w:r w:rsidR="000A364B" w:rsidRPr="00A0533B">
        <w:t>dosahovala 4</w:t>
      </w:r>
      <w:r w:rsidR="00510C79" w:rsidRPr="00A0533B">
        <w:t>3</w:t>
      </w:r>
      <w:r w:rsidRPr="00A0533B">
        <w:t>,</w:t>
      </w:r>
      <w:r w:rsidR="00520246">
        <w:t>5</w:t>
      </w:r>
      <w:r w:rsidR="0049639B" w:rsidRPr="00A0533B">
        <w:t> </w:t>
      </w:r>
      <w:r w:rsidR="000A364B" w:rsidRPr="00A0533B">
        <w:t>%</w:t>
      </w:r>
      <w:r w:rsidR="0049639B" w:rsidRPr="00A0533B">
        <w:rPr>
          <w:rStyle w:val="Znakapoznpodarou"/>
        </w:rPr>
        <w:footnoteReference w:id="9"/>
      </w:r>
      <w:r w:rsidR="0049639B" w:rsidRPr="00A0533B">
        <w:t xml:space="preserve">, což </w:t>
      </w:r>
      <w:r w:rsidR="000A364B" w:rsidRPr="00A0533B">
        <w:t>byl</w:t>
      </w:r>
      <w:r w:rsidR="00C875D9" w:rsidRPr="00A0533B">
        <w:t xml:space="preserve">o </w:t>
      </w:r>
      <w:r w:rsidR="00A0533B">
        <w:t xml:space="preserve">téměř stejně jako v předchozím čtvrtletí (resp. </w:t>
      </w:r>
      <w:r w:rsidR="00A0533B" w:rsidRPr="00A0533B">
        <w:t>o 0,1 </w:t>
      </w:r>
      <w:proofErr w:type="spellStart"/>
      <w:r w:rsidR="00A0533B" w:rsidRPr="00A0533B">
        <w:t>p.b</w:t>
      </w:r>
      <w:proofErr w:type="spellEnd"/>
      <w:r w:rsidR="00A0533B" w:rsidRPr="00A0533B">
        <w:t xml:space="preserve">. </w:t>
      </w:r>
      <w:r w:rsidR="00520246">
        <w:t>méně</w:t>
      </w:r>
      <w:r w:rsidR="00A0533B">
        <w:t>),</w:t>
      </w:r>
      <w:r w:rsidR="00A0533B" w:rsidRPr="00A0533B">
        <w:t xml:space="preserve"> a</w:t>
      </w:r>
      <w:r w:rsidR="00A0533B">
        <w:t>le</w:t>
      </w:r>
      <w:r w:rsidR="00A0533B" w:rsidRPr="00A0533B">
        <w:t xml:space="preserve"> o </w:t>
      </w:r>
      <w:r w:rsidR="00520246">
        <w:t>0,8</w:t>
      </w:r>
      <w:r w:rsidR="00C12352" w:rsidRPr="00A0533B">
        <w:t> </w:t>
      </w:r>
      <w:proofErr w:type="spellStart"/>
      <w:r w:rsidR="00950A8C" w:rsidRPr="00A0533B">
        <w:t>p.b</w:t>
      </w:r>
      <w:proofErr w:type="spellEnd"/>
      <w:r w:rsidR="00950A8C" w:rsidRPr="00A0533B">
        <w:t>. méně n</w:t>
      </w:r>
      <w:r w:rsidR="00C875D9" w:rsidRPr="00A0533B">
        <w:t>ež před rokem.</w:t>
      </w:r>
      <w:r w:rsidR="00C875D9" w:rsidRPr="001469C6">
        <w:t xml:space="preserve"> </w:t>
      </w:r>
    </w:p>
    <w:p w14:paraId="3ACF9EEA" w14:textId="083F4F9A" w:rsidR="001A00B2" w:rsidRPr="00964AE2" w:rsidRDefault="00500B2A" w:rsidP="009B5C48">
      <w:pPr>
        <w:spacing w:after="60"/>
      </w:pPr>
      <w:r w:rsidRPr="003702FA">
        <w:t xml:space="preserve">Mírný růst </w:t>
      </w:r>
      <w:r w:rsidR="00DA4977" w:rsidRPr="003702FA">
        <w:t>zisku</w:t>
      </w:r>
      <w:r w:rsidR="00DA4977" w:rsidRPr="003702FA">
        <w:rPr>
          <w:rStyle w:val="Znakapoznpodarou"/>
        </w:rPr>
        <w:footnoteReference w:id="10"/>
      </w:r>
      <w:r w:rsidR="00AE7D45" w:rsidRPr="003702FA">
        <w:t xml:space="preserve"> </w:t>
      </w:r>
      <w:r w:rsidR="00F116C2" w:rsidRPr="003702FA">
        <w:t xml:space="preserve">v </w:t>
      </w:r>
      <w:r w:rsidR="00B32310" w:rsidRPr="003702FA">
        <w:t xml:space="preserve">sektoru </w:t>
      </w:r>
      <w:r w:rsidR="00F116C2" w:rsidRPr="003702FA">
        <w:t xml:space="preserve">nefinančních podniků </w:t>
      </w:r>
      <w:r w:rsidR="00B32310" w:rsidRPr="003702FA">
        <w:t>byl</w:t>
      </w:r>
      <w:r w:rsidR="00AE7D45" w:rsidRPr="003702FA">
        <w:t xml:space="preserve"> </w:t>
      </w:r>
      <w:r w:rsidR="003E7C3E" w:rsidRPr="003702FA">
        <w:t xml:space="preserve">podle předběžných údajů </w:t>
      </w:r>
      <w:r w:rsidR="00B32310" w:rsidRPr="003702FA">
        <w:t xml:space="preserve">doprovázen </w:t>
      </w:r>
      <w:r w:rsidR="00D27567" w:rsidRPr="003702FA">
        <w:t>meziročn</w:t>
      </w:r>
      <w:r w:rsidR="00283CED" w:rsidRPr="003702FA">
        <w:t xml:space="preserve">ím zhoršením </w:t>
      </w:r>
      <w:r w:rsidR="00B32310" w:rsidRPr="003702FA">
        <w:rPr>
          <w:b/>
        </w:rPr>
        <w:t xml:space="preserve">salda </w:t>
      </w:r>
      <w:r w:rsidR="00F116C2" w:rsidRPr="003702FA">
        <w:rPr>
          <w:b/>
        </w:rPr>
        <w:t xml:space="preserve">důchodů </w:t>
      </w:r>
      <w:r w:rsidR="00B32310" w:rsidRPr="003702FA">
        <w:rPr>
          <w:b/>
        </w:rPr>
        <w:t>z</w:t>
      </w:r>
      <w:r w:rsidR="00D27567" w:rsidRPr="003702FA">
        <w:rPr>
          <w:b/>
        </w:rPr>
        <w:t> </w:t>
      </w:r>
      <w:r w:rsidR="00B32310" w:rsidRPr="003702FA">
        <w:rPr>
          <w:b/>
        </w:rPr>
        <w:t>vlastnictví</w:t>
      </w:r>
      <w:r w:rsidR="00D27567" w:rsidRPr="003702FA">
        <w:t xml:space="preserve">. </w:t>
      </w:r>
      <w:r w:rsidR="00AE7D45" w:rsidRPr="003702FA">
        <w:t xml:space="preserve">Tyto dva jevy </w:t>
      </w:r>
      <w:r w:rsidR="00773596" w:rsidRPr="003702FA">
        <w:t xml:space="preserve">tak </w:t>
      </w:r>
      <w:r w:rsidR="00283CED" w:rsidRPr="003702FA">
        <w:t xml:space="preserve">působily </w:t>
      </w:r>
      <w:r w:rsidR="00917143" w:rsidRPr="003702FA">
        <w:t>proti sobě</w:t>
      </w:r>
      <w:r w:rsidR="00964AE2" w:rsidRPr="003702FA">
        <w:t xml:space="preserve"> a</w:t>
      </w:r>
      <w:r w:rsidR="003E7C3E" w:rsidRPr="003702FA">
        <w:t> </w:t>
      </w:r>
      <w:r w:rsidR="00E76C8A" w:rsidRPr="003702FA">
        <w:t xml:space="preserve">výsledné </w:t>
      </w:r>
      <w:r w:rsidR="00DA4977" w:rsidRPr="003702FA">
        <w:t>sal</w:t>
      </w:r>
      <w:r w:rsidR="001A00B2" w:rsidRPr="003702FA">
        <w:t>do prvotních důchodů nefinančních podniků</w:t>
      </w:r>
      <w:r w:rsidR="001A00B2" w:rsidRPr="00964AE2">
        <w:t xml:space="preserve"> </w:t>
      </w:r>
      <w:r w:rsidR="00964AE2" w:rsidRPr="00964AE2">
        <w:t xml:space="preserve">v porovnání s předchozím rokem nominálně </w:t>
      </w:r>
      <w:r w:rsidR="003702FA">
        <w:t xml:space="preserve">mírně </w:t>
      </w:r>
      <w:r w:rsidR="00964AE2" w:rsidRPr="00964AE2">
        <w:t>pokleslo</w:t>
      </w:r>
      <w:r w:rsidR="00AE7D45" w:rsidRPr="00964AE2">
        <w:t xml:space="preserve">. </w:t>
      </w:r>
    </w:p>
    <w:p w14:paraId="4676BDAF" w14:textId="7964F968" w:rsidR="008B5D3C" w:rsidRDefault="008B5D3C" w:rsidP="00D70329">
      <w:pPr>
        <w:pStyle w:val="TabulkaGraf"/>
      </w:pPr>
      <w:r w:rsidRPr="008E0E03">
        <w:t>Graf </w:t>
      </w:r>
      <w:r>
        <w:t>5</w:t>
      </w:r>
      <w:r w:rsidRPr="008E0E03">
        <w:t xml:space="preserve">: </w:t>
      </w:r>
      <w:r w:rsidRPr="008F6AD8">
        <w:t xml:space="preserve">Rozklad meziroční </w:t>
      </w:r>
      <w:r>
        <w:t xml:space="preserve">nominální </w:t>
      </w:r>
      <w:r w:rsidRPr="008F6AD8">
        <w:t>změny salda důchodů z vlastnictví na přijaté a</w:t>
      </w:r>
      <w:r>
        <w:t> </w:t>
      </w:r>
      <w:r w:rsidRPr="008F6AD8">
        <w:t xml:space="preserve">vyplacené důchody </w:t>
      </w:r>
      <w:r>
        <w:t xml:space="preserve">nefinančních podniků </w:t>
      </w:r>
      <w:r w:rsidRPr="008F6AD8">
        <w:t>(v mil. Kč)</w:t>
      </w:r>
    </w:p>
    <w:p w14:paraId="433891B2" w14:textId="7A1A4CDA" w:rsidR="00DA4977" w:rsidRPr="0070496D" w:rsidRDefault="003702FA" w:rsidP="0070496D">
      <w:r w:rsidRPr="003702FA">
        <w:rPr>
          <w:noProof/>
        </w:rPr>
        <w:drawing>
          <wp:inline distT="0" distB="0" distL="0" distR="0" wp14:anchorId="05664170" wp14:editId="11E37592">
            <wp:extent cx="4882757" cy="2160000"/>
            <wp:effectExtent l="0" t="0" r="0" b="0"/>
            <wp:docPr id="1787770701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3173" w14:textId="78BEED61" w:rsidR="00161BD9" w:rsidRPr="00F116C2" w:rsidRDefault="001D5B98" w:rsidP="009B5C48">
      <w:r w:rsidRPr="001F4F2D">
        <w:t>T</w:t>
      </w:r>
      <w:r w:rsidR="00A20939" w:rsidRPr="001F4F2D">
        <w:t xml:space="preserve">ento pokles </w:t>
      </w:r>
      <w:r w:rsidR="002E0D6B" w:rsidRPr="001F4F2D">
        <w:t xml:space="preserve">prvotních důchodů </w:t>
      </w:r>
      <w:r w:rsidRPr="001F4F2D">
        <w:t>byl zároveň provázen</w:t>
      </w:r>
      <w:r w:rsidR="001F4F2D" w:rsidRPr="001F4F2D">
        <w:t xml:space="preserve"> </w:t>
      </w:r>
      <w:r w:rsidR="009B5C48">
        <w:t xml:space="preserve">mírným </w:t>
      </w:r>
      <w:r w:rsidR="001F4F2D" w:rsidRPr="001F4F2D">
        <w:t>meziročn</w:t>
      </w:r>
      <w:r w:rsidR="00393B22">
        <w:t>í</w:t>
      </w:r>
      <w:r w:rsidR="00D70329">
        <w:t>m</w:t>
      </w:r>
      <w:r w:rsidR="00D031D6">
        <w:t xml:space="preserve"> </w:t>
      </w:r>
      <w:r w:rsidR="00D70329">
        <w:t xml:space="preserve">růstem </w:t>
      </w:r>
      <w:r w:rsidRPr="001F4F2D">
        <w:t>odvod</w:t>
      </w:r>
      <w:r w:rsidR="00393B22">
        <w:t>u</w:t>
      </w:r>
      <w:r w:rsidRPr="001F4F2D">
        <w:t xml:space="preserve"> daní</w:t>
      </w:r>
      <w:r w:rsidRPr="001F4F2D">
        <w:rPr>
          <w:rStyle w:val="Znakapoznpodarou"/>
        </w:rPr>
        <w:footnoteReference w:id="11"/>
      </w:r>
      <w:r w:rsidR="00D031D6">
        <w:t xml:space="preserve"> </w:t>
      </w:r>
      <w:r w:rsidR="00D70329">
        <w:t>a celkovým</w:t>
      </w:r>
      <w:r w:rsidR="00D031D6">
        <w:t> </w:t>
      </w:r>
      <w:r w:rsidR="00D70329">
        <w:t xml:space="preserve">zhoršením </w:t>
      </w:r>
      <w:r w:rsidR="00393B22">
        <w:t>druhotného salda. Ve výsledku tak podnikům zůstalo méně finančních prostředků než před rokem</w:t>
      </w:r>
      <w:r w:rsidR="00D70329">
        <w:rPr>
          <w:rStyle w:val="Znakapoznpodarou"/>
        </w:rPr>
        <w:footnoteReference w:id="12"/>
      </w:r>
      <w:r w:rsidR="00056AF8">
        <w:t xml:space="preserve"> a </w:t>
      </w:r>
      <w:r w:rsidR="00056AF8" w:rsidRPr="00056AF8">
        <w:rPr>
          <w:b/>
        </w:rPr>
        <w:t>m</w:t>
      </w:r>
      <w:r w:rsidR="00B660C5" w:rsidRPr="0082354D">
        <w:rPr>
          <w:b/>
        </w:rPr>
        <w:t>íra úspor</w:t>
      </w:r>
      <w:r w:rsidR="00215652" w:rsidRPr="0082354D">
        <w:rPr>
          <w:rStyle w:val="Znakapoznpodarou"/>
        </w:rPr>
        <w:footnoteReference w:id="13"/>
      </w:r>
      <w:r w:rsidR="00B660C5" w:rsidRPr="0082354D">
        <w:t xml:space="preserve"> </w:t>
      </w:r>
      <w:r w:rsidR="00A42744" w:rsidRPr="0082354D">
        <w:t xml:space="preserve">klesla </w:t>
      </w:r>
      <w:r w:rsidR="003A2D5B" w:rsidRPr="0082354D">
        <w:t xml:space="preserve">meziročně </w:t>
      </w:r>
      <w:r w:rsidR="00A42744" w:rsidRPr="0082354D">
        <w:t xml:space="preserve">o </w:t>
      </w:r>
      <w:r w:rsidR="009B5C48">
        <w:t>2,</w:t>
      </w:r>
      <w:r w:rsidR="00056AF8">
        <w:t>4</w:t>
      </w:r>
      <w:r w:rsidR="009B5C48">
        <w:t xml:space="preserve"> </w:t>
      </w:r>
      <w:proofErr w:type="spellStart"/>
      <w:r w:rsidR="00A42744" w:rsidRPr="0082354D">
        <w:t>p.b</w:t>
      </w:r>
      <w:proofErr w:type="spellEnd"/>
      <w:r w:rsidR="00A42744" w:rsidRPr="0082354D">
        <w:t>.</w:t>
      </w:r>
      <w:r w:rsidR="0074004B" w:rsidRPr="0082354D">
        <w:t xml:space="preserve"> </w:t>
      </w:r>
      <w:r w:rsidR="003A2D5B" w:rsidRPr="0082354D">
        <w:t xml:space="preserve">na </w:t>
      </w:r>
      <w:r w:rsidR="009B5C48">
        <w:t>25,1 %</w:t>
      </w:r>
      <w:r w:rsidR="003A2D5B" w:rsidRPr="0082354D">
        <w:t>.</w:t>
      </w:r>
    </w:p>
    <w:p w14:paraId="57B936DF" w14:textId="77777777" w:rsidR="008B5D3C" w:rsidRPr="008E0E03" w:rsidRDefault="008B5D3C" w:rsidP="009B5C48">
      <w:pPr>
        <w:pStyle w:val="TabulkaGraf"/>
        <w:keepNext/>
        <w:spacing w:before="60"/>
      </w:pPr>
      <w:r w:rsidRPr="008E0E03">
        <w:t>Graf </w:t>
      </w:r>
      <w:r>
        <w:t>6</w:t>
      </w:r>
      <w:r w:rsidRPr="008E0E03">
        <w:t xml:space="preserve">: </w:t>
      </w:r>
      <w:r>
        <w:t xml:space="preserve">Investiční aktivita a potřeba jejího financování v </w:t>
      </w:r>
      <w:r w:rsidRPr="002059FF">
        <w:t xml:space="preserve">sektoru nefinančních podniků </w:t>
      </w:r>
    </w:p>
    <w:p w14:paraId="777AF355" w14:textId="3DBBD9A4" w:rsidR="008B5D3C" w:rsidRDefault="009B5C48" w:rsidP="008B5D3C">
      <w:r w:rsidRPr="009B5C48">
        <w:rPr>
          <w:noProof/>
        </w:rPr>
        <w:drawing>
          <wp:inline distT="0" distB="0" distL="0" distR="0" wp14:anchorId="25CADA25" wp14:editId="05191288">
            <wp:extent cx="4964136" cy="2196000"/>
            <wp:effectExtent l="0" t="0" r="8255" b="0"/>
            <wp:docPr id="808308622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136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5B58" w14:textId="5119F98B" w:rsidR="001F39A8" w:rsidRPr="00F677CC" w:rsidRDefault="003C05F2" w:rsidP="0082505B">
      <w:pPr>
        <w:spacing w:after="120"/>
      </w:pPr>
      <w:r w:rsidRPr="00984F27">
        <w:lastRenderedPageBreak/>
        <w:t xml:space="preserve">Spolu </w:t>
      </w:r>
      <w:r w:rsidR="00980DC3" w:rsidRPr="00984F27">
        <w:t>s poklesem ú</w:t>
      </w:r>
      <w:r w:rsidR="002E0D6B" w:rsidRPr="00984F27">
        <w:t>spor v</w:t>
      </w:r>
      <w:r w:rsidR="00831DCC" w:rsidRPr="00984F27">
        <w:t>e</w:t>
      </w:r>
      <w:r w:rsidR="00980DC3" w:rsidRPr="00984F27">
        <w:t xml:space="preserve"> </w:t>
      </w:r>
      <w:r w:rsidR="00AA45ED">
        <w:t>3</w:t>
      </w:r>
      <w:r w:rsidR="00D9773F" w:rsidRPr="00984F27">
        <w:t>. čtvrtletí</w:t>
      </w:r>
      <w:r w:rsidRPr="00984F27">
        <w:t xml:space="preserve"> </w:t>
      </w:r>
      <w:r w:rsidR="00980DC3" w:rsidRPr="00984F27">
        <w:t xml:space="preserve">2025 </w:t>
      </w:r>
      <w:r w:rsidR="00984F27" w:rsidRPr="00984F27">
        <w:t xml:space="preserve">stagnovala </w:t>
      </w:r>
      <w:r w:rsidR="002E0D6B" w:rsidRPr="00984F27">
        <w:t>investiční aktivita nefinančních podniků</w:t>
      </w:r>
      <w:r w:rsidRPr="00984F27">
        <w:t>.</w:t>
      </w:r>
      <w:r w:rsidR="002131E9" w:rsidRPr="00984F27">
        <w:t xml:space="preserve"> </w:t>
      </w:r>
      <w:r w:rsidR="00106822" w:rsidRPr="00984F27">
        <w:t>Nominálně byly i</w:t>
      </w:r>
      <w:r w:rsidR="003A2D5B" w:rsidRPr="00984F27">
        <w:t>nvestice</w:t>
      </w:r>
      <w:r w:rsidR="00377BC7" w:rsidRPr="00984F27">
        <w:rPr>
          <w:rStyle w:val="Znakapoznpodarou"/>
        </w:rPr>
        <w:footnoteReference w:id="14"/>
      </w:r>
      <w:r w:rsidR="003A2D5B" w:rsidRPr="00984F27">
        <w:t xml:space="preserve"> </w:t>
      </w:r>
      <w:r w:rsidR="00106822" w:rsidRPr="00984F27">
        <w:t xml:space="preserve">sice </w:t>
      </w:r>
      <w:r w:rsidR="00E3142C" w:rsidRPr="00984F27">
        <w:t>o </w:t>
      </w:r>
      <w:r w:rsidR="0060398F">
        <w:t>2,2</w:t>
      </w:r>
      <w:r w:rsidR="00E3142C" w:rsidRPr="00984F27">
        <w:t> </w:t>
      </w:r>
      <w:r w:rsidR="00036265" w:rsidRPr="00984F27">
        <w:t xml:space="preserve">% </w:t>
      </w:r>
      <w:r w:rsidR="00106822" w:rsidRPr="00984F27">
        <w:t xml:space="preserve">vyšší </w:t>
      </w:r>
      <w:r w:rsidR="00036265" w:rsidRPr="00984F27">
        <w:t>než před rokem</w:t>
      </w:r>
      <w:r w:rsidR="00984F27" w:rsidRPr="00984F27">
        <w:t xml:space="preserve"> a </w:t>
      </w:r>
      <w:r w:rsidRPr="00984F27">
        <w:t xml:space="preserve">mezičtvrtletně </w:t>
      </w:r>
      <w:r w:rsidR="00984F27" w:rsidRPr="00984F27">
        <w:t xml:space="preserve">byly vyšší </w:t>
      </w:r>
      <w:r w:rsidRPr="00984F27">
        <w:t>o </w:t>
      </w:r>
      <w:r w:rsidR="00984F27" w:rsidRPr="00984F27">
        <w:t>2,</w:t>
      </w:r>
      <w:r w:rsidR="0060398F">
        <w:t>0</w:t>
      </w:r>
      <w:r w:rsidR="00106822" w:rsidRPr="00984F27">
        <w:t> %</w:t>
      </w:r>
      <w:r w:rsidR="00377BC7" w:rsidRPr="00984F27">
        <w:rPr>
          <w:rStyle w:val="Znakapoznpodarou"/>
        </w:rPr>
        <w:footnoteReference w:id="15"/>
      </w:r>
      <w:r w:rsidR="00984F27" w:rsidRPr="00984F27">
        <w:t xml:space="preserve">, ale </w:t>
      </w:r>
      <w:r w:rsidR="00984F27" w:rsidRPr="00984F27">
        <w:rPr>
          <w:b/>
        </w:rPr>
        <w:t>m</w:t>
      </w:r>
      <w:r w:rsidR="0074004B" w:rsidRPr="00984F27">
        <w:rPr>
          <w:b/>
        </w:rPr>
        <w:t>íra investic</w:t>
      </w:r>
      <w:r w:rsidR="00215652" w:rsidRPr="00984F27">
        <w:rPr>
          <w:rStyle w:val="Znakapoznpodarou"/>
        </w:rPr>
        <w:footnoteReference w:id="16"/>
      </w:r>
      <w:r w:rsidR="00377BC7" w:rsidRPr="00984F27">
        <w:t xml:space="preserve"> </w:t>
      </w:r>
      <w:r w:rsidR="00106822" w:rsidRPr="00984F27">
        <w:t xml:space="preserve">poklesla na </w:t>
      </w:r>
      <w:r w:rsidR="00370CC9" w:rsidRPr="00984F27">
        <w:t>26,</w:t>
      </w:r>
      <w:r w:rsidR="0060398F">
        <w:t>8</w:t>
      </w:r>
      <w:r w:rsidR="00370CC9" w:rsidRPr="00984F27">
        <w:t xml:space="preserve"> %</w:t>
      </w:r>
      <w:r w:rsidR="00377BC7" w:rsidRPr="00984F27">
        <w:rPr>
          <w:rStyle w:val="Znakapoznpodarou"/>
        </w:rPr>
        <w:footnoteReference w:id="17"/>
      </w:r>
      <w:r w:rsidR="00984F27" w:rsidRPr="00984F27">
        <w:t>, c</w:t>
      </w:r>
      <w:r w:rsidR="00106822" w:rsidRPr="00984F27">
        <w:t xml:space="preserve">ož bylo meziročně méně o </w:t>
      </w:r>
      <w:r w:rsidR="00984F27" w:rsidRPr="00984F27">
        <w:t>1,</w:t>
      </w:r>
      <w:r w:rsidR="0060398F">
        <w:t>0</w:t>
      </w:r>
      <w:r w:rsidR="00106822" w:rsidRPr="00984F27">
        <w:t xml:space="preserve"> </w:t>
      </w:r>
      <w:proofErr w:type="spellStart"/>
      <w:r w:rsidR="00106822" w:rsidRPr="00984F27">
        <w:t>p.b</w:t>
      </w:r>
      <w:proofErr w:type="spellEnd"/>
      <w:r w:rsidR="00106822" w:rsidRPr="00984F27">
        <w:t>.</w:t>
      </w:r>
      <w:r w:rsidR="00611237" w:rsidRPr="00984F27">
        <w:t xml:space="preserve"> </w:t>
      </w:r>
      <w:r w:rsidR="0082505B" w:rsidRPr="00F677CC">
        <w:t xml:space="preserve">V důsledku </w:t>
      </w:r>
      <w:r w:rsidR="002131E9" w:rsidRPr="00F677CC">
        <w:t xml:space="preserve">souběhu </w:t>
      </w:r>
      <w:r w:rsidR="00F677CC" w:rsidRPr="00F677CC">
        <w:t>všech výše zmíněných tendencí se snížilo</w:t>
      </w:r>
      <w:r w:rsidR="00106822" w:rsidRPr="00F677CC">
        <w:t xml:space="preserve"> </w:t>
      </w:r>
      <w:r w:rsidR="0095441A" w:rsidRPr="00F677CC">
        <w:t>množství volných prostředků</w:t>
      </w:r>
      <w:r w:rsidR="00106822" w:rsidRPr="00F677CC">
        <w:t>, které nefinančním podnikům zbýval</w:t>
      </w:r>
      <w:r w:rsidR="00D1397B" w:rsidRPr="00F677CC">
        <w:t>y</w:t>
      </w:r>
      <w:r w:rsidR="00106822" w:rsidRPr="00F677CC">
        <w:t xml:space="preserve"> k </w:t>
      </w:r>
      <w:r w:rsidR="0095441A" w:rsidRPr="00F677CC">
        <w:t xml:space="preserve">financování </w:t>
      </w:r>
      <w:r w:rsidR="004F0245" w:rsidRPr="00F677CC">
        <w:t xml:space="preserve">dalších </w:t>
      </w:r>
      <w:r w:rsidR="0095441A" w:rsidRPr="00F677CC">
        <w:t>podnikatelských aktivit</w:t>
      </w:r>
      <w:r w:rsidR="00F677CC" w:rsidRPr="00F677CC">
        <w:t>, což vedlo ke zvýšené</w:t>
      </w:r>
      <w:r w:rsidR="004F756E" w:rsidRPr="00F677CC">
        <w:t xml:space="preserve"> </w:t>
      </w:r>
      <w:r w:rsidR="0095441A" w:rsidRPr="00F677CC">
        <w:t>potřeb</w:t>
      </w:r>
      <w:r w:rsidR="00F677CC" w:rsidRPr="00F677CC">
        <w:t>ě</w:t>
      </w:r>
      <w:r w:rsidR="0095441A" w:rsidRPr="00F677CC">
        <w:t xml:space="preserve"> půjčovat si od ostatních sektorů</w:t>
      </w:r>
      <w:r w:rsidR="0082505B" w:rsidRPr="00F677CC">
        <w:rPr>
          <w:rStyle w:val="Znakapoznpodarou"/>
        </w:rPr>
        <w:footnoteReference w:id="18"/>
      </w:r>
      <w:r w:rsidR="001F39A8" w:rsidRPr="00F677CC">
        <w:t xml:space="preserve">. </w:t>
      </w:r>
    </w:p>
    <w:p w14:paraId="011071A4" w14:textId="62E0C671" w:rsidR="00B32310" w:rsidRPr="008E0E03" w:rsidRDefault="00B32310" w:rsidP="00DE7F36">
      <w:pPr>
        <w:pStyle w:val="TabulkaGraf"/>
        <w:keepNext/>
        <w:spacing w:before="120"/>
      </w:pPr>
      <w:r w:rsidRPr="008E0E03">
        <w:t>Graf </w:t>
      </w:r>
      <w:r w:rsidR="00EF78AD">
        <w:t>7</w:t>
      </w:r>
      <w:r w:rsidRPr="008E0E03">
        <w:t xml:space="preserve">: </w:t>
      </w:r>
      <w:r w:rsidRPr="001C48A2">
        <w:t xml:space="preserve">Rozklad meziroční </w:t>
      </w:r>
      <w:r>
        <w:t xml:space="preserve">nominální </w:t>
      </w:r>
      <w:r w:rsidRPr="001C48A2">
        <w:t xml:space="preserve">změny čistých </w:t>
      </w:r>
      <w:r>
        <w:t>půjček/</w:t>
      </w:r>
      <w:r w:rsidRPr="001C48A2">
        <w:t xml:space="preserve">výpůjček </w:t>
      </w:r>
      <w:r>
        <w:t xml:space="preserve">(-) </w:t>
      </w:r>
      <w:r w:rsidRPr="001C48A2">
        <w:t>sektoru nefinančních podniků (v mil. Kč)</w:t>
      </w:r>
      <w:r>
        <w:t xml:space="preserve"> </w:t>
      </w:r>
    </w:p>
    <w:p w14:paraId="6EE450AE" w14:textId="06866C77" w:rsidR="00B32310" w:rsidRDefault="00AA45ED" w:rsidP="00B32310">
      <w:pPr>
        <w:spacing w:before="120" w:after="120"/>
      </w:pPr>
      <w:r w:rsidRPr="00AA45ED">
        <w:rPr>
          <w:noProof/>
        </w:rPr>
        <w:drawing>
          <wp:inline distT="0" distB="0" distL="0" distR="0" wp14:anchorId="28AE6B94" wp14:editId="439D59AF">
            <wp:extent cx="5041265" cy="2225675"/>
            <wp:effectExtent l="0" t="0" r="6985" b="3175"/>
            <wp:docPr id="527456817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852F" w14:textId="664AFB19" w:rsidR="00614E84" w:rsidRPr="008E0E03" w:rsidRDefault="00614E84" w:rsidP="00614E84">
      <w:pPr>
        <w:pStyle w:val="TabulkaGraf"/>
        <w:keepNext/>
        <w:spacing w:before="120"/>
      </w:pPr>
      <w:r w:rsidRPr="008E0E03">
        <w:t>Graf </w:t>
      </w:r>
      <w:r>
        <w:t>8</w:t>
      </w:r>
      <w:r w:rsidRPr="008E0E03">
        <w:t xml:space="preserve">: </w:t>
      </w:r>
      <w:r w:rsidRPr="00614E84">
        <w:t xml:space="preserve">Rozklad </w:t>
      </w:r>
      <w:r w:rsidR="002C1C3A">
        <w:t>p</w:t>
      </w:r>
      <w:r w:rsidRPr="00614E84">
        <w:t xml:space="preserve">otřeby financování </w:t>
      </w:r>
      <w:r>
        <w:t>sektoru nefinančních podniků (v </w:t>
      </w:r>
      <w:r w:rsidRPr="00614E84">
        <w:t>mil. Kč)</w:t>
      </w:r>
    </w:p>
    <w:p w14:paraId="6A754BD6" w14:textId="258EC9A6" w:rsidR="00614E84" w:rsidRDefault="00654631" w:rsidP="00B32310">
      <w:pPr>
        <w:spacing w:before="120" w:after="120"/>
      </w:pPr>
      <w:r w:rsidRPr="00654631">
        <w:rPr>
          <w:noProof/>
        </w:rPr>
        <w:drawing>
          <wp:inline distT="0" distB="0" distL="0" distR="0" wp14:anchorId="4525A6AE" wp14:editId="06131810">
            <wp:extent cx="5041265" cy="2245995"/>
            <wp:effectExtent l="0" t="0" r="6985" b="1905"/>
            <wp:docPr id="1416440219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1046" w14:textId="4E9F7116" w:rsidR="00F50CEF" w:rsidRPr="00997580" w:rsidRDefault="00997580" w:rsidP="00610BB7">
      <w:pPr>
        <w:keepNext/>
        <w:spacing w:before="960" w:after="120"/>
        <w:rPr>
          <w:b/>
          <w:bCs/>
          <w:u w:val="single"/>
        </w:rPr>
      </w:pPr>
      <w:r w:rsidRPr="00997580">
        <w:rPr>
          <w:b/>
          <w:bCs/>
          <w:u w:val="single"/>
        </w:rPr>
        <w:lastRenderedPageBreak/>
        <w:t>Sektor v</w:t>
      </w:r>
      <w:r w:rsidR="00F50CEF" w:rsidRPr="00997580">
        <w:rPr>
          <w:b/>
          <w:bCs/>
          <w:u w:val="single"/>
        </w:rPr>
        <w:t>ládní</w:t>
      </w:r>
      <w:r w:rsidRPr="00997580">
        <w:rPr>
          <w:b/>
          <w:bCs/>
          <w:u w:val="single"/>
        </w:rPr>
        <w:t>ch</w:t>
      </w:r>
      <w:r w:rsidR="00F50CEF" w:rsidRPr="00997580">
        <w:rPr>
          <w:b/>
          <w:bCs/>
          <w:u w:val="single"/>
        </w:rPr>
        <w:t xml:space="preserve"> instituc</w:t>
      </w:r>
      <w:r w:rsidRPr="00997580">
        <w:rPr>
          <w:b/>
          <w:bCs/>
          <w:u w:val="single"/>
        </w:rPr>
        <w:t>í</w:t>
      </w:r>
      <w:r w:rsidR="00536481" w:rsidRPr="00536481">
        <w:rPr>
          <w:rStyle w:val="Znakapoznpodarou"/>
          <w:bCs/>
        </w:rPr>
        <w:footnoteReference w:id="19"/>
      </w:r>
    </w:p>
    <w:p w14:paraId="1CFFE163" w14:textId="10F8ABCC" w:rsidR="00997580" w:rsidRDefault="00515379" w:rsidP="00997580">
      <w:pPr>
        <w:spacing w:after="120"/>
      </w:pPr>
      <w:r w:rsidRPr="00672473">
        <w:rPr>
          <w:b/>
        </w:rPr>
        <w:t>Saldo hospodaření</w:t>
      </w:r>
      <w:r w:rsidR="00315880" w:rsidRPr="00672473">
        <w:rPr>
          <w:rStyle w:val="Znakapoznpodarou"/>
        </w:rPr>
        <w:footnoteReference w:id="20"/>
      </w:r>
      <w:r w:rsidRPr="00672473">
        <w:t xml:space="preserve"> sektoru vládních institucí </w:t>
      </w:r>
      <w:r w:rsidR="00617FA2">
        <w:t xml:space="preserve">dosáhlo </w:t>
      </w:r>
      <w:r w:rsidRPr="00672473">
        <w:t>v</w:t>
      </w:r>
      <w:r w:rsidR="00657C30">
        <w:t>e</w:t>
      </w:r>
      <w:r w:rsidR="00315880" w:rsidRPr="00672473">
        <w:t xml:space="preserve"> </w:t>
      </w:r>
      <w:r w:rsidR="00634BC4">
        <w:t>3</w:t>
      </w:r>
      <w:r w:rsidRPr="00672473">
        <w:t>.</w:t>
      </w:r>
      <w:r w:rsidR="00315880" w:rsidRPr="00672473">
        <w:t> </w:t>
      </w:r>
      <w:r w:rsidRPr="00672473">
        <w:t>čtvrtletí roku 202</w:t>
      </w:r>
      <w:r w:rsidR="00617FA2">
        <w:t>5</w:t>
      </w:r>
      <w:r w:rsidRPr="00672473">
        <w:t xml:space="preserve"> </w:t>
      </w:r>
      <w:r w:rsidR="00D71615">
        <w:t>deficitu</w:t>
      </w:r>
      <w:r w:rsidR="00997580" w:rsidRPr="00672473">
        <w:t xml:space="preserve"> </w:t>
      </w:r>
      <w:r w:rsidR="00D71615">
        <w:t>25,4</w:t>
      </w:r>
      <w:r w:rsidR="00997580" w:rsidRPr="00672473">
        <w:t> mld. Kč</w:t>
      </w:r>
      <w:r w:rsidR="0013092D" w:rsidRPr="00672473">
        <w:t xml:space="preserve">, což </w:t>
      </w:r>
      <w:r w:rsidR="00617FA2">
        <w:t>byl</w:t>
      </w:r>
      <w:r w:rsidR="00D71615">
        <w:t xml:space="preserve"> </w:t>
      </w:r>
      <w:r w:rsidR="00617FA2">
        <w:t xml:space="preserve">o </w:t>
      </w:r>
      <w:r w:rsidR="00D71615">
        <w:t>6,2</w:t>
      </w:r>
      <w:r w:rsidR="00910F49" w:rsidRPr="00672473">
        <w:t xml:space="preserve"> </w:t>
      </w:r>
      <w:r w:rsidR="00997580" w:rsidRPr="00672473">
        <w:t xml:space="preserve">mld. Kč </w:t>
      </w:r>
      <w:r w:rsidR="00657C30">
        <w:t>lepší</w:t>
      </w:r>
      <w:r w:rsidR="00617FA2">
        <w:t xml:space="preserve"> výsledek </w:t>
      </w:r>
      <w:r w:rsidR="00997580" w:rsidRPr="00672473">
        <w:t xml:space="preserve">než </w:t>
      </w:r>
      <w:r w:rsidR="00910F49" w:rsidRPr="00672473">
        <w:t>v předchozím roce</w:t>
      </w:r>
      <w:r w:rsidR="00997580" w:rsidRPr="00672473">
        <w:t xml:space="preserve">. </w:t>
      </w:r>
      <w:r w:rsidR="00D71615">
        <w:t>Deficit</w:t>
      </w:r>
      <w:r w:rsidR="00657C30">
        <w:t xml:space="preserve"> </w:t>
      </w:r>
      <w:r w:rsidR="00A93505" w:rsidRPr="00672473">
        <w:t xml:space="preserve">dosahoval </w:t>
      </w:r>
      <w:r w:rsidR="00672473" w:rsidRPr="00672473">
        <w:t xml:space="preserve">v tomto čtvrtletí </w:t>
      </w:r>
      <w:r w:rsidR="00A93505" w:rsidRPr="00672473">
        <w:t xml:space="preserve">hodnoty </w:t>
      </w:r>
      <w:r w:rsidR="00D71615">
        <w:t>1,</w:t>
      </w:r>
      <w:r w:rsidR="0017345A">
        <w:t>2</w:t>
      </w:r>
      <w:r w:rsidR="00657C30">
        <w:t xml:space="preserve"> </w:t>
      </w:r>
      <w:r w:rsidR="00A93505" w:rsidRPr="00672473">
        <w:t>% HDP.</w:t>
      </w:r>
    </w:p>
    <w:p w14:paraId="5383CA9F" w14:textId="49284F6B" w:rsidR="00C60134" w:rsidRPr="00A54604" w:rsidRDefault="00C60134" w:rsidP="00C60134">
      <w:pPr>
        <w:keepNext/>
        <w:rPr>
          <w:b/>
        </w:rPr>
      </w:pPr>
      <w:r w:rsidRPr="00A54604">
        <w:rPr>
          <w:b/>
        </w:rPr>
        <w:t xml:space="preserve">Graf </w:t>
      </w:r>
      <w:r w:rsidR="00CD7AF4">
        <w:rPr>
          <w:b/>
        </w:rPr>
        <w:t>9</w:t>
      </w:r>
      <w:r w:rsidRPr="00A54604">
        <w:rPr>
          <w:b/>
        </w:rPr>
        <w:t xml:space="preserve">: </w:t>
      </w:r>
      <w:r w:rsidRPr="0047791B">
        <w:rPr>
          <w:b/>
        </w:rPr>
        <w:t>Saldo hosp</w:t>
      </w:r>
      <w:r>
        <w:rPr>
          <w:b/>
        </w:rPr>
        <w:t>od</w:t>
      </w:r>
      <w:r w:rsidRPr="0047791B">
        <w:rPr>
          <w:b/>
        </w:rPr>
        <w:t>aření sektoru vládních institucí (v mil. Kč)</w:t>
      </w:r>
    </w:p>
    <w:p w14:paraId="0A839FB3" w14:textId="4046BC02" w:rsidR="005B02D8" w:rsidRDefault="00D71615" w:rsidP="00997580">
      <w:pPr>
        <w:spacing w:before="120"/>
      </w:pPr>
      <w:r w:rsidRPr="00D71615">
        <w:rPr>
          <w:noProof/>
        </w:rPr>
        <w:drawing>
          <wp:inline distT="0" distB="0" distL="0" distR="0" wp14:anchorId="04A89840" wp14:editId="02B3A17C">
            <wp:extent cx="5041265" cy="2057400"/>
            <wp:effectExtent l="0" t="0" r="6985" b="0"/>
            <wp:docPr id="152978161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5C43" w14:textId="01CDC99C" w:rsidR="00D82C80" w:rsidRPr="00D82C80" w:rsidRDefault="00BF5A57" w:rsidP="00BF5A57">
      <w:pPr>
        <w:spacing w:before="120" w:after="120"/>
      </w:pPr>
      <w:r>
        <w:t xml:space="preserve">Meziroční </w:t>
      </w:r>
      <w:r w:rsidR="004F24A4">
        <w:t xml:space="preserve">mírné zlepšení </w:t>
      </w:r>
      <w:r>
        <w:t>salda hospodaření vládních institucí souvisel</w:t>
      </w:r>
      <w:r w:rsidR="00A46D74">
        <w:t>o</w:t>
      </w:r>
      <w:r>
        <w:t xml:space="preserve"> zejména s tím, že příjmy </w:t>
      </w:r>
      <w:r w:rsidR="004F24A4">
        <w:t>rostly m</w:t>
      </w:r>
      <w:r w:rsidR="00704D92">
        <w:t>í</w:t>
      </w:r>
      <w:r w:rsidR="004F24A4">
        <w:t xml:space="preserve">rně </w:t>
      </w:r>
      <w:r w:rsidR="00704D92">
        <w:t>víc</w:t>
      </w:r>
      <w:r w:rsidR="004F24A4">
        <w:t xml:space="preserve"> než </w:t>
      </w:r>
      <w:r>
        <w:t>výdaj</w:t>
      </w:r>
      <w:r w:rsidR="004F24A4">
        <w:t>e</w:t>
      </w:r>
      <w:r w:rsidR="00704D92">
        <w:t xml:space="preserve"> </w:t>
      </w:r>
      <w:r w:rsidR="00A46D74">
        <w:t xml:space="preserve">stejně jako v předchozím </w:t>
      </w:r>
      <w:r w:rsidR="00704D92">
        <w:t>čtvrtletí</w:t>
      </w:r>
      <w:r w:rsidR="004F24A4">
        <w:t>. Pokračoval tak trend relativního sladění tempa růstu výdajů a</w:t>
      </w:r>
      <w:r w:rsidR="00704D92">
        <w:t> </w:t>
      </w:r>
      <w:r w:rsidR="004F24A4">
        <w:t>příjmů, které se</w:t>
      </w:r>
      <w:r w:rsidR="00C1083C">
        <w:t xml:space="preserve"> </w:t>
      </w:r>
      <w:r w:rsidR="000D6DD3">
        <w:t xml:space="preserve">naopak </w:t>
      </w:r>
      <w:r w:rsidR="004F24A4">
        <w:t xml:space="preserve">od roku 2020 poměrně </w:t>
      </w:r>
      <w:r w:rsidR="000D6DD3">
        <w:t xml:space="preserve">značně </w:t>
      </w:r>
      <w:r w:rsidR="004F24A4">
        <w:t xml:space="preserve">rozcházely. </w:t>
      </w:r>
    </w:p>
    <w:p w14:paraId="27A31158" w14:textId="1596AA10" w:rsidR="00A54604" w:rsidRDefault="00A54604" w:rsidP="000D6DD3">
      <w:pPr>
        <w:keepNext/>
        <w:spacing w:before="120"/>
        <w:rPr>
          <w:b/>
        </w:rPr>
      </w:pPr>
      <w:r w:rsidRPr="00CE01A2">
        <w:rPr>
          <w:b/>
        </w:rPr>
        <w:t xml:space="preserve">Graf </w:t>
      </w:r>
      <w:r w:rsidR="00CD7AF4">
        <w:rPr>
          <w:b/>
        </w:rPr>
        <w:t>10</w:t>
      </w:r>
      <w:r w:rsidRPr="00CE01A2">
        <w:rPr>
          <w:b/>
        </w:rPr>
        <w:t xml:space="preserve">: </w:t>
      </w:r>
      <w:r w:rsidR="00A3797B" w:rsidRPr="00CE01A2">
        <w:rPr>
          <w:b/>
        </w:rPr>
        <w:t>Meziroční změny salda příjmů a výdajů vládních institucí (v mil. Kč)</w:t>
      </w:r>
    </w:p>
    <w:p w14:paraId="36D16C82" w14:textId="3CF30115" w:rsidR="00FF04A2" w:rsidRPr="00FF04A2" w:rsidRDefault="000D6DD3" w:rsidP="00ED28CB">
      <w:pPr>
        <w:spacing w:after="120"/>
      </w:pPr>
      <w:r w:rsidRPr="000D6DD3">
        <w:rPr>
          <w:noProof/>
        </w:rPr>
        <w:drawing>
          <wp:inline distT="0" distB="0" distL="0" distR="0" wp14:anchorId="2A0F13BA" wp14:editId="65A66EBC">
            <wp:extent cx="5041265" cy="2225675"/>
            <wp:effectExtent l="0" t="0" r="6985" b="3175"/>
            <wp:docPr id="177042575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E03A6" w14:textId="59B640C9" w:rsidR="004E7142" w:rsidRDefault="002C63E3" w:rsidP="00ED28CB">
      <w:pPr>
        <w:spacing w:before="120" w:after="120"/>
      </w:pPr>
      <w:r w:rsidRPr="007B7CD5">
        <w:rPr>
          <w:b/>
        </w:rPr>
        <w:t xml:space="preserve">Příjmy </w:t>
      </w:r>
      <w:r w:rsidR="00794A29" w:rsidRPr="007B7CD5">
        <w:t xml:space="preserve">rozpočtů sektoru vládních institucí </w:t>
      </w:r>
      <w:r w:rsidR="00E46DEC" w:rsidRPr="007B7CD5">
        <w:t xml:space="preserve">nominálně </w:t>
      </w:r>
      <w:r w:rsidR="006E5F8A" w:rsidRPr="007B7CD5">
        <w:t xml:space="preserve">vzrostly </w:t>
      </w:r>
      <w:r w:rsidR="00794A29" w:rsidRPr="007B7CD5">
        <w:t xml:space="preserve">meziročně </w:t>
      </w:r>
      <w:r w:rsidR="005B2447" w:rsidRPr="007B7CD5">
        <w:t xml:space="preserve">o </w:t>
      </w:r>
      <w:r w:rsidR="00C1083C">
        <w:t>7,2</w:t>
      </w:r>
      <w:r w:rsidR="0064722F" w:rsidRPr="007B7CD5">
        <w:t> </w:t>
      </w:r>
      <w:r w:rsidR="006E5F8A" w:rsidRPr="007B7CD5">
        <w:t>%</w:t>
      </w:r>
      <w:r w:rsidR="001A0579" w:rsidRPr="007B7CD5">
        <w:t>, což byl</w:t>
      </w:r>
      <w:r w:rsidR="00C1083C">
        <w:t xml:space="preserve">o mírně víc než v předchozím čtvrtletí a </w:t>
      </w:r>
      <w:r w:rsidR="003D47A5">
        <w:t xml:space="preserve">šlo o tempo, které bylo </w:t>
      </w:r>
      <w:r w:rsidR="007B7CD5" w:rsidRPr="007B7CD5">
        <w:t>obvyklé</w:t>
      </w:r>
      <w:r w:rsidR="003D47A5">
        <w:t xml:space="preserve"> </w:t>
      </w:r>
      <w:r w:rsidR="007B7CD5" w:rsidRPr="007B7CD5">
        <w:t xml:space="preserve">v roce 2024. </w:t>
      </w:r>
      <w:r w:rsidR="00F04D12">
        <w:t xml:space="preserve">Podobně jako v jiných obdobích byl </w:t>
      </w:r>
      <w:r w:rsidR="003C3C67" w:rsidRPr="007B7CD5">
        <w:t>r</w:t>
      </w:r>
      <w:r w:rsidR="00555FB9" w:rsidRPr="007B7CD5">
        <w:t xml:space="preserve">ůst příjmů podpořen </w:t>
      </w:r>
      <w:r w:rsidR="00F04D12">
        <w:t>především rů</w:t>
      </w:r>
      <w:r w:rsidR="00555FB9" w:rsidRPr="007B7CD5">
        <w:t>stem přijatých sociálních příspěvků</w:t>
      </w:r>
      <w:r w:rsidR="00555FB9" w:rsidRPr="005A46DC">
        <w:rPr>
          <w:rStyle w:val="Znakapoznpodarou"/>
        </w:rPr>
        <w:footnoteReference w:id="21"/>
      </w:r>
      <w:r w:rsidR="006B2A1D">
        <w:t xml:space="preserve"> </w:t>
      </w:r>
      <w:r w:rsidR="006B2A1D" w:rsidRPr="00DC7659">
        <w:lastRenderedPageBreak/>
        <w:t>výběr daní z příjmu</w:t>
      </w:r>
      <w:r w:rsidR="006B2A1D" w:rsidRPr="00DC7659">
        <w:rPr>
          <w:rStyle w:val="Znakapoznpodarou"/>
        </w:rPr>
        <w:footnoteReference w:id="22"/>
      </w:r>
      <w:r w:rsidR="001A0579" w:rsidRPr="005A46DC">
        <w:t xml:space="preserve">. </w:t>
      </w:r>
      <w:r w:rsidR="00176582">
        <w:t xml:space="preserve">Na druhou stranu mírně klesl </w:t>
      </w:r>
      <w:r w:rsidR="00B23BA9" w:rsidRPr="00DC7659">
        <w:t xml:space="preserve">výběr </w:t>
      </w:r>
      <w:r w:rsidR="00BB4F73" w:rsidRPr="00DC7659">
        <w:t>daně z přidané hodnoty</w:t>
      </w:r>
      <w:r w:rsidR="00BB4F73" w:rsidRPr="00DC7659">
        <w:rPr>
          <w:rStyle w:val="Znakapoznpodarou"/>
        </w:rPr>
        <w:footnoteReference w:id="23"/>
      </w:r>
      <w:r w:rsidR="00176582">
        <w:t xml:space="preserve">, což bylo ale kompenzováno mírným růstem spotřebních daní. </w:t>
      </w:r>
    </w:p>
    <w:p w14:paraId="2FFB7B26" w14:textId="75FF5389" w:rsidR="002C68FE" w:rsidRPr="00A54604" w:rsidRDefault="002C68FE" w:rsidP="00D81592">
      <w:pPr>
        <w:keepNext/>
        <w:spacing w:before="120"/>
        <w:rPr>
          <w:b/>
        </w:rPr>
      </w:pPr>
      <w:r w:rsidRPr="00A54604">
        <w:rPr>
          <w:b/>
        </w:rPr>
        <w:t xml:space="preserve">Graf </w:t>
      </w:r>
      <w:r w:rsidR="00CD7AF4">
        <w:rPr>
          <w:b/>
        </w:rPr>
        <w:t>11</w:t>
      </w:r>
      <w:r w:rsidRPr="00A54604">
        <w:rPr>
          <w:b/>
        </w:rPr>
        <w:t xml:space="preserve">: </w:t>
      </w:r>
      <w:r w:rsidRPr="002C68FE">
        <w:rPr>
          <w:b/>
        </w:rPr>
        <w:t>Rozklad meziroční změny příjmů sektoru vládních institucí (v mil. Kč)</w:t>
      </w:r>
    </w:p>
    <w:p w14:paraId="7980F09B" w14:textId="099F17AB" w:rsidR="00E070D7" w:rsidRDefault="00C74A1A" w:rsidP="00515379">
      <w:pPr>
        <w:spacing w:after="120"/>
        <w:rPr>
          <w:b/>
        </w:rPr>
      </w:pPr>
      <w:r w:rsidRPr="00C74A1A">
        <w:rPr>
          <w:noProof/>
        </w:rPr>
        <w:drawing>
          <wp:inline distT="0" distB="0" distL="0" distR="0" wp14:anchorId="72E48246" wp14:editId="100E249B">
            <wp:extent cx="5053330" cy="2265680"/>
            <wp:effectExtent l="0" t="0" r="0" b="1270"/>
            <wp:docPr id="352989275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37EAF" w14:textId="5688A1A7" w:rsidR="00794A29" w:rsidRDefault="004F22C4" w:rsidP="006B1247">
      <w:pPr>
        <w:spacing w:after="60"/>
        <w:rPr>
          <w:b/>
        </w:rPr>
      </w:pPr>
      <w:r w:rsidRPr="00787502">
        <w:rPr>
          <w:b/>
        </w:rPr>
        <w:t>Výdaje</w:t>
      </w:r>
      <w:r w:rsidRPr="00787502">
        <w:t xml:space="preserve"> rozpočtů sektoru vládních institucí </w:t>
      </w:r>
      <w:r w:rsidR="00E3363A" w:rsidRPr="00787502">
        <w:t>byl</w:t>
      </w:r>
      <w:r w:rsidR="004C7555" w:rsidRPr="00787502">
        <w:t>y</w:t>
      </w:r>
      <w:r w:rsidR="00E3363A" w:rsidRPr="00787502">
        <w:t xml:space="preserve"> nominálně o </w:t>
      </w:r>
      <w:r w:rsidR="00EE40EF">
        <w:t>6</w:t>
      </w:r>
      <w:r w:rsidR="005371EC">
        <w:t>,</w:t>
      </w:r>
      <w:r w:rsidR="00EE40EF">
        <w:t>2</w:t>
      </w:r>
      <w:r w:rsidR="00E3363A" w:rsidRPr="00787502">
        <w:t xml:space="preserve"> % vyšší než ve stejném čtvrtletí roku 202</w:t>
      </w:r>
      <w:r w:rsidR="009F51D5">
        <w:t>4</w:t>
      </w:r>
      <w:r w:rsidR="00E3363A" w:rsidRPr="003806EF">
        <w:t xml:space="preserve">. </w:t>
      </w:r>
      <w:r w:rsidR="009F51D5">
        <w:t xml:space="preserve">S výjimkou </w:t>
      </w:r>
      <w:r w:rsidR="00C752ED">
        <w:t xml:space="preserve">stagnujících </w:t>
      </w:r>
      <w:r w:rsidR="001106F4">
        <w:t xml:space="preserve">kapitálových </w:t>
      </w:r>
      <w:r w:rsidR="00C752ED">
        <w:t xml:space="preserve">a ostatních </w:t>
      </w:r>
      <w:r w:rsidR="0005077B">
        <w:t xml:space="preserve">běžných </w:t>
      </w:r>
      <w:r w:rsidR="00C752ED">
        <w:t xml:space="preserve">transferů </w:t>
      </w:r>
      <w:r w:rsidR="004F5D3A">
        <w:t>byl</w:t>
      </w:r>
      <w:r w:rsidR="009F51D5">
        <w:t xml:space="preserve"> tento růst tažen relativně rovnoměrně všemi položkami výdajů. Obvykle n</w:t>
      </w:r>
      <w:r w:rsidR="00D15F8F" w:rsidRPr="00303E0F">
        <w:t>ejvětší část c</w:t>
      </w:r>
      <w:r w:rsidR="009D1F3B">
        <w:t>elkového růstu výdajů připad</w:t>
      </w:r>
      <w:r w:rsidR="00780D9B">
        <w:t>á</w:t>
      </w:r>
      <w:r w:rsidR="009F51D5">
        <w:t xml:space="preserve"> </w:t>
      </w:r>
      <w:r w:rsidR="00D15F8F" w:rsidRPr="00303E0F">
        <w:t>na sociální dávky</w:t>
      </w:r>
      <w:r w:rsidR="00D15F8F" w:rsidRPr="00303E0F">
        <w:rPr>
          <w:rStyle w:val="Znakapoznpodarou"/>
        </w:rPr>
        <w:footnoteReference w:id="24"/>
      </w:r>
      <w:r w:rsidR="009F51D5">
        <w:t xml:space="preserve"> (</w:t>
      </w:r>
      <w:r w:rsidR="009F51D5" w:rsidRPr="0083521F">
        <w:t xml:space="preserve">tažené </w:t>
      </w:r>
      <w:r w:rsidR="009F51D5" w:rsidRPr="004B150D">
        <w:t>zejména meziročním růstem starobních důchodů, ale například i růstem příspěvků na bydlení či nákladů zdravotních pojišťoven na zdravotní služby</w:t>
      </w:r>
      <w:r w:rsidR="009F51D5">
        <w:t>)</w:t>
      </w:r>
      <w:r w:rsidR="004F5D3A">
        <w:t>,</w:t>
      </w:r>
      <w:r w:rsidR="009F51D5">
        <w:t xml:space="preserve"> nicméně v</w:t>
      </w:r>
      <w:r w:rsidR="001106F4">
        <w:t>e</w:t>
      </w:r>
      <w:r w:rsidR="009F51D5">
        <w:t> </w:t>
      </w:r>
      <w:r w:rsidR="0005077B">
        <w:t>3</w:t>
      </w:r>
      <w:r w:rsidR="009F51D5">
        <w:t>. čtvrtletí 2025 tomu tak nebylo</w:t>
      </w:r>
      <w:r w:rsidR="004F5D3A">
        <w:t xml:space="preserve"> a </w:t>
      </w:r>
      <w:r w:rsidR="0005077B">
        <w:t>největší intenzitou rostly investiční výdaje</w:t>
      </w:r>
      <w:r w:rsidR="0005077B" w:rsidRPr="00303E0F">
        <w:rPr>
          <w:rStyle w:val="Znakapoznpodarou"/>
        </w:rPr>
        <w:footnoteReference w:id="25"/>
      </w:r>
      <w:r w:rsidR="009F51D5">
        <w:t xml:space="preserve">. </w:t>
      </w:r>
    </w:p>
    <w:p w14:paraId="718ED847" w14:textId="40AC26DE" w:rsidR="002C68FE" w:rsidRDefault="002C68FE" w:rsidP="002C68FE">
      <w:pPr>
        <w:keepNext/>
        <w:rPr>
          <w:b/>
        </w:rPr>
      </w:pPr>
      <w:r w:rsidRPr="00A54604">
        <w:rPr>
          <w:b/>
        </w:rPr>
        <w:t xml:space="preserve">Graf </w:t>
      </w:r>
      <w:r w:rsidR="008235F5">
        <w:rPr>
          <w:b/>
        </w:rPr>
        <w:t>1</w:t>
      </w:r>
      <w:r w:rsidR="00CD7AF4">
        <w:rPr>
          <w:b/>
        </w:rPr>
        <w:t>2</w:t>
      </w:r>
      <w:r w:rsidRPr="00A54604">
        <w:rPr>
          <w:b/>
        </w:rPr>
        <w:t xml:space="preserve">: </w:t>
      </w:r>
      <w:r w:rsidRPr="002C68FE">
        <w:rPr>
          <w:b/>
        </w:rPr>
        <w:t xml:space="preserve">Rozklad meziroční změny </w:t>
      </w:r>
      <w:r>
        <w:rPr>
          <w:b/>
        </w:rPr>
        <w:t>výdajů</w:t>
      </w:r>
      <w:r w:rsidRPr="002C68FE">
        <w:rPr>
          <w:b/>
        </w:rPr>
        <w:t xml:space="preserve"> sektoru vládních institucí (v mil. Kč)</w:t>
      </w:r>
    </w:p>
    <w:p w14:paraId="6C0FDD3F" w14:textId="71792925" w:rsidR="004D74A4" w:rsidRPr="004D74A4" w:rsidRDefault="00C752ED" w:rsidP="00F87F94">
      <w:r w:rsidRPr="00C752ED">
        <w:rPr>
          <w:noProof/>
        </w:rPr>
        <w:drawing>
          <wp:inline distT="0" distB="0" distL="0" distR="0" wp14:anchorId="3E6A0F66" wp14:editId="7801A08D">
            <wp:extent cx="5041265" cy="2438400"/>
            <wp:effectExtent l="0" t="0" r="6985" b="0"/>
            <wp:docPr id="1245790877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6717" w14:textId="5DB97902" w:rsidR="00C84F57" w:rsidRPr="00C84F57" w:rsidRDefault="00C84F57" w:rsidP="004775BC">
      <w:pPr>
        <w:tabs>
          <w:tab w:val="left" w:pos="426"/>
        </w:tabs>
        <w:rPr>
          <w:sz w:val="16"/>
        </w:rPr>
      </w:pPr>
      <w:r>
        <w:rPr>
          <w:sz w:val="16"/>
        </w:rPr>
        <w:tab/>
      </w:r>
      <w:r w:rsidRPr="00C84F57">
        <w:rPr>
          <w:sz w:val="16"/>
        </w:rPr>
        <w:t>* Sociální dávky jiné než naturální sociální transfery, vč. nakoupené tržní produkce</w:t>
      </w:r>
    </w:p>
    <w:p w14:paraId="1385C150" w14:textId="73979B11" w:rsidR="00C24DC0" w:rsidRDefault="002C63E3" w:rsidP="00515379">
      <w:pPr>
        <w:spacing w:after="120"/>
      </w:pPr>
      <w:r w:rsidRPr="00BD529F">
        <w:rPr>
          <w:b/>
        </w:rPr>
        <w:lastRenderedPageBreak/>
        <w:t>Dluh sektoru vládních institucí</w:t>
      </w:r>
      <w:r w:rsidRPr="00BD529F">
        <w:t xml:space="preserve"> </w:t>
      </w:r>
      <w:r w:rsidR="00905075" w:rsidRPr="00BD529F">
        <w:t xml:space="preserve">dosáhl </w:t>
      </w:r>
      <w:r w:rsidRPr="00BD529F">
        <w:t>v</w:t>
      </w:r>
      <w:r w:rsidR="00BD529F" w:rsidRPr="00BD529F">
        <w:t>e</w:t>
      </w:r>
      <w:r w:rsidRPr="00BD529F">
        <w:t xml:space="preserve"> </w:t>
      </w:r>
      <w:r w:rsidR="00370EDE">
        <w:t>3</w:t>
      </w:r>
      <w:r w:rsidR="00437BCB" w:rsidRPr="00BD529F">
        <w:t>.</w:t>
      </w:r>
      <w:r w:rsidRPr="00BD529F">
        <w:t> čtvrtletí 202</w:t>
      </w:r>
      <w:r w:rsidR="00841ABF" w:rsidRPr="00BD529F">
        <w:t>5</w:t>
      </w:r>
      <w:r w:rsidRPr="00BD529F">
        <w:t xml:space="preserve"> </w:t>
      </w:r>
      <w:r w:rsidR="00905075" w:rsidRPr="00BD529F">
        <w:t xml:space="preserve">hodnoty </w:t>
      </w:r>
      <w:r w:rsidR="00CD0A3F" w:rsidRPr="00BD529F">
        <w:t>3</w:t>
      </w:r>
      <w:r w:rsidR="00905075" w:rsidRPr="00BD529F">
        <w:t> </w:t>
      </w:r>
      <w:r w:rsidR="00BD529F" w:rsidRPr="00BD529F">
        <w:t>62</w:t>
      </w:r>
      <w:r w:rsidR="00FF6B74">
        <w:t>3</w:t>
      </w:r>
      <w:r w:rsidR="00905075" w:rsidRPr="00BD529F">
        <w:t>,</w:t>
      </w:r>
      <w:r w:rsidR="00FF6B74">
        <w:t>9</w:t>
      </w:r>
      <w:r w:rsidR="00924892" w:rsidRPr="00BD529F">
        <w:t> </w:t>
      </w:r>
      <w:r w:rsidRPr="00BD529F">
        <w:t>mld.</w:t>
      </w:r>
      <w:r w:rsidR="00924892" w:rsidRPr="00BD529F">
        <w:t> </w:t>
      </w:r>
      <w:r w:rsidRPr="00BD529F">
        <w:t>Kč</w:t>
      </w:r>
      <w:r w:rsidRPr="00BD529F">
        <w:rPr>
          <w:rStyle w:val="Znakapoznpodarou"/>
        </w:rPr>
        <w:footnoteReference w:id="26"/>
      </w:r>
      <w:r w:rsidR="00924892" w:rsidRPr="00BD529F">
        <w:t xml:space="preserve"> a </w:t>
      </w:r>
      <w:r w:rsidRPr="00BD529F">
        <w:t xml:space="preserve">meziročně </w:t>
      </w:r>
      <w:r w:rsidR="001E701C" w:rsidRPr="00BD529F">
        <w:t>byl vyšší</w:t>
      </w:r>
      <w:r w:rsidRPr="00BD529F">
        <w:t xml:space="preserve"> o </w:t>
      </w:r>
      <w:r w:rsidR="00FF6B74">
        <w:t>174,8</w:t>
      </w:r>
      <w:r w:rsidR="00924892" w:rsidRPr="00BD529F">
        <w:t> </w:t>
      </w:r>
      <w:r w:rsidRPr="00BD529F">
        <w:t>mld.</w:t>
      </w:r>
      <w:r w:rsidR="00924892" w:rsidRPr="00BD529F">
        <w:t> </w:t>
      </w:r>
      <w:r w:rsidRPr="00AA6F71">
        <w:t xml:space="preserve">Kč. </w:t>
      </w:r>
      <w:r w:rsidRPr="00AA6F71">
        <w:rPr>
          <w:b/>
        </w:rPr>
        <w:t>Míra zadlužení vládních institucí</w:t>
      </w:r>
      <w:r w:rsidR="005B12C5" w:rsidRPr="00AA6F71">
        <w:rPr>
          <w:b/>
        </w:rPr>
        <w:t xml:space="preserve"> ve vztahu k HDP</w:t>
      </w:r>
      <w:r w:rsidR="00FE7EFA" w:rsidRPr="00AA6F71">
        <w:rPr>
          <w:rStyle w:val="Znakapoznpodarou"/>
        </w:rPr>
        <w:footnoteReference w:id="27"/>
      </w:r>
      <w:r w:rsidRPr="00AA6F71">
        <w:t xml:space="preserve"> </w:t>
      </w:r>
      <w:r w:rsidR="005B12C5" w:rsidRPr="00AA6F71">
        <w:t xml:space="preserve">se </w:t>
      </w:r>
      <w:r w:rsidRPr="00AA6F71">
        <w:t xml:space="preserve">meziročně </w:t>
      </w:r>
      <w:r w:rsidR="00A46D74">
        <w:t>snížila</w:t>
      </w:r>
      <w:r w:rsidR="001E701C" w:rsidRPr="00AA6F71">
        <w:t xml:space="preserve"> o </w:t>
      </w:r>
      <w:r w:rsidR="00A46D74">
        <w:t>0,3</w:t>
      </w:r>
      <w:r w:rsidR="001E701C" w:rsidRPr="00AA6F71">
        <w:t xml:space="preserve"> </w:t>
      </w:r>
      <w:proofErr w:type="spellStart"/>
      <w:r w:rsidR="001E701C" w:rsidRPr="00AA6F71">
        <w:t>p.b</w:t>
      </w:r>
      <w:proofErr w:type="spellEnd"/>
      <w:r w:rsidR="001E701C" w:rsidRPr="00AA6F71">
        <w:t xml:space="preserve">. </w:t>
      </w:r>
      <w:r w:rsidR="005B12C5" w:rsidRPr="00AA6F71">
        <w:t>a dos</w:t>
      </w:r>
      <w:r w:rsidR="001E701C" w:rsidRPr="00AA6F71">
        <w:t>áhla h</w:t>
      </w:r>
      <w:r w:rsidR="005B12C5" w:rsidRPr="00AA6F71">
        <w:t xml:space="preserve">odnoty </w:t>
      </w:r>
      <w:r w:rsidRPr="00AA6F71">
        <w:t>4</w:t>
      </w:r>
      <w:r w:rsidR="001E701C" w:rsidRPr="00AA6F71">
        <w:t>3</w:t>
      </w:r>
      <w:r w:rsidR="005B12C5" w:rsidRPr="00AA6F71">
        <w:t>,</w:t>
      </w:r>
      <w:r w:rsidR="00FF6B74">
        <w:t>1</w:t>
      </w:r>
      <w:r w:rsidR="00572431" w:rsidRPr="00AA6F71">
        <w:t> </w:t>
      </w:r>
      <w:r w:rsidRPr="00AA6F71">
        <w:t>% HDP</w:t>
      </w:r>
      <w:r w:rsidR="0017345A">
        <w:t>, což bylo o 0,</w:t>
      </w:r>
      <w:r w:rsidR="00A46D74">
        <w:t>7</w:t>
      </w:r>
      <w:r w:rsidR="0017345A">
        <w:t xml:space="preserve"> </w:t>
      </w:r>
      <w:proofErr w:type="spellStart"/>
      <w:r w:rsidR="0017345A">
        <w:t>p.b</w:t>
      </w:r>
      <w:proofErr w:type="spellEnd"/>
      <w:r w:rsidR="0017345A">
        <w:t>. méně než ve</w:t>
      </w:r>
      <w:r w:rsidR="00A46D74">
        <w:t> </w:t>
      </w:r>
      <w:r w:rsidR="0017345A">
        <w:t>2.</w:t>
      </w:r>
      <w:r w:rsidR="00A46D74">
        <w:t> </w:t>
      </w:r>
      <w:r w:rsidR="0017345A">
        <w:t>čtvrtletí 2025</w:t>
      </w:r>
      <w:r w:rsidR="00201654">
        <w:rPr>
          <w:rStyle w:val="Znakapoznpodarou"/>
        </w:rPr>
        <w:footnoteReference w:id="28"/>
      </w:r>
      <w:r w:rsidRPr="00AA6F71">
        <w:t>.</w:t>
      </w:r>
      <w:r w:rsidR="00CD0A3F" w:rsidRPr="00AA6F71">
        <w:t xml:space="preserve"> </w:t>
      </w:r>
    </w:p>
    <w:p w14:paraId="650E504B" w14:textId="5C559A9B" w:rsidR="002C63E3" w:rsidRDefault="0017345A" w:rsidP="00515379">
      <w:pPr>
        <w:spacing w:after="120"/>
      </w:pPr>
      <w:r>
        <w:t>M</w:t>
      </w:r>
      <w:r w:rsidRPr="0017345A">
        <w:t xml:space="preserve">ezičtvrtletní </w:t>
      </w:r>
      <w:r w:rsidR="00C24DC0">
        <w:t xml:space="preserve">pokles </w:t>
      </w:r>
      <w:r w:rsidRPr="0017345A">
        <w:t xml:space="preserve">dluhu (o 3,3 mld. Kč) </w:t>
      </w:r>
      <w:r>
        <w:t xml:space="preserve">byl </w:t>
      </w:r>
      <w:r w:rsidRPr="0017345A">
        <w:t>významně odlišn</w:t>
      </w:r>
      <w:r w:rsidR="0031373A">
        <w:t>ý</w:t>
      </w:r>
      <w:r w:rsidRPr="0017345A">
        <w:t xml:space="preserve"> od</w:t>
      </w:r>
      <w:r>
        <w:t> </w:t>
      </w:r>
      <w:r w:rsidRPr="0017345A">
        <w:t xml:space="preserve">výsledku hospodaření (schodek 25,4 mld. Kč). Hlavním důvodem tohoto rozdílu bylo větší čerpání sdílených vkladů v rámci cash </w:t>
      </w:r>
      <w:proofErr w:type="spellStart"/>
      <w:r w:rsidRPr="0017345A">
        <w:t>poolingu</w:t>
      </w:r>
      <w:proofErr w:type="spellEnd"/>
      <w:r w:rsidRPr="0017345A">
        <w:t xml:space="preserve"> (konsolidovaných na úrovni sektoru vládních institucí).</w:t>
      </w:r>
      <w:r>
        <w:t xml:space="preserve"> Meziroční </w:t>
      </w:r>
      <w:r w:rsidR="00A46D74">
        <w:t xml:space="preserve">nominální </w:t>
      </w:r>
      <w:r>
        <w:t>r</w:t>
      </w:r>
      <w:r w:rsidR="00841ABF" w:rsidRPr="00AA6F71">
        <w:t>ůst</w:t>
      </w:r>
      <w:r w:rsidR="000E2AA7" w:rsidRPr="00AA6F71">
        <w:t xml:space="preserve"> </w:t>
      </w:r>
      <w:r w:rsidR="00CD0A3F" w:rsidRPr="00AA6F71">
        <w:t xml:space="preserve">dluhu </w:t>
      </w:r>
      <w:r w:rsidR="000E2AA7" w:rsidRPr="00AA6F71">
        <w:t>byl</w:t>
      </w:r>
      <w:r w:rsidR="003B541D">
        <w:t xml:space="preserve"> (podobně jako </w:t>
      </w:r>
      <w:r w:rsidR="00AA6F71" w:rsidRPr="00AA6F71">
        <w:t>obvykle v posledních letech)</w:t>
      </w:r>
      <w:r w:rsidR="00CD0A3F" w:rsidRPr="00AA6F71">
        <w:t xml:space="preserve"> pokryt zejména </w:t>
      </w:r>
      <w:r w:rsidR="000E2AA7" w:rsidRPr="00AA6F71">
        <w:t xml:space="preserve">nárůstem dlouhodobých </w:t>
      </w:r>
      <w:r w:rsidR="00A46D74">
        <w:t xml:space="preserve">dluhových </w:t>
      </w:r>
      <w:r w:rsidR="00CD0A3F" w:rsidRPr="00AA6F71">
        <w:t>cenný</w:t>
      </w:r>
      <w:r w:rsidR="000E2AA7" w:rsidRPr="00AA6F71">
        <w:t>ch</w:t>
      </w:r>
      <w:r w:rsidR="00CD0A3F" w:rsidRPr="00AA6F71">
        <w:t xml:space="preserve"> papír</w:t>
      </w:r>
      <w:r w:rsidR="000E2AA7" w:rsidRPr="00AA6F71">
        <w:t>ů</w:t>
      </w:r>
      <w:r w:rsidR="00841ABF" w:rsidRPr="00AA6F71">
        <w:t>.</w:t>
      </w:r>
    </w:p>
    <w:p w14:paraId="111A8B26" w14:textId="7C5EDD96" w:rsidR="00515379" w:rsidRDefault="00533DBC" w:rsidP="00D53A2B">
      <w:pPr>
        <w:pStyle w:val="TabulkaGraf"/>
        <w:keepNext/>
        <w:spacing w:before="120"/>
      </w:pPr>
      <w:r>
        <w:t>Graf </w:t>
      </w:r>
      <w:r w:rsidR="00B35639">
        <w:t>1</w:t>
      </w:r>
      <w:r w:rsidR="00CD7AF4">
        <w:t>3</w:t>
      </w:r>
      <w:r w:rsidR="00B35639">
        <w:t>:</w:t>
      </w:r>
      <w:r w:rsidR="00515379" w:rsidRPr="0034420E">
        <w:t xml:space="preserve"> </w:t>
      </w:r>
      <w:r w:rsidR="002C63E3" w:rsidRPr="002C63E3">
        <w:t xml:space="preserve">Meziroční změna struktury dluhu </w:t>
      </w:r>
      <w:r w:rsidR="009269D3">
        <w:t xml:space="preserve">sektoru vládních institucí </w:t>
      </w:r>
      <w:r w:rsidR="00515379" w:rsidRPr="0034420E">
        <w:t>(v m</w:t>
      </w:r>
      <w:r w:rsidR="002C63E3">
        <w:t>il</w:t>
      </w:r>
      <w:r w:rsidR="00515379" w:rsidRPr="0034420E">
        <w:t>. Kč)</w:t>
      </w:r>
    </w:p>
    <w:p w14:paraId="49E7C54A" w14:textId="208F4840" w:rsidR="00D30FBB" w:rsidRDefault="0017345A" w:rsidP="00F954B9">
      <w:r w:rsidRPr="0017345A">
        <w:rPr>
          <w:noProof/>
        </w:rPr>
        <w:drawing>
          <wp:inline distT="0" distB="0" distL="0" distR="0" wp14:anchorId="427EE368" wp14:editId="5B63D92C">
            <wp:extent cx="5041265" cy="1953260"/>
            <wp:effectExtent l="0" t="0" r="6985" b="8890"/>
            <wp:docPr id="904742663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F8426" w14:textId="77777777" w:rsidR="00D30FBB" w:rsidRDefault="00D30FBB">
      <w:pPr>
        <w:spacing w:line="240" w:lineRule="auto"/>
        <w:jc w:val="left"/>
      </w:pPr>
      <w:r>
        <w:br w:type="page"/>
      </w:r>
    </w:p>
    <w:p w14:paraId="429301C1" w14:textId="34C0BE9C" w:rsidR="00F954B9" w:rsidRPr="00F954B9" w:rsidRDefault="00F50CEF" w:rsidP="006158A7">
      <w:pPr>
        <w:pStyle w:val="Nadpis1"/>
        <w:spacing w:before="600" w:after="120"/>
        <w:rPr>
          <w:u w:val="single"/>
        </w:rPr>
      </w:pPr>
      <w:r w:rsidRPr="0075253E">
        <w:rPr>
          <w:u w:val="single"/>
        </w:rPr>
        <w:lastRenderedPageBreak/>
        <w:t>Domácnosti</w:t>
      </w:r>
    </w:p>
    <w:p w14:paraId="482AC57E" w14:textId="702B09E3" w:rsidR="00E83134" w:rsidRDefault="007C3D04" w:rsidP="005D42E5">
      <w:pPr>
        <w:spacing w:after="120"/>
      </w:pPr>
      <w:r w:rsidRPr="00EB557A">
        <w:rPr>
          <w:b/>
        </w:rPr>
        <w:t>P</w:t>
      </w:r>
      <w:r w:rsidR="00D274B1" w:rsidRPr="00EB557A">
        <w:rPr>
          <w:b/>
        </w:rPr>
        <w:t>eněžní a nepeněžní p</w:t>
      </w:r>
      <w:r w:rsidRPr="00EB557A">
        <w:rPr>
          <w:b/>
        </w:rPr>
        <w:t>říjmy domácností</w:t>
      </w:r>
      <w:r w:rsidR="0030704E" w:rsidRPr="00EB557A">
        <w:rPr>
          <w:rStyle w:val="Znakapoznpodarou"/>
        </w:rPr>
        <w:footnoteReference w:id="29"/>
      </w:r>
      <w:r w:rsidRPr="00EB557A">
        <w:t xml:space="preserve"> </w:t>
      </w:r>
      <w:r w:rsidR="00BC09C7" w:rsidRPr="00EB557A">
        <w:t>v</w:t>
      </w:r>
      <w:r w:rsidR="009C3D5D">
        <w:t>e</w:t>
      </w:r>
      <w:r w:rsidR="00BC09C7" w:rsidRPr="00EB557A">
        <w:t xml:space="preserve"> </w:t>
      </w:r>
      <w:r w:rsidR="00E2758A">
        <w:t>3</w:t>
      </w:r>
      <w:r w:rsidR="00BC09C7" w:rsidRPr="00EB557A">
        <w:t>. čtvrtletí</w:t>
      </w:r>
      <w:r w:rsidRPr="00EB557A">
        <w:t xml:space="preserve"> 202</w:t>
      </w:r>
      <w:r w:rsidR="00941121">
        <w:t>5</w:t>
      </w:r>
      <w:r w:rsidRPr="00EB557A">
        <w:t xml:space="preserve"> </w:t>
      </w:r>
      <w:r w:rsidR="008A3084" w:rsidRPr="00EB557A">
        <w:t xml:space="preserve">nominálně </w:t>
      </w:r>
      <w:r w:rsidR="00FE3328" w:rsidRPr="00EB557A">
        <w:t xml:space="preserve">vzrostly </w:t>
      </w:r>
      <w:r w:rsidR="00D274B1" w:rsidRPr="00EB557A">
        <w:t>meziročně o </w:t>
      </w:r>
      <w:r w:rsidR="00E2758A">
        <w:t>2,8</w:t>
      </w:r>
      <w:r w:rsidR="00BD3E80">
        <w:t> </w:t>
      </w:r>
      <w:r w:rsidR="0030704E" w:rsidRPr="00EB557A">
        <w:t>%</w:t>
      </w:r>
      <w:r w:rsidRPr="00EB557A">
        <w:t xml:space="preserve">. </w:t>
      </w:r>
      <w:r w:rsidR="00490866" w:rsidRPr="00EB557A">
        <w:t>T</w:t>
      </w:r>
      <w:r w:rsidR="006A250F">
        <w:t>oto</w:t>
      </w:r>
      <w:r w:rsidR="004E69CE" w:rsidRPr="00EB557A">
        <w:t xml:space="preserve"> n</w:t>
      </w:r>
      <w:r w:rsidRPr="00EB557A">
        <w:t xml:space="preserve">ominální </w:t>
      </w:r>
      <w:r w:rsidR="006A250F">
        <w:t xml:space="preserve">zvýšení </w:t>
      </w:r>
      <w:r w:rsidR="00E2758A">
        <w:t xml:space="preserve">nestačilo na </w:t>
      </w:r>
      <w:r w:rsidR="00945296" w:rsidRPr="00EB557A">
        <w:t>pokry</w:t>
      </w:r>
      <w:r w:rsidR="00E2758A">
        <w:t>tí</w:t>
      </w:r>
      <w:r w:rsidR="00945296" w:rsidRPr="00EB557A">
        <w:t xml:space="preserve"> </w:t>
      </w:r>
      <w:r w:rsidR="006A250F">
        <w:t>růst</w:t>
      </w:r>
      <w:r w:rsidR="00E2758A">
        <w:t>u</w:t>
      </w:r>
      <w:r w:rsidR="006A250F">
        <w:t xml:space="preserve"> </w:t>
      </w:r>
      <w:r w:rsidRPr="00EB557A">
        <w:t>cenové hladiny</w:t>
      </w:r>
      <w:r w:rsidR="002F5B2F">
        <w:t xml:space="preserve">, takže </w:t>
      </w:r>
      <w:r w:rsidRPr="00EB557A">
        <w:t>reáln</w:t>
      </w:r>
      <w:r w:rsidR="007C7E5D">
        <w:t>ě</w:t>
      </w:r>
      <w:r w:rsidR="00C90913">
        <w:t xml:space="preserve"> příjm</w:t>
      </w:r>
      <w:r w:rsidR="007C7E5D">
        <w:t>y domácností spíše</w:t>
      </w:r>
      <w:r w:rsidR="00C90913">
        <w:t xml:space="preserve"> </w:t>
      </w:r>
      <w:r w:rsidR="009C3D5D">
        <w:t>stagnoval</w:t>
      </w:r>
      <w:r w:rsidR="007C7E5D">
        <w:t xml:space="preserve">y, resp. byly </w:t>
      </w:r>
      <w:r w:rsidR="00B7769D">
        <w:t>o</w:t>
      </w:r>
      <w:r w:rsidR="0055286D">
        <w:t xml:space="preserve"> </w:t>
      </w:r>
      <w:r w:rsidR="00C90913">
        <w:t>0</w:t>
      </w:r>
      <w:r w:rsidR="00B7769D">
        <w:t>,</w:t>
      </w:r>
      <w:r w:rsidR="002F5B2F">
        <w:t>2</w:t>
      </w:r>
      <w:r w:rsidR="00B7769D">
        <w:t xml:space="preserve"> %</w:t>
      </w:r>
      <w:r w:rsidRPr="00EB557A">
        <w:rPr>
          <w:rStyle w:val="Znakapoznpodarou"/>
        </w:rPr>
        <w:footnoteReference w:id="30"/>
      </w:r>
      <w:r w:rsidR="0030704E" w:rsidRPr="00EB557A">
        <w:t xml:space="preserve"> </w:t>
      </w:r>
      <w:r w:rsidR="007C7E5D">
        <w:t xml:space="preserve">nižší </w:t>
      </w:r>
      <w:r w:rsidR="00B7769D">
        <w:t>než</w:t>
      </w:r>
      <w:r w:rsidR="00EB557A" w:rsidRPr="00EB557A">
        <w:t xml:space="preserve"> ve stejném čtvrtletí předchozího roku</w:t>
      </w:r>
      <w:r w:rsidR="002F5B2F">
        <w:t xml:space="preserve"> a </w:t>
      </w:r>
      <w:r w:rsidR="00E06DCD">
        <w:t>m</w:t>
      </w:r>
      <w:r w:rsidR="00090D87" w:rsidRPr="00EB557A">
        <w:t>ezičtvrtletně</w:t>
      </w:r>
      <w:r w:rsidR="0054222B">
        <w:t xml:space="preserve"> b</w:t>
      </w:r>
      <w:r w:rsidR="009C3D5D">
        <w:t xml:space="preserve">yly </w:t>
      </w:r>
      <w:r w:rsidR="002F5B2F">
        <w:t>na stejné úrovni</w:t>
      </w:r>
      <w:r w:rsidR="00090D87" w:rsidRPr="00EB557A">
        <w:rPr>
          <w:rStyle w:val="Znakapoznpodarou"/>
        </w:rPr>
        <w:footnoteReference w:id="31"/>
      </w:r>
      <w:r w:rsidR="00A7484D" w:rsidRPr="00EB557A">
        <w:t>.</w:t>
      </w:r>
    </w:p>
    <w:p w14:paraId="6B761C7B" w14:textId="77777777" w:rsidR="00D30FBB" w:rsidRDefault="00D30FBB" w:rsidP="00D30FBB">
      <w:pPr>
        <w:keepNext/>
        <w:spacing w:before="120"/>
        <w:jc w:val="left"/>
        <w:rPr>
          <w:b/>
        </w:rPr>
      </w:pPr>
      <w:r w:rsidRPr="00CB41C1">
        <w:rPr>
          <w:b/>
        </w:rPr>
        <w:t>Graf </w:t>
      </w:r>
      <w:r>
        <w:rPr>
          <w:b/>
        </w:rPr>
        <w:t>14:</w:t>
      </w:r>
      <w:r w:rsidRPr="0086484F">
        <w:t xml:space="preserve"> </w:t>
      </w:r>
      <w:r w:rsidRPr="00715A42">
        <w:rPr>
          <w:b/>
        </w:rPr>
        <w:t xml:space="preserve">Reálný a nominální vývoj příjmů domácností </w:t>
      </w:r>
      <w:r>
        <w:rPr>
          <w:b/>
        </w:rPr>
        <w:t>–</w:t>
      </w:r>
      <w:r w:rsidRPr="00715A42">
        <w:rPr>
          <w:b/>
        </w:rPr>
        <w:t xml:space="preserve"> 4</w:t>
      </w:r>
      <w:r>
        <w:rPr>
          <w:b/>
        </w:rPr>
        <w:t xml:space="preserve">. čtvrtletí </w:t>
      </w:r>
      <w:r w:rsidRPr="00715A42">
        <w:rPr>
          <w:b/>
        </w:rPr>
        <w:t xml:space="preserve">2019 = 100 </w:t>
      </w:r>
      <w:r>
        <w:rPr>
          <w:b/>
        </w:rPr>
        <w:t xml:space="preserve">% </w:t>
      </w:r>
      <w:r>
        <w:rPr>
          <w:b/>
        </w:rPr>
        <w:br/>
      </w:r>
      <w:r w:rsidRPr="00715A42">
        <w:rPr>
          <w:b/>
        </w:rPr>
        <w:t>(sezónně očištěno)</w:t>
      </w:r>
    </w:p>
    <w:p w14:paraId="2D2F8921" w14:textId="7C69D522" w:rsidR="00D30FBB" w:rsidRDefault="00050BFB" w:rsidP="00D30FBB">
      <w:pPr>
        <w:spacing w:after="120"/>
      </w:pPr>
      <w:r w:rsidRPr="00050BFB">
        <w:rPr>
          <w:noProof/>
        </w:rPr>
        <w:drawing>
          <wp:inline distT="0" distB="0" distL="0" distR="0" wp14:anchorId="5EF1FBE2" wp14:editId="5CC493E0">
            <wp:extent cx="5041265" cy="2209800"/>
            <wp:effectExtent l="0" t="0" r="6985" b="0"/>
            <wp:docPr id="1688395724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8FE2" w14:textId="6F4BA900" w:rsidR="003708D3" w:rsidRDefault="00517DC3" w:rsidP="003708D3">
      <w:pPr>
        <w:spacing w:after="120"/>
      </w:pPr>
      <w:r w:rsidRPr="009D12BA">
        <w:t>N</w:t>
      </w:r>
      <w:r w:rsidR="003708D3" w:rsidRPr="009D12BA">
        <w:t>ominálně se příjmy sektoru domácností pohybovaly v</w:t>
      </w:r>
      <w:r w:rsidR="00B70E62">
        <w:t>e</w:t>
      </w:r>
      <w:r w:rsidR="003708D3" w:rsidRPr="009D12BA">
        <w:t xml:space="preserve"> </w:t>
      </w:r>
      <w:r w:rsidR="008A00F7">
        <w:t>3</w:t>
      </w:r>
      <w:r w:rsidR="003708D3" w:rsidRPr="009D12BA">
        <w:t>. čtvrtletí 202</w:t>
      </w:r>
      <w:r w:rsidR="00FF6661">
        <w:t>5</w:t>
      </w:r>
      <w:r w:rsidR="003708D3" w:rsidRPr="009D12BA">
        <w:t xml:space="preserve"> na 1</w:t>
      </w:r>
      <w:r w:rsidR="00B70E62">
        <w:t>5</w:t>
      </w:r>
      <w:r w:rsidR="008A00F7">
        <w:t>1,2</w:t>
      </w:r>
      <w:r w:rsidR="003708D3" w:rsidRPr="009D12BA">
        <w:t xml:space="preserve"> % úrovně před prvními dopady pandemie covidu, tj. úrovně </w:t>
      </w:r>
      <w:r w:rsidR="00E50E0E" w:rsidRPr="009D12BA">
        <w:t>4.</w:t>
      </w:r>
      <w:r w:rsidR="003708D3" w:rsidRPr="009D12BA">
        <w:t xml:space="preserve"> čtvrtletí 2019</w:t>
      </w:r>
      <w:r w:rsidR="006158A7" w:rsidRPr="009D12BA">
        <w:t>. R</w:t>
      </w:r>
      <w:r w:rsidR="003708D3" w:rsidRPr="009D12BA">
        <w:t xml:space="preserve">eálně </w:t>
      </w:r>
      <w:r w:rsidR="006158A7" w:rsidRPr="009D12BA">
        <w:t>však dosahovaly příjmy sektoru domácností 10</w:t>
      </w:r>
      <w:r w:rsidR="00B70E62">
        <w:t>7,</w:t>
      </w:r>
      <w:r w:rsidR="008470C2">
        <w:t>6 </w:t>
      </w:r>
      <w:r w:rsidR="006158A7" w:rsidRPr="009D12BA">
        <w:t xml:space="preserve">% </w:t>
      </w:r>
      <w:r w:rsidR="003708D3" w:rsidRPr="009D12BA">
        <w:t>této „</w:t>
      </w:r>
      <w:proofErr w:type="spellStart"/>
      <w:r w:rsidR="003708D3" w:rsidRPr="009D12BA">
        <w:t>předcovidové</w:t>
      </w:r>
      <w:proofErr w:type="spellEnd"/>
      <w:r w:rsidR="003708D3" w:rsidRPr="009D12BA">
        <w:t>“ úrovně.</w:t>
      </w:r>
    </w:p>
    <w:p w14:paraId="41E91FF6" w14:textId="1E14BF9A" w:rsidR="002B1321" w:rsidRPr="00BB5280" w:rsidRDefault="002B1321" w:rsidP="002B1321">
      <w:pPr>
        <w:pStyle w:val="TabulkaGraf"/>
        <w:keepNext/>
        <w:spacing w:before="120"/>
        <w:rPr>
          <w:spacing w:val="-2"/>
        </w:rPr>
      </w:pPr>
      <w:r w:rsidRPr="00BB5280">
        <w:rPr>
          <w:spacing w:val="-2"/>
        </w:rPr>
        <w:t>Graf 1</w:t>
      </w:r>
      <w:r w:rsidR="00CD7AF4">
        <w:rPr>
          <w:spacing w:val="-2"/>
        </w:rPr>
        <w:t>5</w:t>
      </w:r>
      <w:r w:rsidRPr="00BB5280">
        <w:rPr>
          <w:spacing w:val="-2"/>
        </w:rPr>
        <w:t xml:space="preserve">: </w:t>
      </w:r>
      <w:r w:rsidR="00BB5280" w:rsidRPr="00BB5280">
        <w:rPr>
          <w:spacing w:val="-2"/>
        </w:rPr>
        <w:t xml:space="preserve">Rozklad meziroční </w:t>
      </w:r>
      <w:r w:rsidR="00415F9D">
        <w:rPr>
          <w:spacing w:val="-2"/>
        </w:rPr>
        <w:t xml:space="preserve">nominální </w:t>
      </w:r>
      <w:r w:rsidR="00BB5280" w:rsidRPr="00BB5280">
        <w:rPr>
          <w:spacing w:val="-2"/>
        </w:rPr>
        <w:t xml:space="preserve">změny </w:t>
      </w:r>
      <w:r w:rsidR="00CA3636">
        <w:rPr>
          <w:spacing w:val="-2"/>
        </w:rPr>
        <w:t xml:space="preserve">čistých </w:t>
      </w:r>
      <w:r w:rsidR="00C27FAF">
        <w:rPr>
          <w:spacing w:val="-2"/>
        </w:rPr>
        <w:t xml:space="preserve">příjmů sektoru </w:t>
      </w:r>
      <w:r w:rsidR="00BB5280" w:rsidRPr="00BB5280">
        <w:rPr>
          <w:spacing w:val="-2"/>
        </w:rPr>
        <w:t>domácností (v mil. Kč)</w:t>
      </w:r>
    </w:p>
    <w:p w14:paraId="69246E12" w14:textId="5855FBDC" w:rsidR="00CA3636" w:rsidRDefault="008A00F7" w:rsidP="005D42E5">
      <w:pPr>
        <w:spacing w:after="120"/>
      </w:pPr>
      <w:r w:rsidRPr="008A00F7">
        <w:rPr>
          <w:noProof/>
        </w:rPr>
        <w:drawing>
          <wp:inline distT="0" distB="0" distL="0" distR="0" wp14:anchorId="763E639A" wp14:editId="52BA8390">
            <wp:extent cx="5041265" cy="2209800"/>
            <wp:effectExtent l="0" t="0" r="6985" b="0"/>
            <wp:docPr id="1907987592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8DB5" w14:textId="24F02C11" w:rsidR="00D30FBB" w:rsidRDefault="00D30FBB" w:rsidP="00D30FBB">
      <w:pPr>
        <w:spacing w:after="120"/>
      </w:pPr>
      <w:r w:rsidRPr="0055286D">
        <w:t>Na růstu příjmů</w:t>
      </w:r>
      <w:r w:rsidRPr="006E1E21">
        <w:t xml:space="preserve"> sektoru domácností se, podobně jako obvykle, nejsilněji podílel </w:t>
      </w:r>
      <w:r w:rsidRPr="006E1E21">
        <w:rPr>
          <w:b/>
        </w:rPr>
        <w:t>růst mezd</w:t>
      </w:r>
      <w:r w:rsidRPr="006E1E21">
        <w:rPr>
          <w:rStyle w:val="Znakapoznpodarou"/>
        </w:rPr>
        <w:footnoteReference w:id="32"/>
      </w:r>
      <w:r w:rsidR="00D81AE4" w:rsidRPr="00D81AE4">
        <w:rPr>
          <w:bCs/>
        </w:rPr>
        <w:t>.</w:t>
      </w:r>
      <w:r w:rsidR="00D81AE4">
        <w:t xml:space="preserve"> Vedle toho relativně významně přispěly k růstu i </w:t>
      </w:r>
      <w:r w:rsidR="00B04E79">
        <w:rPr>
          <w:b/>
        </w:rPr>
        <w:t>příjmy z podnikání</w:t>
      </w:r>
      <w:r w:rsidR="00681D44" w:rsidRPr="006E1E21">
        <w:rPr>
          <w:rStyle w:val="Znakapoznpodarou"/>
        </w:rPr>
        <w:footnoteReference w:id="33"/>
      </w:r>
      <w:r w:rsidR="00D81AE4" w:rsidRPr="00D81AE4">
        <w:rPr>
          <w:bCs/>
        </w:rPr>
        <w:t>.</w:t>
      </w:r>
      <w:r w:rsidR="00D81AE4">
        <w:rPr>
          <w:b/>
        </w:rPr>
        <w:t xml:space="preserve"> </w:t>
      </w:r>
      <w:r w:rsidR="00CF430C" w:rsidRPr="006E1E21">
        <w:t xml:space="preserve">Naopak </w:t>
      </w:r>
      <w:r w:rsidR="00B95B0C">
        <w:t>vliv</w:t>
      </w:r>
      <w:r w:rsidR="00CF430C" w:rsidRPr="006E1E21">
        <w:t xml:space="preserve"> </w:t>
      </w:r>
      <w:r w:rsidRPr="006E1E21">
        <w:lastRenderedPageBreak/>
        <w:t xml:space="preserve">přerozdělování prostředků </w:t>
      </w:r>
      <w:r w:rsidR="0044479E">
        <w:t>(</w:t>
      </w:r>
      <w:r w:rsidR="00474BE4" w:rsidRPr="006E1E21">
        <w:t>převážně</w:t>
      </w:r>
      <w:r w:rsidR="0044479E">
        <w:t>)</w:t>
      </w:r>
      <w:r w:rsidR="00474BE4" w:rsidRPr="006E1E21">
        <w:t xml:space="preserve"> </w:t>
      </w:r>
      <w:r w:rsidRPr="006E1E21">
        <w:t>vládními institucemi</w:t>
      </w:r>
      <w:r w:rsidRPr="006E1E21">
        <w:rPr>
          <w:rStyle w:val="Znakapoznpodarou"/>
        </w:rPr>
        <w:footnoteReference w:id="34"/>
      </w:r>
      <w:r w:rsidR="00CF430C" w:rsidRPr="006E1E21">
        <w:t xml:space="preserve"> </w:t>
      </w:r>
      <w:r w:rsidR="0044479E">
        <w:t>působil</w:t>
      </w:r>
      <w:r w:rsidR="00681D44" w:rsidRPr="006E1E21">
        <w:t xml:space="preserve"> v</w:t>
      </w:r>
      <w:r w:rsidR="00ED6CBA">
        <w:t>e</w:t>
      </w:r>
      <w:r w:rsidR="00681D44" w:rsidRPr="006E1E21">
        <w:t> </w:t>
      </w:r>
      <w:r w:rsidR="00D81AE4">
        <w:t>3</w:t>
      </w:r>
      <w:r w:rsidR="00681D44" w:rsidRPr="006E1E21">
        <w:t>. čtvrtletí 202</w:t>
      </w:r>
      <w:r w:rsidR="00475971">
        <w:t>5</w:t>
      </w:r>
      <w:r w:rsidR="00CF430C" w:rsidRPr="006E1E21">
        <w:t xml:space="preserve"> </w:t>
      </w:r>
      <w:r w:rsidR="00B95B0C">
        <w:t xml:space="preserve">na celkové příjmy domácností </w:t>
      </w:r>
      <w:r w:rsidR="0044479E">
        <w:t>podobně</w:t>
      </w:r>
      <w:r w:rsidR="00681D44" w:rsidRPr="006E1E21">
        <w:t xml:space="preserve"> </w:t>
      </w:r>
      <w:r w:rsidR="0044479E">
        <w:t xml:space="preserve">negativně jako v posledních </w:t>
      </w:r>
      <w:r w:rsidR="00D81AE4">
        <w:t xml:space="preserve">devíti </w:t>
      </w:r>
      <w:r w:rsidR="0044479E">
        <w:t>čtvrtletích</w:t>
      </w:r>
      <w:r w:rsidR="00B95B0C">
        <w:t xml:space="preserve"> (tj. odvod</w:t>
      </w:r>
      <w:r w:rsidR="00D81AE4">
        <w:t>y</w:t>
      </w:r>
      <w:r w:rsidR="00B95B0C">
        <w:t xml:space="preserve"> </w:t>
      </w:r>
      <w:r w:rsidR="00B71E4E">
        <w:t xml:space="preserve">vládním institucím </w:t>
      </w:r>
      <w:r w:rsidR="00D81AE4">
        <w:t xml:space="preserve">od domácností rostly </w:t>
      </w:r>
      <w:r w:rsidR="00B95B0C">
        <w:t>rychlej</w:t>
      </w:r>
      <w:r w:rsidR="00D81AE4">
        <w:t>i</w:t>
      </w:r>
      <w:r w:rsidR="00B95B0C">
        <w:t xml:space="preserve"> než příjm</w:t>
      </w:r>
      <w:r w:rsidR="00D81AE4">
        <w:t>y</w:t>
      </w:r>
      <w:r w:rsidR="00B71E4E">
        <w:t xml:space="preserve"> </w:t>
      </w:r>
      <w:r w:rsidR="00D81AE4">
        <w:t xml:space="preserve">domácností </w:t>
      </w:r>
      <w:r w:rsidR="00B71E4E">
        <w:t xml:space="preserve">od </w:t>
      </w:r>
      <w:r w:rsidR="00D81AE4">
        <w:t>vládních institucí</w:t>
      </w:r>
      <w:r w:rsidR="00B95B0C">
        <w:t>)</w:t>
      </w:r>
      <w:r w:rsidR="0044479E">
        <w:t>. P</w:t>
      </w:r>
      <w:r w:rsidR="0054222B">
        <w:t xml:space="preserve">odle předběžných údajů také přetrvával </w:t>
      </w:r>
      <w:r w:rsidR="0044479E">
        <w:t xml:space="preserve">negativní vliv </w:t>
      </w:r>
      <w:r w:rsidR="009575C3">
        <w:t>salda důchodů z vlastnictví.</w:t>
      </w:r>
    </w:p>
    <w:p w14:paraId="3FDC7B50" w14:textId="721A3AFF" w:rsidR="003D5938" w:rsidRDefault="003D5938" w:rsidP="003D5938">
      <w:pPr>
        <w:pStyle w:val="TabulkaGraf"/>
        <w:keepNext/>
        <w:spacing w:before="120"/>
      </w:pPr>
      <w:r>
        <w:t>Graf 1</w:t>
      </w:r>
      <w:r w:rsidR="00CD7AF4">
        <w:t>6</w:t>
      </w:r>
      <w:r>
        <w:t>:</w:t>
      </w:r>
      <w:r w:rsidRPr="0034420E">
        <w:t xml:space="preserve"> </w:t>
      </w:r>
      <w:r w:rsidRPr="00CB41C1">
        <w:t xml:space="preserve">Meziroční </w:t>
      </w:r>
      <w:r w:rsidR="00E0339F">
        <w:t xml:space="preserve">nominální </w:t>
      </w:r>
      <w:r w:rsidRPr="00CB41C1">
        <w:t xml:space="preserve">změna hrubých úspor a výdajů na </w:t>
      </w:r>
      <w:r>
        <w:t>konečnou spotřebu domácností (v </w:t>
      </w:r>
      <w:r w:rsidRPr="00CB41C1">
        <w:t>mil. Kč)</w:t>
      </w:r>
    </w:p>
    <w:p w14:paraId="087391E5" w14:textId="1C018421" w:rsidR="003D5938" w:rsidRDefault="004478EF" w:rsidP="003D5938">
      <w:pPr>
        <w:spacing w:after="120"/>
      </w:pPr>
      <w:r w:rsidRPr="004478EF">
        <w:rPr>
          <w:noProof/>
        </w:rPr>
        <w:drawing>
          <wp:inline distT="0" distB="0" distL="0" distR="0" wp14:anchorId="16CC59B7" wp14:editId="369562F1">
            <wp:extent cx="5041265" cy="2225675"/>
            <wp:effectExtent l="0" t="0" r="6985" b="3175"/>
            <wp:docPr id="1394433675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7488" w14:textId="69F1240B" w:rsidR="00CA6F87" w:rsidRDefault="009327ED" w:rsidP="00B20AEA">
      <w:pPr>
        <w:spacing w:after="120"/>
      </w:pPr>
      <w:r w:rsidRPr="007D6115">
        <w:rPr>
          <w:b/>
        </w:rPr>
        <w:t>S</w:t>
      </w:r>
      <w:r w:rsidR="00244CD5" w:rsidRPr="007D6115">
        <w:rPr>
          <w:b/>
        </w:rPr>
        <w:t>potřeb</w:t>
      </w:r>
      <w:r w:rsidRPr="007D6115">
        <w:rPr>
          <w:b/>
        </w:rPr>
        <w:t>a</w:t>
      </w:r>
      <w:r w:rsidR="00244CD5" w:rsidRPr="007D6115">
        <w:rPr>
          <w:b/>
        </w:rPr>
        <w:t xml:space="preserve"> domácností</w:t>
      </w:r>
      <w:r w:rsidRPr="007D6115">
        <w:rPr>
          <w:rStyle w:val="Znakapoznpodarou"/>
        </w:rPr>
        <w:footnoteReference w:id="35"/>
      </w:r>
      <w:r w:rsidR="00244CD5" w:rsidRPr="007D6115">
        <w:t xml:space="preserve"> </w:t>
      </w:r>
      <w:r w:rsidR="00BC71A3" w:rsidRPr="007D6115">
        <w:t xml:space="preserve">meziročně </w:t>
      </w:r>
      <w:r w:rsidR="00A31F0D" w:rsidRPr="007D6115">
        <w:t>nominálně vzrostl</w:t>
      </w:r>
      <w:r w:rsidRPr="007D6115">
        <w:t>a</w:t>
      </w:r>
      <w:r w:rsidR="00255688" w:rsidRPr="007D6115">
        <w:t xml:space="preserve"> o </w:t>
      </w:r>
      <w:r w:rsidR="00304AAE">
        <w:t>6</w:t>
      </w:r>
      <w:r w:rsidR="00F512DC">
        <w:t>,</w:t>
      </w:r>
      <w:r w:rsidR="00521CBA">
        <w:t>1</w:t>
      </w:r>
      <w:r w:rsidR="00544ED2">
        <w:t> </w:t>
      </w:r>
      <w:r w:rsidR="00255688" w:rsidRPr="007D6115">
        <w:t>%</w:t>
      </w:r>
      <w:r w:rsidR="00DE6BCD" w:rsidRPr="007D6115">
        <w:t xml:space="preserve"> a reálně </w:t>
      </w:r>
      <w:r w:rsidR="005774DA" w:rsidRPr="007D6115">
        <w:t>byla vyšší</w:t>
      </w:r>
      <w:r w:rsidR="00DE6BCD" w:rsidRPr="007D6115">
        <w:t xml:space="preserve"> o </w:t>
      </w:r>
      <w:r w:rsidR="00304AAE">
        <w:t>3,</w:t>
      </w:r>
      <w:r w:rsidR="00521CBA">
        <w:t>0</w:t>
      </w:r>
      <w:r w:rsidR="00544ED2">
        <w:t> </w:t>
      </w:r>
      <w:r w:rsidR="00DE6BCD" w:rsidRPr="007D6115">
        <w:t>%</w:t>
      </w:r>
      <w:r w:rsidR="000B64BF" w:rsidRPr="007D6115">
        <w:t xml:space="preserve">. </w:t>
      </w:r>
      <w:r w:rsidR="005774DA" w:rsidRPr="007D6115">
        <w:t>Mezičt</w:t>
      </w:r>
      <w:r w:rsidR="00DE6BCD" w:rsidRPr="007D6115">
        <w:t>v</w:t>
      </w:r>
      <w:r w:rsidR="005774DA" w:rsidRPr="007D6115">
        <w:t>rt</w:t>
      </w:r>
      <w:r w:rsidR="00DE6BCD" w:rsidRPr="007D6115">
        <w:t xml:space="preserve">letně byla spotřeba domácností </w:t>
      </w:r>
      <w:r w:rsidR="001F5E80">
        <w:t xml:space="preserve">reálně </w:t>
      </w:r>
      <w:r w:rsidR="00DE6BCD" w:rsidRPr="007D6115">
        <w:t xml:space="preserve">vyšší o </w:t>
      </w:r>
      <w:r w:rsidR="00521CBA">
        <w:t>0,3</w:t>
      </w:r>
      <w:r w:rsidR="00DE6BCD" w:rsidRPr="007D6115">
        <w:t xml:space="preserve"> %</w:t>
      </w:r>
      <w:r w:rsidR="00DE6BCD" w:rsidRPr="007D6115">
        <w:rPr>
          <w:rStyle w:val="Znakapoznpodarou"/>
        </w:rPr>
        <w:footnoteReference w:id="36"/>
      </w:r>
      <w:r w:rsidR="00DE6BCD" w:rsidRPr="007D6115">
        <w:t xml:space="preserve">. </w:t>
      </w:r>
      <w:r w:rsidR="00F967B1">
        <w:t>D</w:t>
      </w:r>
      <w:r w:rsidR="00DE6BCD" w:rsidRPr="007D6115">
        <w:t xml:space="preserve">omácnosti </w:t>
      </w:r>
      <w:r w:rsidR="00790A1F">
        <w:t xml:space="preserve">již několik čtvrtletí </w:t>
      </w:r>
      <w:r w:rsidR="004C3A94">
        <w:t>intenzivněji</w:t>
      </w:r>
      <w:r w:rsidR="00790A1F">
        <w:t xml:space="preserve"> utrácejí</w:t>
      </w:r>
      <w:r w:rsidR="00DE6BCD" w:rsidRPr="007D6115">
        <w:t xml:space="preserve"> (nejen nominálně, ale i reálně)</w:t>
      </w:r>
      <w:r w:rsidR="004C3A94">
        <w:t xml:space="preserve"> a </w:t>
      </w:r>
      <w:r w:rsidR="00DE6BCD" w:rsidRPr="007D6115">
        <w:t xml:space="preserve">jejich celková spotřeba </w:t>
      </w:r>
      <w:r w:rsidR="004C3A94">
        <w:t>se</w:t>
      </w:r>
      <w:r w:rsidR="00DB6F7D">
        <w:t xml:space="preserve"> tak</w:t>
      </w:r>
      <w:r w:rsidR="004C3A94">
        <w:t xml:space="preserve"> již blíží </w:t>
      </w:r>
      <w:r w:rsidR="00540795">
        <w:t xml:space="preserve">k </w:t>
      </w:r>
      <w:r w:rsidR="00D94910" w:rsidRPr="007D6115">
        <w:t>reáln</w:t>
      </w:r>
      <w:r w:rsidR="004C3A94">
        <w:t>é</w:t>
      </w:r>
      <w:r w:rsidR="00D94910" w:rsidRPr="007D6115">
        <w:t xml:space="preserve"> úrovn</w:t>
      </w:r>
      <w:r w:rsidR="004C3A94">
        <w:t>i</w:t>
      </w:r>
      <w:r w:rsidR="00D94910" w:rsidRPr="007D6115">
        <w:t xml:space="preserve"> v období před prvními dopady pandemie covidu, tj. </w:t>
      </w:r>
      <w:r w:rsidR="00540795">
        <w:t>k ú</w:t>
      </w:r>
      <w:r w:rsidR="00D94910" w:rsidRPr="007D6115">
        <w:t>rovn</w:t>
      </w:r>
      <w:r w:rsidR="00540795">
        <w:t xml:space="preserve">i </w:t>
      </w:r>
      <w:r w:rsidR="00D94910" w:rsidRPr="007D6115">
        <w:t>4. čtvrtletí 2019.</w:t>
      </w:r>
      <w:r w:rsidR="00DE6BCD" w:rsidRPr="00DE6BCD">
        <w:t xml:space="preserve"> </w:t>
      </w:r>
    </w:p>
    <w:p w14:paraId="1696D00C" w14:textId="53B3728E" w:rsidR="00D94910" w:rsidRDefault="00D94910" w:rsidP="00D94910">
      <w:pPr>
        <w:pStyle w:val="TabulkaGraf"/>
        <w:keepNext/>
        <w:spacing w:before="120"/>
      </w:pPr>
      <w:r>
        <w:t>Graf 1</w:t>
      </w:r>
      <w:r w:rsidR="002D3CEA">
        <w:t>7:</w:t>
      </w:r>
      <w:r w:rsidRPr="0034420E">
        <w:t xml:space="preserve"> </w:t>
      </w:r>
      <w:r w:rsidRPr="00D94910">
        <w:t xml:space="preserve">Reálný a nominální vývoj spotřeby domácností </w:t>
      </w:r>
      <w:r>
        <w:t>–</w:t>
      </w:r>
      <w:r w:rsidRPr="00D94910">
        <w:t xml:space="preserve"> 4</w:t>
      </w:r>
      <w:r>
        <w:t xml:space="preserve">. čtvrtletí </w:t>
      </w:r>
      <w:r w:rsidRPr="00D94910">
        <w:t>2019 = 100 (sezónně očištěno)</w:t>
      </w:r>
    </w:p>
    <w:p w14:paraId="48B189EA" w14:textId="0E5887E6" w:rsidR="00D94910" w:rsidRDefault="00521CBA" w:rsidP="00D30FBB">
      <w:pPr>
        <w:spacing w:after="120"/>
      </w:pPr>
      <w:r w:rsidRPr="00521CBA">
        <w:rPr>
          <w:noProof/>
        </w:rPr>
        <w:drawing>
          <wp:inline distT="0" distB="0" distL="0" distR="0" wp14:anchorId="7DFF2C4D" wp14:editId="6FE70FDD">
            <wp:extent cx="4980940" cy="2237740"/>
            <wp:effectExtent l="0" t="0" r="0" b="0"/>
            <wp:docPr id="814401094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FA4B6" w14:textId="5A806A4F" w:rsidR="00D30FBB" w:rsidRDefault="001F183E" w:rsidP="009F7136">
      <w:pPr>
        <w:spacing w:after="60"/>
      </w:pPr>
      <w:r>
        <w:t>Dynamický r</w:t>
      </w:r>
      <w:r w:rsidR="001F043B">
        <w:t>ů</w:t>
      </w:r>
      <w:r w:rsidR="00072AC5" w:rsidRPr="003F1550">
        <w:t xml:space="preserve">st spotřeby domácností </w:t>
      </w:r>
      <w:r w:rsidR="00855019" w:rsidRPr="003F1550">
        <w:t xml:space="preserve">byl </w:t>
      </w:r>
      <w:r w:rsidR="001F043B">
        <w:t>do</w:t>
      </w:r>
      <w:r w:rsidR="00855019" w:rsidRPr="003F1550">
        <w:t>provázen</w:t>
      </w:r>
      <w:r w:rsidR="00504690">
        <w:t xml:space="preserve"> </w:t>
      </w:r>
      <w:r>
        <w:t xml:space="preserve">výrazným </w:t>
      </w:r>
      <w:r w:rsidR="00E0339F" w:rsidRPr="003F1550">
        <w:t>meziroční</w:t>
      </w:r>
      <w:r w:rsidR="00504690">
        <w:t xml:space="preserve">m </w:t>
      </w:r>
      <w:r w:rsidR="00AB2302">
        <w:t xml:space="preserve">nominálním </w:t>
      </w:r>
      <w:r w:rsidR="0033436F">
        <w:t xml:space="preserve">poklesem </w:t>
      </w:r>
      <w:r w:rsidR="00AC0524" w:rsidRPr="003F1550">
        <w:rPr>
          <w:b/>
        </w:rPr>
        <w:t>hrubých úspor</w:t>
      </w:r>
      <w:r w:rsidR="0085242C" w:rsidRPr="003F1550">
        <w:rPr>
          <w:rStyle w:val="Znakapoznpodarou"/>
        </w:rPr>
        <w:footnoteReference w:id="37"/>
      </w:r>
      <w:r w:rsidR="000E2AA7" w:rsidRPr="003F1550">
        <w:t xml:space="preserve"> (</w:t>
      </w:r>
      <w:r w:rsidR="0033436F">
        <w:t>-</w:t>
      </w:r>
      <w:r>
        <w:t>6,</w:t>
      </w:r>
      <w:r w:rsidR="001729B5">
        <w:t>5</w:t>
      </w:r>
      <w:r w:rsidR="000E2AA7" w:rsidRPr="003F1550">
        <w:t> </w:t>
      </w:r>
      <w:r w:rsidR="009327ED" w:rsidRPr="003F1550">
        <w:t>%)</w:t>
      </w:r>
      <w:r w:rsidR="0060206D">
        <w:t>. V porovnání s</w:t>
      </w:r>
      <w:r w:rsidR="00BA3799">
        <w:t xml:space="preserve"> dramatickým </w:t>
      </w:r>
      <w:r>
        <w:t>vývojem v</w:t>
      </w:r>
      <w:r w:rsidR="0098126D">
        <w:t> </w:t>
      </w:r>
      <w:r w:rsidR="0060206D">
        <w:t>předchozí</w:t>
      </w:r>
      <w:r w:rsidR="0098126D">
        <w:t xml:space="preserve">ch </w:t>
      </w:r>
      <w:r w:rsidR="001729B5">
        <w:lastRenderedPageBreak/>
        <w:t xml:space="preserve">několika </w:t>
      </w:r>
      <w:r w:rsidR="0098126D">
        <w:t>let</w:t>
      </w:r>
      <w:r>
        <w:t>ech</w:t>
      </w:r>
      <w:r w:rsidR="0098126D">
        <w:t xml:space="preserve"> </w:t>
      </w:r>
      <w:r w:rsidR="00BA3799">
        <w:t>se</w:t>
      </w:r>
      <w:r w:rsidR="00980F72">
        <w:t xml:space="preserve"> </w:t>
      </w:r>
      <w:r w:rsidR="00BA3799">
        <w:t xml:space="preserve">jednalo </w:t>
      </w:r>
      <w:r w:rsidR="00286284">
        <w:t xml:space="preserve">stále </w:t>
      </w:r>
      <w:r w:rsidR="00BA3799">
        <w:t xml:space="preserve">o </w:t>
      </w:r>
      <w:r w:rsidR="00286284">
        <w:t xml:space="preserve">relativně </w:t>
      </w:r>
      <w:r w:rsidR="00BA3799">
        <w:t>mírný</w:t>
      </w:r>
      <w:r w:rsidR="0098126D">
        <w:t xml:space="preserve"> vývoj</w:t>
      </w:r>
      <w:r w:rsidR="00286284">
        <w:t xml:space="preserve">. </w:t>
      </w:r>
      <w:r w:rsidR="00D30FBB" w:rsidRPr="00381BD4">
        <w:rPr>
          <w:b/>
        </w:rPr>
        <w:t>Míra úspor</w:t>
      </w:r>
      <w:r w:rsidR="00381BD4" w:rsidRPr="00381BD4">
        <w:rPr>
          <w:rStyle w:val="Znakapoznpodarou"/>
        </w:rPr>
        <w:footnoteReference w:id="38"/>
      </w:r>
      <w:r w:rsidR="00E910D1" w:rsidRPr="00381BD4">
        <w:t xml:space="preserve"> </w:t>
      </w:r>
      <w:r w:rsidR="00286284">
        <w:t xml:space="preserve">zachycující tendence domácností </w:t>
      </w:r>
      <w:r w:rsidR="00980F72">
        <w:t>spořit</w:t>
      </w:r>
      <w:r w:rsidR="00286284">
        <w:t xml:space="preserve"> byla sice </w:t>
      </w:r>
      <w:r w:rsidR="000A4639" w:rsidRPr="00381BD4">
        <w:t>me</w:t>
      </w:r>
      <w:r w:rsidR="00D30FBB" w:rsidRPr="00381BD4">
        <w:t xml:space="preserve">ziročně o </w:t>
      </w:r>
      <w:r w:rsidR="00326F10">
        <w:t>1,9</w:t>
      </w:r>
      <w:r w:rsidR="00381BD4" w:rsidRPr="00381BD4">
        <w:t xml:space="preserve"> </w:t>
      </w:r>
      <w:proofErr w:type="spellStart"/>
      <w:r w:rsidR="00D30FBB" w:rsidRPr="00381BD4">
        <w:t>p.b</w:t>
      </w:r>
      <w:proofErr w:type="spellEnd"/>
      <w:r w:rsidR="00D30FBB" w:rsidRPr="00381BD4">
        <w:t>.</w:t>
      </w:r>
      <w:r w:rsidR="00AB2302">
        <w:t xml:space="preserve"> a </w:t>
      </w:r>
      <w:r w:rsidR="000A4639" w:rsidRPr="00381BD4">
        <w:t>mezičtvrtletně o</w:t>
      </w:r>
      <w:r w:rsidR="00AB2302">
        <w:t> </w:t>
      </w:r>
      <w:r w:rsidR="00286284">
        <w:t>0,</w:t>
      </w:r>
      <w:r w:rsidR="00326F10">
        <w:t>1</w:t>
      </w:r>
      <w:r w:rsidR="00286284">
        <w:t> </w:t>
      </w:r>
      <w:proofErr w:type="spellStart"/>
      <w:r w:rsidR="00381BD4" w:rsidRPr="00381BD4">
        <w:t>p.b</w:t>
      </w:r>
      <w:proofErr w:type="spellEnd"/>
      <w:r w:rsidR="00381BD4" w:rsidRPr="00381BD4">
        <w:t>.</w:t>
      </w:r>
      <w:r w:rsidR="000A4639" w:rsidRPr="00381BD4">
        <w:rPr>
          <w:rStyle w:val="Znakapoznpodarou"/>
        </w:rPr>
        <w:footnoteReference w:id="39"/>
      </w:r>
      <w:r w:rsidR="000A4639" w:rsidRPr="00381BD4">
        <w:t xml:space="preserve"> </w:t>
      </w:r>
      <w:r w:rsidR="00286284">
        <w:t>nižší, ale v</w:t>
      </w:r>
      <w:r w:rsidR="00326F10">
        <w:t> </w:t>
      </w:r>
      <w:r w:rsidR="00286284">
        <w:t>porovnání s </w:t>
      </w:r>
      <w:r w:rsidR="009A466D">
        <w:t>„před-covidovým“ obdobím zůstávala</w:t>
      </w:r>
      <w:r w:rsidR="00EF12AA" w:rsidRPr="00381BD4">
        <w:t xml:space="preserve"> </w:t>
      </w:r>
      <w:r w:rsidR="00286284">
        <w:t xml:space="preserve">i nadále </w:t>
      </w:r>
      <w:r w:rsidR="00EF12AA" w:rsidRPr="00381BD4">
        <w:t>na poměrně vysoké úrovni</w:t>
      </w:r>
      <w:r w:rsidR="00286284">
        <w:t xml:space="preserve"> </w:t>
      </w:r>
      <w:r w:rsidR="00286284" w:rsidRPr="00381BD4">
        <w:t>(18,</w:t>
      </w:r>
      <w:r w:rsidR="00286284">
        <w:t>4</w:t>
      </w:r>
      <w:r w:rsidR="00326F10">
        <w:t> </w:t>
      </w:r>
      <w:r w:rsidR="00286284" w:rsidRPr="00381BD4">
        <w:t>%</w:t>
      </w:r>
      <w:r w:rsidR="00286284" w:rsidRPr="00381BD4">
        <w:rPr>
          <w:rStyle w:val="Znakapoznpodarou"/>
        </w:rPr>
        <w:footnoteReference w:id="40"/>
      </w:r>
      <w:r w:rsidR="00286284" w:rsidRPr="00381BD4">
        <w:t>)</w:t>
      </w:r>
      <w:r w:rsidR="00EF12AA" w:rsidRPr="00381BD4">
        <w:t>.</w:t>
      </w:r>
    </w:p>
    <w:p w14:paraId="35A5A4EC" w14:textId="4D004815" w:rsidR="00D30FBB" w:rsidRDefault="00D30FBB" w:rsidP="00D30FBB">
      <w:pPr>
        <w:keepNext/>
        <w:rPr>
          <w:b/>
        </w:rPr>
      </w:pPr>
      <w:r w:rsidRPr="00CB41C1">
        <w:rPr>
          <w:b/>
        </w:rPr>
        <w:t>Graf 1</w:t>
      </w:r>
      <w:r w:rsidR="002D3CEA">
        <w:rPr>
          <w:b/>
        </w:rPr>
        <w:t>8</w:t>
      </w:r>
      <w:r w:rsidRPr="00CB41C1">
        <w:rPr>
          <w:b/>
        </w:rPr>
        <w:t xml:space="preserve">: Míra investic a </w:t>
      </w:r>
      <w:r>
        <w:rPr>
          <w:b/>
        </w:rPr>
        <w:t xml:space="preserve">míra úspor </w:t>
      </w:r>
      <w:r w:rsidRPr="00CB41C1">
        <w:rPr>
          <w:b/>
        </w:rPr>
        <w:t>sektoru domácností (v %</w:t>
      </w:r>
      <w:r>
        <w:rPr>
          <w:b/>
        </w:rPr>
        <w:t>, sezónně očištěno</w:t>
      </w:r>
      <w:r w:rsidRPr="00CB41C1">
        <w:rPr>
          <w:b/>
        </w:rPr>
        <w:t>)</w:t>
      </w:r>
    </w:p>
    <w:p w14:paraId="78CE6DAC" w14:textId="2AB6DA26" w:rsidR="00EF12AA" w:rsidRPr="00322311" w:rsidRDefault="001729B5" w:rsidP="009F7136">
      <w:pPr>
        <w:spacing w:after="60"/>
      </w:pPr>
      <w:r w:rsidRPr="001729B5">
        <w:rPr>
          <w:noProof/>
        </w:rPr>
        <w:drawing>
          <wp:inline distT="0" distB="0" distL="0" distR="0" wp14:anchorId="7CA38D72" wp14:editId="144B6037">
            <wp:extent cx="5041265" cy="2233930"/>
            <wp:effectExtent l="0" t="0" r="6985" b="0"/>
            <wp:docPr id="1075274305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E708" w14:textId="27990045" w:rsidR="00BA60DC" w:rsidRPr="002F0251" w:rsidRDefault="009F7136" w:rsidP="005D42E5">
      <w:pPr>
        <w:spacing w:after="120"/>
      </w:pPr>
      <w:r>
        <w:t>P</w:t>
      </w:r>
      <w:r w:rsidR="00762002">
        <w:t xml:space="preserve">okles úspor </w:t>
      </w:r>
      <w:r w:rsidR="008A1CE4" w:rsidRPr="002F0251">
        <w:t xml:space="preserve">byl provázen </w:t>
      </w:r>
      <w:r w:rsidR="00724746">
        <w:t xml:space="preserve">mírným růstem </w:t>
      </w:r>
      <w:r w:rsidR="00A57C45" w:rsidRPr="002F0251">
        <w:t>investiční aktivity domácností</w:t>
      </w:r>
      <w:r w:rsidR="008A1CE4" w:rsidRPr="002F0251">
        <w:t xml:space="preserve">. </w:t>
      </w:r>
      <w:r w:rsidR="00D715F5">
        <w:t xml:space="preserve">Nominálně investice domácností </w:t>
      </w:r>
      <w:r w:rsidR="00724746">
        <w:t>vzrostly</w:t>
      </w:r>
      <w:r w:rsidR="0054577C">
        <w:t xml:space="preserve"> o </w:t>
      </w:r>
      <w:r w:rsidR="00724746">
        <w:t>5,5</w:t>
      </w:r>
      <w:r w:rsidR="0054577C">
        <w:t> </w:t>
      </w:r>
      <w:r w:rsidR="00D715F5">
        <w:t>%</w:t>
      </w:r>
      <w:r w:rsidR="00D715F5" w:rsidRPr="002F0251">
        <w:rPr>
          <w:rStyle w:val="Znakapoznpodarou"/>
        </w:rPr>
        <w:footnoteReference w:id="41"/>
      </w:r>
      <w:r w:rsidR="00D715F5">
        <w:t xml:space="preserve">. </w:t>
      </w:r>
      <w:r w:rsidR="004C6B03" w:rsidRPr="002F0251">
        <w:rPr>
          <w:b/>
        </w:rPr>
        <w:t>Míra </w:t>
      </w:r>
      <w:r w:rsidR="000A607F" w:rsidRPr="002F0251">
        <w:rPr>
          <w:b/>
        </w:rPr>
        <w:t>investic</w:t>
      </w:r>
      <w:r w:rsidR="00D715F5" w:rsidRPr="00D715F5">
        <w:rPr>
          <w:rStyle w:val="Znakapoznpodarou"/>
        </w:rPr>
        <w:footnoteReference w:id="42"/>
      </w:r>
      <w:r w:rsidR="000A607F" w:rsidRPr="002F0251">
        <w:t xml:space="preserve"> </w:t>
      </w:r>
      <w:r w:rsidR="002F0251" w:rsidRPr="002F0251">
        <w:t xml:space="preserve">dosahovala hodnoty </w:t>
      </w:r>
      <w:r w:rsidR="0054577C">
        <w:t>10,</w:t>
      </w:r>
      <w:r w:rsidR="00724746">
        <w:t>8</w:t>
      </w:r>
      <w:r w:rsidR="00683E3C">
        <w:t> </w:t>
      </w:r>
      <w:r w:rsidR="000A607F" w:rsidRPr="002F0251">
        <w:t>%</w:t>
      </w:r>
      <w:r w:rsidR="00683E3C">
        <w:t xml:space="preserve">, což bylo </w:t>
      </w:r>
      <w:r w:rsidR="00D715F5">
        <w:t>o 0,</w:t>
      </w:r>
      <w:r w:rsidR="00724746">
        <w:t>2</w:t>
      </w:r>
      <w:r w:rsidR="00D715F5">
        <w:t xml:space="preserve"> </w:t>
      </w:r>
      <w:proofErr w:type="spellStart"/>
      <w:r w:rsidR="00D715F5">
        <w:t>p.b</w:t>
      </w:r>
      <w:proofErr w:type="spellEnd"/>
      <w:r w:rsidR="00D715F5">
        <w:t xml:space="preserve">. </w:t>
      </w:r>
      <w:r w:rsidR="00724746">
        <w:t xml:space="preserve">více </w:t>
      </w:r>
      <w:r w:rsidR="00D715F5">
        <w:t>než před</w:t>
      </w:r>
      <w:r w:rsidR="0054577C">
        <w:t xml:space="preserve"> rokem a </w:t>
      </w:r>
      <w:r>
        <w:t xml:space="preserve">o 0,1 </w:t>
      </w:r>
      <w:proofErr w:type="spellStart"/>
      <w:r>
        <w:t>p.b</w:t>
      </w:r>
      <w:proofErr w:type="spellEnd"/>
      <w:r>
        <w:t>.</w:t>
      </w:r>
      <w:r w:rsidR="00724746" w:rsidRPr="002F0251">
        <w:rPr>
          <w:rStyle w:val="Znakapoznpodarou"/>
        </w:rPr>
        <w:footnoteReference w:id="43"/>
      </w:r>
      <w:r>
        <w:t xml:space="preserve"> </w:t>
      </w:r>
      <w:r w:rsidR="003B66AF">
        <w:t>více</w:t>
      </w:r>
      <w:r>
        <w:t xml:space="preserve"> než </w:t>
      </w:r>
      <w:r w:rsidR="0054577C">
        <w:t>v předchozím</w:t>
      </w:r>
      <w:r w:rsidR="00683E3C">
        <w:t xml:space="preserve"> čtvrtletí</w:t>
      </w:r>
      <w:r w:rsidR="000A607F" w:rsidRPr="002F0251">
        <w:t xml:space="preserve">. </w:t>
      </w:r>
    </w:p>
    <w:p w14:paraId="1E17A38E" w14:textId="4AF7172D" w:rsidR="0085242C" w:rsidRPr="000D56CB" w:rsidRDefault="00520427" w:rsidP="00611D33">
      <w:pPr>
        <w:spacing w:after="60"/>
        <w:rPr>
          <w:rFonts w:eastAsia="Times New Roman"/>
          <w:b/>
          <w:bCs/>
          <w:spacing w:val="-2"/>
          <w:szCs w:val="28"/>
        </w:rPr>
      </w:pPr>
      <w:r w:rsidRPr="000D56CB">
        <w:rPr>
          <w:b/>
          <w:spacing w:val="-2"/>
        </w:rPr>
        <w:t>C</w:t>
      </w:r>
      <w:r w:rsidR="0085242C" w:rsidRPr="000D56CB">
        <w:rPr>
          <w:b/>
          <w:spacing w:val="-2"/>
        </w:rPr>
        <w:t>elkov</w:t>
      </w:r>
      <w:r w:rsidRPr="000D56CB">
        <w:rPr>
          <w:b/>
          <w:spacing w:val="-2"/>
        </w:rPr>
        <w:t>á</w:t>
      </w:r>
      <w:r w:rsidR="0085242C" w:rsidRPr="000D56CB">
        <w:rPr>
          <w:b/>
          <w:spacing w:val="-2"/>
        </w:rPr>
        <w:t xml:space="preserve"> finanční situac</w:t>
      </w:r>
      <w:r w:rsidRPr="000D56CB">
        <w:rPr>
          <w:b/>
          <w:spacing w:val="-2"/>
        </w:rPr>
        <w:t>e</w:t>
      </w:r>
      <w:r w:rsidR="0085242C" w:rsidRPr="000D56CB">
        <w:rPr>
          <w:b/>
          <w:spacing w:val="-2"/>
        </w:rPr>
        <w:t xml:space="preserve"> </w:t>
      </w:r>
      <w:r w:rsidR="0085242C" w:rsidRPr="000D56CB">
        <w:rPr>
          <w:spacing w:val="-2"/>
        </w:rPr>
        <w:t>sektoru domácností</w:t>
      </w:r>
      <w:r w:rsidR="00C03554" w:rsidRPr="000D56CB">
        <w:rPr>
          <w:spacing w:val="-2"/>
        </w:rPr>
        <w:t xml:space="preserve"> </w:t>
      </w:r>
      <w:r w:rsidRPr="000D56CB">
        <w:rPr>
          <w:spacing w:val="-2"/>
        </w:rPr>
        <w:t xml:space="preserve">byla </w:t>
      </w:r>
      <w:r w:rsidR="003F183F" w:rsidRPr="000D56CB">
        <w:rPr>
          <w:spacing w:val="-2"/>
        </w:rPr>
        <w:t>v</w:t>
      </w:r>
      <w:r w:rsidR="000D56CB" w:rsidRPr="000D56CB">
        <w:rPr>
          <w:spacing w:val="-2"/>
        </w:rPr>
        <w:t>e</w:t>
      </w:r>
      <w:r w:rsidR="003F183F" w:rsidRPr="000D56CB">
        <w:rPr>
          <w:spacing w:val="-2"/>
        </w:rPr>
        <w:t xml:space="preserve"> </w:t>
      </w:r>
      <w:r w:rsidR="00B01F26">
        <w:rPr>
          <w:spacing w:val="-2"/>
        </w:rPr>
        <w:t>3</w:t>
      </w:r>
      <w:r w:rsidR="003F183F" w:rsidRPr="000D56CB">
        <w:rPr>
          <w:spacing w:val="-2"/>
        </w:rPr>
        <w:t xml:space="preserve">. čtvrtletí </w:t>
      </w:r>
      <w:r w:rsidR="00C03554" w:rsidRPr="000D56CB">
        <w:rPr>
          <w:spacing w:val="-2"/>
        </w:rPr>
        <w:t>202</w:t>
      </w:r>
      <w:r w:rsidR="002E4D99" w:rsidRPr="000D56CB">
        <w:rPr>
          <w:spacing w:val="-2"/>
        </w:rPr>
        <w:t>5</w:t>
      </w:r>
      <w:r w:rsidRPr="000D56CB">
        <w:rPr>
          <w:spacing w:val="-2"/>
        </w:rPr>
        <w:t xml:space="preserve"> velmi </w:t>
      </w:r>
      <w:r w:rsidR="009E7FC8" w:rsidRPr="000D56CB">
        <w:rPr>
          <w:spacing w:val="-2"/>
        </w:rPr>
        <w:t xml:space="preserve">podobná </w:t>
      </w:r>
      <w:r w:rsidR="00371900" w:rsidRPr="000D56CB">
        <w:rPr>
          <w:spacing w:val="-2"/>
        </w:rPr>
        <w:t xml:space="preserve">situaci </w:t>
      </w:r>
      <w:r w:rsidR="003F183F" w:rsidRPr="000D56CB">
        <w:rPr>
          <w:spacing w:val="-2"/>
        </w:rPr>
        <w:t xml:space="preserve">předchozího </w:t>
      </w:r>
      <w:r w:rsidR="002321CD">
        <w:rPr>
          <w:spacing w:val="-2"/>
        </w:rPr>
        <w:t>čtvrtletí</w:t>
      </w:r>
      <w:r w:rsidR="009E7FC8" w:rsidRPr="000D56CB">
        <w:rPr>
          <w:spacing w:val="-2"/>
        </w:rPr>
        <w:t xml:space="preserve">. </w:t>
      </w:r>
      <w:r w:rsidR="0066763E">
        <w:rPr>
          <w:spacing w:val="-2"/>
        </w:rPr>
        <w:t>Z</w:t>
      </w:r>
      <w:r w:rsidR="009E7FC8" w:rsidRPr="000D56CB">
        <w:rPr>
          <w:spacing w:val="-2"/>
        </w:rPr>
        <w:t xml:space="preserve">výšení příjmů domácností </w:t>
      </w:r>
      <w:r w:rsidR="00ED3327" w:rsidRPr="000D56CB">
        <w:rPr>
          <w:spacing w:val="-2"/>
        </w:rPr>
        <w:t xml:space="preserve">a důchodů z podnikání </w:t>
      </w:r>
      <w:r w:rsidR="009E7FC8" w:rsidRPr="000D56CB">
        <w:rPr>
          <w:spacing w:val="-2"/>
        </w:rPr>
        <w:t xml:space="preserve">bylo </w:t>
      </w:r>
      <w:r w:rsidR="0066763E">
        <w:rPr>
          <w:spacing w:val="-2"/>
        </w:rPr>
        <w:t xml:space="preserve">sice </w:t>
      </w:r>
      <w:r w:rsidR="00A97B05" w:rsidRPr="000D56CB">
        <w:rPr>
          <w:spacing w:val="-2"/>
        </w:rPr>
        <w:t xml:space="preserve">doprovázeno </w:t>
      </w:r>
      <w:r w:rsidR="00371900" w:rsidRPr="000D56CB">
        <w:rPr>
          <w:spacing w:val="-2"/>
        </w:rPr>
        <w:t>v</w:t>
      </w:r>
      <w:r w:rsidR="009E7FC8" w:rsidRPr="000D56CB">
        <w:rPr>
          <w:spacing w:val="-2"/>
        </w:rPr>
        <w:t>yšší spotřebou domácností</w:t>
      </w:r>
      <w:r w:rsidR="00ED3327" w:rsidRPr="000D56CB">
        <w:rPr>
          <w:spacing w:val="-2"/>
        </w:rPr>
        <w:t xml:space="preserve"> a </w:t>
      </w:r>
      <w:r w:rsidR="0066763E">
        <w:rPr>
          <w:spacing w:val="-2"/>
        </w:rPr>
        <w:t>vyšší</w:t>
      </w:r>
      <w:r w:rsidR="00ED3327" w:rsidRPr="000D56CB">
        <w:rPr>
          <w:spacing w:val="-2"/>
        </w:rPr>
        <w:t xml:space="preserve"> investiční aktivitou</w:t>
      </w:r>
      <w:r w:rsidR="0066763E">
        <w:rPr>
          <w:spacing w:val="-2"/>
        </w:rPr>
        <w:t>, ale d</w:t>
      </w:r>
      <w:r w:rsidR="00770C99" w:rsidRPr="000D56CB">
        <w:rPr>
          <w:spacing w:val="-2"/>
        </w:rPr>
        <w:t xml:space="preserve">omácnosti </w:t>
      </w:r>
      <w:r w:rsidR="0066763E">
        <w:rPr>
          <w:spacing w:val="-2"/>
        </w:rPr>
        <w:t xml:space="preserve">měly </w:t>
      </w:r>
      <w:r w:rsidRPr="000D56CB">
        <w:rPr>
          <w:spacing w:val="-2"/>
        </w:rPr>
        <w:t xml:space="preserve">stále </w:t>
      </w:r>
      <w:r w:rsidR="008F7016" w:rsidRPr="000D56CB">
        <w:rPr>
          <w:spacing w:val="-2"/>
        </w:rPr>
        <w:t>dostatek volných prostředků, které mohly poskytovat</w:t>
      </w:r>
      <w:r w:rsidRPr="000D56CB">
        <w:rPr>
          <w:spacing w:val="-2"/>
        </w:rPr>
        <w:t xml:space="preserve"> ve </w:t>
      </w:r>
      <w:r w:rsidR="00F9227A" w:rsidRPr="000D56CB">
        <w:rPr>
          <w:spacing w:val="-2"/>
        </w:rPr>
        <w:t>formě půjček</w:t>
      </w:r>
      <w:r w:rsidR="008F7016" w:rsidRPr="000D56CB">
        <w:rPr>
          <w:spacing w:val="-2"/>
        </w:rPr>
        <w:t xml:space="preserve"> </w:t>
      </w:r>
      <w:r w:rsidR="000D56CB" w:rsidRPr="000D56CB">
        <w:rPr>
          <w:spacing w:val="-2"/>
        </w:rPr>
        <w:t>ostatním</w:t>
      </w:r>
      <w:r w:rsidR="008F7016" w:rsidRPr="000D56CB">
        <w:rPr>
          <w:spacing w:val="-2"/>
        </w:rPr>
        <w:t xml:space="preserve"> sektorům. </w:t>
      </w:r>
      <w:r w:rsidR="00A97B05" w:rsidRPr="000D56CB">
        <w:rPr>
          <w:spacing w:val="-2"/>
        </w:rPr>
        <w:t xml:space="preserve">Ukazatel </w:t>
      </w:r>
      <w:r w:rsidR="00A97B05" w:rsidRPr="000D56CB">
        <w:rPr>
          <w:b/>
          <w:spacing w:val="-2"/>
        </w:rPr>
        <w:t>čistých půjček</w:t>
      </w:r>
      <w:r w:rsidR="00A97B05" w:rsidRPr="000D56CB">
        <w:rPr>
          <w:rStyle w:val="Znakapoznpodarou"/>
          <w:spacing w:val="-2"/>
        </w:rPr>
        <w:footnoteReference w:id="44"/>
      </w:r>
      <w:r w:rsidR="00A97B05" w:rsidRPr="000D56CB">
        <w:rPr>
          <w:spacing w:val="-2"/>
        </w:rPr>
        <w:t xml:space="preserve"> se udržoval na relativně vysoké úrovni</w:t>
      </w:r>
      <w:r w:rsidR="000D56CB">
        <w:rPr>
          <w:spacing w:val="-2"/>
        </w:rPr>
        <w:t xml:space="preserve">, byť </w:t>
      </w:r>
      <w:r w:rsidR="00ED3327" w:rsidRPr="000D56CB">
        <w:rPr>
          <w:spacing w:val="-2"/>
        </w:rPr>
        <w:t xml:space="preserve">v porovnáním s předchozím rokem </w:t>
      </w:r>
      <w:r w:rsidR="000D56CB">
        <w:rPr>
          <w:spacing w:val="-2"/>
        </w:rPr>
        <w:t>poklesl</w:t>
      </w:r>
      <w:r w:rsidR="00ED3327" w:rsidRPr="000D56CB">
        <w:rPr>
          <w:spacing w:val="-2"/>
        </w:rPr>
        <w:t xml:space="preserve">. </w:t>
      </w:r>
    </w:p>
    <w:p w14:paraId="0DDF5790" w14:textId="77777777" w:rsidR="002E4D99" w:rsidRDefault="000D26B9" w:rsidP="00611D33">
      <w:pPr>
        <w:keepNext/>
        <w:spacing w:before="120"/>
        <w:rPr>
          <w:b/>
        </w:rPr>
      </w:pPr>
      <w:r w:rsidRPr="00CB41C1">
        <w:rPr>
          <w:b/>
        </w:rPr>
        <w:lastRenderedPageBreak/>
        <w:t>Graf 1</w:t>
      </w:r>
      <w:r w:rsidR="002D3CEA">
        <w:rPr>
          <w:b/>
        </w:rPr>
        <w:t>9</w:t>
      </w:r>
      <w:r w:rsidRPr="00CB41C1">
        <w:rPr>
          <w:b/>
        </w:rPr>
        <w:t xml:space="preserve">: </w:t>
      </w:r>
      <w:r w:rsidR="0086484F" w:rsidRPr="0086484F">
        <w:rPr>
          <w:b/>
        </w:rPr>
        <w:t>Roz</w:t>
      </w:r>
      <w:r w:rsidR="001C7882">
        <w:rPr>
          <w:b/>
        </w:rPr>
        <w:t>klad</w:t>
      </w:r>
      <w:r w:rsidR="0086484F" w:rsidRPr="0086484F">
        <w:rPr>
          <w:b/>
        </w:rPr>
        <w:t xml:space="preserve"> meziroční změny čistých půjček domácností (v mil. Kč)</w:t>
      </w:r>
    </w:p>
    <w:p w14:paraId="4E5C1EF5" w14:textId="6D8F94DB" w:rsidR="00D30FBB" w:rsidRPr="002E4D99" w:rsidRDefault="00B01F26" w:rsidP="00611D33">
      <w:pPr>
        <w:keepNext/>
        <w:rPr>
          <w:b/>
          <w:highlight w:val="yellow"/>
        </w:rPr>
      </w:pPr>
      <w:r w:rsidRPr="00B01F26">
        <w:rPr>
          <w:noProof/>
        </w:rPr>
        <w:drawing>
          <wp:inline distT="0" distB="0" distL="0" distR="0" wp14:anchorId="776FE5AE" wp14:editId="23F0F263">
            <wp:extent cx="5041265" cy="2197735"/>
            <wp:effectExtent l="0" t="0" r="6985" b="0"/>
            <wp:docPr id="23248498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FBB">
        <w:br w:type="page"/>
      </w:r>
    </w:p>
    <w:p w14:paraId="6D8E76C2" w14:textId="456C1DD4" w:rsidR="00F50CEF" w:rsidRPr="003C00B9" w:rsidRDefault="00F50CEF" w:rsidP="001C7882">
      <w:pPr>
        <w:pStyle w:val="Nadpis1"/>
        <w:spacing w:before="240" w:after="120"/>
        <w:rPr>
          <w:u w:val="single"/>
        </w:rPr>
      </w:pPr>
      <w:r w:rsidRPr="00AB35E7">
        <w:rPr>
          <w:u w:val="single"/>
        </w:rPr>
        <w:lastRenderedPageBreak/>
        <w:t xml:space="preserve">Finanční vztahy </w:t>
      </w:r>
      <w:r w:rsidR="00A56836" w:rsidRPr="00AB35E7">
        <w:rPr>
          <w:u w:val="single"/>
        </w:rPr>
        <w:t xml:space="preserve">české ekonomiky </w:t>
      </w:r>
      <w:r w:rsidRPr="00AB35E7">
        <w:rPr>
          <w:u w:val="single"/>
        </w:rPr>
        <w:t>s</w:t>
      </w:r>
      <w:r w:rsidR="00352264" w:rsidRPr="00AB35E7">
        <w:rPr>
          <w:u w:val="single"/>
        </w:rPr>
        <w:t>e zahraničím (s</w:t>
      </w:r>
      <w:r w:rsidR="000D19F9" w:rsidRPr="00AB35E7">
        <w:rPr>
          <w:u w:val="single"/>
        </w:rPr>
        <w:t> </w:t>
      </w:r>
      <w:r w:rsidRPr="00AB35E7">
        <w:rPr>
          <w:u w:val="single"/>
        </w:rPr>
        <w:t>ner</w:t>
      </w:r>
      <w:r w:rsidRPr="003C00B9">
        <w:rPr>
          <w:u w:val="single"/>
        </w:rPr>
        <w:t>ezidenty</w:t>
      </w:r>
      <w:r w:rsidR="00352264" w:rsidRPr="003C00B9">
        <w:rPr>
          <w:u w:val="single"/>
        </w:rPr>
        <w:t>)</w:t>
      </w:r>
    </w:p>
    <w:p w14:paraId="498A32AB" w14:textId="099DD4FE" w:rsidR="0031758D" w:rsidRPr="00C64473" w:rsidRDefault="0020479B" w:rsidP="00060DD8">
      <w:pPr>
        <w:spacing w:after="120"/>
        <w:rPr>
          <w:spacing w:val="-2"/>
        </w:rPr>
      </w:pPr>
      <w:r w:rsidRPr="00C64473">
        <w:rPr>
          <w:spacing w:val="-2"/>
        </w:rPr>
        <w:t>Pozice české ekonomiky vůči zahraničí byla v</w:t>
      </w:r>
      <w:r w:rsidR="00052AA0" w:rsidRPr="00C64473">
        <w:rPr>
          <w:spacing w:val="-2"/>
        </w:rPr>
        <w:t>e</w:t>
      </w:r>
      <w:r w:rsidRPr="00C64473">
        <w:rPr>
          <w:spacing w:val="-2"/>
        </w:rPr>
        <w:t> </w:t>
      </w:r>
      <w:r w:rsidR="00B153C7">
        <w:rPr>
          <w:spacing w:val="-2"/>
        </w:rPr>
        <w:t>3</w:t>
      </w:r>
      <w:r w:rsidRPr="00C64473">
        <w:rPr>
          <w:spacing w:val="-2"/>
        </w:rPr>
        <w:t>. čtvrtletí 202</w:t>
      </w:r>
      <w:r w:rsidR="006B28D0" w:rsidRPr="00C64473">
        <w:rPr>
          <w:spacing w:val="-2"/>
        </w:rPr>
        <w:t>5</w:t>
      </w:r>
      <w:r w:rsidRPr="00C64473">
        <w:rPr>
          <w:spacing w:val="-2"/>
        </w:rPr>
        <w:t xml:space="preserve">, podobně jako </w:t>
      </w:r>
      <w:r w:rsidR="006B28D0" w:rsidRPr="00C64473">
        <w:rPr>
          <w:spacing w:val="-2"/>
        </w:rPr>
        <w:t xml:space="preserve">většinu </w:t>
      </w:r>
      <w:r w:rsidR="00325E59" w:rsidRPr="00C64473">
        <w:rPr>
          <w:spacing w:val="-2"/>
        </w:rPr>
        <w:t xml:space="preserve">čtvrtletí </w:t>
      </w:r>
      <w:r w:rsidRPr="00C64473">
        <w:rPr>
          <w:spacing w:val="-2"/>
        </w:rPr>
        <w:t xml:space="preserve">od začátku roku </w:t>
      </w:r>
      <w:r w:rsidR="00325E59" w:rsidRPr="00C64473">
        <w:rPr>
          <w:spacing w:val="-2"/>
        </w:rPr>
        <w:t>2023</w:t>
      </w:r>
      <w:r w:rsidRPr="00C64473">
        <w:rPr>
          <w:spacing w:val="-2"/>
        </w:rPr>
        <w:t>,</w:t>
      </w:r>
      <w:r w:rsidR="00325E59" w:rsidRPr="00C64473">
        <w:rPr>
          <w:spacing w:val="-2"/>
        </w:rPr>
        <w:t xml:space="preserve"> </w:t>
      </w:r>
      <w:r w:rsidR="00B83A85" w:rsidRPr="00C64473">
        <w:rPr>
          <w:spacing w:val="-2"/>
        </w:rPr>
        <w:t xml:space="preserve">ovlivněna </w:t>
      </w:r>
      <w:r w:rsidR="00B40497" w:rsidRPr="00C64473">
        <w:rPr>
          <w:spacing w:val="-2"/>
        </w:rPr>
        <w:t xml:space="preserve">zejména </w:t>
      </w:r>
      <w:r w:rsidR="00F70E09" w:rsidRPr="00C64473">
        <w:rPr>
          <w:spacing w:val="-2"/>
        </w:rPr>
        <w:t xml:space="preserve">výrazně kladnou bilancí </w:t>
      </w:r>
      <w:r w:rsidR="00B83A85" w:rsidRPr="00C64473">
        <w:rPr>
          <w:spacing w:val="-2"/>
        </w:rPr>
        <w:t>zahraničního obchodu</w:t>
      </w:r>
      <w:r w:rsidR="0031758D" w:rsidRPr="00C64473">
        <w:rPr>
          <w:spacing w:val="-2"/>
        </w:rPr>
        <w:t xml:space="preserve">. Nicméně v opačném směru působilo </w:t>
      </w:r>
      <w:r w:rsidR="00C64473" w:rsidRPr="00C64473">
        <w:rPr>
          <w:spacing w:val="-2"/>
        </w:rPr>
        <w:t xml:space="preserve">podle předběžných údajů </w:t>
      </w:r>
      <w:r w:rsidR="009E7028">
        <w:rPr>
          <w:spacing w:val="-2"/>
        </w:rPr>
        <w:t>vyšší</w:t>
      </w:r>
      <w:r w:rsidR="00052AA0" w:rsidRPr="00C64473">
        <w:rPr>
          <w:spacing w:val="-2"/>
        </w:rPr>
        <w:t xml:space="preserve"> intenzitou s</w:t>
      </w:r>
      <w:r w:rsidR="0031758D" w:rsidRPr="00C64473">
        <w:rPr>
          <w:spacing w:val="-2"/>
        </w:rPr>
        <w:t>aldo prvotních důchodů (</w:t>
      </w:r>
      <w:r w:rsidR="00945A74" w:rsidRPr="00C64473">
        <w:rPr>
          <w:spacing w:val="-2"/>
        </w:rPr>
        <w:t>byť výrazně méně než ve stejném čtvrtletí předchozího roku</w:t>
      </w:r>
      <w:r w:rsidR="0031758D" w:rsidRPr="00C64473">
        <w:rPr>
          <w:spacing w:val="-2"/>
        </w:rPr>
        <w:t>)</w:t>
      </w:r>
      <w:r w:rsidR="00052AA0" w:rsidRPr="00C64473">
        <w:rPr>
          <w:spacing w:val="-2"/>
        </w:rPr>
        <w:t xml:space="preserve"> a </w:t>
      </w:r>
      <w:r w:rsidR="00945A74" w:rsidRPr="00C64473">
        <w:rPr>
          <w:spacing w:val="-2"/>
        </w:rPr>
        <w:t xml:space="preserve">také </w:t>
      </w:r>
      <w:r w:rsidR="0031758D" w:rsidRPr="00C64473">
        <w:rPr>
          <w:spacing w:val="-2"/>
        </w:rPr>
        <w:t>saldo druhotného rozdělení</w:t>
      </w:r>
      <w:r w:rsidR="00B83A85" w:rsidRPr="00C64473">
        <w:rPr>
          <w:spacing w:val="-2"/>
        </w:rPr>
        <w:t xml:space="preserve">. </w:t>
      </w:r>
    </w:p>
    <w:p w14:paraId="793FB8CF" w14:textId="6FEFEFFB" w:rsidR="00D7042C" w:rsidRDefault="00AA69A6" w:rsidP="00060DD8">
      <w:pPr>
        <w:spacing w:after="120"/>
      </w:pPr>
      <w:r>
        <w:t>B</w:t>
      </w:r>
      <w:r w:rsidR="00CD04D1">
        <w:t xml:space="preserve">ilance zahraničního obchodu </w:t>
      </w:r>
      <w:r>
        <w:t xml:space="preserve">v běžných cenách patřila </w:t>
      </w:r>
      <w:r w:rsidR="00BA7440">
        <w:t xml:space="preserve">v kontextu posledních let </w:t>
      </w:r>
      <w:r>
        <w:t xml:space="preserve">mezi </w:t>
      </w:r>
      <w:r w:rsidR="00BA7440">
        <w:t>relativně vysoké, byť nižší než v předchozích čtvrtletích roku 2025.</w:t>
      </w:r>
      <w:r>
        <w:t xml:space="preserve"> </w:t>
      </w:r>
      <w:r w:rsidR="00CD04D1">
        <w:rPr>
          <w:b/>
        </w:rPr>
        <w:t>S</w:t>
      </w:r>
      <w:r w:rsidR="00CD04D1" w:rsidRPr="00DC300F">
        <w:rPr>
          <w:b/>
        </w:rPr>
        <w:t>aldo zahraničního obchodu</w:t>
      </w:r>
      <w:r w:rsidR="00CD04D1" w:rsidRPr="00DC300F">
        <w:t xml:space="preserve"> </w:t>
      </w:r>
      <w:r>
        <w:t xml:space="preserve">dosáhlo </w:t>
      </w:r>
      <w:r w:rsidR="00CD04D1" w:rsidRPr="00DC300F">
        <w:t>v</w:t>
      </w:r>
      <w:r w:rsidR="007F14B8">
        <w:t>e</w:t>
      </w:r>
      <w:r w:rsidR="00CD04D1" w:rsidRPr="00DC300F">
        <w:t xml:space="preserve"> </w:t>
      </w:r>
      <w:r w:rsidR="00BA7440">
        <w:t>3</w:t>
      </w:r>
      <w:r w:rsidR="00CD04D1" w:rsidRPr="00DC300F">
        <w:t>.</w:t>
      </w:r>
      <w:r w:rsidR="00CD04D1">
        <w:t> </w:t>
      </w:r>
      <w:r w:rsidR="00CD04D1" w:rsidRPr="00DC300F">
        <w:t xml:space="preserve">čtvrtletí </w:t>
      </w:r>
      <w:r w:rsidR="00CD04D1" w:rsidRPr="00D05A77">
        <w:t>202</w:t>
      </w:r>
      <w:r>
        <w:t>5</w:t>
      </w:r>
      <w:r w:rsidR="00CD04D1" w:rsidRPr="00D05A77">
        <w:t xml:space="preserve"> hodnoty </w:t>
      </w:r>
      <w:r w:rsidR="007F14B8">
        <w:t>1</w:t>
      </w:r>
      <w:r w:rsidR="00BA7440">
        <w:t>0</w:t>
      </w:r>
      <w:r w:rsidR="007F14B8">
        <w:t>5,</w:t>
      </w:r>
      <w:r w:rsidR="00BA7440">
        <w:t>1</w:t>
      </w:r>
      <w:r w:rsidR="00CD04D1" w:rsidRPr="00D05A77">
        <w:t> mld. Kč</w:t>
      </w:r>
      <w:r w:rsidR="00C64473">
        <w:t xml:space="preserve">. </w:t>
      </w:r>
      <w:r w:rsidR="00641233">
        <w:t>B</w:t>
      </w:r>
      <w:r w:rsidR="007F14B8">
        <w:t xml:space="preserve">ylo </w:t>
      </w:r>
      <w:r w:rsidR="00641233">
        <w:t xml:space="preserve">tak </w:t>
      </w:r>
      <w:r w:rsidR="00CD04D1" w:rsidRPr="00D05A77">
        <w:t>o </w:t>
      </w:r>
      <w:r w:rsidR="007F14B8">
        <w:t>1</w:t>
      </w:r>
      <w:r w:rsidR="00641233">
        <w:t>1</w:t>
      </w:r>
      <w:r w:rsidR="007F14B8">
        <w:t>,2</w:t>
      </w:r>
      <w:r w:rsidR="00CD04D1" w:rsidRPr="00D05A77">
        <w:t xml:space="preserve"> mld. Kč </w:t>
      </w:r>
      <w:r w:rsidR="00641233">
        <w:t>vyšší</w:t>
      </w:r>
      <w:r w:rsidR="00CD04D1" w:rsidRPr="00D05A77">
        <w:t xml:space="preserve"> než ve stejném období roku 202</w:t>
      </w:r>
      <w:r>
        <w:t>4</w:t>
      </w:r>
      <w:r w:rsidR="00641233">
        <w:t xml:space="preserve">, a to </w:t>
      </w:r>
      <w:r w:rsidR="00C64473">
        <w:t xml:space="preserve">zejména z důvodu </w:t>
      </w:r>
      <w:r w:rsidR="00641233">
        <w:t xml:space="preserve">rychlejšího </w:t>
      </w:r>
      <w:r w:rsidR="00C64473">
        <w:t xml:space="preserve">nominálního tempa růstu vývozu </w:t>
      </w:r>
      <w:r w:rsidR="00641233">
        <w:t>než růstu</w:t>
      </w:r>
      <w:r w:rsidR="00C64473">
        <w:t> dovozu.</w:t>
      </w:r>
      <w:r w:rsidR="008E5AB0">
        <w:t xml:space="preserve"> </w:t>
      </w:r>
    </w:p>
    <w:p w14:paraId="7AD30220" w14:textId="2A9A84B0" w:rsidR="00FB20C3" w:rsidRPr="000E333D" w:rsidRDefault="001E70A0" w:rsidP="00060DD8">
      <w:pPr>
        <w:spacing w:after="120"/>
      </w:pPr>
      <w:r w:rsidRPr="001E70A0">
        <w:t xml:space="preserve">Reálně </w:t>
      </w:r>
      <w:r>
        <w:rPr>
          <w:b/>
        </w:rPr>
        <w:t>byl v</w:t>
      </w:r>
      <w:r w:rsidR="00FB20C3" w:rsidRPr="00A75B4D">
        <w:rPr>
          <w:b/>
        </w:rPr>
        <w:t>ývoz zboží a služeb</w:t>
      </w:r>
      <w:r w:rsidR="002863D4" w:rsidRPr="00A75B4D">
        <w:rPr>
          <w:rStyle w:val="Znakapoznpodarou"/>
        </w:rPr>
        <w:footnoteReference w:id="45"/>
      </w:r>
      <w:r w:rsidR="00FB20C3" w:rsidRPr="00A75B4D">
        <w:t xml:space="preserve"> </w:t>
      </w:r>
      <w:r w:rsidR="000E333D" w:rsidRPr="00A75B4D">
        <w:t>meziročně vyšší</w:t>
      </w:r>
      <w:r w:rsidR="002863D4" w:rsidRPr="00A75B4D">
        <w:t xml:space="preserve"> o </w:t>
      </w:r>
      <w:r w:rsidR="00BF2999">
        <w:t>3,4</w:t>
      </w:r>
      <w:r w:rsidR="00A75B4D" w:rsidRPr="00A75B4D">
        <w:t> </w:t>
      </w:r>
      <w:r w:rsidR="002863D4" w:rsidRPr="00A75B4D">
        <w:t>%</w:t>
      </w:r>
      <w:r w:rsidR="008C26EA">
        <w:t xml:space="preserve">, </w:t>
      </w:r>
      <w:r>
        <w:t xml:space="preserve">což je růst, který patřil mezi </w:t>
      </w:r>
      <w:r w:rsidR="00BF2999">
        <w:t>vyšší</w:t>
      </w:r>
      <w:r>
        <w:t xml:space="preserve"> v posledních dvou letech.</w:t>
      </w:r>
      <w:r w:rsidR="009A0D25">
        <w:t xml:space="preserve"> Mezičtvrtletně </w:t>
      </w:r>
      <w:r w:rsidR="00BF2999">
        <w:t xml:space="preserve">vzrostl </w:t>
      </w:r>
      <w:r w:rsidR="009A0D25">
        <w:t xml:space="preserve">vývoz o </w:t>
      </w:r>
      <w:r w:rsidR="00134E8D">
        <w:t>0,</w:t>
      </w:r>
      <w:r w:rsidR="00BF2999">
        <w:t>9</w:t>
      </w:r>
      <w:r w:rsidR="009A0D25">
        <w:t xml:space="preserve"> %.</w:t>
      </w:r>
      <w:r w:rsidR="006541B6">
        <w:t xml:space="preserve"> </w:t>
      </w:r>
      <w:r w:rsidR="00BF2999" w:rsidRPr="00BF2999">
        <w:rPr>
          <w:b/>
          <w:bCs/>
        </w:rPr>
        <w:t>D</w:t>
      </w:r>
      <w:r w:rsidR="00FB20C3" w:rsidRPr="00A75B4D">
        <w:rPr>
          <w:b/>
        </w:rPr>
        <w:t>ovoz zboží a služeb</w:t>
      </w:r>
      <w:r w:rsidR="002863D4" w:rsidRPr="00A75B4D">
        <w:rPr>
          <w:rStyle w:val="Znakapoznpodarou"/>
        </w:rPr>
        <w:footnoteReference w:id="46"/>
      </w:r>
      <w:r w:rsidR="00FB20C3" w:rsidRPr="00A75B4D">
        <w:rPr>
          <w:b/>
        </w:rPr>
        <w:t xml:space="preserve"> </w:t>
      </w:r>
      <w:r w:rsidR="00BF2999" w:rsidRPr="00BF2999">
        <w:rPr>
          <w:bCs/>
        </w:rPr>
        <w:t xml:space="preserve">však </w:t>
      </w:r>
      <w:r w:rsidR="00BF2999">
        <w:rPr>
          <w:bCs/>
        </w:rPr>
        <w:t xml:space="preserve">rostl </w:t>
      </w:r>
      <w:r w:rsidR="008E5AB0" w:rsidRPr="008E5AB0">
        <w:t xml:space="preserve">reálně </w:t>
      </w:r>
      <w:r w:rsidR="00BF2999">
        <w:t>rychleji</w:t>
      </w:r>
      <w:r w:rsidR="006541B6">
        <w:t xml:space="preserve">: </w:t>
      </w:r>
      <w:r w:rsidR="00EC4598" w:rsidRPr="00A75B4D">
        <w:t>meziročně o</w:t>
      </w:r>
      <w:r w:rsidR="00FB20C3" w:rsidRPr="00A75B4D">
        <w:t xml:space="preserve"> </w:t>
      </w:r>
      <w:r w:rsidR="00BF2999">
        <w:t>3,7</w:t>
      </w:r>
      <w:r w:rsidR="00A75B4D" w:rsidRPr="00A75B4D">
        <w:t> </w:t>
      </w:r>
      <w:r w:rsidR="00FB20C3" w:rsidRPr="00A75B4D">
        <w:t>%</w:t>
      </w:r>
      <w:r w:rsidR="009F2070">
        <w:t xml:space="preserve"> a</w:t>
      </w:r>
      <w:r w:rsidR="002863D4" w:rsidRPr="00A75B4D">
        <w:t xml:space="preserve"> </w:t>
      </w:r>
      <w:r w:rsidR="00EC4598" w:rsidRPr="00A75B4D">
        <w:t xml:space="preserve">mezičtvrtletně </w:t>
      </w:r>
      <w:r w:rsidR="009A0D25">
        <w:t xml:space="preserve">byl vyšší o </w:t>
      </w:r>
      <w:r w:rsidR="00BF2999">
        <w:t>0,</w:t>
      </w:r>
      <w:r w:rsidR="009A0D25">
        <w:t>1 %.</w:t>
      </w:r>
      <w:r w:rsidR="00FB20C3" w:rsidRPr="000E333D">
        <w:t xml:space="preserve"> </w:t>
      </w:r>
      <w:r w:rsidR="00134E8D">
        <w:t xml:space="preserve">Poslední </w:t>
      </w:r>
      <w:r w:rsidR="00BF2999">
        <w:t>čtyři</w:t>
      </w:r>
      <w:r w:rsidR="00134E8D">
        <w:t xml:space="preserve"> čtvrtletí tak reálný růst dovozu výrazněji předbíh</w:t>
      </w:r>
      <w:r w:rsidR="00BF2999">
        <w:t>al</w:t>
      </w:r>
      <w:r w:rsidR="00134E8D">
        <w:t xml:space="preserve"> růst vývozu.</w:t>
      </w:r>
    </w:p>
    <w:p w14:paraId="4A5D4BBE" w14:textId="29189D6F" w:rsidR="001C7882" w:rsidRDefault="001C7882" w:rsidP="0027075E">
      <w:pPr>
        <w:keepNext/>
        <w:spacing w:before="240"/>
        <w:rPr>
          <w:b/>
        </w:rPr>
      </w:pPr>
      <w:r w:rsidRPr="00CB41C1">
        <w:rPr>
          <w:b/>
        </w:rPr>
        <w:t>Graf </w:t>
      </w:r>
      <w:r w:rsidR="002D3CEA">
        <w:rPr>
          <w:b/>
        </w:rPr>
        <w:t>20</w:t>
      </w:r>
      <w:r>
        <w:rPr>
          <w:b/>
        </w:rPr>
        <w:t>:</w:t>
      </w:r>
      <w:r w:rsidRPr="0086484F">
        <w:t xml:space="preserve"> </w:t>
      </w:r>
      <w:r w:rsidR="0059443E" w:rsidRPr="0059443E">
        <w:rPr>
          <w:b/>
        </w:rPr>
        <w:t>Saldo běžného účtu platební bilance z pohledu národního hospodářství (v mil. Kč)</w:t>
      </w:r>
    </w:p>
    <w:p w14:paraId="6FC5E663" w14:textId="3014BFC3" w:rsidR="001C7882" w:rsidRDefault="00B153C7" w:rsidP="00751EBB">
      <w:pPr>
        <w:spacing w:after="120"/>
      </w:pPr>
      <w:r w:rsidRPr="00B153C7">
        <w:rPr>
          <w:noProof/>
        </w:rPr>
        <w:drawing>
          <wp:inline distT="0" distB="0" distL="0" distR="0" wp14:anchorId="11603692" wp14:editId="606F7CD4">
            <wp:extent cx="5177790" cy="2197735"/>
            <wp:effectExtent l="0" t="0" r="3810" b="0"/>
            <wp:docPr id="2010568291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32B3" w14:textId="0AD29619" w:rsidR="00F9227A" w:rsidRDefault="00F9227A" w:rsidP="0027075E">
      <w:pPr>
        <w:keepNext/>
        <w:spacing w:before="120"/>
        <w:rPr>
          <w:b/>
        </w:rPr>
      </w:pPr>
      <w:r w:rsidRPr="00CB41C1">
        <w:rPr>
          <w:b/>
        </w:rPr>
        <w:t>Graf </w:t>
      </w:r>
      <w:r w:rsidR="00CD7AF4">
        <w:rPr>
          <w:b/>
        </w:rPr>
        <w:t>2</w:t>
      </w:r>
      <w:r w:rsidR="002D3CEA">
        <w:rPr>
          <w:b/>
        </w:rPr>
        <w:t>1</w:t>
      </w:r>
      <w:r>
        <w:rPr>
          <w:b/>
        </w:rPr>
        <w:t>:</w:t>
      </w:r>
      <w:r w:rsidRPr="0086484F">
        <w:t xml:space="preserve"> </w:t>
      </w:r>
      <w:r w:rsidRPr="00351694">
        <w:rPr>
          <w:b/>
        </w:rPr>
        <w:t>Rozklad meziroční změny salda důch</w:t>
      </w:r>
      <w:r>
        <w:rPr>
          <w:b/>
        </w:rPr>
        <w:t>odů z vlastnictví se zahraničím</w:t>
      </w:r>
      <w:r w:rsidRPr="00351694">
        <w:rPr>
          <w:b/>
        </w:rPr>
        <w:t xml:space="preserve"> (v mil. Kč)</w:t>
      </w:r>
    </w:p>
    <w:p w14:paraId="40BFE0E8" w14:textId="7BCA8661" w:rsidR="00F9227A" w:rsidRDefault="00432C0B" w:rsidP="00EB12EB">
      <w:pPr>
        <w:spacing w:after="240"/>
      </w:pPr>
      <w:r w:rsidRPr="00432C0B">
        <w:rPr>
          <w:noProof/>
        </w:rPr>
        <w:drawing>
          <wp:inline distT="0" distB="0" distL="0" distR="0" wp14:anchorId="3D72EF6E" wp14:editId="2299A7E3">
            <wp:extent cx="5193665" cy="2157730"/>
            <wp:effectExtent l="0" t="0" r="6985" b="0"/>
            <wp:docPr id="618519321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D2AE" w14:textId="35B11402" w:rsidR="003E0AE0" w:rsidRPr="005E0018" w:rsidRDefault="009C6427" w:rsidP="00751EBB">
      <w:pPr>
        <w:spacing w:after="120"/>
        <w:rPr>
          <w:highlight w:val="yellow"/>
        </w:rPr>
      </w:pPr>
      <w:r>
        <w:lastRenderedPageBreak/>
        <w:t>P</w:t>
      </w:r>
      <w:r w:rsidR="00A24174">
        <w:t>ředběžné údaje naznačují mírn</w:t>
      </w:r>
      <w:r w:rsidR="00AF7EF5">
        <w:t xml:space="preserve">ý negativní </w:t>
      </w:r>
      <w:r w:rsidR="00A24174">
        <w:t xml:space="preserve">vliv </w:t>
      </w:r>
      <w:r w:rsidR="0037785C" w:rsidRPr="00570FA8">
        <w:rPr>
          <w:b/>
        </w:rPr>
        <w:t>sald</w:t>
      </w:r>
      <w:r w:rsidR="00A24174">
        <w:rPr>
          <w:b/>
        </w:rPr>
        <w:t>a</w:t>
      </w:r>
      <w:r w:rsidR="0037785C" w:rsidRPr="00570FA8">
        <w:rPr>
          <w:b/>
        </w:rPr>
        <w:t xml:space="preserve"> důchodů z vlastnictví</w:t>
      </w:r>
      <w:r w:rsidR="0037785C" w:rsidRPr="00570FA8">
        <w:t xml:space="preserve"> </w:t>
      </w:r>
      <w:r w:rsidR="00A24174">
        <w:t xml:space="preserve">na celkovou </w:t>
      </w:r>
      <w:r w:rsidR="00A24174" w:rsidRPr="00570FA8">
        <w:t>změnu salda běžného účtu platební bilance</w:t>
      </w:r>
      <w:r w:rsidR="00A24174">
        <w:t xml:space="preserve"> </w:t>
      </w:r>
      <w:r w:rsidR="00AF7EF5">
        <w:t>v porovnání s předchozím rokem</w:t>
      </w:r>
      <w:r w:rsidR="00A24174">
        <w:t xml:space="preserve"> a to zejména kvůli relativn</w:t>
      </w:r>
      <w:r w:rsidR="009E2A2A">
        <w:t>ímu</w:t>
      </w:r>
      <w:r w:rsidR="00A24174">
        <w:t xml:space="preserve"> </w:t>
      </w:r>
      <w:r w:rsidR="00AF7EF5">
        <w:t>zhoršení</w:t>
      </w:r>
      <w:r w:rsidR="00A24174">
        <w:t xml:space="preserve"> </w:t>
      </w:r>
      <w:r w:rsidR="00616874">
        <w:t>salda</w:t>
      </w:r>
      <w:r w:rsidR="00A24174">
        <w:t xml:space="preserve"> reinvestovaných zisků</w:t>
      </w:r>
      <w:r w:rsidR="0037785C" w:rsidRPr="00570FA8">
        <w:t>.</w:t>
      </w:r>
    </w:p>
    <w:p w14:paraId="4AD08D82" w14:textId="48F2F023" w:rsidR="004E3959" w:rsidRDefault="004E3959" w:rsidP="004E3959">
      <w:pPr>
        <w:spacing w:after="120"/>
      </w:pPr>
      <w:r w:rsidRPr="00601E04">
        <w:t>Domácí ekonomika v</w:t>
      </w:r>
      <w:r w:rsidR="00457C3B">
        <w:t>e</w:t>
      </w:r>
      <w:r w:rsidR="00804524" w:rsidRPr="00601E04">
        <w:t xml:space="preserve"> </w:t>
      </w:r>
      <w:r w:rsidR="00AF7EF5">
        <w:t>3</w:t>
      </w:r>
      <w:r w:rsidR="00172B4A" w:rsidRPr="00601E04">
        <w:t>. </w:t>
      </w:r>
      <w:r w:rsidRPr="00601E04">
        <w:t xml:space="preserve">čtvrtletí </w:t>
      </w:r>
      <w:r w:rsidR="0072580C" w:rsidRPr="00601E04">
        <w:t>202</w:t>
      </w:r>
      <w:r w:rsidR="00D04520">
        <w:t>5</w:t>
      </w:r>
      <w:r w:rsidR="0072580C" w:rsidRPr="00601E04">
        <w:t xml:space="preserve"> </w:t>
      </w:r>
      <w:r w:rsidRPr="00601E04">
        <w:t xml:space="preserve">skončila v čisté kladné </w:t>
      </w:r>
      <w:r w:rsidRPr="00601E04">
        <w:rPr>
          <w:b/>
        </w:rPr>
        <w:t>pozici vůči zahraničí</w:t>
      </w:r>
      <w:r w:rsidR="00326373" w:rsidRPr="00601E04">
        <w:rPr>
          <w:rStyle w:val="Znakapoznpodarou"/>
        </w:rPr>
        <w:footnoteReference w:id="47"/>
      </w:r>
      <w:r w:rsidRPr="00601E04">
        <w:t xml:space="preserve">. Čisté půjčky </w:t>
      </w:r>
      <w:r w:rsidR="008C6875" w:rsidRPr="00601E04">
        <w:t xml:space="preserve">ekonomiky jako celku </w:t>
      </w:r>
      <w:r w:rsidRPr="00601E04">
        <w:t xml:space="preserve">činily </w:t>
      </w:r>
      <w:r w:rsidR="00ED3A0A">
        <w:t xml:space="preserve">vůči zahraničí </w:t>
      </w:r>
      <w:r w:rsidR="00402BD2">
        <w:t>26,3</w:t>
      </w:r>
      <w:r w:rsidRPr="00601E04">
        <w:t> mld. Kč</w:t>
      </w:r>
      <w:r w:rsidR="009641C9">
        <w:t xml:space="preserve">, </w:t>
      </w:r>
      <w:r w:rsidR="009A3CEA">
        <w:t xml:space="preserve">což bylo </w:t>
      </w:r>
      <w:r w:rsidR="009641C9">
        <w:t xml:space="preserve">o </w:t>
      </w:r>
      <w:r w:rsidR="00402BD2">
        <w:t>36,4</w:t>
      </w:r>
      <w:r w:rsidR="00ED3A0A">
        <w:t xml:space="preserve"> </w:t>
      </w:r>
      <w:r w:rsidR="009641C9">
        <w:t xml:space="preserve">mld. Kč </w:t>
      </w:r>
      <w:r w:rsidR="00402BD2">
        <w:t xml:space="preserve">horší </w:t>
      </w:r>
      <w:r w:rsidR="00616874">
        <w:t>výsledek než před rokem.</w:t>
      </w:r>
      <w:r w:rsidRPr="006A5E04">
        <w:t xml:space="preserve"> </w:t>
      </w:r>
    </w:p>
    <w:p w14:paraId="391847B1" w14:textId="08BB889C" w:rsidR="00D04520" w:rsidRPr="00D04520" w:rsidRDefault="00D04520" w:rsidP="00D04520">
      <w:pPr>
        <w:keepNext/>
        <w:spacing w:before="120"/>
        <w:rPr>
          <w:b/>
          <w:spacing w:val="-2"/>
        </w:rPr>
      </w:pPr>
      <w:r w:rsidRPr="00D04520">
        <w:rPr>
          <w:b/>
          <w:spacing w:val="-2"/>
        </w:rPr>
        <w:t>Graf 22:</w:t>
      </w:r>
      <w:r w:rsidRPr="00D04520">
        <w:rPr>
          <w:spacing w:val="-2"/>
        </w:rPr>
        <w:t xml:space="preserve"> </w:t>
      </w:r>
      <w:r w:rsidRPr="00D04520">
        <w:rPr>
          <w:b/>
          <w:spacing w:val="-2"/>
        </w:rPr>
        <w:t>Struktura čistých půjček / výpůjček (-) z pohledu národního hospodářství (v mil. Kč)</w:t>
      </w:r>
    </w:p>
    <w:p w14:paraId="173129FB" w14:textId="38B79BC0" w:rsidR="00D04520" w:rsidRPr="006A5E04" w:rsidRDefault="00402BD2" w:rsidP="004E3959">
      <w:pPr>
        <w:spacing w:after="120"/>
      </w:pPr>
      <w:r w:rsidRPr="00402BD2">
        <w:rPr>
          <w:noProof/>
        </w:rPr>
        <w:drawing>
          <wp:inline distT="0" distB="0" distL="0" distR="0" wp14:anchorId="24ADA165" wp14:editId="683AF436">
            <wp:extent cx="5041265" cy="2157730"/>
            <wp:effectExtent l="0" t="0" r="6985" b="0"/>
            <wp:docPr id="14118397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1EEEE" w14:textId="232D0844" w:rsidR="00351694" w:rsidRDefault="00351694" w:rsidP="00351694">
      <w:pPr>
        <w:keepNext/>
        <w:spacing w:before="120"/>
        <w:rPr>
          <w:b/>
        </w:rPr>
      </w:pPr>
      <w:r w:rsidRPr="00CB41C1">
        <w:rPr>
          <w:b/>
        </w:rPr>
        <w:t>Graf </w:t>
      </w:r>
      <w:r>
        <w:rPr>
          <w:b/>
        </w:rPr>
        <w:t>2</w:t>
      </w:r>
      <w:r w:rsidR="00D04520">
        <w:rPr>
          <w:b/>
        </w:rPr>
        <w:t>3</w:t>
      </w:r>
      <w:r>
        <w:rPr>
          <w:b/>
        </w:rPr>
        <w:t>:</w:t>
      </w:r>
      <w:r w:rsidRPr="0086484F">
        <w:t xml:space="preserve"> </w:t>
      </w:r>
      <w:r w:rsidRPr="00351694">
        <w:rPr>
          <w:b/>
        </w:rPr>
        <w:t>Rozklad meziroční změny čistých půjček</w:t>
      </w:r>
      <w:r w:rsidR="004A547C">
        <w:rPr>
          <w:b/>
        </w:rPr>
        <w:t xml:space="preserve"> </w:t>
      </w:r>
      <w:r w:rsidRPr="00351694">
        <w:rPr>
          <w:b/>
        </w:rPr>
        <w:t>/</w:t>
      </w:r>
      <w:r w:rsidR="004A547C">
        <w:rPr>
          <w:b/>
        </w:rPr>
        <w:t xml:space="preserve"> </w:t>
      </w:r>
      <w:r w:rsidRPr="00351694">
        <w:rPr>
          <w:b/>
        </w:rPr>
        <w:t>výpůjček</w:t>
      </w:r>
      <w:r w:rsidR="004A547C">
        <w:rPr>
          <w:b/>
        </w:rPr>
        <w:t xml:space="preserve"> </w:t>
      </w:r>
      <w:r w:rsidRPr="00351694">
        <w:rPr>
          <w:b/>
        </w:rPr>
        <w:t>(-) z pohledu národního hospodářství (v mil. Kč)</w:t>
      </w:r>
    </w:p>
    <w:p w14:paraId="30CB5489" w14:textId="229F2154" w:rsidR="00351694" w:rsidRPr="00A0318C" w:rsidRDefault="00402BD2" w:rsidP="00751EBB">
      <w:pPr>
        <w:spacing w:after="120"/>
      </w:pPr>
      <w:r w:rsidRPr="00402BD2">
        <w:rPr>
          <w:noProof/>
        </w:rPr>
        <w:drawing>
          <wp:inline distT="0" distB="0" distL="0" distR="0" wp14:anchorId="6D94D3FA" wp14:editId="6C9B7331">
            <wp:extent cx="5161280" cy="2157730"/>
            <wp:effectExtent l="0" t="0" r="1270" b="0"/>
            <wp:docPr id="1971485506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28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F8342" w14:textId="77777777" w:rsidR="00672704" w:rsidRDefault="00834CC5">
      <w:pPr>
        <w:spacing w:line="240" w:lineRule="auto"/>
        <w:jc w:val="left"/>
        <w:rPr>
          <w:rFonts w:eastAsia="Times New Roman" w:cs="Arial"/>
          <w:b/>
          <w:bCs/>
          <w:color w:val="000000"/>
          <w:szCs w:val="20"/>
          <w:highlight w:val="yellow"/>
          <w:lang w:eastAsia="cs-CZ"/>
        </w:rPr>
        <w:sectPr w:rsidR="00672704" w:rsidSect="00437A01">
          <w:headerReference w:type="default" r:id="rId34"/>
          <w:footerReference w:type="default" r:id="rId35"/>
          <w:pgSz w:w="11907" w:h="16839" w:code="9"/>
          <w:pgMar w:top="2694" w:right="1418" w:bottom="1418" w:left="1985" w:header="720" w:footer="850" w:gutter="0"/>
          <w:cols w:space="720"/>
          <w:docGrid w:linePitch="360"/>
        </w:sectPr>
      </w:pPr>
      <w:r w:rsidRPr="003976E3">
        <w:rPr>
          <w:rFonts w:eastAsia="Times New Roman" w:cs="Arial"/>
          <w:b/>
          <w:bCs/>
          <w:color w:val="000000"/>
          <w:szCs w:val="20"/>
          <w:highlight w:val="yellow"/>
          <w:lang w:eastAsia="cs-CZ"/>
        </w:rPr>
        <w:br w:type="page"/>
      </w:r>
    </w:p>
    <w:p w14:paraId="449668E5" w14:textId="00CA03E0" w:rsidR="00A54D7B" w:rsidRDefault="00BD57B8" w:rsidP="000A48E8">
      <w:pPr>
        <w:spacing w:after="60"/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5E2725">
        <w:rPr>
          <w:rFonts w:eastAsia="Times New Roman" w:cs="Arial"/>
          <w:b/>
          <w:bCs/>
          <w:color w:val="000000"/>
          <w:szCs w:val="20"/>
          <w:lang w:eastAsia="cs-CZ"/>
        </w:rPr>
        <w:lastRenderedPageBreak/>
        <w:t>Tabulka 1: Vybrané hlavní ukazatele vývoje ekonomiky</w:t>
      </w:r>
    </w:p>
    <w:p w14:paraId="344449D7" w14:textId="53BEA63B" w:rsidR="007E0FB5" w:rsidRPr="00FD195C" w:rsidRDefault="006C574E" w:rsidP="00FD195C">
      <w:pPr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6C574E">
        <w:rPr>
          <w:noProof/>
        </w:rPr>
        <w:drawing>
          <wp:inline distT="0" distB="0" distL="0" distR="0" wp14:anchorId="1A05BBBF" wp14:editId="5A82845F">
            <wp:extent cx="8910955" cy="3308350"/>
            <wp:effectExtent l="0" t="0" r="4445" b="6350"/>
            <wp:docPr id="492686766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FB5" w:rsidRPr="00FD195C" w:rsidSect="00FD6C74">
      <w:pgSz w:w="16839" w:h="11907" w:orient="landscape" w:code="9"/>
      <w:pgMar w:top="2552" w:right="1388" w:bottom="1418" w:left="1418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E41A" w14:textId="77777777" w:rsidR="003C4919" w:rsidRDefault="003C4919" w:rsidP="00BA6370">
      <w:r>
        <w:separator/>
      </w:r>
    </w:p>
  </w:endnote>
  <w:endnote w:type="continuationSeparator" w:id="0">
    <w:p w14:paraId="1C8740FD" w14:textId="77777777" w:rsidR="003C4919" w:rsidRDefault="003C49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28405"/>
      <w:docPartObj>
        <w:docPartGallery w:val="Page Numbers (Bottom of Page)"/>
        <w:docPartUnique/>
      </w:docPartObj>
    </w:sdtPr>
    <w:sdtEndPr/>
    <w:sdtContent>
      <w:p w14:paraId="3D094395" w14:textId="7FD378D2" w:rsidR="0037785C" w:rsidRDefault="003778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CC1">
          <w:rPr>
            <w:noProof/>
          </w:rPr>
          <w:t>1</w:t>
        </w:r>
        <w:r>
          <w:fldChar w:fldCharType="end"/>
        </w:r>
      </w:p>
    </w:sdtContent>
  </w:sdt>
  <w:p w14:paraId="277276BC" w14:textId="77777777" w:rsidR="0037785C" w:rsidRDefault="003778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AE0F" w14:textId="77777777" w:rsidR="003C4919" w:rsidRDefault="003C4919" w:rsidP="00BA6370">
      <w:r>
        <w:separator/>
      </w:r>
    </w:p>
  </w:footnote>
  <w:footnote w:type="continuationSeparator" w:id="0">
    <w:p w14:paraId="561E9118" w14:textId="77777777" w:rsidR="003C4919" w:rsidRDefault="003C4919" w:rsidP="00BA6370">
      <w:r>
        <w:continuationSeparator/>
      </w:r>
    </w:p>
  </w:footnote>
  <w:footnote w:id="1">
    <w:p w14:paraId="7ECD4A89" w14:textId="77777777" w:rsidR="00E4610F" w:rsidRPr="0030704E" w:rsidRDefault="00E4610F" w:rsidP="00E4610F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Údaje očištěné o cenové vlivy a dále i o sezónní a kalendářní vlivy.</w:t>
      </w:r>
      <w:r>
        <w:rPr>
          <w:sz w:val="16"/>
        </w:rPr>
        <w:t xml:space="preserve"> Není-li uvedeno jinak, jsou v dalším textu údaje neočištěné o cenové, kalendářní a sezónní vlivy.</w:t>
      </w:r>
    </w:p>
  </w:footnote>
  <w:footnote w:id="2">
    <w:p w14:paraId="71A723A0" w14:textId="7F04F61A" w:rsidR="00982BFC" w:rsidRDefault="00982BFC" w:rsidP="00982BFC">
      <w:pPr>
        <w:pStyle w:val="Textpoznpodarou"/>
      </w:pPr>
      <w:r w:rsidRPr="00E1608C">
        <w:rPr>
          <w:rStyle w:val="Znakapoznpodarou"/>
          <w:sz w:val="16"/>
          <w:szCs w:val="16"/>
        </w:rPr>
        <w:footnoteRef/>
      </w:r>
      <w:r w:rsidRPr="00E1608C">
        <w:rPr>
          <w:sz w:val="16"/>
          <w:szCs w:val="16"/>
        </w:rPr>
        <w:t xml:space="preserve"> T</w:t>
      </w:r>
      <w:r>
        <w:rPr>
          <w:sz w:val="16"/>
        </w:rPr>
        <w:t>j. zejména spotřebou domácností a investiční aktivitou (</w:t>
      </w:r>
      <w:r w:rsidR="007D4587">
        <w:rPr>
          <w:sz w:val="16"/>
        </w:rPr>
        <w:t xml:space="preserve">podle </w:t>
      </w:r>
      <w:r>
        <w:rPr>
          <w:sz w:val="16"/>
        </w:rPr>
        <w:t xml:space="preserve">vývoje ukazatele </w:t>
      </w:r>
      <w:r w:rsidRPr="00837EF5">
        <w:rPr>
          <w:sz w:val="16"/>
        </w:rPr>
        <w:t>hrub</w:t>
      </w:r>
      <w:r>
        <w:rPr>
          <w:sz w:val="16"/>
        </w:rPr>
        <w:t>é</w:t>
      </w:r>
      <w:r w:rsidRPr="00837EF5">
        <w:rPr>
          <w:sz w:val="16"/>
        </w:rPr>
        <w:t xml:space="preserve"> tvorb</w:t>
      </w:r>
      <w:r>
        <w:rPr>
          <w:sz w:val="16"/>
        </w:rPr>
        <w:t>y</w:t>
      </w:r>
      <w:r w:rsidRPr="00837EF5">
        <w:rPr>
          <w:sz w:val="16"/>
        </w:rPr>
        <w:t xml:space="preserve"> </w:t>
      </w:r>
      <w:r>
        <w:rPr>
          <w:sz w:val="16"/>
        </w:rPr>
        <w:t xml:space="preserve">fixního </w:t>
      </w:r>
      <w:r w:rsidRPr="00837EF5">
        <w:rPr>
          <w:sz w:val="16"/>
        </w:rPr>
        <w:t>kapitálu</w:t>
      </w:r>
      <w:r w:rsidR="007D4587">
        <w:rPr>
          <w:sz w:val="16"/>
        </w:rPr>
        <w:t>)</w:t>
      </w:r>
      <w:r>
        <w:rPr>
          <w:sz w:val="16"/>
        </w:rPr>
        <w:t xml:space="preserve"> </w:t>
      </w:r>
    </w:p>
  </w:footnote>
  <w:footnote w:id="3">
    <w:p w14:paraId="05374871" w14:textId="09FFBF01" w:rsidR="00994B5B" w:rsidRPr="00994B5B" w:rsidRDefault="00994B5B">
      <w:pPr>
        <w:pStyle w:val="Textpoznpodarou"/>
        <w:rPr>
          <w:sz w:val="16"/>
          <w:szCs w:val="18"/>
        </w:rPr>
      </w:pPr>
      <w:r w:rsidRPr="00994B5B">
        <w:rPr>
          <w:rStyle w:val="Znakapoznpodarou"/>
          <w:sz w:val="16"/>
          <w:szCs w:val="18"/>
        </w:rPr>
        <w:footnoteRef/>
      </w:r>
      <w:r w:rsidRPr="00994B5B">
        <w:rPr>
          <w:sz w:val="16"/>
          <w:szCs w:val="18"/>
        </w:rPr>
        <w:t xml:space="preserve"> </w:t>
      </w:r>
      <w:r w:rsidRPr="00783040">
        <w:rPr>
          <w:sz w:val="16"/>
        </w:rPr>
        <w:t>Příspěvky</w:t>
      </w:r>
      <w:r w:rsidRPr="00994B5B">
        <w:rPr>
          <w:sz w:val="16"/>
          <w:szCs w:val="18"/>
        </w:rPr>
        <w:t xml:space="preserve"> po vyloučení dovozu pro konečné užití.  </w:t>
      </w:r>
    </w:p>
  </w:footnote>
  <w:footnote w:id="4">
    <w:p w14:paraId="32C77860" w14:textId="77777777" w:rsidR="003A0CC7" w:rsidRPr="00FC4D7F" w:rsidRDefault="003A0CC7" w:rsidP="003A0CC7">
      <w:pPr>
        <w:pStyle w:val="Textpoznpodarou"/>
        <w:jc w:val="both"/>
        <w:rPr>
          <w:sz w:val="16"/>
          <w:szCs w:val="16"/>
        </w:rPr>
      </w:pPr>
      <w:r w:rsidRPr="00FC4D7F">
        <w:rPr>
          <w:rStyle w:val="Znakapoznpodarou"/>
          <w:sz w:val="16"/>
          <w:szCs w:val="16"/>
        </w:rPr>
        <w:footnoteRef/>
      </w:r>
      <w:r w:rsidRPr="00FC4D7F">
        <w:rPr>
          <w:sz w:val="16"/>
          <w:szCs w:val="16"/>
        </w:rPr>
        <w:t xml:space="preserve"> Údaj očištěný o cenové</w:t>
      </w:r>
      <w:r>
        <w:rPr>
          <w:sz w:val="16"/>
          <w:szCs w:val="16"/>
        </w:rPr>
        <w:t xml:space="preserve"> vlivy pomocí deflátoru hrubé přidané hodnoty za celé národní hospodářství.</w:t>
      </w:r>
    </w:p>
  </w:footnote>
  <w:footnote w:id="5">
    <w:p w14:paraId="37C8B965" w14:textId="77777777" w:rsidR="003A0CC7" w:rsidRPr="00FC4D7F" w:rsidRDefault="003A0CC7" w:rsidP="003A0CC7">
      <w:pPr>
        <w:pStyle w:val="Textpoznpodarou"/>
        <w:jc w:val="both"/>
        <w:rPr>
          <w:sz w:val="16"/>
          <w:szCs w:val="16"/>
        </w:rPr>
      </w:pPr>
      <w:r w:rsidRPr="00FC4D7F">
        <w:rPr>
          <w:rStyle w:val="Znakapoznpodarou"/>
          <w:sz w:val="16"/>
          <w:szCs w:val="16"/>
        </w:rPr>
        <w:footnoteRef/>
      </w:r>
      <w:r w:rsidRPr="00FC4D7F">
        <w:rPr>
          <w:sz w:val="16"/>
          <w:szCs w:val="16"/>
        </w:rPr>
        <w:t xml:space="preserve"> </w:t>
      </w:r>
      <w:r>
        <w:rPr>
          <w:sz w:val="16"/>
          <w:szCs w:val="16"/>
        </w:rPr>
        <w:t>Údaj o</w:t>
      </w:r>
      <w:r w:rsidRPr="00FC4D7F">
        <w:rPr>
          <w:sz w:val="16"/>
          <w:szCs w:val="16"/>
        </w:rPr>
        <w:t>čištěný o cenové, sezónní a kalendářní vlivy. K očištění o cenové vlivy byl použit deflátor hrubé přidané hodnoty za celé národní hospodářství.</w:t>
      </w:r>
    </w:p>
  </w:footnote>
  <w:footnote w:id="6">
    <w:p w14:paraId="133586FB" w14:textId="28C8FED5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Celková zaměstnanost v přepočtu na plnou pracovní dobu.</w:t>
      </w:r>
    </w:p>
  </w:footnote>
  <w:footnote w:id="7">
    <w:p w14:paraId="40E8F925" w14:textId="561C1579" w:rsidR="00A834BD" w:rsidRPr="00C875D9" w:rsidRDefault="00A834BD" w:rsidP="005C4963">
      <w:pPr>
        <w:pStyle w:val="Textpoznpodarou"/>
        <w:jc w:val="both"/>
        <w:rPr>
          <w:sz w:val="16"/>
        </w:rPr>
      </w:pPr>
      <w:r w:rsidRPr="00C875D9">
        <w:rPr>
          <w:rStyle w:val="Znakapoznpodarou"/>
          <w:sz w:val="16"/>
        </w:rPr>
        <w:footnoteRef/>
      </w:r>
      <w:r w:rsidRPr="00C875D9">
        <w:rPr>
          <w:sz w:val="16"/>
        </w:rPr>
        <w:t xml:space="preserve"> V běžných cenách vzrostla hrubá přidaná hodnota</w:t>
      </w:r>
      <w:r w:rsidR="00865F79">
        <w:rPr>
          <w:sz w:val="16"/>
        </w:rPr>
        <w:t xml:space="preserve"> nefinančních podniků </w:t>
      </w:r>
      <w:r w:rsidRPr="00C875D9">
        <w:rPr>
          <w:sz w:val="16"/>
        </w:rPr>
        <w:t xml:space="preserve">meziročně o </w:t>
      </w:r>
      <w:r w:rsidR="00A0533B">
        <w:rPr>
          <w:sz w:val="16"/>
        </w:rPr>
        <w:t>5,7</w:t>
      </w:r>
      <w:r w:rsidRPr="00A0533B">
        <w:rPr>
          <w:sz w:val="16"/>
        </w:rPr>
        <w:t xml:space="preserve"> %.</w:t>
      </w:r>
    </w:p>
  </w:footnote>
  <w:footnote w:id="8">
    <w:p w14:paraId="1D3C057D" w14:textId="2A7E432E" w:rsidR="008537E4" w:rsidRPr="008537E4" w:rsidRDefault="008537E4">
      <w:pPr>
        <w:pStyle w:val="Textpoznpodarou"/>
        <w:rPr>
          <w:sz w:val="16"/>
        </w:rPr>
      </w:pPr>
      <w:r w:rsidRPr="008537E4">
        <w:rPr>
          <w:rStyle w:val="Znakapoznpodarou"/>
          <w:sz w:val="16"/>
        </w:rPr>
        <w:footnoteRef/>
      </w:r>
      <w:r w:rsidRPr="008537E4">
        <w:rPr>
          <w:sz w:val="16"/>
        </w:rPr>
        <w:t xml:space="preserve"> Vyjádřeno ukazatelem Náhrad</w:t>
      </w:r>
      <w:r>
        <w:rPr>
          <w:sz w:val="16"/>
        </w:rPr>
        <w:t>y</w:t>
      </w:r>
      <w:r w:rsidRPr="008537E4">
        <w:rPr>
          <w:sz w:val="16"/>
        </w:rPr>
        <w:t xml:space="preserve"> zaměstnanců</w:t>
      </w:r>
      <w:r>
        <w:rPr>
          <w:sz w:val="16"/>
        </w:rPr>
        <w:t>m</w:t>
      </w:r>
      <w:r w:rsidRPr="008537E4">
        <w:rPr>
          <w:sz w:val="16"/>
        </w:rPr>
        <w:t xml:space="preserve"> (D.1)</w:t>
      </w:r>
      <w:r>
        <w:rPr>
          <w:sz w:val="16"/>
        </w:rPr>
        <w:t>.</w:t>
      </w:r>
    </w:p>
  </w:footnote>
  <w:footnote w:id="9">
    <w:p w14:paraId="02641AD9" w14:textId="77777777" w:rsidR="0049639B" w:rsidRPr="00CB23E5" w:rsidRDefault="0049639B" w:rsidP="005C4963">
      <w:pPr>
        <w:pStyle w:val="Textpoznpodarou"/>
        <w:jc w:val="both"/>
        <w:rPr>
          <w:sz w:val="16"/>
        </w:rPr>
      </w:pPr>
      <w:r w:rsidRPr="00CB23E5">
        <w:rPr>
          <w:rStyle w:val="Znakapoznpodarou"/>
          <w:sz w:val="16"/>
        </w:rPr>
        <w:footnoteRef/>
      </w:r>
      <w:r w:rsidRPr="00CB23E5">
        <w:rPr>
          <w:sz w:val="16"/>
        </w:rPr>
        <w:t xml:space="preserve"> Vyjádřená poměrem </w:t>
      </w:r>
      <w:r>
        <w:rPr>
          <w:sz w:val="16"/>
        </w:rPr>
        <w:t>hrubého provozního přebytku a hrubé přidané hodnoty, sezónně očištěný ukazatel.</w:t>
      </w:r>
    </w:p>
  </w:footnote>
  <w:footnote w:id="10">
    <w:p w14:paraId="7803821C" w14:textId="11D21376" w:rsidR="00DA4977" w:rsidRPr="00DA4977" w:rsidRDefault="00DA4977">
      <w:pPr>
        <w:pStyle w:val="Textpoznpodarou"/>
        <w:rPr>
          <w:sz w:val="16"/>
        </w:rPr>
      </w:pPr>
      <w:r w:rsidRPr="00DA4977">
        <w:rPr>
          <w:rStyle w:val="Znakapoznpodarou"/>
          <w:sz w:val="16"/>
        </w:rPr>
        <w:footnoteRef/>
      </w:r>
      <w:r w:rsidRPr="00DA4977">
        <w:rPr>
          <w:sz w:val="16"/>
        </w:rPr>
        <w:t xml:space="preserve"> Vyjádřený </w:t>
      </w:r>
      <w:r w:rsidR="00D65F13">
        <w:rPr>
          <w:sz w:val="16"/>
        </w:rPr>
        <w:t>vývojem</w:t>
      </w:r>
      <w:r w:rsidRPr="00DA4977">
        <w:rPr>
          <w:sz w:val="16"/>
        </w:rPr>
        <w:t xml:space="preserve"> hrubého provozního přebytku</w:t>
      </w:r>
      <w:r w:rsidR="00D65F13">
        <w:rPr>
          <w:sz w:val="16"/>
        </w:rPr>
        <w:t xml:space="preserve"> (B.2g)</w:t>
      </w:r>
      <w:r w:rsidR="00773596">
        <w:rPr>
          <w:sz w:val="16"/>
        </w:rPr>
        <w:t xml:space="preserve"> v běžných cenách</w:t>
      </w:r>
      <w:r w:rsidRPr="00DA4977">
        <w:rPr>
          <w:sz w:val="16"/>
        </w:rPr>
        <w:t>.</w:t>
      </w:r>
    </w:p>
  </w:footnote>
  <w:footnote w:id="11">
    <w:p w14:paraId="63C859FF" w14:textId="6D75257A" w:rsidR="001D5B98" w:rsidRPr="001D5B98" w:rsidRDefault="001D5B98" w:rsidP="005C4963">
      <w:pPr>
        <w:pStyle w:val="Textpoznpodarou"/>
        <w:jc w:val="both"/>
        <w:rPr>
          <w:sz w:val="16"/>
        </w:rPr>
      </w:pPr>
      <w:r w:rsidRPr="000303AC">
        <w:rPr>
          <w:rStyle w:val="Znakapoznpodarou"/>
          <w:sz w:val="16"/>
        </w:rPr>
        <w:footnoteRef/>
      </w:r>
      <w:r w:rsidRPr="000303AC">
        <w:rPr>
          <w:sz w:val="16"/>
        </w:rPr>
        <w:t xml:space="preserve"> </w:t>
      </w:r>
      <w:r w:rsidRPr="00393B22">
        <w:rPr>
          <w:spacing w:val="-4"/>
          <w:sz w:val="16"/>
        </w:rPr>
        <w:t xml:space="preserve">Běžné daně z důchodů a jmění (D.5) zaplacené sektorem nefinančních podniků </w:t>
      </w:r>
      <w:r w:rsidR="00D70329">
        <w:rPr>
          <w:spacing w:val="-4"/>
          <w:sz w:val="16"/>
        </w:rPr>
        <w:t xml:space="preserve">vzrostly v běžných cenách o </w:t>
      </w:r>
      <w:r w:rsidR="009B5C48">
        <w:rPr>
          <w:spacing w:val="-4"/>
          <w:sz w:val="16"/>
        </w:rPr>
        <w:t>5,8</w:t>
      </w:r>
      <w:r w:rsidR="00D70329">
        <w:rPr>
          <w:spacing w:val="-4"/>
          <w:sz w:val="16"/>
        </w:rPr>
        <w:t xml:space="preserve"> %</w:t>
      </w:r>
      <w:r w:rsidRPr="00393B22">
        <w:rPr>
          <w:spacing w:val="-4"/>
          <w:sz w:val="16"/>
        </w:rPr>
        <w:t>.</w:t>
      </w:r>
    </w:p>
  </w:footnote>
  <w:footnote w:id="12">
    <w:p w14:paraId="586A94FE" w14:textId="5DA0B126" w:rsidR="00D70329" w:rsidRPr="00D70329" w:rsidRDefault="00D70329">
      <w:pPr>
        <w:pStyle w:val="Textpoznpodarou"/>
        <w:rPr>
          <w:rStyle w:val="Znakapoznpodarou"/>
          <w:sz w:val="16"/>
          <w:vertAlign w:val="baseline"/>
        </w:rPr>
      </w:pPr>
      <w:r w:rsidRPr="00D70329">
        <w:rPr>
          <w:rStyle w:val="Znakapoznpodarou"/>
          <w:sz w:val="16"/>
        </w:rPr>
        <w:footnoteRef/>
      </w:r>
      <w:r w:rsidRPr="00D70329">
        <w:rPr>
          <w:sz w:val="16"/>
        </w:rPr>
        <w:t xml:space="preserve"> Hrubé</w:t>
      </w:r>
      <w:r>
        <w:rPr>
          <w:sz w:val="16"/>
        </w:rPr>
        <w:t xml:space="preserve"> úspory (B.8g) </w:t>
      </w:r>
      <w:r w:rsidR="00056AF8">
        <w:rPr>
          <w:sz w:val="16"/>
        </w:rPr>
        <w:t xml:space="preserve">poklesly o </w:t>
      </w:r>
      <w:r w:rsidR="009B5C48">
        <w:rPr>
          <w:sz w:val="16"/>
        </w:rPr>
        <w:t xml:space="preserve">9,0 </w:t>
      </w:r>
      <w:r w:rsidR="00056AF8">
        <w:rPr>
          <w:sz w:val="16"/>
        </w:rPr>
        <w:t xml:space="preserve">mld. Kč, tj. o </w:t>
      </w:r>
      <w:r w:rsidR="009B5C48">
        <w:rPr>
          <w:sz w:val="16"/>
        </w:rPr>
        <w:t>2,9</w:t>
      </w:r>
      <w:r w:rsidR="00056AF8">
        <w:rPr>
          <w:sz w:val="16"/>
        </w:rPr>
        <w:t xml:space="preserve"> %.</w:t>
      </w:r>
      <w:r>
        <w:rPr>
          <w:sz w:val="16"/>
        </w:rPr>
        <w:t xml:space="preserve"> </w:t>
      </w:r>
    </w:p>
  </w:footnote>
  <w:footnote w:id="13">
    <w:p w14:paraId="11802ABB" w14:textId="03CE78D1" w:rsidR="0037785C" w:rsidRPr="00215652" w:rsidRDefault="0037785C" w:rsidP="005C4963">
      <w:pPr>
        <w:pStyle w:val="Textpoznpodarou"/>
        <w:jc w:val="both"/>
        <w:rPr>
          <w:sz w:val="16"/>
        </w:rPr>
      </w:pPr>
      <w:r w:rsidRPr="00215652">
        <w:rPr>
          <w:rStyle w:val="Znakapoznpodarou"/>
          <w:sz w:val="16"/>
        </w:rPr>
        <w:footnoteRef/>
      </w:r>
      <w:r w:rsidRPr="00215652">
        <w:rPr>
          <w:sz w:val="16"/>
        </w:rPr>
        <w:t xml:space="preserve"> Vyjádřenou </w:t>
      </w:r>
      <w:r>
        <w:rPr>
          <w:sz w:val="16"/>
        </w:rPr>
        <w:t xml:space="preserve">poměrem hrubých úspor a </w:t>
      </w:r>
      <w:r w:rsidR="002F3C9B">
        <w:rPr>
          <w:sz w:val="16"/>
        </w:rPr>
        <w:t>hrubé přidané hodnoty</w:t>
      </w:r>
    </w:p>
  </w:footnote>
  <w:footnote w:id="14">
    <w:p w14:paraId="0224EB22" w14:textId="35F8ED17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Vyjádřené ukazatelem </w:t>
      </w:r>
      <w:r>
        <w:rPr>
          <w:sz w:val="16"/>
          <w:szCs w:val="16"/>
        </w:rPr>
        <w:t>Tvorba</w:t>
      </w:r>
      <w:r w:rsidRPr="00377BC7">
        <w:rPr>
          <w:sz w:val="16"/>
          <w:szCs w:val="16"/>
        </w:rPr>
        <w:t xml:space="preserve"> hrubého fixního kapitálu (P.51g)</w:t>
      </w:r>
    </w:p>
  </w:footnote>
  <w:footnote w:id="15">
    <w:p w14:paraId="63EF26E5" w14:textId="7389601D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Údaj vychází ze sezónně očištěných dat.</w:t>
      </w:r>
    </w:p>
  </w:footnote>
  <w:footnote w:id="16">
    <w:p w14:paraId="5D6A26A5" w14:textId="00085105" w:rsidR="0037785C" w:rsidRPr="00215652" w:rsidRDefault="0037785C" w:rsidP="005C4963">
      <w:pPr>
        <w:pStyle w:val="Textpoznpodarou"/>
        <w:jc w:val="both"/>
        <w:rPr>
          <w:sz w:val="16"/>
        </w:rPr>
      </w:pPr>
      <w:r w:rsidRPr="00215652">
        <w:rPr>
          <w:rStyle w:val="Znakapoznpodarou"/>
          <w:sz w:val="16"/>
        </w:rPr>
        <w:footnoteRef/>
      </w:r>
      <w:r w:rsidRPr="00215652">
        <w:rPr>
          <w:sz w:val="16"/>
        </w:rPr>
        <w:t xml:space="preserve"> Vyjádřená poměrem ukazatele Tvorby hrubého fixního kapitálu a hrubé přidané hodnoty. </w:t>
      </w:r>
    </w:p>
  </w:footnote>
  <w:footnote w:id="17">
    <w:p w14:paraId="6F3B0ABD" w14:textId="28A6756B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Údaj vychází ze sezónně očištěných dat.</w:t>
      </w:r>
    </w:p>
  </w:footnote>
  <w:footnote w:id="18">
    <w:p w14:paraId="33345EB6" w14:textId="55FCC320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pacing w:val="-4"/>
          <w:sz w:val="16"/>
        </w:rPr>
        <w:footnoteRef/>
      </w:r>
      <w:r w:rsidRPr="0030704E">
        <w:rPr>
          <w:spacing w:val="-4"/>
          <w:sz w:val="16"/>
        </w:rPr>
        <w:t xml:space="preserve"> Ukazatel čisté půjčky/výpůjčky (B.9) </w:t>
      </w:r>
      <w:r w:rsidR="00D1397B">
        <w:rPr>
          <w:spacing w:val="-4"/>
          <w:sz w:val="16"/>
        </w:rPr>
        <w:t xml:space="preserve">po sezónním očištění </w:t>
      </w:r>
      <w:r w:rsidR="000A0049">
        <w:rPr>
          <w:spacing w:val="-4"/>
          <w:sz w:val="16"/>
        </w:rPr>
        <w:t>poklesl na -</w:t>
      </w:r>
      <w:r w:rsidR="007146F9">
        <w:rPr>
          <w:spacing w:val="-4"/>
          <w:sz w:val="16"/>
        </w:rPr>
        <w:t>60</w:t>
      </w:r>
      <w:r w:rsidR="000A0049">
        <w:rPr>
          <w:spacing w:val="-4"/>
          <w:sz w:val="16"/>
        </w:rPr>
        <w:t>,</w:t>
      </w:r>
      <w:r w:rsidR="007146F9">
        <w:rPr>
          <w:spacing w:val="-4"/>
          <w:sz w:val="16"/>
        </w:rPr>
        <w:t>3</w:t>
      </w:r>
      <w:r w:rsidR="000A0049">
        <w:rPr>
          <w:spacing w:val="-4"/>
          <w:sz w:val="16"/>
        </w:rPr>
        <w:t xml:space="preserve"> mld. Kč</w:t>
      </w:r>
      <w:r w:rsidR="005951BF">
        <w:rPr>
          <w:spacing w:val="-4"/>
          <w:sz w:val="16"/>
        </w:rPr>
        <w:t xml:space="preserve"> (z </w:t>
      </w:r>
      <w:r w:rsidR="007146F9">
        <w:rPr>
          <w:spacing w:val="-4"/>
          <w:sz w:val="16"/>
        </w:rPr>
        <w:t>-39,</w:t>
      </w:r>
      <w:r w:rsidR="005951BF">
        <w:rPr>
          <w:spacing w:val="-4"/>
          <w:sz w:val="16"/>
        </w:rPr>
        <w:t>0 mld. v</w:t>
      </w:r>
      <w:r w:rsidR="007146F9">
        <w:rPr>
          <w:spacing w:val="-4"/>
          <w:sz w:val="16"/>
        </w:rPr>
        <w:t>e</w:t>
      </w:r>
      <w:r w:rsidR="005951BF">
        <w:rPr>
          <w:spacing w:val="-4"/>
          <w:sz w:val="16"/>
        </w:rPr>
        <w:t> </w:t>
      </w:r>
      <w:r w:rsidR="007146F9">
        <w:rPr>
          <w:spacing w:val="-4"/>
          <w:sz w:val="16"/>
        </w:rPr>
        <w:t>3</w:t>
      </w:r>
      <w:r w:rsidR="005951BF">
        <w:rPr>
          <w:spacing w:val="-4"/>
          <w:sz w:val="16"/>
        </w:rPr>
        <w:t>. čtvrtletí 202</w:t>
      </w:r>
      <w:r w:rsidR="007146F9">
        <w:rPr>
          <w:spacing w:val="-4"/>
          <w:sz w:val="16"/>
        </w:rPr>
        <w:t>4</w:t>
      </w:r>
      <w:r w:rsidR="005951BF">
        <w:rPr>
          <w:spacing w:val="-4"/>
          <w:sz w:val="16"/>
        </w:rPr>
        <w:t>)</w:t>
      </w:r>
      <w:r w:rsidR="000A0049">
        <w:rPr>
          <w:spacing w:val="-4"/>
          <w:sz w:val="16"/>
        </w:rPr>
        <w:t>,</w:t>
      </w:r>
      <w:r w:rsidR="002131E9">
        <w:rPr>
          <w:spacing w:val="-4"/>
          <w:sz w:val="16"/>
        </w:rPr>
        <w:t xml:space="preserve"> což naznačuje </w:t>
      </w:r>
      <w:r w:rsidR="0095441A">
        <w:rPr>
          <w:spacing w:val="-4"/>
          <w:sz w:val="16"/>
        </w:rPr>
        <w:t>mírn</w:t>
      </w:r>
      <w:r w:rsidR="007146F9">
        <w:rPr>
          <w:spacing w:val="-4"/>
          <w:sz w:val="16"/>
        </w:rPr>
        <w:t>ě vyšší o</w:t>
      </w:r>
      <w:r w:rsidR="002131E9">
        <w:rPr>
          <w:spacing w:val="-4"/>
          <w:sz w:val="16"/>
        </w:rPr>
        <w:t xml:space="preserve">chotu nefinančních podniků </w:t>
      </w:r>
      <w:r w:rsidR="005804A6">
        <w:rPr>
          <w:spacing w:val="-4"/>
          <w:sz w:val="16"/>
        </w:rPr>
        <w:t xml:space="preserve">jako celku </w:t>
      </w:r>
      <w:r w:rsidR="002131E9">
        <w:rPr>
          <w:spacing w:val="-4"/>
          <w:sz w:val="16"/>
        </w:rPr>
        <w:t xml:space="preserve">půjčovat si finanční prostředky pro své podnikatelské </w:t>
      </w:r>
      <w:r w:rsidR="007146F9">
        <w:rPr>
          <w:spacing w:val="-4"/>
          <w:sz w:val="16"/>
        </w:rPr>
        <w:t>aktivity</w:t>
      </w:r>
      <w:r w:rsidR="002131E9">
        <w:rPr>
          <w:spacing w:val="-4"/>
          <w:sz w:val="16"/>
        </w:rPr>
        <w:t xml:space="preserve">. </w:t>
      </w:r>
    </w:p>
  </w:footnote>
  <w:footnote w:id="19">
    <w:p w14:paraId="55C23993" w14:textId="0C960D68" w:rsidR="0037785C" w:rsidRPr="00EB0AEF" w:rsidRDefault="0037785C" w:rsidP="005C4963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Údaje v této kapitole odpovídají aktuálním notifikacím vládního deficitu a dluhu. Údaje se mohou mírně lišit od publikovaných údajů ve čtvrtletních sektorových účtech z důvodu revizní politiky národních účtů.</w:t>
      </w:r>
    </w:p>
  </w:footnote>
  <w:footnote w:id="20">
    <w:p w14:paraId="3DC39982" w14:textId="77777777" w:rsidR="00315880" w:rsidRPr="00EB0AEF" w:rsidRDefault="00315880" w:rsidP="005C4963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Jedná se o ukazatel Čisté půjčky/výpůjčky (B.9).</w:t>
      </w:r>
    </w:p>
  </w:footnote>
  <w:footnote w:id="21">
    <w:p w14:paraId="36AE6FDE" w14:textId="77777777" w:rsidR="00555FB9" w:rsidRPr="00277668" w:rsidRDefault="00555FB9" w:rsidP="00555FB9">
      <w:pPr>
        <w:pStyle w:val="Textpoznpodarou"/>
        <w:rPr>
          <w:sz w:val="16"/>
        </w:rPr>
      </w:pPr>
      <w:r w:rsidRPr="00277668">
        <w:rPr>
          <w:rStyle w:val="Znakapoznpodarou"/>
          <w:sz w:val="16"/>
        </w:rPr>
        <w:footnoteRef/>
      </w:r>
      <w:r w:rsidRPr="00277668">
        <w:rPr>
          <w:sz w:val="16"/>
        </w:rPr>
        <w:t xml:space="preserve"> Jedná se o ukazatele Čisté sociální příspěvky (D.61).</w:t>
      </w:r>
    </w:p>
  </w:footnote>
  <w:footnote w:id="22">
    <w:p w14:paraId="459A6AF9" w14:textId="755A3F73" w:rsidR="006B2A1D" w:rsidRPr="00EB0AEF" w:rsidRDefault="006B2A1D" w:rsidP="006B2A1D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Jedná se o ukazatel Běžné daně z příjmů a majetku (D.5), který vzrostl meziročně o </w:t>
      </w:r>
      <w:r>
        <w:rPr>
          <w:sz w:val="16"/>
        </w:rPr>
        <w:t xml:space="preserve">10,0 </w:t>
      </w:r>
      <w:r w:rsidRPr="00EB0AEF">
        <w:rPr>
          <w:sz w:val="16"/>
        </w:rPr>
        <w:t xml:space="preserve">% na </w:t>
      </w:r>
      <w:r>
        <w:rPr>
          <w:sz w:val="16"/>
        </w:rPr>
        <w:t>186,1</w:t>
      </w:r>
      <w:r w:rsidRPr="00EB0AEF">
        <w:rPr>
          <w:sz w:val="16"/>
        </w:rPr>
        <w:t xml:space="preserve"> mld. Kč.</w:t>
      </w:r>
    </w:p>
  </w:footnote>
  <w:footnote w:id="23">
    <w:p w14:paraId="7EE0BDF1" w14:textId="77777777" w:rsidR="00BB4F73" w:rsidRPr="0030704E" w:rsidRDefault="00BB4F73" w:rsidP="00BB4F73">
      <w:pPr>
        <w:pStyle w:val="Textpoznpodarou"/>
        <w:jc w:val="both"/>
        <w:rPr>
          <w:sz w:val="16"/>
        </w:rPr>
      </w:pPr>
      <w:r w:rsidRPr="00CF50A6">
        <w:rPr>
          <w:rStyle w:val="Znakapoznpodarou"/>
          <w:sz w:val="16"/>
        </w:rPr>
        <w:footnoteRef/>
      </w:r>
      <w:r w:rsidRPr="00CF50A6">
        <w:rPr>
          <w:sz w:val="16"/>
        </w:rPr>
        <w:t xml:space="preserve"> </w:t>
      </w:r>
      <w:r>
        <w:rPr>
          <w:sz w:val="16"/>
        </w:rPr>
        <w:t xml:space="preserve">Daň z přidané hodnoty, spotřební daně i poplatek za obnovitelné zdroje jsou součástí ukazatele </w:t>
      </w:r>
      <w:r w:rsidRPr="00CF50A6">
        <w:rPr>
          <w:sz w:val="16"/>
        </w:rPr>
        <w:t>Daně na produkci a</w:t>
      </w:r>
      <w:r>
        <w:rPr>
          <w:sz w:val="16"/>
        </w:rPr>
        <w:t> </w:t>
      </w:r>
      <w:r w:rsidRPr="00CF50A6">
        <w:rPr>
          <w:sz w:val="16"/>
        </w:rPr>
        <w:t>dovoz (D.2).</w:t>
      </w:r>
    </w:p>
  </w:footnote>
  <w:footnote w:id="24">
    <w:p w14:paraId="747B763D" w14:textId="77777777" w:rsidR="00D15F8F" w:rsidRPr="0030704E" w:rsidRDefault="00D15F8F" w:rsidP="00D15F8F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</w:t>
      </w:r>
      <w:r>
        <w:rPr>
          <w:sz w:val="16"/>
        </w:rPr>
        <w:t>Jedná se o uk</w:t>
      </w:r>
      <w:r w:rsidRPr="0030704E">
        <w:rPr>
          <w:sz w:val="16"/>
        </w:rPr>
        <w:t>azatel Sociální dávky jiné než naturální sociální transfery (D.62)</w:t>
      </w:r>
      <w:r>
        <w:rPr>
          <w:sz w:val="16"/>
        </w:rPr>
        <w:t xml:space="preserve"> a naturální sociální transfery – </w:t>
      </w:r>
      <w:r w:rsidRPr="0030704E">
        <w:rPr>
          <w:sz w:val="16"/>
        </w:rPr>
        <w:t>nakoupen</w:t>
      </w:r>
      <w:r>
        <w:rPr>
          <w:sz w:val="16"/>
        </w:rPr>
        <w:t>á</w:t>
      </w:r>
      <w:r w:rsidRPr="0030704E">
        <w:rPr>
          <w:sz w:val="16"/>
        </w:rPr>
        <w:t xml:space="preserve"> tržní produkce (D.632)</w:t>
      </w:r>
      <w:r>
        <w:rPr>
          <w:sz w:val="16"/>
        </w:rPr>
        <w:t>.</w:t>
      </w:r>
    </w:p>
  </w:footnote>
  <w:footnote w:id="25">
    <w:p w14:paraId="4A691D45" w14:textId="34C722A3" w:rsidR="0005077B" w:rsidRPr="00D344C9" w:rsidRDefault="0005077B" w:rsidP="0005077B">
      <w:pPr>
        <w:pStyle w:val="Textpoznpodarou"/>
        <w:jc w:val="both"/>
        <w:rPr>
          <w:sz w:val="16"/>
        </w:rPr>
      </w:pPr>
      <w:r w:rsidRPr="00D344C9">
        <w:rPr>
          <w:rStyle w:val="Znakapoznpodarou"/>
          <w:sz w:val="16"/>
        </w:rPr>
        <w:footnoteRef/>
      </w:r>
      <w:r w:rsidRPr="00D344C9">
        <w:rPr>
          <w:sz w:val="16"/>
        </w:rPr>
        <w:t xml:space="preserve"> Jedná se o ukazatel </w:t>
      </w:r>
      <w:r>
        <w:rPr>
          <w:sz w:val="16"/>
        </w:rPr>
        <w:t xml:space="preserve">Hrubá tvorba kapitálu (P.51). </w:t>
      </w:r>
    </w:p>
  </w:footnote>
  <w:footnote w:id="26">
    <w:p w14:paraId="557BE5AC" w14:textId="1351B046" w:rsidR="0037785C" w:rsidRPr="00337C71" w:rsidRDefault="0037785C" w:rsidP="005C4963">
      <w:pPr>
        <w:autoSpaceDE w:val="0"/>
        <w:autoSpaceDN w:val="0"/>
        <w:adjustRightInd w:val="0"/>
        <w:spacing w:line="240" w:lineRule="auto"/>
        <w:rPr>
          <w:rStyle w:val="Znakapoznpodarou"/>
          <w:sz w:val="16"/>
          <w:szCs w:val="16"/>
          <w:vertAlign w:val="baseline"/>
          <w:lang w:eastAsia="cs-CZ"/>
        </w:rPr>
      </w:pPr>
      <w:r w:rsidRPr="00B15AA8">
        <w:rPr>
          <w:rStyle w:val="Znakapoznpodarou"/>
          <w:sz w:val="16"/>
          <w:szCs w:val="16"/>
        </w:rPr>
        <w:footnoteRef/>
      </w:r>
      <w:r w:rsidRPr="00B15AA8">
        <w:rPr>
          <w:sz w:val="16"/>
          <w:szCs w:val="16"/>
        </w:rPr>
        <w:t xml:space="preserve"> </w:t>
      </w:r>
      <w:r w:rsidRPr="00F25A1A">
        <w:rPr>
          <w:sz w:val="16"/>
          <w:szCs w:val="16"/>
        </w:rPr>
        <w:t xml:space="preserve">Dluh vládních institucí </w:t>
      </w:r>
      <w:r>
        <w:rPr>
          <w:sz w:val="16"/>
          <w:szCs w:val="16"/>
        </w:rPr>
        <w:t xml:space="preserve">je v tomto textu reprezentován </w:t>
      </w:r>
      <w:r w:rsidRPr="00F25A1A">
        <w:rPr>
          <w:sz w:val="16"/>
          <w:szCs w:val="16"/>
        </w:rPr>
        <w:t>výš</w:t>
      </w:r>
      <w:r>
        <w:rPr>
          <w:sz w:val="16"/>
          <w:szCs w:val="16"/>
        </w:rPr>
        <w:t>í</w:t>
      </w:r>
      <w:r w:rsidRPr="00F25A1A">
        <w:rPr>
          <w:sz w:val="16"/>
          <w:szCs w:val="16"/>
        </w:rPr>
        <w:t xml:space="preserve"> konsolidovaných závazků sektoru vládních institucí vyplývající z přijatých vkladů, emitovaných dluhových cenných papírů a přijatých půjček (tzv. Maastrichtský dluh pro potřeby EDP statistiky).</w:t>
      </w:r>
      <w:r>
        <w:rPr>
          <w:sz w:val="16"/>
          <w:szCs w:val="16"/>
        </w:rPr>
        <w:t xml:space="preserve"> </w:t>
      </w:r>
      <w:r w:rsidRPr="00802C76">
        <w:rPr>
          <w:sz w:val="16"/>
          <w:szCs w:val="16"/>
        </w:rPr>
        <w:t>Jedná se o ukazatel, který je odlišný od chápání dluhu v sektorových účtech podle ESA 2010 zahrnujícího navíc měnové zlato a zvláštní práva čerpání, účasti a podíly v investičních fondech, pojistné a penzijní programy, finanční deriváty a zaměstnanecké opce a ostatní závazky.</w:t>
      </w:r>
    </w:p>
  </w:footnote>
  <w:footnote w:id="27">
    <w:p w14:paraId="031D08DB" w14:textId="0C8925DA" w:rsidR="0037785C" w:rsidRPr="00FE7EFA" w:rsidRDefault="0037785C" w:rsidP="005C4963">
      <w:pPr>
        <w:pStyle w:val="Textpoznpodarou"/>
        <w:jc w:val="both"/>
        <w:rPr>
          <w:sz w:val="16"/>
        </w:rPr>
      </w:pPr>
      <w:r w:rsidRPr="00FE7EFA">
        <w:rPr>
          <w:rStyle w:val="Znakapoznpodarou"/>
          <w:sz w:val="16"/>
        </w:rPr>
        <w:footnoteRef/>
      </w:r>
      <w:r w:rsidRPr="00FE7EFA">
        <w:rPr>
          <w:sz w:val="16"/>
        </w:rPr>
        <w:t xml:space="preserve"> </w:t>
      </w:r>
      <w:r>
        <w:rPr>
          <w:sz w:val="16"/>
        </w:rPr>
        <w:t>Vyjadřuje poměr dluhu vládních institucí k</w:t>
      </w:r>
      <w:r w:rsidR="00572431">
        <w:rPr>
          <w:sz w:val="16"/>
        </w:rPr>
        <w:t> </w:t>
      </w:r>
      <w:r>
        <w:rPr>
          <w:sz w:val="16"/>
        </w:rPr>
        <w:t>HDP</w:t>
      </w:r>
      <w:r w:rsidR="00572431">
        <w:rPr>
          <w:sz w:val="16"/>
        </w:rPr>
        <w:t xml:space="preserve"> (</w:t>
      </w:r>
      <w:r w:rsidR="004B150D" w:rsidRPr="004B150D">
        <w:rPr>
          <w:sz w:val="16"/>
        </w:rPr>
        <w:t>konečný stav dluhu aktuálního čtvrtletí k součtu hodnot HDP posledních 4 čtvrtletí</w:t>
      </w:r>
      <w:r w:rsidR="00572431">
        <w:rPr>
          <w:sz w:val="16"/>
        </w:rPr>
        <w:t>)</w:t>
      </w:r>
      <w:r>
        <w:rPr>
          <w:sz w:val="16"/>
        </w:rPr>
        <w:t>.</w:t>
      </w:r>
    </w:p>
  </w:footnote>
  <w:footnote w:id="28">
    <w:p w14:paraId="1A24C401" w14:textId="47CE89A3" w:rsidR="00201654" w:rsidRPr="00201654" w:rsidRDefault="00201654">
      <w:pPr>
        <w:pStyle w:val="Textpoznpodarou"/>
        <w:rPr>
          <w:sz w:val="16"/>
          <w:szCs w:val="16"/>
        </w:rPr>
      </w:pPr>
      <w:r w:rsidRPr="00201654">
        <w:rPr>
          <w:rStyle w:val="Znakapoznpodarou"/>
          <w:sz w:val="16"/>
          <w:szCs w:val="16"/>
        </w:rPr>
        <w:footnoteRef/>
      </w:r>
      <w:r w:rsidRPr="00201654">
        <w:rPr>
          <w:sz w:val="16"/>
          <w:szCs w:val="16"/>
        </w:rPr>
        <w:t xml:space="preserve"> A to </w:t>
      </w:r>
      <w:r>
        <w:rPr>
          <w:sz w:val="16"/>
          <w:szCs w:val="16"/>
        </w:rPr>
        <w:t xml:space="preserve">téměř výlučně </w:t>
      </w:r>
      <w:r w:rsidRPr="00201654">
        <w:rPr>
          <w:sz w:val="16"/>
          <w:szCs w:val="16"/>
        </w:rPr>
        <w:t xml:space="preserve">díky </w:t>
      </w:r>
      <w:r>
        <w:rPr>
          <w:sz w:val="16"/>
          <w:szCs w:val="16"/>
        </w:rPr>
        <w:t xml:space="preserve">relativnímu nominálnímu růstu HDP. </w:t>
      </w:r>
    </w:p>
  </w:footnote>
  <w:footnote w:id="29">
    <w:p w14:paraId="21B9E2A3" w14:textId="73F13E56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</w:t>
      </w:r>
      <w:r>
        <w:rPr>
          <w:sz w:val="16"/>
        </w:rPr>
        <w:t>Reprezentované u</w:t>
      </w:r>
      <w:r w:rsidRPr="0030704E">
        <w:rPr>
          <w:sz w:val="16"/>
        </w:rPr>
        <w:t>kazat</w:t>
      </w:r>
      <w:r>
        <w:rPr>
          <w:sz w:val="16"/>
        </w:rPr>
        <w:t>elem</w:t>
      </w:r>
      <w:r w:rsidRPr="0030704E">
        <w:rPr>
          <w:sz w:val="16"/>
        </w:rPr>
        <w:t xml:space="preserve"> </w:t>
      </w:r>
      <w:r w:rsidRPr="00783217">
        <w:rPr>
          <w:b/>
          <w:sz w:val="16"/>
        </w:rPr>
        <w:t>Hrubý disponibilní důchod (B.6g)</w:t>
      </w:r>
      <w:r w:rsidRPr="00D274B1">
        <w:rPr>
          <w:sz w:val="16"/>
        </w:rPr>
        <w:t xml:space="preserve">, </w:t>
      </w:r>
      <w:r>
        <w:rPr>
          <w:sz w:val="16"/>
        </w:rPr>
        <w:t>který představuje celkový úhrn všech důchodů, které mají domácnosti k dispozici pro spotřebu, investice a jiné účely. V následujícím textu je tento ukazatel nahrazen pojmem „příjmy domácností“.</w:t>
      </w:r>
    </w:p>
  </w:footnote>
  <w:footnote w:id="30">
    <w:p w14:paraId="0105CF49" w14:textId="0F4EE590" w:rsidR="0037785C" w:rsidRPr="009E0C2A" w:rsidRDefault="0037785C" w:rsidP="005C4963">
      <w:pPr>
        <w:pStyle w:val="Textpoznpodarou"/>
        <w:jc w:val="both"/>
        <w:rPr>
          <w:sz w:val="16"/>
          <w:szCs w:val="16"/>
        </w:rPr>
      </w:pPr>
      <w:r w:rsidRPr="004E69CE">
        <w:rPr>
          <w:rStyle w:val="Znakapoznpodarou"/>
          <w:sz w:val="16"/>
          <w:szCs w:val="16"/>
        </w:rPr>
        <w:footnoteRef/>
      </w:r>
      <w:r w:rsidRPr="004E69CE">
        <w:rPr>
          <w:sz w:val="16"/>
          <w:szCs w:val="16"/>
        </w:rPr>
        <w:t xml:space="preserve"> Pro očištění o vliv cen byl použit deflátor výdajů na konečnou spotřebu domácností.</w:t>
      </w:r>
    </w:p>
  </w:footnote>
  <w:footnote w:id="31">
    <w:p w14:paraId="57C45005" w14:textId="01CF229C" w:rsidR="0037785C" w:rsidRPr="00090D87" w:rsidRDefault="0037785C" w:rsidP="005C4963">
      <w:pPr>
        <w:pStyle w:val="Textpoznpodarou"/>
        <w:jc w:val="both"/>
        <w:rPr>
          <w:sz w:val="16"/>
        </w:rPr>
      </w:pPr>
      <w:r w:rsidRPr="00090D87">
        <w:rPr>
          <w:rStyle w:val="Znakapoznpodarou"/>
          <w:sz w:val="16"/>
        </w:rPr>
        <w:footnoteRef/>
      </w:r>
      <w:r w:rsidRPr="00090D87">
        <w:rPr>
          <w:sz w:val="16"/>
        </w:rPr>
        <w:t xml:space="preserve"> Tj. po očištění o </w:t>
      </w:r>
      <w:r>
        <w:rPr>
          <w:sz w:val="16"/>
        </w:rPr>
        <w:t>cenové</w:t>
      </w:r>
      <w:r w:rsidR="00A32EE1">
        <w:rPr>
          <w:sz w:val="16"/>
        </w:rPr>
        <w:t xml:space="preserve"> vlivy (</w:t>
      </w:r>
      <w:r w:rsidR="00A32EE1" w:rsidRPr="004E69CE">
        <w:rPr>
          <w:sz w:val="16"/>
          <w:szCs w:val="16"/>
        </w:rPr>
        <w:t>deflátor</w:t>
      </w:r>
      <w:r w:rsidR="00A32EE1">
        <w:rPr>
          <w:sz w:val="16"/>
          <w:szCs w:val="16"/>
        </w:rPr>
        <w:t>em</w:t>
      </w:r>
      <w:r w:rsidR="00A32EE1" w:rsidRPr="004E69CE">
        <w:rPr>
          <w:sz w:val="16"/>
          <w:szCs w:val="16"/>
        </w:rPr>
        <w:t xml:space="preserve"> výdajů na konečnou spotřebu domácností</w:t>
      </w:r>
      <w:r w:rsidR="00A32EE1">
        <w:rPr>
          <w:sz w:val="16"/>
          <w:szCs w:val="16"/>
        </w:rPr>
        <w:t>)</w:t>
      </w:r>
      <w:r>
        <w:rPr>
          <w:sz w:val="16"/>
        </w:rPr>
        <w:t xml:space="preserve"> i </w:t>
      </w:r>
      <w:r w:rsidR="00A32EE1">
        <w:rPr>
          <w:sz w:val="16"/>
        </w:rPr>
        <w:t xml:space="preserve">o </w:t>
      </w:r>
      <w:r w:rsidRPr="00090D87">
        <w:rPr>
          <w:sz w:val="16"/>
        </w:rPr>
        <w:t>sezónní a kalendářní vlivy</w:t>
      </w:r>
      <w:r w:rsidR="00A32EE1">
        <w:rPr>
          <w:sz w:val="16"/>
        </w:rPr>
        <w:t>.</w:t>
      </w:r>
    </w:p>
  </w:footnote>
  <w:footnote w:id="32">
    <w:p w14:paraId="095832AC" w14:textId="137B41D4" w:rsidR="0037785C" w:rsidRPr="00FB41D4" w:rsidRDefault="0037785C" w:rsidP="005C4963">
      <w:pPr>
        <w:pStyle w:val="Textpoznpodarou"/>
        <w:jc w:val="both"/>
        <w:rPr>
          <w:sz w:val="16"/>
        </w:rPr>
      </w:pPr>
      <w:r w:rsidRPr="00FB41D4">
        <w:rPr>
          <w:rStyle w:val="Znakapoznpodarou"/>
          <w:sz w:val="16"/>
        </w:rPr>
        <w:footnoteRef/>
      </w:r>
      <w:r w:rsidRPr="00FB41D4">
        <w:rPr>
          <w:sz w:val="16"/>
        </w:rPr>
        <w:t xml:space="preserve"> Ukazatel </w:t>
      </w:r>
      <w:r>
        <w:rPr>
          <w:sz w:val="16"/>
        </w:rPr>
        <w:t>(p</w:t>
      </w:r>
      <w:r w:rsidRPr="00FB41D4">
        <w:rPr>
          <w:sz w:val="16"/>
        </w:rPr>
        <w:t>řijaté</w:t>
      </w:r>
      <w:r>
        <w:rPr>
          <w:sz w:val="16"/>
        </w:rPr>
        <w:t>)</w:t>
      </w:r>
      <w:r w:rsidRPr="00FB41D4">
        <w:rPr>
          <w:sz w:val="16"/>
        </w:rPr>
        <w:t xml:space="preserve"> </w:t>
      </w:r>
      <w:r>
        <w:rPr>
          <w:sz w:val="16"/>
        </w:rPr>
        <w:t>N</w:t>
      </w:r>
      <w:r w:rsidRPr="00FB41D4">
        <w:rPr>
          <w:sz w:val="16"/>
        </w:rPr>
        <w:t>áhrady zaměstnancům (D.1)</w:t>
      </w:r>
      <w:r w:rsidR="00D81AE4">
        <w:rPr>
          <w:sz w:val="16"/>
        </w:rPr>
        <w:t xml:space="preserve"> vzrostl meziročně nominálně o 6,7 % a reálně o 3,6 %.</w:t>
      </w:r>
      <w:r w:rsidRPr="00FB41D4">
        <w:rPr>
          <w:sz w:val="16"/>
        </w:rPr>
        <w:t xml:space="preserve"> </w:t>
      </w:r>
    </w:p>
  </w:footnote>
  <w:footnote w:id="33">
    <w:p w14:paraId="6E825F75" w14:textId="77777777" w:rsidR="00681D44" w:rsidRPr="00415F9D" w:rsidRDefault="00681D44" w:rsidP="00681D44">
      <w:pPr>
        <w:pStyle w:val="Textpoznpodarou"/>
        <w:jc w:val="both"/>
        <w:rPr>
          <w:sz w:val="16"/>
        </w:rPr>
      </w:pPr>
      <w:r w:rsidRPr="00415F9D">
        <w:rPr>
          <w:rStyle w:val="Znakapoznpodarou"/>
          <w:sz w:val="16"/>
        </w:rPr>
        <w:footnoteRef/>
      </w:r>
      <w:r w:rsidRPr="00415F9D">
        <w:rPr>
          <w:sz w:val="16"/>
        </w:rPr>
        <w:t xml:space="preserve"> Ukazatel Čistý provozní přebytek a smíšený důchod (B.2n a B.3n)</w:t>
      </w:r>
    </w:p>
  </w:footnote>
  <w:footnote w:id="34">
    <w:p w14:paraId="6F1CE81B" w14:textId="110651BD" w:rsidR="0037785C" w:rsidRPr="003D5938" w:rsidRDefault="0037785C" w:rsidP="005C4963">
      <w:pPr>
        <w:pStyle w:val="Textpoznpodarou"/>
        <w:jc w:val="both"/>
        <w:rPr>
          <w:sz w:val="16"/>
        </w:rPr>
      </w:pPr>
      <w:r w:rsidRPr="003D5938">
        <w:rPr>
          <w:rStyle w:val="Znakapoznpodarou"/>
          <w:sz w:val="16"/>
        </w:rPr>
        <w:footnoteRef/>
      </w:r>
      <w:r w:rsidRPr="003D5938">
        <w:rPr>
          <w:sz w:val="16"/>
        </w:rPr>
        <w:t xml:space="preserve"> </w:t>
      </w:r>
      <w:r>
        <w:rPr>
          <w:sz w:val="16"/>
        </w:rPr>
        <w:t>Reprezentovaný u</w:t>
      </w:r>
      <w:r w:rsidRPr="003D5938">
        <w:rPr>
          <w:sz w:val="16"/>
        </w:rPr>
        <w:t>kazatel</w:t>
      </w:r>
      <w:r>
        <w:rPr>
          <w:sz w:val="16"/>
        </w:rPr>
        <w:t>em</w:t>
      </w:r>
      <w:r w:rsidRPr="003D5938">
        <w:rPr>
          <w:sz w:val="16"/>
        </w:rPr>
        <w:t xml:space="preserve"> Saldo druhotn</w:t>
      </w:r>
      <w:r>
        <w:rPr>
          <w:sz w:val="16"/>
        </w:rPr>
        <w:t>ých důchodů</w:t>
      </w:r>
      <w:r w:rsidR="0033436F">
        <w:rPr>
          <w:sz w:val="16"/>
        </w:rPr>
        <w:t xml:space="preserve"> (B.8g)</w:t>
      </w:r>
      <w:r>
        <w:rPr>
          <w:sz w:val="16"/>
        </w:rPr>
        <w:t>.</w:t>
      </w:r>
    </w:p>
  </w:footnote>
  <w:footnote w:id="35">
    <w:p w14:paraId="54ABE4D7" w14:textId="2D75545F" w:rsidR="0037785C" w:rsidRPr="009327ED" w:rsidRDefault="0037785C" w:rsidP="005C4963">
      <w:pPr>
        <w:pStyle w:val="Textpoznpodarou"/>
        <w:jc w:val="both"/>
        <w:rPr>
          <w:sz w:val="16"/>
        </w:rPr>
      </w:pPr>
      <w:r w:rsidRPr="009327ED">
        <w:rPr>
          <w:rStyle w:val="Znakapoznpodarou"/>
          <w:sz w:val="16"/>
        </w:rPr>
        <w:footnoteRef/>
      </w:r>
      <w:r w:rsidRPr="009327ED">
        <w:rPr>
          <w:sz w:val="16"/>
        </w:rPr>
        <w:t xml:space="preserve"> Ukazatel </w:t>
      </w:r>
      <w:r>
        <w:rPr>
          <w:sz w:val="16"/>
        </w:rPr>
        <w:t>Výdaje na konečnou spotřebu domácností (P.3)</w:t>
      </w:r>
    </w:p>
  </w:footnote>
  <w:footnote w:id="36">
    <w:p w14:paraId="6061BEEE" w14:textId="77777777" w:rsidR="00DE6BCD" w:rsidRPr="00255688" w:rsidRDefault="00DE6BCD" w:rsidP="005C4963">
      <w:pPr>
        <w:pStyle w:val="Textpoznpodarou"/>
        <w:jc w:val="both"/>
        <w:rPr>
          <w:sz w:val="16"/>
          <w:szCs w:val="16"/>
        </w:rPr>
      </w:pPr>
      <w:r w:rsidRPr="00255688">
        <w:rPr>
          <w:rStyle w:val="Znakapoznpodarou"/>
          <w:sz w:val="16"/>
          <w:szCs w:val="16"/>
        </w:rPr>
        <w:footnoteRef/>
      </w:r>
      <w:r w:rsidRPr="00255688">
        <w:rPr>
          <w:sz w:val="16"/>
          <w:szCs w:val="16"/>
        </w:rPr>
        <w:t xml:space="preserve"> Údaje očištěné o změny cen a kalendářní a sezónní vlivy.</w:t>
      </w:r>
    </w:p>
  </w:footnote>
  <w:footnote w:id="37">
    <w:p w14:paraId="0148093F" w14:textId="544E4598" w:rsidR="0037785C" w:rsidRPr="00797632" w:rsidRDefault="0037785C" w:rsidP="005C4963">
      <w:pPr>
        <w:pStyle w:val="Textpoznpodarou"/>
        <w:jc w:val="both"/>
        <w:rPr>
          <w:sz w:val="16"/>
          <w:szCs w:val="16"/>
        </w:rPr>
      </w:pPr>
      <w:r w:rsidRPr="00797632">
        <w:rPr>
          <w:rStyle w:val="Znakapoznpodarou"/>
          <w:sz w:val="16"/>
          <w:szCs w:val="16"/>
        </w:rPr>
        <w:footnoteRef/>
      </w:r>
      <w:r w:rsidRPr="00797632">
        <w:rPr>
          <w:sz w:val="16"/>
          <w:szCs w:val="16"/>
        </w:rPr>
        <w:t xml:space="preserve"> </w:t>
      </w:r>
      <w:r w:rsidRPr="00797632">
        <w:rPr>
          <w:rFonts w:cs="Arial"/>
          <w:iCs/>
          <w:sz w:val="16"/>
          <w:szCs w:val="16"/>
        </w:rPr>
        <w:t xml:space="preserve">Hrubé úspory </w:t>
      </w:r>
      <w:r>
        <w:rPr>
          <w:rFonts w:cs="Arial"/>
          <w:iCs/>
          <w:sz w:val="16"/>
          <w:szCs w:val="16"/>
        </w:rPr>
        <w:t xml:space="preserve">(B.8g) </w:t>
      </w:r>
      <w:r w:rsidRPr="00797632">
        <w:rPr>
          <w:rFonts w:cs="Arial"/>
          <w:iCs/>
          <w:sz w:val="16"/>
          <w:szCs w:val="16"/>
        </w:rPr>
        <w:t>představují část hrubého disponibilního důchodu, která nebyla spotřebována ve formě výdajů na konečnou spotřebu.</w:t>
      </w:r>
    </w:p>
  </w:footnote>
  <w:footnote w:id="38">
    <w:p w14:paraId="60FC1895" w14:textId="7BDFC71D" w:rsidR="00381BD4" w:rsidRPr="00381BD4" w:rsidRDefault="00381BD4">
      <w:pPr>
        <w:pStyle w:val="Textpoznpodarou"/>
        <w:rPr>
          <w:sz w:val="16"/>
          <w:szCs w:val="16"/>
        </w:rPr>
      </w:pPr>
      <w:r w:rsidRPr="00381BD4">
        <w:rPr>
          <w:rStyle w:val="Znakapoznpodarou"/>
          <w:sz w:val="16"/>
          <w:szCs w:val="16"/>
        </w:rPr>
        <w:footnoteRef/>
      </w:r>
      <w:r w:rsidRPr="00381BD4">
        <w:rPr>
          <w:sz w:val="16"/>
          <w:szCs w:val="16"/>
        </w:rPr>
        <w:t xml:space="preserve"> Vyjádřen</w:t>
      </w:r>
      <w:r>
        <w:rPr>
          <w:sz w:val="16"/>
          <w:szCs w:val="16"/>
        </w:rPr>
        <w:t>á</w:t>
      </w:r>
      <w:r w:rsidRPr="00381BD4">
        <w:rPr>
          <w:sz w:val="16"/>
          <w:szCs w:val="16"/>
        </w:rPr>
        <w:t xml:space="preserve"> poměrem hrubých úspor a hrubé přidané hodnoty</w:t>
      </w:r>
    </w:p>
  </w:footnote>
  <w:footnote w:id="39">
    <w:p w14:paraId="3CFCEB5E" w14:textId="77777777" w:rsidR="000A4639" w:rsidRPr="00BA60DC" w:rsidRDefault="000A4639" w:rsidP="005C4963">
      <w:pPr>
        <w:pStyle w:val="Textpoznpodarou"/>
        <w:jc w:val="both"/>
        <w:rPr>
          <w:sz w:val="16"/>
        </w:rPr>
      </w:pPr>
      <w:r w:rsidRPr="00BA60DC">
        <w:rPr>
          <w:rStyle w:val="Znakapoznpodarou"/>
          <w:sz w:val="16"/>
        </w:rPr>
        <w:footnoteRef/>
      </w:r>
      <w:r w:rsidRPr="00BA60DC">
        <w:rPr>
          <w:sz w:val="16"/>
        </w:rPr>
        <w:t xml:space="preserve"> Údaje očištěné o kalendářní a sezónní vlivy</w:t>
      </w:r>
    </w:p>
  </w:footnote>
  <w:footnote w:id="40">
    <w:p w14:paraId="251BEA84" w14:textId="77777777" w:rsidR="00286284" w:rsidRPr="00BA60DC" w:rsidRDefault="00286284" w:rsidP="00286284">
      <w:pPr>
        <w:pStyle w:val="Textpoznpodarou"/>
        <w:jc w:val="both"/>
        <w:rPr>
          <w:sz w:val="16"/>
        </w:rPr>
      </w:pPr>
      <w:r w:rsidRPr="00BA60DC">
        <w:rPr>
          <w:rStyle w:val="Znakapoznpodarou"/>
          <w:sz w:val="16"/>
        </w:rPr>
        <w:footnoteRef/>
      </w:r>
      <w:r w:rsidRPr="00BA60DC">
        <w:rPr>
          <w:sz w:val="16"/>
        </w:rPr>
        <w:t xml:space="preserve"> Údaje očištěné o kalendářní a sezónní vlivy</w:t>
      </w:r>
    </w:p>
  </w:footnote>
  <w:footnote w:id="41">
    <w:p w14:paraId="135BB9DA" w14:textId="77777777" w:rsidR="00D715F5" w:rsidRPr="0085242C" w:rsidRDefault="00D715F5" w:rsidP="00D715F5">
      <w:pPr>
        <w:pStyle w:val="Textpoznpodarou"/>
        <w:jc w:val="both"/>
        <w:rPr>
          <w:sz w:val="16"/>
        </w:rPr>
      </w:pPr>
      <w:r w:rsidRPr="0085242C">
        <w:rPr>
          <w:rStyle w:val="Znakapoznpodarou"/>
          <w:sz w:val="16"/>
        </w:rPr>
        <w:footnoteRef/>
      </w:r>
      <w:r w:rsidRPr="0085242C">
        <w:rPr>
          <w:sz w:val="16"/>
        </w:rPr>
        <w:t xml:space="preserve"> </w:t>
      </w:r>
      <w:r>
        <w:rPr>
          <w:sz w:val="16"/>
        </w:rPr>
        <w:t>Reprezentované u</w:t>
      </w:r>
      <w:r w:rsidRPr="0085242C">
        <w:rPr>
          <w:sz w:val="16"/>
        </w:rPr>
        <w:t>kazatel</w:t>
      </w:r>
      <w:r>
        <w:rPr>
          <w:sz w:val="16"/>
        </w:rPr>
        <w:t>em</w:t>
      </w:r>
      <w:r w:rsidRPr="0085242C">
        <w:rPr>
          <w:sz w:val="16"/>
        </w:rPr>
        <w:t xml:space="preserve"> Tvorba hrubého fixního kapitálu (P.51)</w:t>
      </w:r>
      <w:r>
        <w:rPr>
          <w:sz w:val="16"/>
        </w:rPr>
        <w:t>.</w:t>
      </w:r>
    </w:p>
  </w:footnote>
  <w:footnote w:id="42">
    <w:p w14:paraId="0F47763B" w14:textId="6C3A3997" w:rsidR="00D715F5" w:rsidRPr="00D715F5" w:rsidRDefault="00D715F5">
      <w:pPr>
        <w:pStyle w:val="Textpoznpodarou"/>
        <w:rPr>
          <w:sz w:val="16"/>
          <w:szCs w:val="16"/>
        </w:rPr>
      </w:pPr>
      <w:r w:rsidRPr="00D715F5">
        <w:rPr>
          <w:rStyle w:val="Znakapoznpodarou"/>
          <w:sz w:val="16"/>
          <w:szCs w:val="16"/>
        </w:rPr>
        <w:footnoteRef/>
      </w:r>
      <w:r w:rsidRPr="00D715F5">
        <w:rPr>
          <w:sz w:val="16"/>
          <w:szCs w:val="16"/>
        </w:rPr>
        <w:t xml:space="preserve"> Vyjádřená poměrem hrub</w:t>
      </w:r>
      <w:r>
        <w:rPr>
          <w:sz w:val="16"/>
          <w:szCs w:val="16"/>
        </w:rPr>
        <w:t xml:space="preserve">é tvorby fixního kapitálu </w:t>
      </w:r>
      <w:r w:rsidRPr="00D715F5">
        <w:rPr>
          <w:sz w:val="16"/>
          <w:szCs w:val="16"/>
        </w:rPr>
        <w:t>a hrubé přidané hodnoty</w:t>
      </w:r>
    </w:p>
  </w:footnote>
  <w:footnote w:id="43">
    <w:p w14:paraId="0EAE465E" w14:textId="77777777" w:rsidR="00724746" w:rsidRPr="004C6B03" w:rsidRDefault="00724746" w:rsidP="00724746">
      <w:pPr>
        <w:pStyle w:val="Textpoznpodarou"/>
        <w:jc w:val="both"/>
        <w:rPr>
          <w:sz w:val="16"/>
          <w:szCs w:val="16"/>
        </w:rPr>
      </w:pPr>
      <w:r w:rsidRPr="004C6B03">
        <w:rPr>
          <w:rStyle w:val="Znakapoznpodarou"/>
          <w:sz w:val="16"/>
          <w:szCs w:val="16"/>
        </w:rPr>
        <w:footnoteRef/>
      </w:r>
      <w:r w:rsidRPr="004C6B03">
        <w:rPr>
          <w:sz w:val="16"/>
          <w:szCs w:val="16"/>
        </w:rPr>
        <w:t xml:space="preserve"> </w:t>
      </w:r>
      <w:r w:rsidRPr="00BA60DC">
        <w:rPr>
          <w:sz w:val="16"/>
        </w:rPr>
        <w:t>Údaje očištěné o kalendářní a sezónní vlivy</w:t>
      </w:r>
    </w:p>
  </w:footnote>
  <w:footnote w:id="44">
    <w:p w14:paraId="7AC1F13A" w14:textId="19A82CBC" w:rsidR="00A97B05" w:rsidRPr="008F7016" w:rsidRDefault="00A97B05" w:rsidP="00A97B05">
      <w:pPr>
        <w:pStyle w:val="Textpoznpodarou"/>
        <w:jc w:val="both"/>
        <w:rPr>
          <w:sz w:val="16"/>
        </w:rPr>
      </w:pPr>
      <w:r w:rsidRPr="008F7016">
        <w:rPr>
          <w:rStyle w:val="Znakapoznpodarou"/>
          <w:sz w:val="16"/>
        </w:rPr>
        <w:footnoteRef/>
      </w:r>
      <w:r w:rsidRPr="008F7016">
        <w:rPr>
          <w:sz w:val="16"/>
        </w:rPr>
        <w:t xml:space="preserve"> Ukazatel Čisté půjčky</w:t>
      </w:r>
      <w:r>
        <w:rPr>
          <w:sz w:val="16"/>
        </w:rPr>
        <w:t>/výpůjčky</w:t>
      </w:r>
      <w:r w:rsidRPr="008F7016">
        <w:rPr>
          <w:sz w:val="16"/>
        </w:rPr>
        <w:t xml:space="preserve"> (B.9g)</w:t>
      </w:r>
      <w:r>
        <w:rPr>
          <w:sz w:val="16"/>
        </w:rPr>
        <w:t xml:space="preserve"> činil </w:t>
      </w:r>
      <w:r w:rsidR="0066763E">
        <w:rPr>
          <w:sz w:val="16"/>
        </w:rPr>
        <w:t>86,3</w:t>
      </w:r>
      <w:r w:rsidR="000D56CB">
        <w:rPr>
          <w:sz w:val="16"/>
        </w:rPr>
        <w:t xml:space="preserve"> </w:t>
      </w:r>
      <w:r>
        <w:rPr>
          <w:sz w:val="16"/>
        </w:rPr>
        <w:t>mld. Kč</w:t>
      </w:r>
      <w:r w:rsidR="000D56CB">
        <w:rPr>
          <w:sz w:val="16"/>
        </w:rPr>
        <w:t xml:space="preserve">, což bylo o </w:t>
      </w:r>
      <w:r w:rsidR="0066763E">
        <w:rPr>
          <w:sz w:val="16"/>
        </w:rPr>
        <w:t>27,</w:t>
      </w:r>
      <w:r w:rsidR="000D56CB">
        <w:rPr>
          <w:sz w:val="16"/>
        </w:rPr>
        <w:t>9 mld. Kč méně než před rokem</w:t>
      </w:r>
      <w:r>
        <w:rPr>
          <w:sz w:val="16"/>
        </w:rPr>
        <w:t>.</w:t>
      </w:r>
    </w:p>
  </w:footnote>
  <w:footnote w:id="45">
    <w:p w14:paraId="67C1AA61" w14:textId="77777777" w:rsidR="002863D4" w:rsidRPr="00FB20C3" w:rsidRDefault="002863D4" w:rsidP="005C4963">
      <w:pPr>
        <w:pStyle w:val="Textpoznpodarou"/>
        <w:jc w:val="both"/>
        <w:rPr>
          <w:sz w:val="16"/>
        </w:rPr>
      </w:pPr>
      <w:r w:rsidRPr="00FB20C3">
        <w:rPr>
          <w:rStyle w:val="Znakapoznpodarou"/>
          <w:sz w:val="16"/>
        </w:rPr>
        <w:footnoteRef/>
      </w:r>
      <w:r w:rsidRPr="00FB20C3">
        <w:rPr>
          <w:sz w:val="16"/>
        </w:rPr>
        <w:t xml:space="preserve"> Oba údaje </w:t>
      </w:r>
      <w:r>
        <w:rPr>
          <w:sz w:val="16"/>
        </w:rPr>
        <w:t xml:space="preserve">vychází z dat očištěných o cenové, sezónní a kalendářní vlivy. </w:t>
      </w:r>
    </w:p>
  </w:footnote>
  <w:footnote w:id="46">
    <w:p w14:paraId="4CB37EDD" w14:textId="6963D2A9" w:rsidR="002863D4" w:rsidRPr="00F9227A" w:rsidRDefault="002863D4" w:rsidP="005C4963">
      <w:pPr>
        <w:pStyle w:val="Textpoznpodarou"/>
        <w:jc w:val="both"/>
        <w:rPr>
          <w:sz w:val="16"/>
        </w:rPr>
      </w:pPr>
      <w:r w:rsidRPr="00F9227A">
        <w:rPr>
          <w:rStyle w:val="Znakapoznpodarou"/>
          <w:sz w:val="16"/>
        </w:rPr>
        <w:footnoteRef/>
      </w:r>
      <w:r w:rsidRPr="00F9227A">
        <w:rPr>
          <w:sz w:val="16"/>
        </w:rPr>
        <w:t xml:space="preserve"> </w:t>
      </w:r>
      <w:r w:rsidRPr="00FB20C3">
        <w:rPr>
          <w:sz w:val="16"/>
        </w:rPr>
        <w:t xml:space="preserve">Oba údaje </w:t>
      </w:r>
      <w:r>
        <w:rPr>
          <w:sz w:val="16"/>
        </w:rPr>
        <w:t>vychází z dat očištěných o cenové, sezónní a kalendářní vlivy</w:t>
      </w:r>
      <w:r w:rsidR="00D7042C">
        <w:rPr>
          <w:sz w:val="16"/>
        </w:rPr>
        <w:t xml:space="preserve">. </w:t>
      </w:r>
    </w:p>
  </w:footnote>
  <w:footnote w:id="47">
    <w:p w14:paraId="05F7ABAC" w14:textId="6CAD1428" w:rsidR="0037785C" w:rsidRPr="00326373" w:rsidRDefault="0037785C" w:rsidP="005C4963">
      <w:pPr>
        <w:pStyle w:val="Textpoznpodarou"/>
        <w:jc w:val="both"/>
        <w:rPr>
          <w:sz w:val="16"/>
        </w:rPr>
      </w:pPr>
      <w:r w:rsidRPr="00326373">
        <w:rPr>
          <w:rStyle w:val="Znakapoznpodarou"/>
          <w:sz w:val="16"/>
        </w:rPr>
        <w:footnoteRef/>
      </w:r>
      <w:r w:rsidRPr="00326373">
        <w:rPr>
          <w:sz w:val="16"/>
        </w:rPr>
        <w:t xml:space="preserve"> Reprezentovaná ukazatelem Čisté půjčky/výpůjčky (B.9n).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E062" w14:textId="2D39FE8D" w:rsidR="0037785C" w:rsidRDefault="0037785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E72BC9" wp14:editId="00FFCE67">
              <wp:simplePos x="0" y="0"/>
              <wp:positionH relativeFrom="page">
                <wp:posOffset>367030</wp:posOffset>
              </wp:positionH>
              <wp:positionV relativeFrom="page">
                <wp:posOffset>479425</wp:posOffset>
              </wp:positionV>
              <wp:extent cx="6329045" cy="1045845"/>
              <wp:effectExtent l="0" t="0" r="0" b="1905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5B41B4" id="Group 6" o:spid="_x0000_s1026" style="position:absolute;margin-left:28.9pt;margin-top:37.75pt;width:498.35pt;height:82.35pt;z-index:25165926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fEy3UAAFU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5XB58XD9HioKo15MIpqP&#10;H96+BMSfTx/+9cOPp8gf/vjD8fW/PeLnF89/l7+/jcAXP3385+MN0F3//HQMovn1zem9oADTF78G&#10;DfwlaeD216eL1/iP09AfNuP28uI1fuvwpz3+EnT0+h0UKf9uu+suL/DrfgwkXr98/e5P+q8Ph2mn&#10;/3Qad/LvXly/jMMGUpU04Quz7XEW6OPnCfRf311/uA16ehRxqUB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WG7iDvXvND2opRi3WCyfqWFZhtS1/XPFlo39NgE&#10;wlZ2Xmly0J1X2sXf9Urrlyvt8BuutK4/gAKxDIbts6U2bWC/xJU26IZs9oYdWOcz7Xym/d2cabDQ&#10;4pn2/en2Vtyfiy7YEO6Z9qebu6cfj3cPT59rNh52WElhjW0Wawxmg6yxflMa17DBf452o5hvZivC&#10;GbpRi+7tjXJzBQxv3t/Dxfo/L8DRuLn4eNHBj5MlK/AGBhN/BpsOF+8uxk4dgRkIe8EMtNmNDi6w&#10;M4PtdnVcOKdnoM3h4OCCqZH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nDwgAAANsAAAAPAAAAZHJzL2Rvd25yZXYueG1sRE9Na8JA&#10;EL0L/Q/LFHqrGwut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ApUGnD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40A"/>
    <w:multiLevelType w:val="hybridMultilevel"/>
    <w:tmpl w:val="A94EB7C4"/>
    <w:lvl w:ilvl="0" w:tplc="97087B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7A05"/>
    <w:multiLevelType w:val="hybridMultilevel"/>
    <w:tmpl w:val="25C8B550"/>
    <w:lvl w:ilvl="0" w:tplc="B80ADA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918685">
    <w:abstractNumId w:val="0"/>
  </w:num>
  <w:num w:numId="2" w16cid:durableId="67711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39"/>
    <w:rsid w:val="0000044B"/>
    <w:rsid w:val="00001C9A"/>
    <w:rsid w:val="0000208F"/>
    <w:rsid w:val="000023DD"/>
    <w:rsid w:val="00002857"/>
    <w:rsid w:val="00002DDA"/>
    <w:rsid w:val="00002E07"/>
    <w:rsid w:val="00003202"/>
    <w:rsid w:val="0000403F"/>
    <w:rsid w:val="00006A93"/>
    <w:rsid w:val="000070E8"/>
    <w:rsid w:val="00007F82"/>
    <w:rsid w:val="00011945"/>
    <w:rsid w:val="00012BC2"/>
    <w:rsid w:val="000134FD"/>
    <w:rsid w:val="00013757"/>
    <w:rsid w:val="00014904"/>
    <w:rsid w:val="000151DF"/>
    <w:rsid w:val="0001683E"/>
    <w:rsid w:val="00016AA5"/>
    <w:rsid w:val="00016F9F"/>
    <w:rsid w:val="000171C5"/>
    <w:rsid w:val="000171CD"/>
    <w:rsid w:val="000207B9"/>
    <w:rsid w:val="00020D4D"/>
    <w:rsid w:val="00020D51"/>
    <w:rsid w:val="00020D9A"/>
    <w:rsid w:val="00021CAE"/>
    <w:rsid w:val="0002212C"/>
    <w:rsid w:val="00024086"/>
    <w:rsid w:val="00025278"/>
    <w:rsid w:val="00025A79"/>
    <w:rsid w:val="00026950"/>
    <w:rsid w:val="00026DC4"/>
    <w:rsid w:val="0003028B"/>
    <w:rsid w:val="000302A6"/>
    <w:rsid w:val="000303AC"/>
    <w:rsid w:val="00030506"/>
    <w:rsid w:val="00031A2E"/>
    <w:rsid w:val="00032C87"/>
    <w:rsid w:val="00032E76"/>
    <w:rsid w:val="00033927"/>
    <w:rsid w:val="00035558"/>
    <w:rsid w:val="00035A2B"/>
    <w:rsid w:val="00036265"/>
    <w:rsid w:val="00036709"/>
    <w:rsid w:val="0003696B"/>
    <w:rsid w:val="000370D3"/>
    <w:rsid w:val="00037808"/>
    <w:rsid w:val="000408A4"/>
    <w:rsid w:val="00040CEA"/>
    <w:rsid w:val="00041D8C"/>
    <w:rsid w:val="00042640"/>
    <w:rsid w:val="000427C5"/>
    <w:rsid w:val="00043656"/>
    <w:rsid w:val="00043BF4"/>
    <w:rsid w:val="00043E0C"/>
    <w:rsid w:val="000445A5"/>
    <w:rsid w:val="00045A7A"/>
    <w:rsid w:val="00045F4E"/>
    <w:rsid w:val="00046AB2"/>
    <w:rsid w:val="00046D45"/>
    <w:rsid w:val="00047A6C"/>
    <w:rsid w:val="0005077B"/>
    <w:rsid w:val="000507CF"/>
    <w:rsid w:val="00050BFB"/>
    <w:rsid w:val="00052106"/>
    <w:rsid w:val="00052A0B"/>
    <w:rsid w:val="00052AA0"/>
    <w:rsid w:val="00055D8F"/>
    <w:rsid w:val="00055EBE"/>
    <w:rsid w:val="0005699E"/>
    <w:rsid w:val="00056AF8"/>
    <w:rsid w:val="0006007D"/>
    <w:rsid w:val="00060A9C"/>
    <w:rsid w:val="00060C03"/>
    <w:rsid w:val="00060DD8"/>
    <w:rsid w:val="00061682"/>
    <w:rsid w:val="00063034"/>
    <w:rsid w:val="000633FC"/>
    <w:rsid w:val="00064B32"/>
    <w:rsid w:val="0006545B"/>
    <w:rsid w:val="000657C6"/>
    <w:rsid w:val="00066E38"/>
    <w:rsid w:val="00067394"/>
    <w:rsid w:val="0007031E"/>
    <w:rsid w:val="0007050D"/>
    <w:rsid w:val="00070DF8"/>
    <w:rsid w:val="00072AC5"/>
    <w:rsid w:val="00072FBC"/>
    <w:rsid w:val="00073558"/>
    <w:rsid w:val="00073A99"/>
    <w:rsid w:val="00073B8E"/>
    <w:rsid w:val="00074BF6"/>
    <w:rsid w:val="00075EAF"/>
    <w:rsid w:val="00076404"/>
    <w:rsid w:val="0007692E"/>
    <w:rsid w:val="00076FF9"/>
    <w:rsid w:val="000771E3"/>
    <w:rsid w:val="00077D6E"/>
    <w:rsid w:val="000812BF"/>
    <w:rsid w:val="00082045"/>
    <w:rsid w:val="00082547"/>
    <w:rsid w:val="00082581"/>
    <w:rsid w:val="00082749"/>
    <w:rsid w:val="000827CE"/>
    <w:rsid w:val="00082B42"/>
    <w:rsid w:val="000843A5"/>
    <w:rsid w:val="0008507E"/>
    <w:rsid w:val="0008521C"/>
    <w:rsid w:val="00087487"/>
    <w:rsid w:val="000879BE"/>
    <w:rsid w:val="00087A80"/>
    <w:rsid w:val="00090013"/>
    <w:rsid w:val="00090B9E"/>
    <w:rsid w:val="00090D87"/>
    <w:rsid w:val="0009149D"/>
    <w:rsid w:val="00092C15"/>
    <w:rsid w:val="00092CCF"/>
    <w:rsid w:val="0009303F"/>
    <w:rsid w:val="00093BCB"/>
    <w:rsid w:val="00093E6E"/>
    <w:rsid w:val="00096BC2"/>
    <w:rsid w:val="00097358"/>
    <w:rsid w:val="000A0049"/>
    <w:rsid w:val="000A06FD"/>
    <w:rsid w:val="000A09BC"/>
    <w:rsid w:val="000A0B3A"/>
    <w:rsid w:val="000A3200"/>
    <w:rsid w:val="000A364B"/>
    <w:rsid w:val="000A4610"/>
    <w:rsid w:val="000A4639"/>
    <w:rsid w:val="000A48E8"/>
    <w:rsid w:val="000A5AAC"/>
    <w:rsid w:val="000A607F"/>
    <w:rsid w:val="000A6E30"/>
    <w:rsid w:val="000B090E"/>
    <w:rsid w:val="000B1F66"/>
    <w:rsid w:val="000B3B92"/>
    <w:rsid w:val="000B3CB8"/>
    <w:rsid w:val="000B470E"/>
    <w:rsid w:val="000B48CE"/>
    <w:rsid w:val="000B4AB2"/>
    <w:rsid w:val="000B5125"/>
    <w:rsid w:val="000B544B"/>
    <w:rsid w:val="000B5C75"/>
    <w:rsid w:val="000B5EAC"/>
    <w:rsid w:val="000B64BF"/>
    <w:rsid w:val="000B6F63"/>
    <w:rsid w:val="000B7488"/>
    <w:rsid w:val="000B7652"/>
    <w:rsid w:val="000C07E9"/>
    <w:rsid w:val="000C0C18"/>
    <w:rsid w:val="000C1D29"/>
    <w:rsid w:val="000C2CA9"/>
    <w:rsid w:val="000C43AA"/>
    <w:rsid w:val="000C57A2"/>
    <w:rsid w:val="000C6700"/>
    <w:rsid w:val="000C72C0"/>
    <w:rsid w:val="000C72DE"/>
    <w:rsid w:val="000C7427"/>
    <w:rsid w:val="000D0E66"/>
    <w:rsid w:val="000D19F9"/>
    <w:rsid w:val="000D267F"/>
    <w:rsid w:val="000D26B9"/>
    <w:rsid w:val="000D26CD"/>
    <w:rsid w:val="000D3E4F"/>
    <w:rsid w:val="000D5143"/>
    <w:rsid w:val="000D56AC"/>
    <w:rsid w:val="000D56CB"/>
    <w:rsid w:val="000D6DD3"/>
    <w:rsid w:val="000E03CC"/>
    <w:rsid w:val="000E0DCE"/>
    <w:rsid w:val="000E1C19"/>
    <w:rsid w:val="000E2AA7"/>
    <w:rsid w:val="000E333D"/>
    <w:rsid w:val="000E42C9"/>
    <w:rsid w:val="000E46D2"/>
    <w:rsid w:val="000E485F"/>
    <w:rsid w:val="000E5EB2"/>
    <w:rsid w:val="000E6E97"/>
    <w:rsid w:val="000E7993"/>
    <w:rsid w:val="000F0BEE"/>
    <w:rsid w:val="000F11C8"/>
    <w:rsid w:val="000F1825"/>
    <w:rsid w:val="000F53DF"/>
    <w:rsid w:val="000F5B28"/>
    <w:rsid w:val="000F6917"/>
    <w:rsid w:val="000F6E26"/>
    <w:rsid w:val="000F6F36"/>
    <w:rsid w:val="000F7753"/>
    <w:rsid w:val="000F7F50"/>
    <w:rsid w:val="00100C3E"/>
    <w:rsid w:val="001013D3"/>
    <w:rsid w:val="00101622"/>
    <w:rsid w:val="00101C34"/>
    <w:rsid w:val="00102B7E"/>
    <w:rsid w:val="00102BFF"/>
    <w:rsid w:val="00102EAC"/>
    <w:rsid w:val="00104388"/>
    <w:rsid w:val="001050A1"/>
    <w:rsid w:val="001050DD"/>
    <w:rsid w:val="00105107"/>
    <w:rsid w:val="00106651"/>
    <w:rsid w:val="00106822"/>
    <w:rsid w:val="00106C6F"/>
    <w:rsid w:val="00107529"/>
    <w:rsid w:val="0010766F"/>
    <w:rsid w:val="001078B8"/>
    <w:rsid w:val="0010796E"/>
    <w:rsid w:val="00107C2A"/>
    <w:rsid w:val="00107E15"/>
    <w:rsid w:val="001106F4"/>
    <w:rsid w:val="00111215"/>
    <w:rsid w:val="001118E2"/>
    <w:rsid w:val="00112962"/>
    <w:rsid w:val="00114AEC"/>
    <w:rsid w:val="00114D9D"/>
    <w:rsid w:val="001171CC"/>
    <w:rsid w:val="00117460"/>
    <w:rsid w:val="00117525"/>
    <w:rsid w:val="00117984"/>
    <w:rsid w:val="00120D03"/>
    <w:rsid w:val="00120DF6"/>
    <w:rsid w:val="00121123"/>
    <w:rsid w:val="00121D14"/>
    <w:rsid w:val="0012377A"/>
    <w:rsid w:val="00123848"/>
    <w:rsid w:val="0012384F"/>
    <w:rsid w:val="00123E91"/>
    <w:rsid w:val="001251A0"/>
    <w:rsid w:val="001258A6"/>
    <w:rsid w:val="00125CAF"/>
    <w:rsid w:val="00125D2F"/>
    <w:rsid w:val="001260C3"/>
    <w:rsid w:val="00127216"/>
    <w:rsid w:val="0012777D"/>
    <w:rsid w:val="0013092D"/>
    <w:rsid w:val="00130931"/>
    <w:rsid w:val="0013159D"/>
    <w:rsid w:val="00131C9F"/>
    <w:rsid w:val="00131E21"/>
    <w:rsid w:val="00133417"/>
    <w:rsid w:val="0013416D"/>
    <w:rsid w:val="00134E8D"/>
    <w:rsid w:val="001355FF"/>
    <w:rsid w:val="00135967"/>
    <w:rsid w:val="00137535"/>
    <w:rsid w:val="00137EDB"/>
    <w:rsid w:val="001404AB"/>
    <w:rsid w:val="00141D51"/>
    <w:rsid w:val="00142A45"/>
    <w:rsid w:val="0014432B"/>
    <w:rsid w:val="001453D8"/>
    <w:rsid w:val="00145FEE"/>
    <w:rsid w:val="0014674D"/>
    <w:rsid w:val="00146931"/>
    <w:rsid w:val="001469C6"/>
    <w:rsid w:val="00146EBF"/>
    <w:rsid w:val="00147921"/>
    <w:rsid w:val="001521A2"/>
    <w:rsid w:val="001526E3"/>
    <w:rsid w:val="00155FA8"/>
    <w:rsid w:val="00156B60"/>
    <w:rsid w:val="001578BA"/>
    <w:rsid w:val="00160DE1"/>
    <w:rsid w:val="00161459"/>
    <w:rsid w:val="001614CA"/>
    <w:rsid w:val="00161BD9"/>
    <w:rsid w:val="00161FAB"/>
    <w:rsid w:val="00165362"/>
    <w:rsid w:val="001658A9"/>
    <w:rsid w:val="0016606A"/>
    <w:rsid w:val="001674A0"/>
    <w:rsid w:val="00167F19"/>
    <w:rsid w:val="001707CE"/>
    <w:rsid w:val="00170900"/>
    <w:rsid w:val="00170938"/>
    <w:rsid w:val="00170AEA"/>
    <w:rsid w:val="00170C0F"/>
    <w:rsid w:val="00171121"/>
    <w:rsid w:val="0017143B"/>
    <w:rsid w:val="0017145A"/>
    <w:rsid w:val="0017231D"/>
    <w:rsid w:val="0017281B"/>
    <w:rsid w:val="001729B5"/>
    <w:rsid w:val="00172B4A"/>
    <w:rsid w:val="0017345A"/>
    <w:rsid w:val="00173C97"/>
    <w:rsid w:val="00174391"/>
    <w:rsid w:val="00174EEE"/>
    <w:rsid w:val="00175ABA"/>
    <w:rsid w:val="00176582"/>
    <w:rsid w:val="00176CFE"/>
    <w:rsid w:val="001774A0"/>
    <w:rsid w:val="0017753D"/>
    <w:rsid w:val="0017763E"/>
    <w:rsid w:val="00177806"/>
    <w:rsid w:val="001810DC"/>
    <w:rsid w:val="00182418"/>
    <w:rsid w:val="001827BC"/>
    <w:rsid w:val="00183219"/>
    <w:rsid w:val="00183259"/>
    <w:rsid w:val="00183F3D"/>
    <w:rsid w:val="0018439D"/>
    <w:rsid w:val="00185183"/>
    <w:rsid w:val="00185624"/>
    <w:rsid w:val="00185D0B"/>
    <w:rsid w:val="001869C8"/>
    <w:rsid w:val="00186D8E"/>
    <w:rsid w:val="001876AB"/>
    <w:rsid w:val="001903B8"/>
    <w:rsid w:val="00191EB3"/>
    <w:rsid w:val="00197A07"/>
    <w:rsid w:val="001A00B2"/>
    <w:rsid w:val="001A0579"/>
    <w:rsid w:val="001A0756"/>
    <w:rsid w:val="001A1606"/>
    <w:rsid w:val="001A1D78"/>
    <w:rsid w:val="001A1D88"/>
    <w:rsid w:val="001A250B"/>
    <w:rsid w:val="001A289F"/>
    <w:rsid w:val="001A28D1"/>
    <w:rsid w:val="001A352A"/>
    <w:rsid w:val="001A3851"/>
    <w:rsid w:val="001A5270"/>
    <w:rsid w:val="001A532E"/>
    <w:rsid w:val="001A5571"/>
    <w:rsid w:val="001A5758"/>
    <w:rsid w:val="001A59BF"/>
    <w:rsid w:val="001A6821"/>
    <w:rsid w:val="001A6DCF"/>
    <w:rsid w:val="001B03BF"/>
    <w:rsid w:val="001B19D4"/>
    <w:rsid w:val="001B1CC6"/>
    <w:rsid w:val="001B28DE"/>
    <w:rsid w:val="001B33C3"/>
    <w:rsid w:val="001B471F"/>
    <w:rsid w:val="001B49CA"/>
    <w:rsid w:val="001B5506"/>
    <w:rsid w:val="001B579F"/>
    <w:rsid w:val="001B5820"/>
    <w:rsid w:val="001B5D69"/>
    <w:rsid w:val="001B607F"/>
    <w:rsid w:val="001B62ED"/>
    <w:rsid w:val="001B6452"/>
    <w:rsid w:val="001C0063"/>
    <w:rsid w:val="001C199F"/>
    <w:rsid w:val="001C1F2F"/>
    <w:rsid w:val="001C21F4"/>
    <w:rsid w:val="001C3B2C"/>
    <w:rsid w:val="001C3D20"/>
    <w:rsid w:val="001C48A2"/>
    <w:rsid w:val="001C4AB9"/>
    <w:rsid w:val="001C5644"/>
    <w:rsid w:val="001C6AAC"/>
    <w:rsid w:val="001C7758"/>
    <w:rsid w:val="001C7882"/>
    <w:rsid w:val="001C7BBB"/>
    <w:rsid w:val="001C7FEF"/>
    <w:rsid w:val="001D02CC"/>
    <w:rsid w:val="001D11FD"/>
    <w:rsid w:val="001D1530"/>
    <w:rsid w:val="001D1DD7"/>
    <w:rsid w:val="001D2496"/>
    <w:rsid w:val="001D34CC"/>
    <w:rsid w:val="001D369A"/>
    <w:rsid w:val="001D5B98"/>
    <w:rsid w:val="001D5F9E"/>
    <w:rsid w:val="001D5FDB"/>
    <w:rsid w:val="001D67BC"/>
    <w:rsid w:val="001D708D"/>
    <w:rsid w:val="001D7172"/>
    <w:rsid w:val="001D719C"/>
    <w:rsid w:val="001D7686"/>
    <w:rsid w:val="001E05D9"/>
    <w:rsid w:val="001E11DD"/>
    <w:rsid w:val="001E1685"/>
    <w:rsid w:val="001E249C"/>
    <w:rsid w:val="001E4EFB"/>
    <w:rsid w:val="001E701C"/>
    <w:rsid w:val="001E70A0"/>
    <w:rsid w:val="001E79F9"/>
    <w:rsid w:val="001F01BB"/>
    <w:rsid w:val="001F043B"/>
    <w:rsid w:val="001F183E"/>
    <w:rsid w:val="001F1D88"/>
    <w:rsid w:val="001F2A43"/>
    <w:rsid w:val="001F39A8"/>
    <w:rsid w:val="001F4F2D"/>
    <w:rsid w:val="001F5E80"/>
    <w:rsid w:val="001F6063"/>
    <w:rsid w:val="001F691A"/>
    <w:rsid w:val="001F6C45"/>
    <w:rsid w:val="001F7B11"/>
    <w:rsid w:val="001F7EB6"/>
    <w:rsid w:val="002002A3"/>
    <w:rsid w:val="0020076A"/>
    <w:rsid w:val="00201654"/>
    <w:rsid w:val="00201751"/>
    <w:rsid w:val="002022D4"/>
    <w:rsid w:val="00203B05"/>
    <w:rsid w:val="00203B48"/>
    <w:rsid w:val="00203B5E"/>
    <w:rsid w:val="0020479B"/>
    <w:rsid w:val="00205546"/>
    <w:rsid w:val="002059FF"/>
    <w:rsid w:val="002070FB"/>
    <w:rsid w:val="00207F7B"/>
    <w:rsid w:val="00210B17"/>
    <w:rsid w:val="00210E73"/>
    <w:rsid w:val="002110EE"/>
    <w:rsid w:val="0021146C"/>
    <w:rsid w:val="0021167A"/>
    <w:rsid w:val="00212AE2"/>
    <w:rsid w:val="00212E62"/>
    <w:rsid w:val="002131E9"/>
    <w:rsid w:val="00213729"/>
    <w:rsid w:val="00213ECF"/>
    <w:rsid w:val="00214968"/>
    <w:rsid w:val="00215652"/>
    <w:rsid w:val="00215BA5"/>
    <w:rsid w:val="002161B2"/>
    <w:rsid w:val="00216AF2"/>
    <w:rsid w:val="00220B84"/>
    <w:rsid w:val="002214D9"/>
    <w:rsid w:val="00222071"/>
    <w:rsid w:val="0022219E"/>
    <w:rsid w:val="00222B76"/>
    <w:rsid w:val="00223A74"/>
    <w:rsid w:val="00223B39"/>
    <w:rsid w:val="00223E3B"/>
    <w:rsid w:val="00224F54"/>
    <w:rsid w:val="00225A5C"/>
    <w:rsid w:val="0022766F"/>
    <w:rsid w:val="00227AD7"/>
    <w:rsid w:val="00227E3A"/>
    <w:rsid w:val="00230086"/>
    <w:rsid w:val="0023054D"/>
    <w:rsid w:val="002321CD"/>
    <w:rsid w:val="00233086"/>
    <w:rsid w:val="0023363B"/>
    <w:rsid w:val="002338CE"/>
    <w:rsid w:val="00233AAD"/>
    <w:rsid w:val="00234585"/>
    <w:rsid w:val="00236EE0"/>
    <w:rsid w:val="002371F1"/>
    <w:rsid w:val="002406FA"/>
    <w:rsid w:val="002421E0"/>
    <w:rsid w:val="002430A8"/>
    <w:rsid w:val="00243E7C"/>
    <w:rsid w:val="002442F7"/>
    <w:rsid w:val="00244CD5"/>
    <w:rsid w:val="00245C31"/>
    <w:rsid w:val="00245D70"/>
    <w:rsid w:val="002461C3"/>
    <w:rsid w:val="002464F8"/>
    <w:rsid w:val="00246793"/>
    <w:rsid w:val="00246917"/>
    <w:rsid w:val="002472F5"/>
    <w:rsid w:val="00247354"/>
    <w:rsid w:val="00247E8D"/>
    <w:rsid w:val="00247EF9"/>
    <w:rsid w:val="0025033A"/>
    <w:rsid w:val="00250BF4"/>
    <w:rsid w:val="00251388"/>
    <w:rsid w:val="002523DA"/>
    <w:rsid w:val="00254D66"/>
    <w:rsid w:val="00255688"/>
    <w:rsid w:val="00255C50"/>
    <w:rsid w:val="00255F50"/>
    <w:rsid w:val="002562CE"/>
    <w:rsid w:val="002567DC"/>
    <w:rsid w:val="00261474"/>
    <w:rsid w:val="0026186F"/>
    <w:rsid w:val="002618A1"/>
    <w:rsid w:val="002630D4"/>
    <w:rsid w:val="00263486"/>
    <w:rsid w:val="002636CE"/>
    <w:rsid w:val="00264455"/>
    <w:rsid w:val="00265A44"/>
    <w:rsid w:val="00266B5B"/>
    <w:rsid w:val="00267604"/>
    <w:rsid w:val="00270064"/>
    <w:rsid w:val="002706E9"/>
    <w:rsid w:val="0027075E"/>
    <w:rsid w:val="00270CE3"/>
    <w:rsid w:val="00271DB4"/>
    <w:rsid w:val="002726C7"/>
    <w:rsid w:val="00273216"/>
    <w:rsid w:val="002733A3"/>
    <w:rsid w:val="002735F1"/>
    <w:rsid w:val="00273EA6"/>
    <w:rsid w:val="00274A90"/>
    <w:rsid w:val="00276A72"/>
    <w:rsid w:val="00277668"/>
    <w:rsid w:val="00277695"/>
    <w:rsid w:val="002777B6"/>
    <w:rsid w:val="00280276"/>
    <w:rsid w:val="002805A9"/>
    <w:rsid w:val="0028179A"/>
    <w:rsid w:val="00283CED"/>
    <w:rsid w:val="00285689"/>
    <w:rsid w:val="00286284"/>
    <w:rsid w:val="002863D4"/>
    <w:rsid w:val="00286634"/>
    <w:rsid w:val="002869E0"/>
    <w:rsid w:val="0028701D"/>
    <w:rsid w:val="0029071A"/>
    <w:rsid w:val="0029177D"/>
    <w:rsid w:val="00291F91"/>
    <w:rsid w:val="0029200A"/>
    <w:rsid w:val="00293514"/>
    <w:rsid w:val="002956A8"/>
    <w:rsid w:val="002968EB"/>
    <w:rsid w:val="0029746B"/>
    <w:rsid w:val="002977FE"/>
    <w:rsid w:val="002A27D9"/>
    <w:rsid w:val="002A2E87"/>
    <w:rsid w:val="002A3A03"/>
    <w:rsid w:val="002A5035"/>
    <w:rsid w:val="002A54F5"/>
    <w:rsid w:val="002A5E3A"/>
    <w:rsid w:val="002A6710"/>
    <w:rsid w:val="002A6BB7"/>
    <w:rsid w:val="002B07E1"/>
    <w:rsid w:val="002B1321"/>
    <w:rsid w:val="002B14E8"/>
    <w:rsid w:val="002B2425"/>
    <w:rsid w:val="002B2E47"/>
    <w:rsid w:val="002B3BAF"/>
    <w:rsid w:val="002B56A8"/>
    <w:rsid w:val="002B5926"/>
    <w:rsid w:val="002B5CC3"/>
    <w:rsid w:val="002B6288"/>
    <w:rsid w:val="002B65EC"/>
    <w:rsid w:val="002B67E8"/>
    <w:rsid w:val="002B6ECF"/>
    <w:rsid w:val="002B7E85"/>
    <w:rsid w:val="002C1C3A"/>
    <w:rsid w:val="002C2BAC"/>
    <w:rsid w:val="002C3203"/>
    <w:rsid w:val="002C363D"/>
    <w:rsid w:val="002C38CA"/>
    <w:rsid w:val="002C4978"/>
    <w:rsid w:val="002C4EAA"/>
    <w:rsid w:val="002C63E3"/>
    <w:rsid w:val="002C666C"/>
    <w:rsid w:val="002C68FE"/>
    <w:rsid w:val="002C6B5F"/>
    <w:rsid w:val="002C757B"/>
    <w:rsid w:val="002C76B2"/>
    <w:rsid w:val="002C7E44"/>
    <w:rsid w:val="002D2FAA"/>
    <w:rsid w:val="002D3536"/>
    <w:rsid w:val="002D3CEA"/>
    <w:rsid w:val="002D4DB4"/>
    <w:rsid w:val="002D5909"/>
    <w:rsid w:val="002D66DD"/>
    <w:rsid w:val="002D6A6C"/>
    <w:rsid w:val="002D6A86"/>
    <w:rsid w:val="002D6AA2"/>
    <w:rsid w:val="002D747E"/>
    <w:rsid w:val="002D79B1"/>
    <w:rsid w:val="002E0D6B"/>
    <w:rsid w:val="002E224B"/>
    <w:rsid w:val="002E2375"/>
    <w:rsid w:val="002E4764"/>
    <w:rsid w:val="002E4CA7"/>
    <w:rsid w:val="002E4D99"/>
    <w:rsid w:val="002E5E99"/>
    <w:rsid w:val="002E6768"/>
    <w:rsid w:val="002E6D7C"/>
    <w:rsid w:val="002E6E86"/>
    <w:rsid w:val="002E6F00"/>
    <w:rsid w:val="002F0251"/>
    <w:rsid w:val="002F0636"/>
    <w:rsid w:val="002F0CAA"/>
    <w:rsid w:val="002F19E2"/>
    <w:rsid w:val="002F1EEF"/>
    <w:rsid w:val="002F21EC"/>
    <w:rsid w:val="002F25AA"/>
    <w:rsid w:val="002F2699"/>
    <w:rsid w:val="002F2E9B"/>
    <w:rsid w:val="002F3C9B"/>
    <w:rsid w:val="002F3F54"/>
    <w:rsid w:val="002F510A"/>
    <w:rsid w:val="002F5B2F"/>
    <w:rsid w:val="002F62EC"/>
    <w:rsid w:val="002F6F67"/>
    <w:rsid w:val="003031CB"/>
    <w:rsid w:val="00303E0F"/>
    <w:rsid w:val="003047BF"/>
    <w:rsid w:val="00304AAE"/>
    <w:rsid w:val="00304CD0"/>
    <w:rsid w:val="003054E7"/>
    <w:rsid w:val="003054F2"/>
    <w:rsid w:val="003056AE"/>
    <w:rsid w:val="003057B2"/>
    <w:rsid w:val="0030604C"/>
    <w:rsid w:val="00306DD9"/>
    <w:rsid w:val="0030704E"/>
    <w:rsid w:val="003071C4"/>
    <w:rsid w:val="00307551"/>
    <w:rsid w:val="00311A7C"/>
    <w:rsid w:val="00312162"/>
    <w:rsid w:val="00312165"/>
    <w:rsid w:val="00312B36"/>
    <w:rsid w:val="00312CC1"/>
    <w:rsid w:val="0031373A"/>
    <w:rsid w:val="003149E1"/>
    <w:rsid w:val="00314A1E"/>
    <w:rsid w:val="00315880"/>
    <w:rsid w:val="00315B58"/>
    <w:rsid w:val="00316E76"/>
    <w:rsid w:val="00317048"/>
    <w:rsid w:val="0031758D"/>
    <w:rsid w:val="003175B7"/>
    <w:rsid w:val="0032007F"/>
    <w:rsid w:val="00321E61"/>
    <w:rsid w:val="00322311"/>
    <w:rsid w:val="00322BAD"/>
    <w:rsid w:val="0032347E"/>
    <w:rsid w:val="003248C3"/>
    <w:rsid w:val="0032577C"/>
    <w:rsid w:val="0032589E"/>
    <w:rsid w:val="00325E59"/>
    <w:rsid w:val="00326373"/>
    <w:rsid w:val="00326F10"/>
    <w:rsid w:val="00327644"/>
    <w:rsid w:val="003276BE"/>
    <w:rsid w:val="003301A3"/>
    <w:rsid w:val="00330E83"/>
    <w:rsid w:val="0033298E"/>
    <w:rsid w:val="003331F4"/>
    <w:rsid w:val="00333784"/>
    <w:rsid w:val="0033436F"/>
    <w:rsid w:val="00334CB8"/>
    <w:rsid w:val="00335604"/>
    <w:rsid w:val="00336825"/>
    <w:rsid w:val="00337C71"/>
    <w:rsid w:val="00337EDB"/>
    <w:rsid w:val="00340993"/>
    <w:rsid w:val="00340A26"/>
    <w:rsid w:val="003414AA"/>
    <w:rsid w:val="00341577"/>
    <w:rsid w:val="00342EF6"/>
    <w:rsid w:val="00342F7F"/>
    <w:rsid w:val="00343707"/>
    <w:rsid w:val="003460CB"/>
    <w:rsid w:val="00346D76"/>
    <w:rsid w:val="00350241"/>
    <w:rsid w:val="00351213"/>
    <w:rsid w:val="00351694"/>
    <w:rsid w:val="00352168"/>
    <w:rsid w:val="00352264"/>
    <w:rsid w:val="0035298C"/>
    <w:rsid w:val="003538FB"/>
    <w:rsid w:val="00354A44"/>
    <w:rsid w:val="0035520E"/>
    <w:rsid w:val="00355C29"/>
    <w:rsid w:val="003563CB"/>
    <w:rsid w:val="00356CF9"/>
    <w:rsid w:val="00356D85"/>
    <w:rsid w:val="00357702"/>
    <w:rsid w:val="00360144"/>
    <w:rsid w:val="003608D1"/>
    <w:rsid w:val="003609A7"/>
    <w:rsid w:val="00360B93"/>
    <w:rsid w:val="00361733"/>
    <w:rsid w:val="0036199B"/>
    <w:rsid w:val="00361B5E"/>
    <w:rsid w:val="00362789"/>
    <w:rsid w:val="003634AF"/>
    <w:rsid w:val="0036370A"/>
    <w:rsid w:val="00364D0D"/>
    <w:rsid w:val="00365DCF"/>
    <w:rsid w:val="00366A08"/>
    <w:rsid w:val="00366D80"/>
    <w:rsid w:val="00367604"/>
    <w:rsid w:val="0036777B"/>
    <w:rsid w:val="003702FA"/>
    <w:rsid w:val="003708D3"/>
    <w:rsid w:val="00370CC9"/>
    <w:rsid w:val="00370EDE"/>
    <w:rsid w:val="00371845"/>
    <w:rsid w:val="00371900"/>
    <w:rsid w:val="0037363B"/>
    <w:rsid w:val="00373ED1"/>
    <w:rsid w:val="0037421A"/>
    <w:rsid w:val="0037459C"/>
    <w:rsid w:val="00374EF6"/>
    <w:rsid w:val="00375168"/>
    <w:rsid w:val="003757F0"/>
    <w:rsid w:val="00375A0D"/>
    <w:rsid w:val="00376CF4"/>
    <w:rsid w:val="0037735A"/>
    <w:rsid w:val="0037785C"/>
    <w:rsid w:val="00377BC7"/>
    <w:rsid w:val="00377ED2"/>
    <w:rsid w:val="0038007D"/>
    <w:rsid w:val="003806EF"/>
    <w:rsid w:val="00380823"/>
    <w:rsid w:val="00380AAD"/>
    <w:rsid w:val="00381982"/>
    <w:rsid w:val="00381BD4"/>
    <w:rsid w:val="0038282A"/>
    <w:rsid w:val="00382F68"/>
    <w:rsid w:val="003835C8"/>
    <w:rsid w:val="00385470"/>
    <w:rsid w:val="00385C2B"/>
    <w:rsid w:val="00390134"/>
    <w:rsid w:val="00391917"/>
    <w:rsid w:val="003919D3"/>
    <w:rsid w:val="00391D8D"/>
    <w:rsid w:val="00391E86"/>
    <w:rsid w:val="00392C1B"/>
    <w:rsid w:val="00392E9F"/>
    <w:rsid w:val="00393900"/>
    <w:rsid w:val="00393979"/>
    <w:rsid w:val="00393B22"/>
    <w:rsid w:val="003955AF"/>
    <w:rsid w:val="003957D1"/>
    <w:rsid w:val="00395DCC"/>
    <w:rsid w:val="00397580"/>
    <w:rsid w:val="003976E3"/>
    <w:rsid w:val="003A0CC7"/>
    <w:rsid w:val="003A1794"/>
    <w:rsid w:val="003A2D5B"/>
    <w:rsid w:val="003A3056"/>
    <w:rsid w:val="003A34B3"/>
    <w:rsid w:val="003A35CF"/>
    <w:rsid w:val="003A3C37"/>
    <w:rsid w:val="003A44AD"/>
    <w:rsid w:val="003A45C8"/>
    <w:rsid w:val="003A55A7"/>
    <w:rsid w:val="003A5771"/>
    <w:rsid w:val="003A580D"/>
    <w:rsid w:val="003A5965"/>
    <w:rsid w:val="003A5DC7"/>
    <w:rsid w:val="003B01DC"/>
    <w:rsid w:val="003B05D1"/>
    <w:rsid w:val="003B1584"/>
    <w:rsid w:val="003B2089"/>
    <w:rsid w:val="003B3198"/>
    <w:rsid w:val="003B3260"/>
    <w:rsid w:val="003B3765"/>
    <w:rsid w:val="003B46EE"/>
    <w:rsid w:val="003B4791"/>
    <w:rsid w:val="003B4AB8"/>
    <w:rsid w:val="003B541D"/>
    <w:rsid w:val="003B66AF"/>
    <w:rsid w:val="003B7187"/>
    <w:rsid w:val="003C00B9"/>
    <w:rsid w:val="003C05F2"/>
    <w:rsid w:val="003C092E"/>
    <w:rsid w:val="003C094F"/>
    <w:rsid w:val="003C1B23"/>
    <w:rsid w:val="003C2DCF"/>
    <w:rsid w:val="003C3817"/>
    <w:rsid w:val="003C3C67"/>
    <w:rsid w:val="003C4919"/>
    <w:rsid w:val="003C526C"/>
    <w:rsid w:val="003C7494"/>
    <w:rsid w:val="003C7FE7"/>
    <w:rsid w:val="003D0499"/>
    <w:rsid w:val="003D1524"/>
    <w:rsid w:val="003D1F82"/>
    <w:rsid w:val="003D21DB"/>
    <w:rsid w:val="003D22F2"/>
    <w:rsid w:val="003D266C"/>
    <w:rsid w:val="003D388F"/>
    <w:rsid w:val="003D3D9F"/>
    <w:rsid w:val="003D47A5"/>
    <w:rsid w:val="003D5938"/>
    <w:rsid w:val="003D5B03"/>
    <w:rsid w:val="003D6494"/>
    <w:rsid w:val="003D64FB"/>
    <w:rsid w:val="003D779E"/>
    <w:rsid w:val="003D7C0C"/>
    <w:rsid w:val="003D7C0D"/>
    <w:rsid w:val="003E0AE0"/>
    <w:rsid w:val="003E183B"/>
    <w:rsid w:val="003E1DD5"/>
    <w:rsid w:val="003E2A20"/>
    <w:rsid w:val="003E2AD7"/>
    <w:rsid w:val="003E318E"/>
    <w:rsid w:val="003E3415"/>
    <w:rsid w:val="003E3B40"/>
    <w:rsid w:val="003E47F3"/>
    <w:rsid w:val="003E5F84"/>
    <w:rsid w:val="003E63CD"/>
    <w:rsid w:val="003E7346"/>
    <w:rsid w:val="003E7C3E"/>
    <w:rsid w:val="003E7D31"/>
    <w:rsid w:val="003F06AA"/>
    <w:rsid w:val="003F1366"/>
    <w:rsid w:val="003F14E8"/>
    <w:rsid w:val="003F1550"/>
    <w:rsid w:val="003F183F"/>
    <w:rsid w:val="003F18C0"/>
    <w:rsid w:val="003F2A47"/>
    <w:rsid w:val="003F2E32"/>
    <w:rsid w:val="003F432E"/>
    <w:rsid w:val="003F43E5"/>
    <w:rsid w:val="003F4BDE"/>
    <w:rsid w:val="003F526A"/>
    <w:rsid w:val="003F5414"/>
    <w:rsid w:val="003F5C51"/>
    <w:rsid w:val="003F5CC1"/>
    <w:rsid w:val="003F5D15"/>
    <w:rsid w:val="003F7E25"/>
    <w:rsid w:val="00401ABA"/>
    <w:rsid w:val="00401D42"/>
    <w:rsid w:val="00402910"/>
    <w:rsid w:val="00402B0A"/>
    <w:rsid w:val="00402BD2"/>
    <w:rsid w:val="00403019"/>
    <w:rsid w:val="00403033"/>
    <w:rsid w:val="00403938"/>
    <w:rsid w:val="00403EA9"/>
    <w:rsid w:val="00405244"/>
    <w:rsid w:val="00405730"/>
    <w:rsid w:val="004065C6"/>
    <w:rsid w:val="004111F5"/>
    <w:rsid w:val="004124F0"/>
    <w:rsid w:val="0041257F"/>
    <w:rsid w:val="004129C3"/>
    <w:rsid w:val="00412FFB"/>
    <w:rsid w:val="00413AF7"/>
    <w:rsid w:val="004153B8"/>
    <w:rsid w:val="00415ADE"/>
    <w:rsid w:val="00415EAD"/>
    <w:rsid w:val="00415F9D"/>
    <w:rsid w:val="004161E2"/>
    <w:rsid w:val="004166A6"/>
    <w:rsid w:val="00416817"/>
    <w:rsid w:val="00416EC7"/>
    <w:rsid w:val="004172B8"/>
    <w:rsid w:val="00417433"/>
    <w:rsid w:val="00417D45"/>
    <w:rsid w:val="00420C30"/>
    <w:rsid w:val="00421B88"/>
    <w:rsid w:val="004222A3"/>
    <w:rsid w:val="0042259B"/>
    <w:rsid w:val="00423416"/>
    <w:rsid w:val="00424F82"/>
    <w:rsid w:val="00426019"/>
    <w:rsid w:val="00426645"/>
    <w:rsid w:val="004274E8"/>
    <w:rsid w:val="0042770B"/>
    <w:rsid w:val="00427DBB"/>
    <w:rsid w:val="00431468"/>
    <w:rsid w:val="004323BD"/>
    <w:rsid w:val="00432C0B"/>
    <w:rsid w:val="0043311A"/>
    <w:rsid w:val="00433C60"/>
    <w:rsid w:val="00433D5C"/>
    <w:rsid w:val="004342D4"/>
    <w:rsid w:val="0043466C"/>
    <w:rsid w:val="00434936"/>
    <w:rsid w:val="0043790B"/>
    <w:rsid w:val="00437A01"/>
    <w:rsid w:val="00437B90"/>
    <w:rsid w:val="00437BCB"/>
    <w:rsid w:val="004403B3"/>
    <w:rsid w:val="004404C8"/>
    <w:rsid w:val="004409C1"/>
    <w:rsid w:val="00441887"/>
    <w:rsid w:val="00441FA9"/>
    <w:rsid w:val="004436EE"/>
    <w:rsid w:val="0044479E"/>
    <w:rsid w:val="00446302"/>
    <w:rsid w:val="004478EF"/>
    <w:rsid w:val="0045547F"/>
    <w:rsid w:val="00455DC5"/>
    <w:rsid w:val="00455E2F"/>
    <w:rsid w:val="00456CCF"/>
    <w:rsid w:val="00457776"/>
    <w:rsid w:val="0045777C"/>
    <w:rsid w:val="00457C3B"/>
    <w:rsid w:val="0046137E"/>
    <w:rsid w:val="00461AA0"/>
    <w:rsid w:val="00461F79"/>
    <w:rsid w:val="00461F92"/>
    <w:rsid w:val="00462BD9"/>
    <w:rsid w:val="00463075"/>
    <w:rsid w:val="00463F84"/>
    <w:rsid w:val="00465ED9"/>
    <w:rsid w:val="004668D6"/>
    <w:rsid w:val="00470306"/>
    <w:rsid w:val="004708EC"/>
    <w:rsid w:val="00471810"/>
    <w:rsid w:val="004731B6"/>
    <w:rsid w:val="00474248"/>
    <w:rsid w:val="00474BE4"/>
    <w:rsid w:val="00474D75"/>
    <w:rsid w:val="00475971"/>
    <w:rsid w:val="00476098"/>
    <w:rsid w:val="00477254"/>
    <w:rsid w:val="004775BC"/>
    <w:rsid w:val="0047791B"/>
    <w:rsid w:val="00477B3A"/>
    <w:rsid w:val="00480F8F"/>
    <w:rsid w:val="004812BA"/>
    <w:rsid w:val="004827A1"/>
    <w:rsid w:val="004847D1"/>
    <w:rsid w:val="00484B07"/>
    <w:rsid w:val="00484F22"/>
    <w:rsid w:val="0048551D"/>
    <w:rsid w:val="00485A84"/>
    <w:rsid w:val="00485ED6"/>
    <w:rsid w:val="00486ABD"/>
    <w:rsid w:val="00487978"/>
    <w:rsid w:val="00487F69"/>
    <w:rsid w:val="0049020E"/>
    <w:rsid w:val="00490592"/>
    <w:rsid w:val="00490866"/>
    <w:rsid w:val="00490947"/>
    <w:rsid w:val="00491234"/>
    <w:rsid w:val="00491236"/>
    <w:rsid w:val="0049203F"/>
    <w:rsid w:val="004920AD"/>
    <w:rsid w:val="0049268D"/>
    <w:rsid w:val="00493846"/>
    <w:rsid w:val="00493E72"/>
    <w:rsid w:val="004942F4"/>
    <w:rsid w:val="004943E1"/>
    <w:rsid w:val="00494F60"/>
    <w:rsid w:val="004950F0"/>
    <w:rsid w:val="00495108"/>
    <w:rsid w:val="004951F3"/>
    <w:rsid w:val="00495989"/>
    <w:rsid w:val="0049639B"/>
    <w:rsid w:val="00497031"/>
    <w:rsid w:val="004A0059"/>
    <w:rsid w:val="004A192A"/>
    <w:rsid w:val="004A1FAE"/>
    <w:rsid w:val="004A2C67"/>
    <w:rsid w:val="004A492E"/>
    <w:rsid w:val="004A5443"/>
    <w:rsid w:val="004A547C"/>
    <w:rsid w:val="004A570B"/>
    <w:rsid w:val="004A7107"/>
    <w:rsid w:val="004A7BD2"/>
    <w:rsid w:val="004B093E"/>
    <w:rsid w:val="004B0A4D"/>
    <w:rsid w:val="004B0F65"/>
    <w:rsid w:val="004B1399"/>
    <w:rsid w:val="004B13D2"/>
    <w:rsid w:val="004B14E7"/>
    <w:rsid w:val="004B150D"/>
    <w:rsid w:val="004B17BA"/>
    <w:rsid w:val="004B1F2B"/>
    <w:rsid w:val="004B4671"/>
    <w:rsid w:val="004B631A"/>
    <w:rsid w:val="004B6B61"/>
    <w:rsid w:val="004C0099"/>
    <w:rsid w:val="004C26A0"/>
    <w:rsid w:val="004C3A94"/>
    <w:rsid w:val="004C3F2E"/>
    <w:rsid w:val="004C4313"/>
    <w:rsid w:val="004C4754"/>
    <w:rsid w:val="004C47E3"/>
    <w:rsid w:val="004C5122"/>
    <w:rsid w:val="004C52C6"/>
    <w:rsid w:val="004C5D85"/>
    <w:rsid w:val="004C5F0C"/>
    <w:rsid w:val="004C63CF"/>
    <w:rsid w:val="004C6B03"/>
    <w:rsid w:val="004C6DFE"/>
    <w:rsid w:val="004C7555"/>
    <w:rsid w:val="004C7829"/>
    <w:rsid w:val="004D05B3"/>
    <w:rsid w:val="004D1700"/>
    <w:rsid w:val="004D21CF"/>
    <w:rsid w:val="004D3B67"/>
    <w:rsid w:val="004D4265"/>
    <w:rsid w:val="004D455B"/>
    <w:rsid w:val="004D5280"/>
    <w:rsid w:val="004D5B03"/>
    <w:rsid w:val="004D6416"/>
    <w:rsid w:val="004D6743"/>
    <w:rsid w:val="004D73E9"/>
    <w:rsid w:val="004D74A4"/>
    <w:rsid w:val="004D78E5"/>
    <w:rsid w:val="004E1F70"/>
    <w:rsid w:val="004E2B75"/>
    <w:rsid w:val="004E3959"/>
    <w:rsid w:val="004E479E"/>
    <w:rsid w:val="004E5CCC"/>
    <w:rsid w:val="004E6682"/>
    <w:rsid w:val="004E69CE"/>
    <w:rsid w:val="004E6B0B"/>
    <w:rsid w:val="004E7142"/>
    <w:rsid w:val="004E759A"/>
    <w:rsid w:val="004E75C9"/>
    <w:rsid w:val="004E79FC"/>
    <w:rsid w:val="004E7E1E"/>
    <w:rsid w:val="004F0245"/>
    <w:rsid w:val="004F071E"/>
    <w:rsid w:val="004F22C4"/>
    <w:rsid w:val="004F24A4"/>
    <w:rsid w:val="004F3483"/>
    <w:rsid w:val="004F504F"/>
    <w:rsid w:val="004F59E3"/>
    <w:rsid w:val="004F5D3A"/>
    <w:rsid w:val="004F756E"/>
    <w:rsid w:val="004F78E6"/>
    <w:rsid w:val="00500130"/>
    <w:rsid w:val="00500B2A"/>
    <w:rsid w:val="00500BE6"/>
    <w:rsid w:val="00500CB1"/>
    <w:rsid w:val="00501004"/>
    <w:rsid w:val="00501608"/>
    <w:rsid w:val="005017E0"/>
    <w:rsid w:val="005019A7"/>
    <w:rsid w:val="00501AC9"/>
    <w:rsid w:val="00501B16"/>
    <w:rsid w:val="00502031"/>
    <w:rsid w:val="005024A7"/>
    <w:rsid w:val="005041DE"/>
    <w:rsid w:val="00504690"/>
    <w:rsid w:val="0050484A"/>
    <w:rsid w:val="0050641C"/>
    <w:rsid w:val="0050756B"/>
    <w:rsid w:val="00510C79"/>
    <w:rsid w:val="005117FB"/>
    <w:rsid w:val="00511C14"/>
    <w:rsid w:val="00512A14"/>
    <w:rsid w:val="00512D99"/>
    <w:rsid w:val="00513EEA"/>
    <w:rsid w:val="0051469C"/>
    <w:rsid w:val="00514883"/>
    <w:rsid w:val="00514960"/>
    <w:rsid w:val="00515379"/>
    <w:rsid w:val="00515E8A"/>
    <w:rsid w:val="00517DC3"/>
    <w:rsid w:val="00520246"/>
    <w:rsid w:val="00520427"/>
    <w:rsid w:val="00521CBA"/>
    <w:rsid w:val="00521DD5"/>
    <w:rsid w:val="005237CD"/>
    <w:rsid w:val="0053146A"/>
    <w:rsid w:val="00531DBB"/>
    <w:rsid w:val="005320B3"/>
    <w:rsid w:val="0053225A"/>
    <w:rsid w:val="00532C1D"/>
    <w:rsid w:val="005334AB"/>
    <w:rsid w:val="00533C2C"/>
    <w:rsid w:val="00533DBC"/>
    <w:rsid w:val="0053545A"/>
    <w:rsid w:val="005357DB"/>
    <w:rsid w:val="00536481"/>
    <w:rsid w:val="005371EC"/>
    <w:rsid w:val="005374DA"/>
    <w:rsid w:val="00540795"/>
    <w:rsid w:val="00541343"/>
    <w:rsid w:val="005415E1"/>
    <w:rsid w:val="005416EE"/>
    <w:rsid w:val="0054222B"/>
    <w:rsid w:val="005427FC"/>
    <w:rsid w:val="00542C59"/>
    <w:rsid w:val="00543277"/>
    <w:rsid w:val="00543E2B"/>
    <w:rsid w:val="00544B6D"/>
    <w:rsid w:val="00544ED2"/>
    <w:rsid w:val="005452F1"/>
    <w:rsid w:val="005455AF"/>
    <w:rsid w:val="0054577C"/>
    <w:rsid w:val="00545C39"/>
    <w:rsid w:val="00550D6E"/>
    <w:rsid w:val="00551085"/>
    <w:rsid w:val="00551675"/>
    <w:rsid w:val="005521D0"/>
    <w:rsid w:val="005523EC"/>
    <w:rsid w:val="0055286D"/>
    <w:rsid w:val="00552BD8"/>
    <w:rsid w:val="005531E2"/>
    <w:rsid w:val="00553DAA"/>
    <w:rsid w:val="00554D35"/>
    <w:rsid w:val="00555F01"/>
    <w:rsid w:val="00555FB9"/>
    <w:rsid w:val="005566EC"/>
    <w:rsid w:val="00557AE3"/>
    <w:rsid w:val="00557B94"/>
    <w:rsid w:val="00560026"/>
    <w:rsid w:val="00561616"/>
    <w:rsid w:val="005631FE"/>
    <w:rsid w:val="00563D64"/>
    <w:rsid w:val="005646B3"/>
    <w:rsid w:val="005646FC"/>
    <w:rsid w:val="00564916"/>
    <w:rsid w:val="005655D7"/>
    <w:rsid w:val="005665C5"/>
    <w:rsid w:val="005669D0"/>
    <w:rsid w:val="005670BE"/>
    <w:rsid w:val="00570ABA"/>
    <w:rsid w:val="00570C87"/>
    <w:rsid w:val="00570FA8"/>
    <w:rsid w:val="0057104A"/>
    <w:rsid w:val="00572072"/>
    <w:rsid w:val="00572431"/>
    <w:rsid w:val="00572A70"/>
    <w:rsid w:val="00573D5F"/>
    <w:rsid w:val="0057433C"/>
    <w:rsid w:val="00574630"/>
    <w:rsid w:val="00574740"/>
    <w:rsid w:val="00575E4D"/>
    <w:rsid w:val="00576430"/>
    <w:rsid w:val="00576E3A"/>
    <w:rsid w:val="005774DA"/>
    <w:rsid w:val="005804A6"/>
    <w:rsid w:val="00582663"/>
    <w:rsid w:val="00582F48"/>
    <w:rsid w:val="005843C3"/>
    <w:rsid w:val="005859A8"/>
    <w:rsid w:val="00585E61"/>
    <w:rsid w:val="00586CF2"/>
    <w:rsid w:val="005878E1"/>
    <w:rsid w:val="005900E3"/>
    <w:rsid w:val="00590723"/>
    <w:rsid w:val="00590FA3"/>
    <w:rsid w:val="00592257"/>
    <w:rsid w:val="00593318"/>
    <w:rsid w:val="00594288"/>
    <w:rsid w:val="0059443E"/>
    <w:rsid w:val="005951BF"/>
    <w:rsid w:val="00596EEF"/>
    <w:rsid w:val="005975A7"/>
    <w:rsid w:val="00597654"/>
    <w:rsid w:val="00597BEA"/>
    <w:rsid w:val="005A0668"/>
    <w:rsid w:val="005A0817"/>
    <w:rsid w:val="005A220F"/>
    <w:rsid w:val="005A26D1"/>
    <w:rsid w:val="005A27E6"/>
    <w:rsid w:val="005A37E0"/>
    <w:rsid w:val="005A443A"/>
    <w:rsid w:val="005A46DC"/>
    <w:rsid w:val="005A48D6"/>
    <w:rsid w:val="005A4C98"/>
    <w:rsid w:val="005A60FE"/>
    <w:rsid w:val="005A65C5"/>
    <w:rsid w:val="005A719E"/>
    <w:rsid w:val="005A7879"/>
    <w:rsid w:val="005A7AC3"/>
    <w:rsid w:val="005B02D8"/>
    <w:rsid w:val="005B0A5A"/>
    <w:rsid w:val="005B12C5"/>
    <w:rsid w:val="005B1737"/>
    <w:rsid w:val="005B19F1"/>
    <w:rsid w:val="005B2447"/>
    <w:rsid w:val="005B3016"/>
    <w:rsid w:val="005B4F27"/>
    <w:rsid w:val="005B59A3"/>
    <w:rsid w:val="005B5B82"/>
    <w:rsid w:val="005B6F95"/>
    <w:rsid w:val="005B72C7"/>
    <w:rsid w:val="005C0F77"/>
    <w:rsid w:val="005C149A"/>
    <w:rsid w:val="005C1BB9"/>
    <w:rsid w:val="005C2AA4"/>
    <w:rsid w:val="005C37A2"/>
    <w:rsid w:val="005C3CF8"/>
    <w:rsid w:val="005C4003"/>
    <w:rsid w:val="005C4014"/>
    <w:rsid w:val="005C46F4"/>
    <w:rsid w:val="005C4963"/>
    <w:rsid w:val="005C51E8"/>
    <w:rsid w:val="005C5354"/>
    <w:rsid w:val="005C5729"/>
    <w:rsid w:val="005C676E"/>
    <w:rsid w:val="005C69CF"/>
    <w:rsid w:val="005C69D6"/>
    <w:rsid w:val="005C7864"/>
    <w:rsid w:val="005C7FBE"/>
    <w:rsid w:val="005D0714"/>
    <w:rsid w:val="005D0716"/>
    <w:rsid w:val="005D0B33"/>
    <w:rsid w:val="005D1D36"/>
    <w:rsid w:val="005D21E7"/>
    <w:rsid w:val="005D2C9A"/>
    <w:rsid w:val="005D3584"/>
    <w:rsid w:val="005D35F2"/>
    <w:rsid w:val="005D36C7"/>
    <w:rsid w:val="005D3EA4"/>
    <w:rsid w:val="005D42E5"/>
    <w:rsid w:val="005D4755"/>
    <w:rsid w:val="005D4967"/>
    <w:rsid w:val="005D7869"/>
    <w:rsid w:val="005E0018"/>
    <w:rsid w:val="005E0745"/>
    <w:rsid w:val="005E09C8"/>
    <w:rsid w:val="005E10C2"/>
    <w:rsid w:val="005E2616"/>
    <w:rsid w:val="005E2725"/>
    <w:rsid w:val="005E2A42"/>
    <w:rsid w:val="005E3E64"/>
    <w:rsid w:val="005E3EC9"/>
    <w:rsid w:val="005E4A11"/>
    <w:rsid w:val="005E519B"/>
    <w:rsid w:val="005E7893"/>
    <w:rsid w:val="005F157E"/>
    <w:rsid w:val="005F1821"/>
    <w:rsid w:val="005F1E2F"/>
    <w:rsid w:val="005F2451"/>
    <w:rsid w:val="005F28DD"/>
    <w:rsid w:val="005F2D18"/>
    <w:rsid w:val="005F3961"/>
    <w:rsid w:val="005F3DE2"/>
    <w:rsid w:val="005F455B"/>
    <w:rsid w:val="005F4667"/>
    <w:rsid w:val="005F49EC"/>
    <w:rsid w:val="005F603D"/>
    <w:rsid w:val="005F6782"/>
    <w:rsid w:val="005F699D"/>
    <w:rsid w:val="005F7379"/>
    <w:rsid w:val="005F79FB"/>
    <w:rsid w:val="00600E0E"/>
    <w:rsid w:val="006012B3"/>
    <w:rsid w:val="00601E04"/>
    <w:rsid w:val="0060206D"/>
    <w:rsid w:val="0060398F"/>
    <w:rsid w:val="006041E0"/>
    <w:rsid w:val="00604406"/>
    <w:rsid w:val="00604663"/>
    <w:rsid w:val="006047C1"/>
    <w:rsid w:val="006052D8"/>
    <w:rsid w:val="00605F4A"/>
    <w:rsid w:val="00606826"/>
    <w:rsid w:val="00607822"/>
    <w:rsid w:val="00607C7F"/>
    <w:rsid w:val="00610355"/>
    <w:rsid w:val="006103AA"/>
    <w:rsid w:val="00610BB7"/>
    <w:rsid w:val="00611237"/>
    <w:rsid w:val="00611583"/>
    <w:rsid w:val="006116E3"/>
    <w:rsid w:val="00611D33"/>
    <w:rsid w:val="00612634"/>
    <w:rsid w:val="006133FC"/>
    <w:rsid w:val="00613BBF"/>
    <w:rsid w:val="00613D4C"/>
    <w:rsid w:val="00613EF0"/>
    <w:rsid w:val="00614585"/>
    <w:rsid w:val="0061471F"/>
    <w:rsid w:val="00614A9F"/>
    <w:rsid w:val="00614C53"/>
    <w:rsid w:val="00614E84"/>
    <w:rsid w:val="006158A7"/>
    <w:rsid w:val="00615B64"/>
    <w:rsid w:val="00615D93"/>
    <w:rsid w:val="00615EB2"/>
    <w:rsid w:val="00616874"/>
    <w:rsid w:val="006171E2"/>
    <w:rsid w:val="006177EB"/>
    <w:rsid w:val="00617FA2"/>
    <w:rsid w:val="006207D9"/>
    <w:rsid w:val="00620EF6"/>
    <w:rsid w:val="006213DD"/>
    <w:rsid w:val="006220ED"/>
    <w:rsid w:val="00622B80"/>
    <w:rsid w:val="00624989"/>
    <w:rsid w:val="00624B7A"/>
    <w:rsid w:val="00624D07"/>
    <w:rsid w:val="006257C0"/>
    <w:rsid w:val="00625B26"/>
    <w:rsid w:val="00627172"/>
    <w:rsid w:val="006274DE"/>
    <w:rsid w:val="006276AF"/>
    <w:rsid w:val="006303F0"/>
    <w:rsid w:val="0063068A"/>
    <w:rsid w:val="00630CF8"/>
    <w:rsid w:val="00631512"/>
    <w:rsid w:val="00633794"/>
    <w:rsid w:val="00633A27"/>
    <w:rsid w:val="00634BC4"/>
    <w:rsid w:val="00634C34"/>
    <w:rsid w:val="0063661A"/>
    <w:rsid w:val="006370C9"/>
    <w:rsid w:val="00637A81"/>
    <w:rsid w:val="00641233"/>
    <w:rsid w:val="0064139A"/>
    <w:rsid w:val="00643CCE"/>
    <w:rsid w:val="006458C6"/>
    <w:rsid w:val="006459B0"/>
    <w:rsid w:val="0064632E"/>
    <w:rsid w:val="0064722F"/>
    <w:rsid w:val="006502A4"/>
    <w:rsid w:val="00652756"/>
    <w:rsid w:val="006538B5"/>
    <w:rsid w:val="00653D59"/>
    <w:rsid w:val="006541B6"/>
    <w:rsid w:val="00654631"/>
    <w:rsid w:val="00656651"/>
    <w:rsid w:val="00656A12"/>
    <w:rsid w:val="00656CF8"/>
    <w:rsid w:val="0065710C"/>
    <w:rsid w:val="00657C30"/>
    <w:rsid w:val="0066101B"/>
    <w:rsid w:val="006616AC"/>
    <w:rsid w:val="00661C54"/>
    <w:rsid w:val="0066266D"/>
    <w:rsid w:val="006626A5"/>
    <w:rsid w:val="00666BE7"/>
    <w:rsid w:val="00666FF0"/>
    <w:rsid w:val="0066763E"/>
    <w:rsid w:val="00667E3D"/>
    <w:rsid w:val="00671A08"/>
    <w:rsid w:val="00671AB7"/>
    <w:rsid w:val="00672473"/>
    <w:rsid w:val="006724D0"/>
    <w:rsid w:val="00672704"/>
    <w:rsid w:val="00672CB6"/>
    <w:rsid w:val="00673280"/>
    <w:rsid w:val="0067442E"/>
    <w:rsid w:val="006747CD"/>
    <w:rsid w:val="00674BE6"/>
    <w:rsid w:val="00674D43"/>
    <w:rsid w:val="00675702"/>
    <w:rsid w:val="00676B8E"/>
    <w:rsid w:val="00677233"/>
    <w:rsid w:val="00677F32"/>
    <w:rsid w:val="006814AC"/>
    <w:rsid w:val="00681D44"/>
    <w:rsid w:val="00682407"/>
    <w:rsid w:val="0068240C"/>
    <w:rsid w:val="00682B34"/>
    <w:rsid w:val="00683DD3"/>
    <w:rsid w:val="00683E3C"/>
    <w:rsid w:val="00684601"/>
    <w:rsid w:val="00684E36"/>
    <w:rsid w:val="00685440"/>
    <w:rsid w:val="00685F8E"/>
    <w:rsid w:val="0068614B"/>
    <w:rsid w:val="006861E3"/>
    <w:rsid w:val="00686231"/>
    <w:rsid w:val="006865FC"/>
    <w:rsid w:val="006879E0"/>
    <w:rsid w:val="00687BBE"/>
    <w:rsid w:val="00687F80"/>
    <w:rsid w:val="00690323"/>
    <w:rsid w:val="00690F0D"/>
    <w:rsid w:val="00691DD6"/>
    <w:rsid w:val="00692350"/>
    <w:rsid w:val="006929F3"/>
    <w:rsid w:val="00696C16"/>
    <w:rsid w:val="00696D79"/>
    <w:rsid w:val="006A05E8"/>
    <w:rsid w:val="006A1629"/>
    <w:rsid w:val="006A2479"/>
    <w:rsid w:val="006A250F"/>
    <w:rsid w:val="006A3330"/>
    <w:rsid w:val="006A3377"/>
    <w:rsid w:val="006A3430"/>
    <w:rsid w:val="006A4091"/>
    <w:rsid w:val="006A4968"/>
    <w:rsid w:val="006A50B6"/>
    <w:rsid w:val="006A5BFF"/>
    <w:rsid w:val="006A5E04"/>
    <w:rsid w:val="006A5ECC"/>
    <w:rsid w:val="006A6522"/>
    <w:rsid w:val="006A766A"/>
    <w:rsid w:val="006A79D4"/>
    <w:rsid w:val="006B1247"/>
    <w:rsid w:val="006B1345"/>
    <w:rsid w:val="006B1C6B"/>
    <w:rsid w:val="006B1FB1"/>
    <w:rsid w:val="006B28D0"/>
    <w:rsid w:val="006B2A1D"/>
    <w:rsid w:val="006B3399"/>
    <w:rsid w:val="006B5A01"/>
    <w:rsid w:val="006B6057"/>
    <w:rsid w:val="006B610C"/>
    <w:rsid w:val="006B6B22"/>
    <w:rsid w:val="006B72E4"/>
    <w:rsid w:val="006C09DD"/>
    <w:rsid w:val="006C2E9D"/>
    <w:rsid w:val="006C30C6"/>
    <w:rsid w:val="006C318E"/>
    <w:rsid w:val="006C574E"/>
    <w:rsid w:val="006C5C07"/>
    <w:rsid w:val="006C6CAA"/>
    <w:rsid w:val="006C75E5"/>
    <w:rsid w:val="006C7A42"/>
    <w:rsid w:val="006D08B9"/>
    <w:rsid w:val="006D5F4C"/>
    <w:rsid w:val="006D61AC"/>
    <w:rsid w:val="006D6521"/>
    <w:rsid w:val="006D7932"/>
    <w:rsid w:val="006E024F"/>
    <w:rsid w:val="006E0314"/>
    <w:rsid w:val="006E0595"/>
    <w:rsid w:val="006E1A89"/>
    <w:rsid w:val="006E1BFB"/>
    <w:rsid w:val="006E1E21"/>
    <w:rsid w:val="006E29C8"/>
    <w:rsid w:val="006E3346"/>
    <w:rsid w:val="006E3457"/>
    <w:rsid w:val="006E381E"/>
    <w:rsid w:val="006E3DFD"/>
    <w:rsid w:val="006E4E81"/>
    <w:rsid w:val="006E5112"/>
    <w:rsid w:val="006E5F8A"/>
    <w:rsid w:val="006F05E3"/>
    <w:rsid w:val="006F1B5E"/>
    <w:rsid w:val="006F23CA"/>
    <w:rsid w:val="006F2D0B"/>
    <w:rsid w:val="006F321E"/>
    <w:rsid w:val="006F419E"/>
    <w:rsid w:val="006F4339"/>
    <w:rsid w:val="006F43C5"/>
    <w:rsid w:val="006F7CA8"/>
    <w:rsid w:val="007012C8"/>
    <w:rsid w:val="007013BA"/>
    <w:rsid w:val="00701DA6"/>
    <w:rsid w:val="00702D2D"/>
    <w:rsid w:val="0070496D"/>
    <w:rsid w:val="00704D92"/>
    <w:rsid w:val="0070619B"/>
    <w:rsid w:val="00707951"/>
    <w:rsid w:val="00707F7D"/>
    <w:rsid w:val="00710434"/>
    <w:rsid w:val="00711F11"/>
    <w:rsid w:val="00714068"/>
    <w:rsid w:val="007146C8"/>
    <w:rsid w:val="007146F9"/>
    <w:rsid w:val="007152CF"/>
    <w:rsid w:val="00715A42"/>
    <w:rsid w:val="0071669A"/>
    <w:rsid w:val="00717614"/>
    <w:rsid w:val="00717EC5"/>
    <w:rsid w:val="00720964"/>
    <w:rsid w:val="00720A25"/>
    <w:rsid w:val="00720D9F"/>
    <w:rsid w:val="00720E23"/>
    <w:rsid w:val="00722FE7"/>
    <w:rsid w:val="00723339"/>
    <w:rsid w:val="0072356C"/>
    <w:rsid w:val="007235F3"/>
    <w:rsid w:val="007243C8"/>
    <w:rsid w:val="00724746"/>
    <w:rsid w:val="00725124"/>
    <w:rsid w:val="0072580C"/>
    <w:rsid w:val="007268B5"/>
    <w:rsid w:val="00726E4F"/>
    <w:rsid w:val="00727E9A"/>
    <w:rsid w:val="00731693"/>
    <w:rsid w:val="007318A9"/>
    <w:rsid w:val="007326B5"/>
    <w:rsid w:val="00732745"/>
    <w:rsid w:val="007331CB"/>
    <w:rsid w:val="007338EE"/>
    <w:rsid w:val="00733AC3"/>
    <w:rsid w:val="00733BD5"/>
    <w:rsid w:val="0073435F"/>
    <w:rsid w:val="00735B9D"/>
    <w:rsid w:val="00737631"/>
    <w:rsid w:val="00737B80"/>
    <w:rsid w:val="00737FE0"/>
    <w:rsid w:val="0074004B"/>
    <w:rsid w:val="007404F6"/>
    <w:rsid w:val="00740511"/>
    <w:rsid w:val="00741D13"/>
    <w:rsid w:val="00742725"/>
    <w:rsid w:val="00742A6C"/>
    <w:rsid w:val="00743982"/>
    <w:rsid w:val="00745672"/>
    <w:rsid w:val="00745DD2"/>
    <w:rsid w:val="00745FD4"/>
    <w:rsid w:val="007460F1"/>
    <w:rsid w:val="00746BD9"/>
    <w:rsid w:val="00750C6C"/>
    <w:rsid w:val="00751B1C"/>
    <w:rsid w:val="00751C83"/>
    <w:rsid w:val="00751EBB"/>
    <w:rsid w:val="0075253E"/>
    <w:rsid w:val="00752583"/>
    <w:rsid w:val="00752C5F"/>
    <w:rsid w:val="007537C7"/>
    <w:rsid w:val="00753FD1"/>
    <w:rsid w:val="0075439D"/>
    <w:rsid w:val="00754742"/>
    <w:rsid w:val="0075481D"/>
    <w:rsid w:val="00756FB7"/>
    <w:rsid w:val="007570E3"/>
    <w:rsid w:val="0076005F"/>
    <w:rsid w:val="007608AF"/>
    <w:rsid w:val="007614E6"/>
    <w:rsid w:val="00762002"/>
    <w:rsid w:val="00762B6E"/>
    <w:rsid w:val="00763254"/>
    <w:rsid w:val="007640A3"/>
    <w:rsid w:val="007651A6"/>
    <w:rsid w:val="00765AF1"/>
    <w:rsid w:val="00766670"/>
    <w:rsid w:val="00766AD8"/>
    <w:rsid w:val="0076719B"/>
    <w:rsid w:val="00770C99"/>
    <w:rsid w:val="00771497"/>
    <w:rsid w:val="00773596"/>
    <w:rsid w:val="0077424B"/>
    <w:rsid w:val="00774C35"/>
    <w:rsid w:val="00775238"/>
    <w:rsid w:val="00775607"/>
    <w:rsid w:val="00775AD1"/>
    <w:rsid w:val="00775C75"/>
    <w:rsid w:val="00776326"/>
    <w:rsid w:val="007764C0"/>
    <w:rsid w:val="00776506"/>
    <w:rsid w:val="00777139"/>
    <w:rsid w:val="00777576"/>
    <w:rsid w:val="00780D9B"/>
    <w:rsid w:val="00780EC4"/>
    <w:rsid w:val="0078195F"/>
    <w:rsid w:val="0078199F"/>
    <w:rsid w:val="007820D8"/>
    <w:rsid w:val="007824C5"/>
    <w:rsid w:val="007829FD"/>
    <w:rsid w:val="00782F9B"/>
    <w:rsid w:val="00783040"/>
    <w:rsid w:val="00783217"/>
    <w:rsid w:val="00783F7F"/>
    <w:rsid w:val="00785576"/>
    <w:rsid w:val="0078586F"/>
    <w:rsid w:val="00787502"/>
    <w:rsid w:val="0079023C"/>
    <w:rsid w:val="007909AA"/>
    <w:rsid w:val="00790A1F"/>
    <w:rsid w:val="00792107"/>
    <w:rsid w:val="0079294E"/>
    <w:rsid w:val="0079299A"/>
    <w:rsid w:val="00793148"/>
    <w:rsid w:val="00793D06"/>
    <w:rsid w:val="00794A29"/>
    <w:rsid w:val="00794B22"/>
    <w:rsid w:val="00797632"/>
    <w:rsid w:val="007A00F5"/>
    <w:rsid w:val="007A104F"/>
    <w:rsid w:val="007A15DA"/>
    <w:rsid w:val="007A211D"/>
    <w:rsid w:val="007A28FC"/>
    <w:rsid w:val="007A3DFC"/>
    <w:rsid w:val="007A461A"/>
    <w:rsid w:val="007A57F2"/>
    <w:rsid w:val="007A7452"/>
    <w:rsid w:val="007B1333"/>
    <w:rsid w:val="007B24C8"/>
    <w:rsid w:val="007B45C5"/>
    <w:rsid w:val="007B76DC"/>
    <w:rsid w:val="007B7CD5"/>
    <w:rsid w:val="007B7E54"/>
    <w:rsid w:val="007C044D"/>
    <w:rsid w:val="007C1631"/>
    <w:rsid w:val="007C1691"/>
    <w:rsid w:val="007C234D"/>
    <w:rsid w:val="007C288F"/>
    <w:rsid w:val="007C36A2"/>
    <w:rsid w:val="007C3BA7"/>
    <w:rsid w:val="007C3D04"/>
    <w:rsid w:val="007C407D"/>
    <w:rsid w:val="007C46F1"/>
    <w:rsid w:val="007C47FF"/>
    <w:rsid w:val="007C4CFC"/>
    <w:rsid w:val="007C55AD"/>
    <w:rsid w:val="007C57BF"/>
    <w:rsid w:val="007C6262"/>
    <w:rsid w:val="007C638A"/>
    <w:rsid w:val="007C63E2"/>
    <w:rsid w:val="007C67C9"/>
    <w:rsid w:val="007C7E5D"/>
    <w:rsid w:val="007D0ACE"/>
    <w:rsid w:val="007D29CC"/>
    <w:rsid w:val="007D3631"/>
    <w:rsid w:val="007D3C4D"/>
    <w:rsid w:val="007D3F60"/>
    <w:rsid w:val="007D4587"/>
    <w:rsid w:val="007D4DE6"/>
    <w:rsid w:val="007D4EE2"/>
    <w:rsid w:val="007D5951"/>
    <w:rsid w:val="007D6115"/>
    <w:rsid w:val="007D6250"/>
    <w:rsid w:val="007D7EC1"/>
    <w:rsid w:val="007E0412"/>
    <w:rsid w:val="007E0B69"/>
    <w:rsid w:val="007E0FB5"/>
    <w:rsid w:val="007E1EED"/>
    <w:rsid w:val="007E23A3"/>
    <w:rsid w:val="007E257D"/>
    <w:rsid w:val="007E2A6B"/>
    <w:rsid w:val="007E2D9F"/>
    <w:rsid w:val="007E39B1"/>
    <w:rsid w:val="007E3E1C"/>
    <w:rsid w:val="007E6EC4"/>
    <w:rsid w:val="007F14B8"/>
    <w:rsid w:val="007F1A39"/>
    <w:rsid w:val="007F1FEE"/>
    <w:rsid w:val="007F264F"/>
    <w:rsid w:val="007F42DE"/>
    <w:rsid w:val="007F4450"/>
    <w:rsid w:val="007F4A89"/>
    <w:rsid w:val="007F4AEB"/>
    <w:rsid w:val="007F5E11"/>
    <w:rsid w:val="007F6239"/>
    <w:rsid w:val="007F6C63"/>
    <w:rsid w:val="007F7393"/>
    <w:rsid w:val="007F75B2"/>
    <w:rsid w:val="007F7F00"/>
    <w:rsid w:val="00801791"/>
    <w:rsid w:val="00802C76"/>
    <w:rsid w:val="008032C6"/>
    <w:rsid w:val="00803372"/>
    <w:rsid w:val="008043C4"/>
    <w:rsid w:val="00804524"/>
    <w:rsid w:val="00804CD3"/>
    <w:rsid w:val="0080514F"/>
    <w:rsid w:val="0080575F"/>
    <w:rsid w:val="00807E1E"/>
    <w:rsid w:val="00807EB8"/>
    <w:rsid w:val="0081082C"/>
    <w:rsid w:val="00811629"/>
    <w:rsid w:val="008124B8"/>
    <w:rsid w:val="00813226"/>
    <w:rsid w:val="00813976"/>
    <w:rsid w:val="00813DFB"/>
    <w:rsid w:val="00814D1B"/>
    <w:rsid w:val="00815588"/>
    <w:rsid w:val="008157C0"/>
    <w:rsid w:val="00820139"/>
    <w:rsid w:val="00820A14"/>
    <w:rsid w:val="00820E8E"/>
    <w:rsid w:val="00820F4C"/>
    <w:rsid w:val="008221FB"/>
    <w:rsid w:val="0082354D"/>
    <w:rsid w:val="008235F5"/>
    <w:rsid w:val="008242CC"/>
    <w:rsid w:val="00824F82"/>
    <w:rsid w:val="0082505B"/>
    <w:rsid w:val="00825070"/>
    <w:rsid w:val="00825477"/>
    <w:rsid w:val="00826BD9"/>
    <w:rsid w:val="00827A91"/>
    <w:rsid w:val="00830309"/>
    <w:rsid w:val="00831B1B"/>
    <w:rsid w:val="00831DCC"/>
    <w:rsid w:val="00832FC3"/>
    <w:rsid w:val="00833ADB"/>
    <w:rsid w:val="00834CC5"/>
    <w:rsid w:val="0083521F"/>
    <w:rsid w:val="008354B4"/>
    <w:rsid w:val="008358E0"/>
    <w:rsid w:val="00835F3F"/>
    <w:rsid w:val="00836EB9"/>
    <w:rsid w:val="00837A3C"/>
    <w:rsid w:val="00837EF5"/>
    <w:rsid w:val="00840938"/>
    <w:rsid w:val="00840F99"/>
    <w:rsid w:val="00841ABF"/>
    <w:rsid w:val="00841D76"/>
    <w:rsid w:val="00842032"/>
    <w:rsid w:val="00842A98"/>
    <w:rsid w:val="008434E7"/>
    <w:rsid w:val="0084466F"/>
    <w:rsid w:val="00846BC4"/>
    <w:rsid w:val="008470C2"/>
    <w:rsid w:val="00847A8C"/>
    <w:rsid w:val="00850AAD"/>
    <w:rsid w:val="00850D33"/>
    <w:rsid w:val="008514B8"/>
    <w:rsid w:val="00851858"/>
    <w:rsid w:val="008518E7"/>
    <w:rsid w:val="0085193E"/>
    <w:rsid w:val="008519C6"/>
    <w:rsid w:val="00852098"/>
    <w:rsid w:val="0085235F"/>
    <w:rsid w:val="00852368"/>
    <w:rsid w:val="0085242C"/>
    <w:rsid w:val="008524A9"/>
    <w:rsid w:val="008537E4"/>
    <w:rsid w:val="008538A7"/>
    <w:rsid w:val="00853C01"/>
    <w:rsid w:val="00854404"/>
    <w:rsid w:val="00855019"/>
    <w:rsid w:val="00856098"/>
    <w:rsid w:val="00857B94"/>
    <w:rsid w:val="008605AF"/>
    <w:rsid w:val="00861D0E"/>
    <w:rsid w:val="00861F45"/>
    <w:rsid w:val="00862854"/>
    <w:rsid w:val="0086334D"/>
    <w:rsid w:val="008634E2"/>
    <w:rsid w:val="00863D68"/>
    <w:rsid w:val="0086484F"/>
    <w:rsid w:val="00864880"/>
    <w:rsid w:val="008656A8"/>
    <w:rsid w:val="00865F79"/>
    <w:rsid w:val="00865FA6"/>
    <w:rsid w:val="00866BA8"/>
    <w:rsid w:val="00867569"/>
    <w:rsid w:val="00867807"/>
    <w:rsid w:val="0087060D"/>
    <w:rsid w:val="00870CF3"/>
    <w:rsid w:val="00871086"/>
    <w:rsid w:val="008710C7"/>
    <w:rsid w:val="00872214"/>
    <w:rsid w:val="008727FA"/>
    <w:rsid w:val="00872B8E"/>
    <w:rsid w:val="00874047"/>
    <w:rsid w:val="00874A90"/>
    <w:rsid w:val="00875632"/>
    <w:rsid w:val="00875F5C"/>
    <w:rsid w:val="008804D0"/>
    <w:rsid w:val="0088129D"/>
    <w:rsid w:val="008839AC"/>
    <w:rsid w:val="00884029"/>
    <w:rsid w:val="00884BD5"/>
    <w:rsid w:val="00885B04"/>
    <w:rsid w:val="00887972"/>
    <w:rsid w:val="008914B7"/>
    <w:rsid w:val="008917B3"/>
    <w:rsid w:val="00891C37"/>
    <w:rsid w:val="00891D95"/>
    <w:rsid w:val="008945F2"/>
    <w:rsid w:val="00896BFB"/>
    <w:rsid w:val="00897527"/>
    <w:rsid w:val="008A00F7"/>
    <w:rsid w:val="008A0E8F"/>
    <w:rsid w:val="008A1027"/>
    <w:rsid w:val="008A14EF"/>
    <w:rsid w:val="008A18A9"/>
    <w:rsid w:val="008A1CE4"/>
    <w:rsid w:val="008A287F"/>
    <w:rsid w:val="008A3084"/>
    <w:rsid w:val="008A5C34"/>
    <w:rsid w:val="008A608C"/>
    <w:rsid w:val="008A6342"/>
    <w:rsid w:val="008A6A3B"/>
    <w:rsid w:val="008A750A"/>
    <w:rsid w:val="008B225C"/>
    <w:rsid w:val="008B334E"/>
    <w:rsid w:val="008B4550"/>
    <w:rsid w:val="008B4B2D"/>
    <w:rsid w:val="008B5D3C"/>
    <w:rsid w:val="008B5F92"/>
    <w:rsid w:val="008B7891"/>
    <w:rsid w:val="008C00A5"/>
    <w:rsid w:val="008C0108"/>
    <w:rsid w:val="008C0195"/>
    <w:rsid w:val="008C26EA"/>
    <w:rsid w:val="008C27B1"/>
    <w:rsid w:val="008C36DB"/>
    <w:rsid w:val="008C384C"/>
    <w:rsid w:val="008C45BF"/>
    <w:rsid w:val="008C502E"/>
    <w:rsid w:val="008C5E9A"/>
    <w:rsid w:val="008C6875"/>
    <w:rsid w:val="008C6A03"/>
    <w:rsid w:val="008C7819"/>
    <w:rsid w:val="008D0F11"/>
    <w:rsid w:val="008D136D"/>
    <w:rsid w:val="008D1E62"/>
    <w:rsid w:val="008D2260"/>
    <w:rsid w:val="008D2561"/>
    <w:rsid w:val="008D3805"/>
    <w:rsid w:val="008D516A"/>
    <w:rsid w:val="008D5298"/>
    <w:rsid w:val="008D5BB9"/>
    <w:rsid w:val="008D6ECA"/>
    <w:rsid w:val="008D6F55"/>
    <w:rsid w:val="008D7655"/>
    <w:rsid w:val="008E0998"/>
    <w:rsid w:val="008E0E03"/>
    <w:rsid w:val="008E15B5"/>
    <w:rsid w:val="008E29EF"/>
    <w:rsid w:val="008E5AB0"/>
    <w:rsid w:val="008E68EB"/>
    <w:rsid w:val="008E7E4F"/>
    <w:rsid w:val="008F0222"/>
    <w:rsid w:val="008F0B36"/>
    <w:rsid w:val="008F20C6"/>
    <w:rsid w:val="008F35E4"/>
    <w:rsid w:val="008F4513"/>
    <w:rsid w:val="008F492F"/>
    <w:rsid w:val="008F49F5"/>
    <w:rsid w:val="008F4BC1"/>
    <w:rsid w:val="008F5309"/>
    <w:rsid w:val="008F5637"/>
    <w:rsid w:val="008F6AD8"/>
    <w:rsid w:val="008F7016"/>
    <w:rsid w:val="008F73B4"/>
    <w:rsid w:val="008F7E5F"/>
    <w:rsid w:val="00900EDB"/>
    <w:rsid w:val="00900F13"/>
    <w:rsid w:val="009015C7"/>
    <w:rsid w:val="0090404E"/>
    <w:rsid w:val="009049FB"/>
    <w:rsid w:val="00905075"/>
    <w:rsid w:val="009050E1"/>
    <w:rsid w:val="009058EE"/>
    <w:rsid w:val="009061A5"/>
    <w:rsid w:val="00906C31"/>
    <w:rsid w:val="00906ECF"/>
    <w:rsid w:val="0090741A"/>
    <w:rsid w:val="009076B5"/>
    <w:rsid w:val="009076FF"/>
    <w:rsid w:val="00907ADB"/>
    <w:rsid w:val="00910F49"/>
    <w:rsid w:val="009112BA"/>
    <w:rsid w:val="00911AC8"/>
    <w:rsid w:val="00912138"/>
    <w:rsid w:val="009139C6"/>
    <w:rsid w:val="009147A7"/>
    <w:rsid w:val="00916073"/>
    <w:rsid w:val="009168C2"/>
    <w:rsid w:val="00917143"/>
    <w:rsid w:val="00917CA6"/>
    <w:rsid w:val="00920317"/>
    <w:rsid w:val="009206ED"/>
    <w:rsid w:val="0092081A"/>
    <w:rsid w:val="00920AD4"/>
    <w:rsid w:val="00920D32"/>
    <w:rsid w:val="009216E8"/>
    <w:rsid w:val="00922570"/>
    <w:rsid w:val="0092310A"/>
    <w:rsid w:val="00924892"/>
    <w:rsid w:val="009269D3"/>
    <w:rsid w:val="00927ADE"/>
    <w:rsid w:val="00927DD9"/>
    <w:rsid w:val="00930B3C"/>
    <w:rsid w:val="00931A52"/>
    <w:rsid w:val="00931B1D"/>
    <w:rsid w:val="00931F92"/>
    <w:rsid w:val="009327ED"/>
    <w:rsid w:val="00933027"/>
    <w:rsid w:val="00933883"/>
    <w:rsid w:val="00934EFE"/>
    <w:rsid w:val="009357BD"/>
    <w:rsid w:val="00936D58"/>
    <w:rsid w:val="009372DF"/>
    <w:rsid w:val="00937610"/>
    <w:rsid w:val="009405D2"/>
    <w:rsid w:val="00941121"/>
    <w:rsid w:val="00941335"/>
    <w:rsid w:val="009416A7"/>
    <w:rsid w:val="00942BAF"/>
    <w:rsid w:val="00942D88"/>
    <w:rsid w:val="00943531"/>
    <w:rsid w:val="00943AD2"/>
    <w:rsid w:val="00944126"/>
    <w:rsid w:val="00945296"/>
    <w:rsid w:val="00945A74"/>
    <w:rsid w:val="00946FC5"/>
    <w:rsid w:val="00947FAB"/>
    <w:rsid w:val="009504C2"/>
    <w:rsid w:val="00950A8C"/>
    <w:rsid w:val="0095197C"/>
    <w:rsid w:val="0095227E"/>
    <w:rsid w:val="00953CF1"/>
    <w:rsid w:val="0095430A"/>
    <w:rsid w:val="0095441A"/>
    <w:rsid w:val="009544CC"/>
    <w:rsid w:val="00955259"/>
    <w:rsid w:val="00956495"/>
    <w:rsid w:val="00957441"/>
    <w:rsid w:val="009575C3"/>
    <w:rsid w:val="0096012F"/>
    <w:rsid w:val="00960186"/>
    <w:rsid w:val="00960BF2"/>
    <w:rsid w:val="00961ECD"/>
    <w:rsid w:val="00962BC7"/>
    <w:rsid w:val="00962C91"/>
    <w:rsid w:val="0096328A"/>
    <w:rsid w:val="009632CA"/>
    <w:rsid w:val="00963E6F"/>
    <w:rsid w:val="00964190"/>
    <w:rsid w:val="009641C9"/>
    <w:rsid w:val="00964AE2"/>
    <w:rsid w:val="0096668C"/>
    <w:rsid w:val="009678FC"/>
    <w:rsid w:val="009701AB"/>
    <w:rsid w:val="0097029A"/>
    <w:rsid w:val="00970F7D"/>
    <w:rsid w:val="00971D38"/>
    <w:rsid w:val="009729CD"/>
    <w:rsid w:val="00973287"/>
    <w:rsid w:val="00973301"/>
    <w:rsid w:val="00973695"/>
    <w:rsid w:val="00973777"/>
    <w:rsid w:val="009740BF"/>
    <w:rsid w:val="00974859"/>
    <w:rsid w:val="00974A25"/>
    <w:rsid w:val="009757AF"/>
    <w:rsid w:val="00976B5B"/>
    <w:rsid w:val="00976D97"/>
    <w:rsid w:val="00977DA4"/>
    <w:rsid w:val="00980DC3"/>
    <w:rsid w:val="00980F72"/>
    <w:rsid w:val="00981238"/>
    <w:rsid w:val="0098126D"/>
    <w:rsid w:val="0098149A"/>
    <w:rsid w:val="00981671"/>
    <w:rsid w:val="00982BFC"/>
    <w:rsid w:val="00982C53"/>
    <w:rsid w:val="00983A9B"/>
    <w:rsid w:val="00983C27"/>
    <w:rsid w:val="00984434"/>
    <w:rsid w:val="00984499"/>
    <w:rsid w:val="009844EB"/>
    <w:rsid w:val="00984F27"/>
    <w:rsid w:val="00985EE5"/>
    <w:rsid w:val="00986D8D"/>
    <w:rsid w:val="009873F0"/>
    <w:rsid w:val="00987FFE"/>
    <w:rsid w:val="0099050D"/>
    <w:rsid w:val="00991E8D"/>
    <w:rsid w:val="00992601"/>
    <w:rsid w:val="009939A2"/>
    <w:rsid w:val="0099409F"/>
    <w:rsid w:val="00994B5B"/>
    <w:rsid w:val="009950AF"/>
    <w:rsid w:val="009958A1"/>
    <w:rsid w:val="00995DA7"/>
    <w:rsid w:val="009968E7"/>
    <w:rsid w:val="00997580"/>
    <w:rsid w:val="009A08B3"/>
    <w:rsid w:val="009A0D25"/>
    <w:rsid w:val="009A17B0"/>
    <w:rsid w:val="009A1871"/>
    <w:rsid w:val="009A218F"/>
    <w:rsid w:val="009A38F9"/>
    <w:rsid w:val="009A3ACE"/>
    <w:rsid w:val="009A3CEA"/>
    <w:rsid w:val="009A466D"/>
    <w:rsid w:val="009A4753"/>
    <w:rsid w:val="009A4B79"/>
    <w:rsid w:val="009A5942"/>
    <w:rsid w:val="009A5C79"/>
    <w:rsid w:val="009B0CDE"/>
    <w:rsid w:val="009B16D4"/>
    <w:rsid w:val="009B3B40"/>
    <w:rsid w:val="009B4969"/>
    <w:rsid w:val="009B4EA8"/>
    <w:rsid w:val="009B55B1"/>
    <w:rsid w:val="009B5C48"/>
    <w:rsid w:val="009B5D89"/>
    <w:rsid w:val="009B68A7"/>
    <w:rsid w:val="009C0D4F"/>
    <w:rsid w:val="009C15DC"/>
    <w:rsid w:val="009C2865"/>
    <w:rsid w:val="009C3D5D"/>
    <w:rsid w:val="009C4150"/>
    <w:rsid w:val="009C449C"/>
    <w:rsid w:val="009C515A"/>
    <w:rsid w:val="009C53AD"/>
    <w:rsid w:val="009C5E8F"/>
    <w:rsid w:val="009C60B7"/>
    <w:rsid w:val="009C6103"/>
    <w:rsid w:val="009C6427"/>
    <w:rsid w:val="009C7AA7"/>
    <w:rsid w:val="009C7BF5"/>
    <w:rsid w:val="009D055A"/>
    <w:rsid w:val="009D0BD5"/>
    <w:rsid w:val="009D12BA"/>
    <w:rsid w:val="009D1F3B"/>
    <w:rsid w:val="009D4881"/>
    <w:rsid w:val="009D5E52"/>
    <w:rsid w:val="009D6C0C"/>
    <w:rsid w:val="009E04CF"/>
    <w:rsid w:val="009E0621"/>
    <w:rsid w:val="009E1BCE"/>
    <w:rsid w:val="009E2A2A"/>
    <w:rsid w:val="009E2AB5"/>
    <w:rsid w:val="009E31D4"/>
    <w:rsid w:val="009E52CF"/>
    <w:rsid w:val="009E617C"/>
    <w:rsid w:val="009E7028"/>
    <w:rsid w:val="009E745F"/>
    <w:rsid w:val="009E7FC8"/>
    <w:rsid w:val="009F0332"/>
    <w:rsid w:val="009F0A39"/>
    <w:rsid w:val="009F0F8D"/>
    <w:rsid w:val="009F116F"/>
    <w:rsid w:val="009F2070"/>
    <w:rsid w:val="009F276D"/>
    <w:rsid w:val="009F2937"/>
    <w:rsid w:val="009F2D91"/>
    <w:rsid w:val="009F491A"/>
    <w:rsid w:val="009F51D5"/>
    <w:rsid w:val="009F5F23"/>
    <w:rsid w:val="009F70EB"/>
    <w:rsid w:val="009F7136"/>
    <w:rsid w:val="009F7FD8"/>
    <w:rsid w:val="00A001F0"/>
    <w:rsid w:val="00A01EEF"/>
    <w:rsid w:val="00A0276F"/>
    <w:rsid w:val="00A02BCB"/>
    <w:rsid w:val="00A02E15"/>
    <w:rsid w:val="00A0318C"/>
    <w:rsid w:val="00A041BC"/>
    <w:rsid w:val="00A0458C"/>
    <w:rsid w:val="00A04DD4"/>
    <w:rsid w:val="00A0533B"/>
    <w:rsid w:val="00A05534"/>
    <w:rsid w:val="00A07E96"/>
    <w:rsid w:val="00A1004C"/>
    <w:rsid w:val="00A1071A"/>
    <w:rsid w:val="00A10F29"/>
    <w:rsid w:val="00A125F4"/>
    <w:rsid w:val="00A13BBD"/>
    <w:rsid w:val="00A13C0B"/>
    <w:rsid w:val="00A13D68"/>
    <w:rsid w:val="00A14819"/>
    <w:rsid w:val="00A15B50"/>
    <w:rsid w:val="00A15BC6"/>
    <w:rsid w:val="00A15C6C"/>
    <w:rsid w:val="00A16E3F"/>
    <w:rsid w:val="00A171FC"/>
    <w:rsid w:val="00A17AD5"/>
    <w:rsid w:val="00A2003A"/>
    <w:rsid w:val="00A20939"/>
    <w:rsid w:val="00A20BED"/>
    <w:rsid w:val="00A22348"/>
    <w:rsid w:val="00A2262B"/>
    <w:rsid w:val="00A23096"/>
    <w:rsid w:val="00A230B3"/>
    <w:rsid w:val="00A233AA"/>
    <w:rsid w:val="00A23702"/>
    <w:rsid w:val="00A23BDE"/>
    <w:rsid w:val="00A23F1D"/>
    <w:rsid w:val="00A24174"/>
    <w:rsid w:val="00A26507"/>
    <w:rsid w:val="00A27991"/>
    <w:rsid w:val="00A30C2D"/>
    <w:rsid w:val="00A312F2"/>
    <w:rsid w:val="00A31CE1"/>
    <w:rsid w:val="00A31F0D"/>
    <w:rsid w:val="00A32891"/>
    <w:rsid w:val="00A32EE1"/>
    <w:rsid w:val="00A33E60"/>
    <w:rsid w:val="00A35CDB"/>
    <w:rsid w:val="00A35F83"/>
    <w:rsid w:val="00A362DC"/>
    <w:rsid w:val="00A3797B"/>
    <w:rsid w:val="00A37A32"/>
    <w:rsid w:val="00A404D4"/>
    <w:rsid w:val="00A40856"/>
    <w:rsid w:val="00A41D18"/>
    <w:rsid w:val="00A4248F"/>
    <w:rsid w:val="00A42744"/>
    <w:rsid w:val="00A429B2"/>
    <w:rsid w:val="00A431FA"/>
    <w:rsid w:val="00A4343D"/>
    <w:rsid w:val="00A438DA"/>
    <w:rsid w:val="00A44567"/>
    <w:rsid w:val="00A448C7"/>
    <w:rsid w:val="00A45C7B"/>
    <w:rsid w:val="00A46B64"/>
    <w:rsid w:val="00A46C31"/>
    <w:rsid w:val="00A46D74"/>
    <w:rsid w:val="00A46E13"/>
    <w:rsid w:val="00A502F1"/>
    <w:rsid w:val="00A509D1"/>
    <w:rsid w:val="00A52032"/>
    <w:rsid w:val="00A525AF"/>
    <w:rsid w:val="00A53140"/>
    <w:rsid w:val="00A54604"/>
    <w:rsid w:val="00A54D7B"/>
    <w:rsid w:val="00A54E49"/>
    <w:rsid w:val="00A55679"/>
    <w:rsid w:val="00A55C4E"/>
    <w:rsid w:val="00A56325"/>
    <w:rsid w:val="00A56836"/>
    <w:rsid w:val="00A56C80"/>
    <w:rsid w:val="00A57C45"/>
    <w:rsid w:val="00A6035C"/>
    <w:rsid w:val="00A60E41"/>
    <w:rsid w:val="00A60EFF"/>
    <w:rsid w:val="00A610F5"/>
    <w:rsid w:val="00A61BE0"/>
    <w:rsid w:val="00A62F1F"/>
    <w:rsid w:val="00A63C36"/>
    <w:rsid w:val="00A63DD4"/>
    <w:rsid w:val="00A6428E"/>
    <w:rsid w:val="00A64D52"/>
    <w:rsid w:val="00A652D4"/>
    <w:rsid w:val="00A65A70"/>
    <w:rsid w:val="00A662D0"/>
    <w:rsid w:val="00A67CCC"/>
    <w:rsid w:val="00A70A83"/>
    <w:rsid w:val="00A72E25"/>
    <w:rsid w:val="00A73918"/>
    <w:rsid w:val="00A73F70"/>
    <w:rsid w:val="00A74120"/>
    <w:rsid w:val="00A7484D"/>
    <w:rsid w:val="00A75B4D"/>
    <w:rsid w:val="00A75F37"/>
    <w:rsid w:val="00A761CF"/>
    <w:rsid w:val="00A7683E"/>
    <w:rsid w:val="00A774B2"/>
    <w:rsid w:val="00A7751D"/>
    <w:rsid w:val="00A7774A"/>
    <w:rsid w:val="00A80351"/>
    <w:rsid w:val="00A81EB3"/>
    <w:rsid w:val="00A824CF"/>
    <w:rsid w:val="00A826E6"/>
    <w:rsid w:val="00A8291E"/>
    <w:rsid w:val="00A834BD"/>
    <w:rsid w:val="00A84430"/>
    <w:rsid w:val="00A84C1D"/>
    <w:rsid w:val="00A860F4"/>
    <w:rsid w:val="00A86219"/>
    <w:rsid w:val="00A873BA"/>
    <w:rsid w:val="00A87FE4"/>
    <w:rsid w:val="00A904D9"/>
    <w:rsid w:val="00A90ECE"/>
    <w:rsid w:val="00A913EC"/>
    <w:rsid w:val="00A92693"/>
    <w:rsid w:val="00A93025"/>
    <w:rsid w:val="00A93505"/>
    <w:rsid w:val="00A94664"/>
    <w:rsid w:val="00A9504A"/>
    <w:rsid w:val="00A950C7"/>
    <w:rsid w:val="00A961DA"/>
    <w:rsid w:val="00A969A9"/>
    <w:rsid w:val="00A97AD4"/>
    <w:rsid w:val="00A97B05"/>
    <w:rsid w:val="00A97CA2"/>
    <w:rsid w:val="00AA1B10"/>
    <w:rsid w:val="00AA1B32"/>
    <w:rsid w:val="00AA1E9D"/>
    <w:rsid w:val="00AA25A1"/>
    <w:rsid w:val="00AA2B3C"/>
    <w:rsid w:val="00AA32AA"/>
    <w:rsid w:val="00AA3711"/>
    <w:rsid w:val="00AA37D2"/>
    <w:rsid w:val="00AA435D"/>
    <w:rsid w:val="00AA439D"/>
    <w:rsid w:val="00AA45ED"/>
    <w:rsid w:val="00AA4ECF"/>
    <w:rsid w:val="00AA59D3"/>
    <w:rsid w:val="00AA6744"/>
    <w:rsid w:val="00AA69A6"/>
    <w:rsid w:val="00AA6E75"/>
    <w:rsid w:val="00AA6F71"/>
    <w:rsid w:val="00AA73A5"/>
    <w:rsid w:val="00AA7673"/>
    <w:rsid w:val="00AA7E61"/>
    <w:rsid w:val="00AB09D3"/>
    <w:rsid w:val="00AB208F"/>
    <w:rsid w:val="00AB22E1"/>
    <w:rsid w:val="00AB2302"/>
    <w:rsid w:val="00AB2399"/>
    <w:rsid w:val="00AB2D8E"/>
    <w:rsid w:val="00AB35E7"/>
    <w:rsid w:val="00AB410C"/>
    <w:rsid w:val="00AB52F2"/>
    <w:rsid w:val="00AB594C"/>
    <w:rsid w:val="00AB5CFD"/>
    <w:rsid w:val="00AB5D19"/>
    <w:rsid w:val="00AB73C1"/>
    <w:rsid w:val="00AB798A"/>
    <w:rsid w:val="00AB7ADF"/>
    <w:rsid w:val="00AC0524"/>
    <w:rsid w:val="00AC1E77"/>
    <w:rsid w:val="00AC3A03"/>
    <w:rsid w:val="00AC3A4C"/>
    <w:rsid w:val="00AC4564"/>
    <w:rsid w:val="00AC4FDD"/>
    <w:rsid w:val="00AC5BE0"/>
    <w:rsid w:val="00AC60CC"/>
    <w:rsid w:val="00AC6570"/>
    <w:rsid w:val="00AC6A14"/>
    <w:rsid w:val="00AC72CC"/>
    <w:rsid w:val="00AC72E1"/>
    <w:rsid w:val="00AD09C9"/>
    <w:rsid w:val="00AD0B2F"/>
    <w:rsid w:val="00AD23F5"/>
    <w:rsid w:val="00AD260D"/>
    <w:rsid w:val="00AD3C61"/>
    <w:rsid w:val="00AD4691"/>
    <w:rsid w:val="00AD48CB"/>
    <w:rsid w:val="00AD5C35"/>
    <w:rsid w:val="00AD6519"/>
    <w:rsid w:val="00AD6CA9"/>
    <w:rsid w:val="00AD6D62"/>
    <w:rsid w:val="00AE04A7"/>
    <w:rsid w:val="00AE3964"/>
    <w:rsid w:val="00AE59AB"/>
    <w:rsid w:val="00AE5C88"/>
    <w:rsid w:val="00AE63EF"/>
    <w:rsid w:val="00AE6A84"/>
    <w:rsid w:val="00AE76F3"/>
    <w:rsid w:val="00AE7D45"/>
    <w:rsid w:val="00AF2358"/>
    <w:rsid w:val="00AF2CB6"/>
    <w:rsid w:val="00AF40A6"/>
    <w:rsid w:val="00AF4214"/>
    <w:rsid w:val="00AF4A03"/>
    <w:rsid w:val="00AF63B0"/>
    <w:rsid w:val="00AF647C"/>
    <w:rsid w:val="00AF66FA"/>
    <w:rsid w:val="00AF77D3"/>
    <w:rsid w:val="00AF78C1"/>
    <w:rsid w:val="00AF7C8B"/>
    <w:rsid w:val="00AF7EF5"/>
    <w:rsid w:val="00B00C1D"/>
    <w:rsid w:val="00B01408"/>
    <w:rsid w:val="00B0176C"/>
    <w:rsid w:val="00B01F26"/>
    <w:rsid w:val="00B0375A"/>
    <w:rsid w:val="00B043D9"/>
    <w:rsid w:val="00B04E79"/>
    <w:rsid w:val="00B06174"/>
    <w:rsid w:val="00B07CA2"/>
    <w:rsid w:val="00B10B53"/>
    <w:rsid w:val="00B11D9E"/>
    <w:rsid w:val="00B1299C"/>
    <w:rsid w:val="00B13907"/>
    <w:rsid w:val="00B144F0"/>
    <w:rsid w:val="00B153C7"/>
    <w:rsid w:val="00B15AA8"/>
    <w:rsid w:val="00B15E58"/>
    <w:rsid w:val="00B16115"/>
    <w:rsid w:val="00B16369"/>
    <w:rsid w:val="00B1677F"/>
    <w:rsid w:val="00B16FC6"/>
    <w:rsid w:val="00B179C6"/>
    <w:rsid w:val="00B17D6C"/>
    <w:rsid w:val="00B20108"/>
    <w:rsid w:val="00B20AEA"/>
    <w:rsid w:val="00B20DE0"/>
    <w:rsid w:val="00B20F58"/>
    <w:rsid w:val="00B21CE7"/>
    <w:rsid w:val="00B23BA9"/>
    <w:rsid w:val="00B2435B"/>
    <w:rsid w:val="00B24A8E"/>
    <w:rsid w:val="00B24C95"/>
    <w:rsid w:val="00B26AFC"/>
    <w:rsid w:val="00B26BED"/>
    <w:rsid w:val="00B26C4E"/>
    <w:rsid w:val="00B31464"/>
    <w:rsid w:val="00B32310"/>
    <w:rsid w:val="00B328D3"/>
    <w:rsid w:val="00B32D26"/>
    <w:rsid w:val="00B33194"/>
    <w:rsid w:val="00B3323F"/>
    <w:rsid w:val="00B33493"/>
    <w:rsid w:val="00B33880"/>
    <w:rsid w:val="00B33F33"/>
    <w:rsid w:val="00B342F4"/>
    <w:rsid w:val="00B34EDA"/>
    <w:rsid w:val="00B351F5"/>
    <w:rsid w:val="00B35639"/>
    <w:rsid w:val="00B3591E"/>
    <w:rsid w:val="00B365F7"/>
    <w:rsid w:val="00B376D2"/>
    <w:rsid w:val="00B403FC"/>
    <w:rsid w:val="00B40497"/>
    <w:rsid w:val="00B405DC"/>
    <w:rsid w:val="00B40D47"/>
    <w:rsid w:val="00B41C61"/>
    <w:rsid w:val="00B42C55"/>
    <w:rsid w:val="00B42CE8"/>
    <w:rsid w:val="00B42F9B"/>
    <w:rsid w:val="00B432B4"/>
    <w:rsid w:val="00B435ED"/>
    <w:rsid w:val="00B4379E"/>
    <w:rsid w:val="00B44ECB"/>
    <w:rsid w:val="00B44F02"/>
    <w:rsid w:val="00B45497"/>
    <w:rsid w:val="00B468DA"/>
    <w:rsid w:val="00B4790F"/>
    <w:rsid w:val="00B47E07"/>
    <w:rsid w:val="00B506F8"/>
    <w:rsid w:val="00B50A70"/>
    <w:rsid w:val="00B52A87"/>
    <w:rsid w:val="00B52F87"/>
    <w:rsid w:val="00B53BDE"/>
    <w:rsid w:val="00B53D60"/>
    <w:rsid w:val="00B54330"/>
    <w:rsid w:val="00B544CF"/>
    <w:rsid w:val="00B54C52"/>
    <w:rsid w:val="00B55193"/>
    <w:rsid w:val="00B56394"/>
    <w:rsid w:val="00B56D61"/>
    <w:rsid w:val="00B57649"/>
    <w:rsid w:val="00B60120"/>
    <w:rsid w:val="00B60BBA"/>
    <w:rsid w:val="00B61E39"/>
    <w:rsid w:val="00B62E04"/>
    <w:rsid w:val="00B637A5"/>
    <w:rsid w:val="00B660C5"/>
    <w:rsid w:val="00B66166"/>
    <w:rsid w:val="00B67C7E"/>
    <w:rsid w:val="00B70E62"/>
    <w:rsid w:val="00B70ECD"/>
    <w:rsid w:val="00B70FF6"/>
    <w:rsid w:val="00B71E4E"/>
    <w:rsid w:val="00B71EB2"/>
    <w:rsid w:val="00B7235B"/>
    <w:rsid w:val="00B72D2F"/>
    <w:rsid w:val="00B72F7F"/>
    <w:rsid w:val="00B75E48"/>
    <w:rsid w:val="00B76199"/>
    <w:rsid w:val="00B77384"/>
    <w:rsid w:val="00B7769D"/>
    <w:rsid w:val="00B8043F"/>
    <w:rsid w:val="00B80695"/>
    <w:rsid w:val="00B817AE"/>
    <w:rsid w:val="00B822BB"/>
    <w:rsid w:val="00B824E2"/>
    <w:rsid w:val="00B83A04"/>
    <w:rsid w:val="00B83A85"/>
    <w:rsid w:val="00B83EC6"/>
    <w:rsid w:val="00B868B8"/>
    <w:rsid w:val="00B920DD"/>
    <w:rsid w:val="00B927B3"/>
    <w:rsid w:val="00B92E7A"/>
    <w:rsid w:val="00B95B0C"/>
    <w:rsid w:val="00B95FBE"/>
    <w:rsid w:val="00B963CE"/>
    <w:rsid w:val="00B96B54"/>
    <w:rsid w:val="00B96C14"/>
    <w:rsid w:val="00B96C6D"/>
    <w:rsid w:val="00BA0F08"/>
    <w:rsid w:val="00BA22D5"/>
    <w:rsid w:val="00BA3799"/>
    <w:rsid w:val="00BA439F"/>
    <w:rsid w:val="00BA44EC"/>
    <w:rsid w:val="00BA5834"/>
    <w:rsid w:val="00BA60DC"/>
    <w:rsid w:val="00BA6370"/>
    <w:rsid w:val="00BA6BD0"/>
    <w:rsid w:val="00BA7440"/>
    <w:rsid w:val="00BA77F0"/>
    <w:rsid w:val="00BB06CA"/>
    <w:rsid w:val="00BB1FE2"/>
    <w:rsid w:val="00BB2650"/>
    <w:rsid w:val="00BB37C9"/>
    <w:rsid w:val="00BB4F73"/>
    <w:rsid w:val="00BB5280"/>
    <w:rsid w:val="00BB6268"/>
    <w:rsid w:val="00BB6288"/>
    <w:rsid w:val="00BB73D6"/>
    <w:rsid w:val="00BC09C7"/>
    <w:rsid w:val="00BC0FD0"/>
    <w:rsid w:val="00BC1564"/>
    <w:rsid w:val="00BC26F7"/>
    <w:rsid w:val="00BC2C0D"/>
    <w:rsid w:val="00BC3CA1"/>
    <w:rsid w:val="00BC64C1"/>
    <w:rsid w:val="00BC6747"/>
    <w:rsid w:val="00BC6921"/>
    <w:rsid w:val="00BC692F"/>
    <w:rsid w:val="00BC6C54"/>
    <w:rsid w:val="00BC71A3"/>
    <w:rsid w:val="00BC748B"/>
    <w:rsid w:val="00BC7CF3"/>
    <w:rsid w:val="00BD1AA5"/>
    <w:rsid w:val="00BD1AEF"/>
    <w:rsid w:val="00BD3E80"/>
    <w:rsid w:val="00BD40CD"/>
    <w:rsid w:val="00BD529F"/>
    <w:rsid w:val="00BD57B8"/>
    <w:rsid w:val="00BD66B4"/>
    <w:rsid w:val="00BD6F1C"/>
    <w:rsid w:val="00BD71CC"/>
    <w:rsid w:val="00BE0028"/>
    <w:rsid w:val="00BE1CA4"/>
    <w:rsid w:val="00BE1D3B"/>
    <w:rsid w:val="00BE206D"/>
    <w:rsid w:val="00BE210B"/>
    <w:rsid w:val="00BE2A53"/>
    <w:rsid w:val="00BE3302"/>
    <w:rsid w:val="00BE3335"/>
    <w:rsid w:val="00BE550F"/>
    <w:rsid w:val="00BE560B"/>
    <w:rsid w:val="00BE5C4A"/>
    <w:rsid w:val="00BE69B6"/>
    <w:rsid w:val="00BE6D51"/>
    <w:rsid w:val="00BE7435"/>
    <w:rsid w:val="00BE7C44"/>
    <w:rsid w:val="00BF029D"/>
    <w:rsid w:val="00BF0E07"/>
    <w:rsid w:val="00BF11BA"/>
    <w:rsid w:val="00BF1519"/>
    <w:rsid w:val="00BF2999"/>
    <w:rsid w:val="00BF2A5A"/>
    <w:rsid w:val="00BF34CC"/>
    <w:rsid w:val="00BF37CC"/>
    <w:rsid w:val="00BF46B6"/>
    <w:rsid w:val="00BF5A57"/>
    <w:rsid w:val="00BF62F1"/>
    <w:rsid w:val="00C00155"/>
    <w:rsid w:val="00C007B6"/>
    <w:rsid w:val="00C015EA"/>
    <w:rsid w:val="00C017C5"/>
    <w:rsid w:val="00C0255B"/>
    <w:rsid w:val="00C0309F"/>
    <w:rsid w:val="00C030A0"/>
    <w:rsid w:val="00C0352B"/>
    <w:rsid w:val="00C03554"/>
    <w:rsid w:val="00C04111"/>
    <w:rsid w:val="00C04EC7"/>
    <w:rsid w:val="00C0500E"/>
    <w:rsid w:val="00C051D5"/>
    <w:rsid w:val="00C054BF"/>
    <w:rsid w:val="00C05AE7"/>
    <w:rsid w:val="00C060B9"/>
    <w:rsid w:val="00C0711F"/>
    <w:rsid w:val="00C1083C"/>
    <w:rsid w:val="00C10B18"/>
    <w:rsid w:val="00C10B92"/>
    <w:rsid w:val="00C12352"/>
    <w:rsid w:val="00C137EB"/>
    <w:rsid w:val="00C13B2D"/>
    <w:rsid w:val="00C14FA3"/>
    <w:rsid w:val="00C155D7"/>
    <w:rsid w:val="00C159FA"/>
    <w:rsid w:val="00C17B2C"/>
    <w:rsid w:val="00C2080D"/>
    <w:rsid w:val="00C22415"/>
    <w:rsid w:val="00C2263A"/>
    <w:rsid w:val="00C2278C"/>
    <w:rsid w:val="00C232B3"/>
    <w:rsid w:val="00C2354F"/>
    <w:rsid w:val="00C24735"/>
    <w:rsid w:val="00C24B18"/>
    <w:rsid w:val="00C24DC0"/>
    <w:rsid w:val="00C26413"/>
    <w:rsid w:val="00C26525"/>
    <w:rsid w:val="00C269D4"/>
    <w:rsid w:val="00C26D85"/>
    <w:rsid w:val="00C27096"/>
    <w:rsid w:val="00C2757C"/>
    <w:rsid w:val="00C27F8E"/>
    <w:rsid w:val="00C27FAF"/>
    <w:rsid w:val="00C30A81"/>
    <w:rsid w:val="00C31749"/>
    <w:rsid w:val="00C3197B"/>
    <w:rsid w:val="00C31BDC"/>
    <w:rsid w:val="00C34DF4"/>
    <w:rsid w:val="00C35652"/>
    <w:rsid w:val="00C35B84"/>
    <w:rsid w:val="00C3623E"/>
    <w:rsid w:val="00C36722"/>
    <w:rsid w:val="00C36AD6"/>
    <w:rsid w:val="00C3731D"/>
    <w:rsid w:val="00C40636"/>
    <w:rsid w:val="00C4160D"/>
    <w:rsid w:val="00C42390"/>
    <w:rsid w:val="00C42CB8"/>
    <w:rsid w:val="00C4301F"/>
    <w:rsid w:val="00C439CF"/>
    <w:rsid w:val="00C43DB8"/>
    <w:rsid w:val="00C45592"/>
    <w:rsid w:val="00C45A80"/>
    <w:rsid w:val="00C45B06"/>
    <w:rsid w:val="00C473BF"/>
    <w:rsid w:val="00C478EA"/>
    <w:rsid w:val="00C47D6A"/>
    <w:rsid w:val="00C50339"/>
    <w:rsid w:val="00C50BEB"/>
    <w:rsid w:val="00C51034"/>
    <w:rsid w:val="00C510FD"/>
    <w:rsid w:val="00C5191D"/>
    <w:rsid w:val="00C51B65"/>
    <w:rsid w:val="00C52764"/>
    <w:rsid w:val="00C52C3F"/>
    <w:rsid w:val="00C53D32"/>
    <w:rsid w:val="00C546B0"/>
    <w:rsid w:val="00C54720"/>
    <w:rsid w:val="00C54AFE"/>
    <w:rsid w:val="00C54EDD"/>
    <w:rsid w:val="00C55179"/>
    <w:rsid w:val="00C55504"/>
    <w:rsid w:val="00C558B2"/>
    <w:rsid w:val="00C5698F"/>
    <w:rsid w:val="00C576EC"/>
    <w:rsid w:val="00C57B79"/>
    <w:rsid w:val="00C60123"/>
    <w:rsid w:val="00C60134"/>
    <w:rsid w:val="00C60451"/>
    <w:rsid w:val="00C60AE0"/>
    <w:rsid w:val="00C61158"/>
    <w:rsid w:val="00C63144"/>
    <w:rsid w:val="00C63561"/>
    <w:rsid w:val="00C635D5"/>
    <w:rsid w:val="00C63A88"/>
    <w:rsid w:val="00C64473"/>
    <w:rsid w:val="00C65315"/>
    <w:rsid w:val="00C658B8"/>
    <w:rsid w:val="00C65FAA"/>
    <w:rsid w:val="00C6637E"/>
    <w:rsid w:val="00C67D2D"/>
    <w:rsid w:val="00C72A55"/>
    <w:rsid w:val="00C72D7A"/>
    <w:rsid w:val="00C74370"/>
    <w:rsid w:val="00C743A0"/>
    <w:rsid w:val="00C74A1A"/>
    <w:rsid w:val="00C74A84"/>
    <w:rsid w:val="00C74D05"/>
    <w:rsid w:val="00C74EC5"/>
    <w:rsid w:val="00C752ED"/>
    <w:rsid w:val="00C7537C"/>
    <w:rsid w:val="00C7577F"/>
    <w:rsid w:val="00C7585A"/>
    <w:rsid w:val="00C760F7"/>
    <w:rsid w:val="00C77480"/>
    <w:rsid w:val="00C7789A"/>
    <w:rsid w:val="00C81853"/>
    <w:rsid w:val="00C820EB"/>
    <w:rsid w:val="00C84000"/>
    <w:rsid w:val="00C8406E"/>
    <w:rsid w:val="00C84F57"/>
    <w:rsid w:val="00C85943"/>
    <w:rsid w:val="00C863B6"/>
    <w:rsid w:val="00C864A9"/>
    <w:rsid w:val="00C86BDB"/>
    <w:rsid w:val="00C874BC"/>
    <w:rsid w:val="00C875D9"/>
    <w:rsid w:val="00C87B18"/>
    <w:rsid w:val="00C87D5A"/>
    <w:rsid w:val="00C90913"/>
    <w:rsid w:val="00C91009"/>
    <w:rsid w:val="00C91BB8"/>
    <w:rsid w:val="00C92874"/>
    <w:rsid w:val="00C93616"/>
    <w:rsid w:val="00C94419"/>
    <w:rsid w:val="00C947EC"/>
    <w:rsid w:val="00C950A2"/>
    <w:rsid w:val="00C9586C"/>
    <w:rsid w:val="00C95A4D"/>
    <w:rsid w:val="00C95E57"/>
    <w:rsid w:val="00C96169"/>
    <w:rsid w:val="00C96221"/>
    <w:rsid w:val="00C968FC"/>
    <w:rsid w:val="00C969E1"/>
    <w:rsid w:val="00C97062"/>
    <w:rsid w:val="00C97261"/>
    <w:rsid w:val="00CA09D4"/>
    <w:rsid w:val="00CA1B47"/>
    <w:rsid w:val="00CA232C"/>
    <w:rsid w:val="00CA2A0A"/>
    <w:rsid w:val="00CA2CFD"/>
    <w:rsid w:val="00CA2D4F"/>
    <w:rsid w:val="00CA3636"/>
    <w:rsid w:val="00CA36D8"/>
    <w:rsid w:val="00CA4B6F"/>
    <w:rsid w:val="00CA63C0"/>
    <w:rsid w:val="00CA664B"/>
    <w:rsid w:val="00CA6F87"/>
    <w:rsid w:val="00CA6FCD"/>
    <w:rsid w:val="00CA7469"/>
    <w:rsid w:val="00CA7F3E"/>
    <w:rsid w:val="00CB0040"/>
    <w:rsid w:val="00CB00BD"/>
    <w:rsid w:val="00CB012C"/>
    <w:rsid w:val="00CB0423"/>
    <w:rsid w:val="00CB088B"/>
    <w:rsid w:val="00CB19EA"/>
    <w:rsid w:val="00CB1CFA"/>
    <w:rsid w:val="00CB1D8D"/>
    <w:rsid w:val="00CB23E5"/>
    <w:rsid w:val="00CB2709"/>
    <w:rsid w:val="00CB298E"/>
    <w:rsid w:val="00CB356D"/>
    <w:rsid w:val="00CB41C1"/>
    <w:rsid w:val="00CB5EA3"/>
    <w:rsid w:val="00CB68D5"/>
    <w:rsid w:val="00CB6F89"/>
    <w:rsid w:val="00CB79D1"/>
    <w:rsid w:val="00CC007E"/>
    <w:rsid w:val="00CC098E"/>
    <w:rsid w:val="00CC1B27"/>
    <w:rsid w:val="00CC2897"/>
    <w:rsid w:val="00CC30CD"/>
    <w:rsid w:val="00CC410E"/>
    <w:rsid w:val="00CC51F4"/>
    <w:rsid w:val="00CC53D5"/>
    <w:rsid w:val="00CD04D1"/>
    <w:rsid w:val="00CD07B7"/>
    <w:rsid w:val="00CD0981"/>
    <w:rsid w:val="00CD0A3F"/>
    <w:rsid w:val="00CD448E"/>
    <w:rsid w:val="00CD547F"/>
    <w:rsid w:val="00CD5F49"/>
    <w:rsid w:val="00CD64C4"/>
    <w:rsid w:val="00CD7418"/>
    <w:rsid w:val="00CD7AF4"/>
    <w:rsid w:val="00CD7E6C"/>
    <w:rsid w:val="00CE01A2"/>
    <w:rsid w:val="00CE0364"/>
    <w:rsid w:val="00CE04EA"/>
    <w:rsid w:val="00CE07E7"/>
    <w:rsid w:val="00CE1C49"/>
    <w:rsid w:val="00CE1CC5"/>
    <w:rsid w:val="00CE1E87"/>
    <w:rsid w:val="00CE228C"/>
    <w:rsid w:val="00CE3027"/>
    <w:rsid w:val="00CE3410"/>
    <w:rsid w:val="00CE3CED"/>
    <w:rsid w:val="00CE5DBC"/>
    <w:rsid w:val="00CE615B"/>
    <w:rsid w:val="00CE6568"/>
    <w:rsid w:val="00CE6C12"/>
    <w:rsid w:val="00CE75DD"/>
    <w:rsid w:val="00CF1CFF"/>
    <w:rsid w:val="00CF1E81"/>
    <w:rsid w:val="00CF22AA"/>
    <w:rsid w:val="00CF2653"/>
    <w:rsid w:val="00CF27B5"/>
    <w:rsid w:val="00CF2886"/>
    <w:rsid w:val="00CF344C"/>
    <w:rsid w:val="00CF37D7"/>
    <w:rsid w:val="00CF3C2E"/>
    <w:rsid w:val="00CF41E0"/>
    <w:rsid w:val="00CF430C"/>
    <w:rsid w:val="00CF4669"/>
    <w:rsid w:val="00CF507F"/>
    <w:rsid w:val="00CF50A6"/>
    <w:rsid w:val="00CF545B"/>
    <w:rsid w:val="00CF5795"/>
    <w:rsid w:val="00CF673C"/>
    <w:rsid w:val="00CF707A"/>
    <w:rsid w:val="00CF738B"/>
    <w:rsid w:val="00D00BE7"/>
    <w:rsid w:val="00D031D6"/>
    <w:rsid w:val="00D03A5E"/>
    <w:rsid w:val="00D03F01"/>
    <w:rsid w:val="00D04520"/>
    <w:rsid w:val="00D05A77"/>
    <w:rsid w:val="00D0656D"/>
    <w:rsid w:val="00D113B5"/>
    <w:rsid w:val="00D11471"/>
    <w:rsid w:val="00D11FF5"/>
    <w:rsid w:val="00D12438"/>
    <w:rsid w:val="00D13375"/>
    <w:rsid w:val="00D1397B"/>
    <w:rsid w:val="00D158E3"/>
    <w:rsid w:val="00D15F8F"/>
    <w:rsid w:val="00D166AC"/>
    <w:rsid w:val="00D16B34"/>
    <w:rsid w:val="00D16D94"/>
    <w:rsid w:val="00D175AA"/>
    <w:rsid w:val="00D17D3F"/>
    <w:rsid w:val="00D17E82"/>
    <w:rsid w:val="00D20762"/>
    <w:rsid w:val="00D20BA5"/>
    <w:rsid w:val="00D20BD0"/>
    <w:rsid w:val="00D21345"/>
    <w:rsid w:val="00D221F3"/>
    <w:rsid w:val="00D22996"/>
    <w:rsid w:val="00D22D06"/>
    <w:rsid w:val="00D23FB1"/>
    <w:rsid w:val="00D249D6"/>
    <w:rsid w:val="00D25B5F"/>
    <w:rsid w:val="00D26044"/>
    <w:rsid w:val="00D26769"/>
    <w:rsid w:val="00D274B1"/>
    <w:rsid w:val="00D27567"/>
    <w:rsid w:val="00D27B3D"/>
    <w:rsid w:val="00D27D69"/>
    <w:rsid w:val="00D27E60"/>
    <w:rsid w:val="00D308E8"/>
    <w:rsid w:val="00D30F12"/>
    <w:rsid w:val="00D30FBB"/>
    <w:rsid w:val="00D3128F"/>
    <w:rsid w:val="00D326BD"/>
    <w:rsid w:val="00D32901"/>
    <w:rsid w:val="00D330C9"/>
    <w:rsid w:val="00D33100"/>
    <w:rsid w:val="00D33DFC"/>
    <w:rsid w:val="00D344C9"/>
    <w:rsid w:val="00D34949"/>
    <w:rsid w:val="00D34CA3"/>
    <w:rsid w:val="00D375B4"/>
    <w:rsid w:val="00D427CA"/>
    <w:rsid w:val="00D432E3"/>
    <w:rsid w:val="00D43488"/>
    <w:rsid w:val="00D44452"/>
    <w:rsid w:val="00D4470F"/>
    <w:rsid w:val="00D448C2"/>
    <w:rsid w:val="00D4621E"/>
    <w:rsid w:val="00D46538"/>
    <w:rsid w:val="00D468F7"/>
    <w:rsid w:val="00D47BDE"/>
    <w:rsid w:val="00D502CF"/>
    <w:rsid w:val="00D50B0A"/>
    <w:rsid w:val="00D5131A"/>
    <w:rsid w:val="00D52BFC"/>
    <w:rsid w:val="00D53A2B"/>
    <w:rsid w:val="00D53D70"/>
    <w:rsid w:val="00D545E7"/>
    <w:rsid w:val="00D55D41"/>
    <w:rsid w:val="00D5625D"/>
    <w:rsid w:val="00D573FE"/>
    <w:rsid w:val="00D60BAF"/>
    <w:rsid w:val="00D62931"/>
    <w:rsid w:val="00D62B8D"/>
    <w:rsid w:val="00D62BC4"/>
    <w:rsid w:val="00D63801"/>
    <w:rsid w:val="00D657AC"/>
    <w:rsid w:val="00D65F13"/>
    <w:rsid w:val="00D666C3"/>
    <w:rsid w:val="00D700D7"/>
    <w:rsid w:val="00D70329"/>
    <w:rsid w:val="00D7042C"/>
    <w:rsid w:val="00D715F5"/>
    <w:rsid w:val="00D71615"/>
    <w:rsid w:val="00D718B9"/>
    <w:rsid w:val="00D71C1C"/>
    <w:rsid w:val="00D72769"/>
    <w:rsid w:val="00D72B32"/>
    <w:rsid w:val="00D74BBA"/>
    <w:rsid w:val="00D74DBA"/>
    <w:rsid w:val="00D76C3D"/>
    <w:rsid w:val="00D806A3"/>
    <w:rsid w:val="00D80829"/>
    <w:rsid w:val="00D80EFF"/>
    <w:rsid w:val="00D80F3C"/>
    <w:rsid w:val="00D81592"/>
    <w:rsid w:val="00D819D0"/>
    <w:rsid w:val="00D81AE4"/>
    <w:rsid w:val="00D81EDC"/>
    <w:rsid w:val="00D82C80"/>
    <w:rsid w:val="00D83BC6"/>
    <w:rsid w:val="00D83EE9"/>
    <w:rsid w:val="00D84C29"/>
    <w:rsid w:val="00D852CF"/>
    <w:rsid w:val="00D852D4"/>
    <w:rsid w:val="00D85B40"/>
    <w:rsid w:val="00D86734"/>
    <w:rsid w:val="00D86A3F"/>
    <w:rsid w:val="00D87206"/>
    <w:rsid w:val="00D875B2"/>
    <w:rsid w:val="00D9137B"/>
    <w:rsid w:val="00D9365C"/>
    <w:rsid w:val="00D93B67"/>
    <w:rsid w:val="00D94910"/>
    <w:rsid w:val="00D9542B"/>
    <w:rsid w:val="00D959E2"/>
    <w:rsid w:val="00D95EA7"/>
    <w:rsid w:val="00D97040"/>
    <w:rsid w:val="00D9773F"/>
    <w:rsid w:val="00DA0096"/>
    <w:rsid w:val="00DA05BA"/>
    <w:rsid w:val="00DA0D2D"/>
    <w:rsid w:val="00DA10C1"/>
    <w:rsid w:val="00DA1298"/>
    <w:rsid w:val="00DA2F85"/>
    <w:rsid w:val="00DA2FD0"/>
    <w:rsid w:val="00DA36CC"/>
    <w:rsid w:val="00DA3AE5"/>
    <w:rsid w:val="00DA3ED4"/>
    <w:rsid w:val="00DA4977"/>
    <w:rsid w:val="00DA5525"/>
    <w:rsid w:val="00DA56DA"/>
    <w:rsid w:val="00DA57A2"/>
    <w:rsid w:val="00DA6116"/>
    <w:rsid w:val="00DA6EE0"/>
    <w:rsid w:val="00DA7692"/>
    <w:rsid w:val="00DA7747"/>
    <w:rsid w:val="00DA79DA"/>
    <w:rsid w:val="00DA7A94"/>
    <w:rsid w:val="00DB0771"/>
    <w:rsid w:val="00DB0CC6"/>
    <w:rsid w:val="00DB15C4"/>
    <w:rsid w:val="00DB2214"/>
    <w:rsid w:val="00DB3CBA"/>
    <w:rsid w:val="00DB4709"/>
    <w:rsid w:val="00DB4E76"/>
    <w:rsid w:val="00DB5725"/>
    <w:rsid w:val="00DB60A2"/>
    <w:rsid w:val="00DB6F7D"/>
    <w:rsid w:val="00DB7976"/>
    <w:rsid w:val="00DB7C60"/>
    <w:rsid w:val="00DC0475"/>
    <w:rsid w:val="00DC073A"/>
    <w:rsid w:val="00DC1A35"/>
    <w:rsid w:val="00DC253D"/>
    <w:rsid w:val="00DC2BF6"/>
    <w:rsid w:val="00DC300F"/>
    <w:rsid w:val="00DC4BEF"/>
    <w:rsid w:val="00DC4D30"/>
    <w:rsid w:val="00DC4DBF"/>
    <w:rsid w:val="00DC533E"/>
    <w:rsid w:val="00DC5E7F"/>
    <w:rsid w:val="00DC6E28"/>
    <w:rsid w:val="00DC7659"/>
    <w:rsid w:val="00DD0AD6"/>
    <w:rsid w:val="00DD0BA9"/>
    <w:rsid w:val="00DD1DC3"/>
    <w:rsid w:val="00DD1EAE"/>
    <w:rsid w:val="00DD1F1F"/>
    <w:rsid w:val="00DD1F40"/>
    <w:rsid w:val="00DD2662"/>
    <w:rsid w:val="00DD4CB4"/>
    <w:rsid w:val="00DD5872"/>
    <w:rsid w:val="00DD6C3A"/>
    <w:rsid w:val="00DD75FB"/>
    <w:rsid w:val="00DE0702"/>
    <w:rsid w:val="00DE0ACA"/>
    <w:rsid w:val="00DE3DA2"/>
    <w:rsid w:val="00DE4A84"/>
    <w:rsid w:val="00DE4D6D"/>
    <w:rsid w:val="00DE4E56"/>
    <w:rsid w:val="00DE5B61"/>
    <w:rsid w:val="00DE6BCD"/>
    <w:rsid w:val="00DE6BE6"/>
    <w:rsid w:val="00DE7F36"/>
    <w:rsid w:val="00DF091E"/>
    <w:rsid w:val="00DF1776"/>
    <w:rsid w:val="00DF1DE4"/>
    <w:rsid w:val="00DF457C"/>
    <w:rsid w:val="00DF47FE"/>
    <w:rsid w:val="00DF5C94"/>
    <w:rsid w:val="00DF66D8"/>
    <w:rsid w:val="00DF6A83"/>
    <w:rsid w:val="00E00CD4"/>
    <w:rsid w:val="00E00F42"/>
    <w:rsid w:val="00E00F68"/>
    <w:rsid w:val="00E01251"/>
    <w:rsid w:val="00E014D6"/>
    <w:rsid w:val="00E017FD"/>
    <w:rsid w:val="00E0186F"/>
    <w:rsid w:val="00E0339F"/>
    <w:rsid w:val="00E041DD"/>
    <w:rsid w:val="00E06DCD"/>
    <w:rsid w:val="00E070D7"/>
    <w:rsid w:val="00E102D2"/>
    <w:rsid w:val="00E1074D"/>
    <w:rsid w:val="00E1126E"/>
    <w:rsid w:val="00E11D10"/>
    <w:rsid w:val="00E11DD0"/>
    <w:rsid w:val="00E12C71"/>
    <w:rsid w:val="00E13EE8"/>
    <w:rsid w:val="00E1608C"/>
    <w:rsid w:val="00E1614A"/>
    <w:rsid w:val="00E165D2"/>
    <w:rsid w:val="00E16ACA"/>
    <w:rsid w:val="00E17A7C"/>
    <w:rsid w:val="00E17ABB"/>
    <w:rsid w:val="00E17DC9"/>
    <w:rsid w:val="00E20705"/>
    <w:rsid w:val="00E207E6"/>
    <w:rsid w:val="00E21F33"/>
    <w:rsid w:val="00E2204B"/>
    <w:rsid w:val="00E2367C"/>
    <w:rsid w:val="00E23803"/>
    <w:rsid w:val="00E23A72"/>
    <w:rsid w:val="00E23D66"/>
    <w:rsid w:val="00E23F4A"/>
    <w:rsid w:val="00E2448E"/>
    <w:rsid w:val="00E26081"/>
    <w:rsid w:val="00E260AC"/>
    <w:rsid w:val="00E2633C"/>
    <w:rsid w:val="00E26704"/>
    <w:rsid w:val="00E2689A"/>
    <w:rsid w:val="00E26A5C"/>
    <w:rsid w:val="00E26E5D"/>
    <w:rsid w:val="00E26E70"/>
    <w:rsid w:val="00E27261"/>
    <w:rsid w:val="00E2757D"/>
    <w:rsid w:val="00E2758A"/>
    <w:rsid w:val="00E2791C"/>
    <w:rsid w:val="00E309BB"/>
    <w:rsid w:val="00E3142C"/>
    <w:rsid w:val="00E316C8"/>
    <w:rsid w:val="00E3189B"/>
    <w:rsid w:val="00E31980"/>
    <w:rsid w:val="00E32B2E"/>
    <w:rsid w:val="00E330C2"/>
    <w:rsid w:val="00E330F7"/>
    <w:rsid w:val="00E3363A"/>
    <w:rsid w:val="00E363F8"/>
    <w:rsid w:val="00E369AB"/>
    <w:rsid w:val="00E3719D"/>
    <w:rsid w:val="00E407C9"/>
    <w:rsid w:val="00E41272"/>
    <w:rsid w:val="00E41331"/>
    <w:rsid w:val="00E4152F"/>
    <w:rsid w:val="00E41970"/>
    <w:rsid w:val="00E421D3"/>
    <w:rsid w:val="00E424B7"/>
    <w:rsid w:val="00E42E00"/>
    <w:rsid w:val="00E43348"/>
    <w:rsid w:val="00E46082"/>
    <w:rsid w:val="00E4610F"/>
    <w:rsid w:val="00E46DEC"/>
    <w:rsid w:val="00E508C2"/>
    <w:rsid w:val="00E50E0E"/>
    <w:rsid w:val="00E52B7F"/>
    <w:rsid w:val="00E52E01"/>
    <w:rsid w:val="00E554D7"/>
    <w:rsid w:val="00E564C0"/>
    <w:rsid w:val="00E571BD"/>
    <w:rsid w:val="00E57C4B"/>
    <w:rsid w:val="00E60B17"/>
    <w:rsid w:val="00E620E4"/>
    <w:rsid w:val="00E63299"/>
    <w:rsid w:val="00E63873"/>
    <w:rsid w:val="00E638E3"/>
    <w:rsid w:val="00E63E1E"/>
    <w:rsid w:val="00E6423C"/>
    <w:rsid w:val="00E64284"/>
    <w:rsid w:val="00E64DE8"/>
    <w:rsid w:val="00E65F1E"/>
    <w:rsid w:val="00E65F7F"/>
    <w:rsid w:val="00E67C11"/>
    <w:rsid w:val="00E700A3"/>
    <w:rsid w:val="00E700E6"/>
    <w:rsid w:val="00E70818"/>
    <w:rsid w:val="00E7119E"/>
    <w:rsid w:val="00E71ED8"/>
    <w:rsid w:val="00E722BE"/>
    <w:rsid w:val="00E72B57"/>
    <w:rsid w:val="00E73362"/>
    <w:rsid w:val="00E7483E"/>
    <w:rsid w:val="00E754BF"/>
    <w:rsid w:val="00E76B01"/>
    <w:rsid w:val="00E76C8A"/>
    <w:rsid w:val="00E77C6D"/>
    <w:rsid w:val="00E77C90"/>
    <w:rsid w:val="00E8075D"/>
    <w:rsid w:val="00E82FD0"/>
    <w:rsid w:val="00E83134"/>
    <w:rsid w:val="00E83BCC"/>
    <w:rsid w:val="00E83FAB"/>
    <w:rsid w:val="00E8434E"/>
    <w:rsid w:val="00E843B7"/>
    <w:rsid w:val="00E84EDE"/>
    <w:rsid w:val="00E861ED"/>
    <w:rsid w:val="00E86DC9"/>
    <w:rsid w:val="00E90C4B"/>
    <w:rsid w:val="00E910B6"/>
    <w:rsid w:val="00E910D1"/>
    <w:rsid w:val="00E9181E"/>
    <w:rsid w:val="00E91A90"/>
    <w:rsid w:val="00E9280F"/>
    <w:rsid w:val="00E92F26"/>
    <w:rsid w:val="00E9349A"/>
    <w:rsid w:val="00E93830"/>
    <w:rsid w:val="00E9388E"/>
    <w:rsid w:val="00E93C25"/>
    <w:rsid w:val="00E93E0E"/>
    <w:rsid w:val="00E94B66"/>
    <w:rsid w:val="00E95136"/>
    <w:rsid w:val="00E95DC1"/>
    <w:rsid w:val="00E976D2"/>
    <w:rsid w:val="00EA0A2C"/>
    <w:rsid w:val="00EA1C8F"/>
    <w:rsid w:val="00EA1DBD"/>
    <w:rsid w:val="00EA344F"/>
    <w:rsid w:val="00EA3AFD"/>
    <w:rsid w:val="00EA42D5"/>
    <w:rsid w:val="00EA48C2"/>
    <w:rsid w:val="00EA4C0E"/>
    <w:rsid w:val="00EA65C0"/>
    <w:rsid w:val="00EA7AF3"/>
    <w:rsid w:val="00EA7B94"/>
    <w:rsid w:val="00EA7F86"/>
    <w:rsid w:val="00EB01C0"/>
    <w:rsid w:val="00EB0AEF"/>
    <w:rsid w:val="00EB12EB"/>
    <w:rsid w:val="00EB1ED3"/>
    <w:rsid w:val="00EB2E1B"/>
    <w:rsid w:val="00EB3C89"/>
    <w:rsid w:val="00EB4B5C"/>
    <w:rsid w:val="00EB4F19"/>
    <w:rsid w:val="00EB4F8B"/>
    <w:rsid w:val="00EB557A"/>
    <w:rsid w:val="00EB55BB"/>
    <w:rsid w:val="00EB630F"/>
    <w:rsid w:val="00EB6381"/>
    <w:rsid w:val="00EB6F45"/>
    <w:rsid w:val="00EC12DA"/>
    <w:rsid w:val="00EC1F9A"/>
    <w:rsid w:val="00EC2BF3"/>
    <w:rsid w:val="00EC2D51"/>
    <w:rsid w:val="00EC2E3F"/>
    <w:rsid w:val="00EC31C7"/>
    <w:rsid w:val="00EC4598"/>
    <w:rsid w:val="00EC659E"/>
    <w:rsid w:val="00EC6791"/>
    <w:rsid w:val="00EC6D60"/>
    <w:rsid w:val="00EC701E"/>
    <w:rsid w:val="00EC7AEF"/>
    <w:rsid w:val="00EC7DF7"/>
    <w:rsid w:val="00ED01DB"/>
    <w:rsid w:val="00ED055F"/>
    <w:rsid w:val="00ED147F"/>
    <w:rsid w:val="00ED28CB"/>
    <w:rsid w:val="00ED3327"/>
    <w:rsid w:val="00ED3A0A"/>
    <w:rsid w:val="00ED3B49"/>
    <w:rsid w:val="00ED5BF0"/>
    <w:rsid w:val="00ED6CBA"/>
    <w:rsid w:val="00ED6FE8"/>
    <w:rsid w:val="00ED7B69"/>
    <w:rsid w:val="00EE20A5"/>
    <w:rsid w:val="00EE227D"/>
    <w:rsid w:val="00EE2C6B"/>
    <w:rsid w:val="00EE3CBD"/>
    <w:rsid w:val="00EE3D9D"/>
    <w:rsid w:val="00EE40EF"/>
    <w:rsid w:val="00EE4713"/>
    <w:rsid w:val="00EE484C"/>
    <w:rsid w:val="00EE4F33"/>
    <w:rsid w:val="00EE5B06"/>
    <w:rsid w:val="00EE5BCA"/>
    <w:rsid w:val="00EE701D"/>
    <w:rsid w:val="00EF0152"/>
    <w:rsid w:val="00EF05BD"/>
    <w:rsid w:val="00EF12AA"/>
    <w:rsid w:val="00EF38F4"/>
    <w:rsid w:val="00EF3A5B"/>
    <w:rsid w:val="00EF3B9E"/>
    <w:rsid w:val="00EF4FE3"/>
    <w:rsid w:val="00EF625A"/>
    <w:rsid w:val="00EF6CA4"/>
    <w:rsid w:val="00EF779D"/>
    <w:rsid w:val="00EF788F"/>
    <w:rsid w:val="00EF78AD"/>
    <w:rsid w:val="00F0005E"/>
    <w:rsid w:val="00F00922"/>
    <w:rsid w:val="00F00AEE"/>
    <w:rsid w:val="00F01B59"/>
    <w:rsid w:val="00F03815"/>
    <w:rsid w:val="00F03AA5"/>
    <w:rsid w:val="00F03F2A"/>
    <w:rsid w:val="00F04D12"/>
    <w:rsid w:val="00F0500E"/>
    <w:rsid w:val="00F068AE"/>
    <w:rsid w:val="00F1049C"/>
    <w:rsid w:val="00F10E71"/>
    <w:rsid w:val="00F116C2"/>
    <w:rsid w:val="00F12768"/>
    <w:rsid w:val="00F12A9A"/>
    <w:rsid w:val="00F13385"/>
    <w:rsid w:val="00F13564"/>
    <w:rsid w:val="00F1369F"/>
    <w:rsid w:val="00F13F05"/>
    <w:rsid w:val="00F169B0"/>
    <w:rsid w:val="00F174C2"/>
    <w:rsid w:val="00F179FE"/>
    <w:rsid w:val="00F21DB3"/>
    <w:rsid w:val="00F220C4"/>
    <w:rsid w:val="00F23E34"/>
    <w:rsid w:val="00F25A1A"/>
    <w:rsid w:val="00F26395"/>
    <w:rsid w:val="00F271A0"/>
    <w:rsid w:val="00F2773E"/>
    <w:rsid w:val="00F2781C"/>
    <w:rsid w:val="00F27EFE"/>
    <w:rsid w:val="00F30003"/>
    <w:rsid w:val="00F31E6D"/>
    <w:rsid w:val="00F32DA4"/>
    <w:rsid w:val="00F35441"/>
    <w:rsid w:val="00F35C22"/>
    <w:rsid w:val="00F3675B"/>
    <w:rsid w:val="00F36CF7"/>
    <w:rsid w:val="00F37313"/>
    <w:rsid w:val="00F40602"/>
    <w:rsid w:val="00F40D9B"/>
    <w:rsid w:val="00F414CB"/>
    <w:rsid w:val="00F41E59"/>
    <w:rsid w:val="00F42BCA"/>
    <w:rsid w:val="00F4347E"/>
    <w:rsid w:val="00F4399E"/>
    <w:rsid w:val="00F45237"/>
    <w:rsid w:val="00F455DC"/>
    <w:rsid w:val="00F46655"/>
    <w:rsid w:val="00F47127"/>
    <w:rsid w:val="00F4754F"/>
    <w:rsid w:val="00F476A2"/>
    <w:rsid w:val="00F47D2F"/>
    <w:rsid w:val="00F50BF2"/>
    <w:rsid w:val="00F50C5B"/>
    <w:rsid w:val="00F50CEF"/>
    <w:rsid w:val="00F512DC"/>
    <w:rsid w:val="00F515A6"/>
    <w:rsid w:val="00F51BBA"/>
    <w:rsid w:val="00F5305C"/>
    <w:rsid w:val="00F5445D"/>
    <w:rsid w:val="00F549B9"/>
    <w:rsid w:val="00F55946"/>
    <w:rsid w:val="00F56895"/>
    <w:rsid w:val="00F56F25"/>
    <w:rsid w:val="00F578B6"/>
    <w:rsid w:val="00F61A0A"/>
    <w:rsid w:val="00F61E35"/>
    <w:rsid w:val="00F623DC"/>
    <w:rsid w:val="00F62444"/>
    <w:rsid w:val="00F62E57"/>
    <w:rsid w:val="00F6357F"/>
    <w:rsid w:val="00F63A2D"/>
    <w:rsid w:val="00F64042"/>
    <w:rsid w:val="00F6463E"/>
    <w:rsid w:val="00F6479D"/>
    <w:rsid w:val="00F64C3F"/>
    <w:rsid w:val="00F6760A"/>
    <w:rsid w:val="00F677CC"/>
    <w:rsid w:val="00F70CF6"/>
    <w:rsid w:val="00F70E09"/>
    <w:rsid w:val="00F70EB9"/>
    <w:rsid w:val="00F71633"/>
    <w:rsid w:val="00F71A5E"/>
    <w:rsid w:val="00F72354"/>
    <w:rsid w:val="00F7297B"/>
    <w:rsid w:val="00F72F36"/>
    <w:rsid w:val="00F73581"/>
    <w:rsid w:val="00F73A45"/>
    <w:rsid w:val="00F74BE5"/>
    <w:rsid w:val="00F74C26"/>
    <w:rsid w:val="00F77F8B"/>
    <w:rsid w:val="00F81280"/>
    <w:rsid w:val="00F81F79"/>
    <w:rsid w:val="00F82B3B"/>
    <w:rsid w:val="00F84060"/>
    <w:rsid w:val="00F85A61"/>
    <w:rsid w:val="00F86F7A"/>
    <w:rsid w:val="00F87F25"/>
    <w:rsid w:val="00F87F94"/>
    <w:rsid w:val="00F907FA"/>
    <w:rsid w:val="00F90C0B"/>
    <w:rsid w:val="00F91278"/>
    <w:rsid w:val="00F915C2"/>
    <w:rsid w:val="00F91A68"/>
    <w:rsid w:val="00F91C80"/>
    <w:rsid w:val="00F91E77"/>
    <w:rsid w:val="00F92017"/>
    <w:rsid w:val="00F9227A"/>
    <w:rsid w:val="00F92950"/>
    <w:rsid w:val="00F92F9A"/>
    <w:rsid w:val="00F93F26"/>
    <w:rsid w:val="00F9474E"/>
    <w:rsid w:val="00F94D70"/>
    <w:rsid w:val="00F954B9"/>
    <w:rsid w:val="00F95B02"/>
    <w:rsid w:val="00F96555"/>
    <w:rsid w:val="00F96765"/>
    <w:rsid w:val="00F967B1"/>
    <w:rsid w:val="00F96F6C"/>
    <w:rsid w:val="00F97CCA"/>
    <w:rsid w:val="00FA051F"/>
    <w:rsid w:val="00FA0904"/>
    <w:rsid w:val="00FA2E2F"/>
    <w:rsid w:val="00FA3ABC"/>
    <w:rsid w:val="00FA3D9D"/>
    <w:rsid w:val="00FA57A6"/>
    <w:rsid w:val="00FA672B"/>
    <w:rsid w:val="00FA78D5"/>
    <w:rsid w:val="00FB0388"/>
    <w:rsid w:val="00FB07FA"/>
    <w:rsid w:val="00FB109A"/>
    <w:rsid w:val="00FB11E5"/>
    <w:rsid w:val="00FB1415"/>
    <w:rsid w:val="00FB1E54"/>
    <w:rsid w:val="00FB20C3"/>
    <w:rsid w:val="00FB2BF4"/>
    <w:rsid w:val="00FB3E4B"/>
    <w:rsid w:val="00FB41D4"/>
    <w:rsid w:val="00FB458F"/>
    <w:rsid w:val="00FB4639"/>
    <w:rsid w:val="00FB566D"/>
    <w:rsid w:val="00FB5889"/>
    <w:rsid w:val="00FB5C8A"/>
    <w:rsid w:val="00FB6173"/>
    <w:rsid w:val="00FB687C"/>
    <w:rsid w:val="00FB6BCB"/>
    <w:rsid w:val="00FB7E0F"/>
    <w:rsid w:val="00FC0B20"/>
    <w:rsid w:val="00FC1CBB"/>
    <w:rsid w:val="00FC4D7F"/>
    <w:rsid w:val="00FC5D0B"/>
    <w:rsid w:val="00FC7593"/>
    <w:rsid w:val="00FD195C"/>
    <w:rsid w:val="00FD1B9E"/>
    <w:rsid w:val="00FD1E0A"/>
    <w:rsid w:val="00FD2E7E"/>
    <w:rsid w:val="00FD3187"/>
    <w:rsid w:val="00FD4839"/>
    <w:rsid w:val="00FD51EB"/>
    <w:rsid w:val="00FD5B15"/>
    <w:rsid w:val="00FD5E47"/>
    <w:rsid w:val="00FD63F3"/>
    <w:rsid w:val="00FD6B25"/>
    <w:rsid w:val="00FD6C74"/>
    <w:rsid w:val="00FD6D15"/>
    <w:rsid w:val="00FD6DEA"/>
    <w:rsid w:val="00FD739D"/>
    <w:rsid w:val="00FE0B91"/>
    <w:rsid w:val="00FE0C2F"/>
    <w:rsid w:val="00FE14B7"/>
    <w:rsid w:val="00FE1513"/>
    <w:rsid w:val="00FE3328"/>
    <w:rsid w:val="00FE355C"/>
    <w:rsid w:val="00FE4662"/>
    <w:rsid w:val="00FE5AAD"/>
    <w:rsid w:val="00FE606F"/>
    <w:rsid w:val="00FE64D2"/>
    <w:rsid w:val="00FE7EFA"/>
    <w:rsid w:val="00FF04A2"/>
    <w:rsid w:val="00FF04D9"/>
    <w:rsid w:val="00FF12BB"/>
    <w:rsid w:val="00FF15EB"/>
    <w:rsid w:val="00FF2AEF"/>
    <w:rsid w:val="00FF2BAB"/>
    <w:rsid w:val="00FF2D6A"/>
    <w:rsid w:val="00FF2DAD"/>
    <w:rsid w:val="00FF301C"/>
    <w:rsid w:val="00FF3DA2"/>
    <w:rsid w:val="00FF465A"/>
    <w:rsid w:val="00FF557A"/>
    <w:rsid w:val="00FF55B1"/>
    <w:rsid w:val="00FF6661"/>
    <w:rsid w:val="00FF6B74"/>
    <w:rsid w:val="00FF79E3"/>
    <w:rsid w:val="00FF7B39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26B5CCA"/>
  <w15:docId w15:val="{9254F918-8816-4AC9-A73A-D5EE998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aliases w:val="Text pozn. pod čarou_martin_ang"/>
    <w:basedOn w:val="Normln"/>
    <w:link w:val="TextpoznpodarouChar"/>
    <w:uiPriority w:val="99"/>
    <w:qFormat/>
    <w:rsid w:val="007F6239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7F6239"/>
    <w:rPr>
      <w:rFonts w:ascii="Arial" w:hAnsi="Arial"/>
    </w:rPr>
  </w:style>
  <w:style w:type="character" w:styleId="Znakapoznpodarou">
    <w:name w:val="footnote reference"/>
    <w:rsid w:val="007F6239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C65FAA"/>
    <w:pPr>
      <w:spacing w:after="240" w:line="240" w:lineRule="auto"/>
    </w:pPr>
    <w:rPr>
      <w:rFonts w:eastAsia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5FAA"/>
    <w:rPr>
      <w:rFonts w:ascii="Arial" w:eastAsia="Times New Roman" w:hAnsi="Arial"/>
    </w:rPr>
  </w:style>
  <w:style w:type="character" w:customStyle="1" w:styleId="odkaz-style-wrapper">
    <w:name w:val="odkaz-style-wrapper"/>
    <w:basedOn w:val="Standardnpsmoodstavce"/>
    <w:rsid w:val="00614585"/>
  </w:style>
  <w:style w:type="character" w:styleId="Odkaznakoment">
    <w:name w:val="annotation reference"/>
    <w:basedOn w:val="Standardnpsmoodstavce"/>
    <w:uiPriority w:val="99"/>
    <w:semiHidden/>
    <w:unhideWhenUsed/>
    <w:rsid w:val="009015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5C7"/>
    <w:pPr>
      <w:spacing w:after="0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5C7"/>
    <w:rPr>
      <w:rFonts w:ascii="Arial" w:eastAsia="Times New Roman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C6E2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B5A01"/>
    <w:rPr>
      <w:rFonts w:ascii="Arial" w:hAnsi="Arial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4AB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766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C8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21" Type="http://schemas.openxmlformats.org/officeDocument/2006/relationships/image" Target="media/image11.emf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4.emf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bojnikova31519\AppData\Local\Temp\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1BBA9E39CFCF469C5C18733081B222" ma:contentTypeVersion="2" ma:contentTypeDescription="Vytvoří nový dokument" ma:contentTypeScope="" ma:versionID="eb01c1c0223ab0a1c9372071ddfa2e5f">
  <xsd:schema xmlns:xsd="http://www.w3.org/2001/XMLSchema" xmlns:xs="http://www.w3.org/2001/XMLSchema" xmlns:p="http://schemas.microsoft.com/office/2006/metadata/properties" xmlns:ns2="eabc42bd-08fe-4a27-9645-04f6ad96d74a" targetNamespace="http://schemas.microsoft.com/office/2006/metadata/properties" ma:root="true" ma:fieldsID="3d4f44d82d427914eb8ec1afbd279452" ns2:_="">
    <xsd:import namespace="eabc42bd-08fe-4a27-9645-04f6ad96d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c42bd-08fe-4a27-9645-04f6ad96d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683EC-C4A0-4124-91C6-63C92FD7D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c42bd-08fe-4a27-9645-04f6ad96d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67371-FBC2-4717-85E0-060A0303E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4E68F-A674-4619-ABE6-DA51049F7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5F249-BEFC-431C-BB77-6404662C6E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CZ.dotx</Template>
  <TotalTime>1393</TotalTime>
  <Pages>14</Pages>
  <Words>1736</Words>
  <Characters>10246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11959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Karolína Zábojníková</dc:creator>
  <cp:lastModifiedBy>Košťáková Tereza</cp:lastModifiedBy>
  <cp:revision>8</cp:revision>
  <cp:lastPrinted>2024-01-10T14:24:00Z</cp:lastPrinted>
  <dcterms:created xsi:type="dcterms:W3CDTF">2026-01-13T08:23:00Z</dcterms:created>
  <dcterms:modified xsi:type="dcterms:W3CDTF">2026-01-19T09:18:00Z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0x010100331BBA9E39CFCF469C5C18733081B222</vt:lpwstr>
  </property>
</Properties>
</file>