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2047F" w14:textId="77777777" w:rsidR="00927BC1" w:rsidRPr="00B131B0" w:rsidRDefault="00927BC1" w:rsidP="00927BC1">
      <w:pPr>
        <w:pStyle w:val="Nadpis1"/>
        <w:rPr>
          <w:lang w:val="en-GB"/>
        </w:rPr>
      </w:pPr>
      <w:bookmarkStart w:id="0" w:name="_Toc193366677"/>
      <w:bookmarkStart w:id="1" w:name="_Toc242958683"/>
      <w:bookmarkStart w:id="2" w:name="_Toc232503735"/>
      <w:r w:rsidRPr="00B131B0">
        <w:rPr>
          <w:lang w:val="en-GB"/>
        </w:rPr>
        <w:t>3. </w:t>
      </w:r>
      <w:r>
        <w:rPr>
          <w:lang w:val="en-GB"/>
        </w:rPr>
        <w:t>Branches Performance</w:t>
      </w:r>
      <w:bookmarkEnd w:id="1"/>
    </w:p>
    <w:tbl>
      <w:tblPr>
        <w:tblW w:w="9658" w:type="dxa"/>
        <w:tblInd w:w="-20" w:type="dxa"/>
        <w:tblLayout w:type="fixed"/>
        <w:tblCellMar>
          <w:left w:w="0" w:type="dxa"/>
          <w:right w:w="0" w:type="dxa"/>
        </w:tblCellMar>
        <w:tblLook w:val="00A0" w:firstRow="1" w:lastRow="0" w:firstColumn="1" w:lastColumn="0" w:noHBand="0" w:noVBand="0"/>
      </w:tblPr>
      <w:tblGrid>
        <w:gridCol w:w="1863"/>
        <w:gridCol w:w="142"/>
        <w:gridCol w:w="18"/>
        <w:gridCol w:w="7635"/>
      </w:tblGrid>
      <w:tr w:rsidR="00927BC1" w:rsidRPr="00B131B0" w14:paraId="19DCE1FE" w14:textId="77777777" w:rsidTr="00D60677">
        <w:trPr>
          <w:trHeight w:val="145"/>
        </w:trPr>
        <w:tc>
          <w:tcPr>
            <w:tcW w:w="9658" w:type="dxa"/>
            <w:gridSpan w:val="4"/>
            <w:tcMar>
              <w:left w:w="0" w:type="dxa"/>
            </w:tcMar>
          </w:tcPr>
          <w:p w14:paraId="33F35A53" w14:textId="77777777" w:rsidR="00927BC1" w:rsidRPr="00B131B0" w:rsidRDefault="00927BC1" w:rsidP="00D60677">
            <w:pPr>
              <w:pStyle w:val="Nadpis3"/>
              <w:rPr>
                <w:color w:val="0D0D0D" w:themeColor="text1" w:themeTint="F2"/>
                <w:spacing w:val="-4"/>
                <w:lang w:val="en-GB"/>
              </w:rPr>
            </w:pPr>
            <w:bookmarkStart w:id="3" w:name="_Toc242958684"/>
            <w:r w:rsidRPr="00B131B0">
              <w:rPr>
                <w:lang w:val="en-GB" w:eastAsia="en-US"/>
              </w:rPr>
              <w:t xml:space="preserve">3.1 </w:t>
            </w:r>
            <w:r>
              <w:rPr>
                <w:lang w:val="en-GB" w:eastAsia="en-US"/>
              </w:rPr>
              <w:t>Agriculture and Industry</w:t>
            </w:r>
            <w:bookmarkEnd w:id="3"/>
          </w:p>
        </w:tc>
      </w:tr>
      <w:tr w:rsidR="00927BC1" w:rsidRPr="00B131B0" w14:paraId="6C4C7D35" w14:textId="77777777" w:rsidTr="00D60677">
        <w:trPr>
          <w:trHeight w:val="145"/>
        </w:trPr>
        <w:tc>
          <w:tcPr>
            <w:tcW w:w="1863" w:type="dxa"/>
            <w:tcMar>
              <w:left w:w="0" w:type="dxa"/>
            </w:tcMar>
          </w:tcPr>
          <w:p w14:paraId="49D69DD2" w14:textId="77777777" w:rsidR="00927BC1" w:rsidRPr="00B131B0" w:rsidRDefault="00927BC1" w:rsidP="00D60677">
            <w:pPr>
              <w:pStyle w:val="Marginlie"/>
              <w:spacing w:after="240"/>
              <w:rPr>
                <w:color w:val="0D0D0D" w:themeColor="text1" w:themeTint="F2"/>
                <w:spacing w:val="0"/>
              </w:rPr>
            </w:pPr>
            <w:r w:rsidRPr="00F14A26">
              <w:rPr>
                <w:color w:val="0D0D0D" w:themeColor="text1" w:themeTint="F2"/>
                <w:lang w:val="en"/>
              </w:rPr>
              <w:t xml:space="preserve">Growth </w:t>
            </w:r>
            <w:r>
              <w:rPr>
                <w:color w:val="0D0D0D" w:themeColor="text1" w:themeTint="F2"/>
                <w:lang w:val="en"/>
              </w:rPr>
              <w:t>of</w:t>
            </w:r>
            <w:r w:rsidRPr="00F14A26">
              <w:rPr>
                <w:color w:val="0D0D0D" w:themeColor="text1" w:themeTint="F2"/>
                <w:lang w:val="en"/>
              </w:rPr>
              <w:t xml:space="preserve"> meat production continued, albeit at a more moderate pace than in both 2024 and 2025. It was driven by the </w:t>
            </w:r>
            <w:r w:rsidRPr="002477F5">
              <w:rPr>
                <w:rFonts w:eastAsia="Arial" w:cs="Arial"/>
                <w:szCs w:val="20"/>
              </w:rPr>
              <w:t xml:space="preserve">poultry meat </w:t>
            </w:r>
            <w:r w:rsidRPr="00F14A26">
              <w:rPr>
                <w:color w:val="0D0D0D" w:themeColor="text1" w:themeTint="F2"/>
                <w:lang w:val="en"/>
              </w:rPr>
              <w:t>segment.</w:t>
            </w:r>
          </w:p>
          <w:p w14:paraId="4971653E" w14:textId="77777777" w:rsidR="00927BC1" w:rsidRDefault="00927BC1" w:rsidP="00D60677">
            <w:pPr>
              <w:pStyle w:val="Marginlie"/>
              <w:spacing w:after="240"/>
              <w:rPr>
                <w:color w:val="0D0D0D" w:themeColor="text1" w:themeTint="F2"/>
                <w:spacing w:val="0"/>
              </w:rPr>
            </w:pPr>
          </w:p>
          <w:p w14:paraId="1E45E134" w14:textId="77777777" w:rsidR="00927BC1" w:rsidRPr="00B131B0" w:rsidRDefault="00927BC1" w:rsidP="00D60677">
            <w:pPr>
              <w:pStyle w:val="Marginlie"/>
              <w:spacing w:after="240"/>
              <w:rPr>
                <w:color w:val="0D0D0D" w:themeColor="text1" w:themeTint="F2"/>
                <w:spacing w:val="0"/>
              </w:rPr>
            </w:pPr>
          </w:p>
          <w:p w14:paraId="79DD4E05" w14:textId="77777777" w:rsidR="00927BC1" w:rsidRPr="00B131B0" w:rsidRDefault="00927BC1" w:rsidP="00D60677">
            <w:pPr>
              <w:pStyle w:val="Marginlie"/>
              <w:spacing w:after="240"/>
              <w:rPr>
                <w:color w:val="0D0D0D" w:themeColor="text1" w:themeTint="F2"/>
                <w:spacing w:val="0"/>
              </w:rPr>
            </w:pPr>
          </w:p>
          <w:p w14:paraId="3A07169E" w14:textId="77777777" w:rsidR="00927BC1" w:rsidRPr="00B131B0" w:rsidRDefault="00927BC1" w:rsidP="00D60677">
            <w:pPr>
              <w:pStyle w:val="Marginlie"/>
              <w:spacing w:after="240"/>
              <w:rPr>
                <w:color w:val="0D0D0D" w:themeColor="text1" w:themeTint="F2"/>
                <w:spacing w:val="0"/>
              </w:rPr>
            </w:pPr>
            <w:r w:rsidRPr="006A3F9B">
              <w:rPr>
                <w:color w:val="0D0D0D" w:themeColor="text1" w:themeTint="F2"/>
                <w:spacing w:val="0"/>
              </w:rPr>
              <w:t>Milk production continued to grow relatively rapidly, despite the currently low purchas</w:t>
            </w:r>
            <w:r>
              <w:rPr>
                <w:color w:val="0D0D0D" w:themeColor="text1" w:themeTint="F2"/>
                <w:spacing w:val="0"/>
              </w:rPr>
              <w:t>ing</w:t>
            </w:r>
            <w:r w:rsidRPr="006A3F9B">
              <w:rPr>
                <w:color w:val="0D0D0D" w:themeColor="text1" w:themeTint="F2"/>
                <w:spacing w:val="0"/>
              </w:rPr>
              <w:t xml:space="preserve"> prices.</w:t>
            </w:r>
          </w:p>
        </w:tc>
        <w:tc>
          <w:tcPr>
            <w:tcW w:w="142" w:type="dxa"/>
            <w:tcMar>
              <w:left w:w="0" w:type="dxa"/>
            </w:tcMar>
          </w:tcPr>
          <w:p w14:paraId="3CFB8E87"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1997B6CC" w14:textId="77777777" w:rsidR="00927BC1" w:rsidRPr="003C5DDC" w:rsidRDefault="00927BC1" w:rsidP="00D60677">
            <w:pPr>
              <w:spacing w:after="200"/>
              <w:rPr>
                <w:color w:val="0D0D0D" w:themeColor="text1" w:themeTint="F2"/>
                <w:spacing w:val="-4"/>
              </w:rPr>
            </w:pPr>
            <w:r w:rsidRPr="003C5DDC">
              <w:rPr>
                <w:rFonts w:eastAsia="Arial" w:cs="Arial"/>
                <w:spacing w:val="-4"/>
                <w:szCs w:val="20"/>
              </w:rPr>
              <w:t>So far this year, the main trends from the previous period have continued in livestock production. Physical meat production in domestic slaughterhouses increased by 2.5%, year-on-year, in H1 (at a slightly lower rate than in 2024 and 2025). Production growth was driven mainly by the poultry meat segment, with the increase of 4.9%. The long-term growing popularity of this meat among domestic consumers, together with the short fattening period of broilers, gives farmers better prerequisites for more stable economic results even in periods of price turbulence. In the hitherto dominant pork segment, meat production increased slower (+1.7%). In the case of beef, the decline has persisted for two and a half years, but this year's pace (</w:t>
            </w:r>
            <w:r w:rsidRPr="003C5DDC">
              <w:rPr>
                <w:spacing w:val="-4"/>
                <w:szCs w:val="20"/>
                <w:lang w:eastAsia="en-US"/>
              </w:rPr>
              <w:t>−</w:t>
            </w:r>
            <w:r w:rsidRPr="003C5DDC">
              <w:rPr>
                <w:rFonts w:eastAsia="Arial" w:cs="Arial"/>
                <w:spacing w:val="-4"/>
                <w:szCs w:val="20"/>
              </w:rPr>
              <w:t xml:space="preserve">1.0%) is one of the lowers in this context. Rapidly rising consumer prices of beef, which have been clearly evident in recent quarters, may prompt consumers to look for alternatives (e.g. a greater inclination towards pork consumption). Milk production has also been growing in the long term. Its direct purchase from producers increased by 4.0%, year-on-year, in H1 2026, of which the purchase of this commodity by dairies for processing alone increased by 3.6%. With regard to the current surplus of milk on the European market, the purchase prices of milk from domestic primary producers </w:t>
            </w:r>
            <w:r w:rsidRPr="003C5DDC">
              <w:rPr>
                <w:rFonts w:eastAsia="Arial" w:cs="Arial"/>
                <w:spacing w:val="-7"/>
                <w:szCs w:val="20"/>
              </w:rPr>
              <w:t>continued to decrease and reached the limit of 10 CZK per litre in Q2 2026 (for quality class Q).</w:t>
            </w:r>
            <w:r w:rsidRPr="003C5DDC">
              <w:rPr>
                <w:rFonts w:eastAsia="Arial" w:cs="Arial"/>
                <w:spacing w:val="-4"/>
                <w:szCs w:val="20"/>
              </w:rPr>
              <w:t xml:space="preserve">  </w:t>
            </w:r>
          </w:p>
        </w:tc>
      </w:tr>
      <w:tr w:rsidR="00927BC1" w:rsidRPr="00B131B0" w14:paraId="6F62AE5A" w14:textId="77777777" w:rsidTr="00D60677">
        <w:trPr>
          <w:trHeight w:val="145"/>
        </w:trPr>
        <w:tc>
          <w:tcPr>
            <w:tcW w:w="1863" w:type="dxa"/>
            <w:tcMar>
              <w:left w:w="0" w:type="dxa"/>
            </w:tcMar>
          </w:tcPr>
          <w:p w14:paraId="4D6C56EF" w14:textId="77777777" w:rsidR="00927BC1" w:rsidRPr="00B131B0" w:rsidRDefault="00927BC1" w:rsidP="00D60677">
            <w:pPr>
              <w:pStyle w:val="Marginlie"/>
              <w:spacing w:after="240"/>
              <w:rPr>
                <w:color w:val="0D0D0D" w:themeColor="text1" w:themeTint="F2"/>
                <w:spacing w:val="0"/>
              </w:rPr>
            </w:pPr>
            <w:r w:rsidRPr="00166B9A">
              <w:rPr>
                <w:color w:val="0D0D0D" w:themeColor="text1" w:themeTint="F2"/>
                <w:spacing w:val="0"/>
              </w:rPr>
              <w:t xml:space="preserve">This year's harvest of basic cereals and oilseeds is clearly below average, mainly due to low yields per hectare. On the </w:t>
            </w:r>
            <w:r>
              <w:rPr>
                <w:color w:val="0D0D0D" w:themeColor="text1" w:themeTint="F2"/>
                <w:spacing w:val="0"/>
              </w:rPr>
              <w:t>contrary</w:t>
            </w:r>
            <w:r w:rsidRPr="00166B9A">
              <w:rPr>
                <w:color w:val="0D0D0D" w:themeColor="text1" w:themeTint="F2"/>
                <w:spacing w:val="0"/>
              </w:rPr>
              <w:t>, in terms of quality parameters, the harvest can be assessed as mostly very good.</w:t>
            </w:r>
          </w:p>
        </w:tc>
        <w:tc>
          <w:tcPr>
            <w:tcW w:w="142" w:type="dxa"/>
            <w:tcMar>
              <w:left w:w="0" w:type="dxa"/>
            </w:tcMar>
          </w:tcPr>
          <w:p w14:paraId="504FF241"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260D82E1" w14:textId="77777777" w:rsidR="00927BC1" w:rsidRPr="00B131B0" w:rsidRDefault="00927BC1" w:rsidP="00D60677">
            <w:pPr>
              <w:rPr>
                <w:spacing w:val="-2"/>
              </w:rPr>
            </w:pPr>
            <w:r w:rsidRPr="00C64292">
              <w:rPr>
                <w:color w:val="0D0D0D" w:themeColor="text1" w:themeTint="F2"/>
                <w:spacing w:val="-2"/>
              </w:rPr>
              <w:t xml:space="preserve">According to this year's third harvest estimate (as of 15 August), the </w:t>
            </w:r>
            <w:r>
              <w:rPr>
                <w:color w:val="0D0D0D" w:themeColor="text1" w:themeTint="F2"/>
                <w:spacing w:val="-2"/>
              </w:rPr>
              <w:t>total production</w:t>
            </w:r>
            <w:r w:rsidRPr="00C64292">
              <w:rPr>
                <w:color w:val="0D0D0D" w:themeColor="text1" w:themeTint="F2"/>
                <w:spacing w:val="-2"/>
              </w:rPr>
              <w:t xml:space="preserve"> of basic crops is expected to be noticeably weaker for 2026. 7.033 million tonnes of cereals (including grain maize) should be harvested (the l</w:t>
            </w:r>
            <w:r>
              <w:rPr>
                <w:color w:val="0D0D0D" w:themeColor="text1" w:themeTint="F2"/>
                <w:spacing w:val="-2"/>
              </w:rPr>
              <w:t xml:space="preserve">east </w:t>
            </w:r>
            <w:r w:rsidRPr="00C64292">
              <w:rPr>
                <w:color w:val="0D0D0D" w:themeColor="text1" w:themeTint="F2"/>
                <w:spacing w:val="-2"/>
              </w:rPr>
              <w:t xml:space="preserve">in the last eight years, </w:t>
            </w:r>
            <w:r>
              <w:rPr>
                <w:color w:val="0D0D0D" w:themeColor="text1" w:themeTint="F2"/>
                <w:spacing w:val="-2"/>
              </w:rPr>
              <w:t xml:space="preserve">in that </w:t>
            </w:r>
            <w:r w:rsidRPr="00C64292">
              <w:rPr>
                <w:color w:val="0D0D0D" w:themeColor="text1" w:themeTint="F2"/>
                <w:spacing w:val="-2"/>
              </w:rPr>
              <w:t>the l</w:t>
            </w:r>
            <w:r>
              <w:rPr>
                <w:color w:val="0D0D0D" w:themeColor="text1" w:themeTint="F2"/>
                <w:spacing w:val="-2"/>
              </w:rPr>
              <w:t xml:space="preserve">east </w:t>
            </w:r>
            <w:r w:rsidRPr="00C64292">
              <w:rPr>
                <w:color w:val="0D0D0D" w:themeColor="text1" w:themeTint="F2"/>
                <w:spacing w:val="-2"/>
              </w:rPr>
              <w:t>in the last fourteen years for basic cereals) and 805 thousand tonnes of rapeseed (</w:t>
            </w:r>
            <w:r>
              <w:rPr>
                <w:color w:val="0D0D0D" w:themeColor="text1" w:themeTint="F2"/>
                <w:spacing w:val="-2"/>
              </w:rPr>
              <w:t xml:space="preserve">the </w:t>
            </w:r>
            <w:r w:rsidRPr="00C64292">
              <w:rPr>
                <w:color w:val="0D0D0D" w:themeColor="text1" w:themeTint="F2"/>
                <w:spacing w:val="-2"/>
              </w:rPr>
              <w:t xml:space="preserve">least in twenty-one years). The year-on-year decline </w:t>
            </w:r>
            <w:r>
              <w:rPr>
                <w:color w:val="0D0D0D" w:themeColor="text1" w:themeTint="F2"/>
                <w:spacing w:val="-2"/>
              </w:rPr>
              <w:t>of</w:t>
            </w:r>
            <w:r w:rsidRPr="00C64292">
              <w:rPr>
                <w:color w:val="0D0D0D" w:themeColor="text1" w:themeTint="F2"/>
                <w:spacing w:val="-2"/>
              </w:rPr>
              <w:t xml:space="preserve"> cereal </w:t>
            </w:r>
            <w:r>
              <w:rPr>
                <w:color w:val="0D0D0D" w:themeColor="text1" w:themeTint="F2"/>
                <w:spacing w:val="-2"/>
              </w:rPr>
              <w:t>production</w:t>
            </w:r>
            <w:r w:rsidRPr="00C64292">
              <w:rPr>
                <w:color w:val="0D0D0D" w:themeColor="text1" w:themeTint="F2"/>
                <w:spacing w:val="-2"/>
              </w:rPr>
              <w:t xml:space="preserve"> is 17.2% and 21.3% for rapeseed, compared to the ten-year average (for the period 2016 to 2025) it </w:t>
            </w:r>
            <w:r>
              <w:rPr>
                <w:color w:val="0D0D0D" w:themeColor="text1" w:themeTint="F2"/>
                <w:spacing w:val="-2"/>
              </w:rPr>
              <w:t xml:space="preserve">presents </w:t>
            </w:r>
            <w:r w:rsidRPr="00C64292">
              <w:rPr>
                <w:color w:val="0D0D0D" w:themeColor="text1" w:themeTint="F2"/>
                <w:spacing w:val="-2"/>
              </w:rPr>
              <w:t xml:space="preserve">a reduction of 11.1% and 31.7%, respectively. The year-on-year </w:t>
            </w:r>
            <w:r>
              <w:rPr>
                <w:color w:val="0D0D0D" w:themeColor="text1" w:themeTint="F2"/>
                <w:spacing w:val="-2"/>
              </w:rPr>
              <w:t xml:space="preserve">drop is caused by the </w:t>
            </w:r>
            <w:r w:rsidRPr="00C64292">
              <w:rPr>
                <w:color w:val="0D0D0D" w:themeColor="text1" w:themeTint="F2"/>
                <w:spacing w:val="-2"/>
              </w:rPr>
              <w:t xml:space="preserve">combination of unfavourable weather this winter, spring and summer (mainly due to a lack of precipitation, including snow, partly </w:t>
            </w:r>
            <w:r>
              <w:rPr>
                <w:color w:val="0D0D0D" w:themeColor="text1" w:themeTint="F2"/>
                <w:spacing w:val="-2"/>
              </w:rPr>
              <w:t xml:space="preserve">then also the </w:t>
            </w:r>
            <w:r w:rsidRPr="00C64292">
              <w:rPr>
                <w:color w:val="0D0D0D" w:themeColor="text1" w:themeTint="F2"/>
                <w:spacing w:val="-2"/>
              </w:rPr>
              <w:t xml:space="preserve">spring frosts) and a high comparison base as a result of last year's very good harvest (for cereals it was the highest since 2016). The </w:t>
            </w:r>
            <w:r>
              <w:rPr>
                <w:color w:val="0D0D0D" w:themeColor="text1" w:themeTint="F2"/>
                <w:spacing w:val="-2"/>
              </w:rPr>
              <w:t xml:space="preserve">diminished </w:t>
            </w:r>
            <w:r w:rsidRPr="00C64292">
              <w:rPr>
                <w:color w:val="0D0D0D" w:themeColor="text1" w:themeTint="F2"/>
                <w:spacing w:val="-2"/>
              </w:rPr>
              <w:t>sown area also has a partial effect – for basic cereals by 2.1%</w:t>
            </w:r>
            <w:r>
              <w:rPr>
                <w:color w:val="0D0D0D" w:themeColor="text1" w:themeTint="F2"/>
                <w:spacing w:val="-2"/>
              </w:rPr>
              <w:t xml:space="preserve">, </w:t>
            </w:r>
            <w:r w:rsidRPr="00C64292">
              <w:rPr>
                <w:color w:val="0D0D0D" w:themeColor="text1" w:themeTint="F2"/>
                <w:spacing w:val="-2"/>
              </w:rPr>
              <w:t>and rapeseed by 8.6%</w:t>
            </w:r>
            <w:r w:rsidRPr="00B131B0">
              <w:rPr>
                <w:rStyle w:val="Znakapoznpodarou"/>
                <w:color w:val="0D0D0D" w:themeColor="text1" w:themeTint="F2"/>
                <w:spacing w:val="-2"/>
              </w:rPr>
              <w:footnoteReference w:id="1"/>
            </w:r>
            <w:r>
              <w:rPr>
                <w:color w:val="0D0D0D" w:themeColor="text1" w:themeTint="F2"/>
                <w:spacing w:val="-2"/>
              </w:rPr>
              <w:t>, year-on-year</w:t>
            </w:r>
            <w:r w:rsidRPr="00C64292">
              <w:rPr>
                <w:color w:val="0D0D0D" w:themeColor="text1" w:themeTint="F2"/>
                <w:spacing w:val="-2"/>
              </w:rPr>
              <w:t xml:space="preserve">. Compared to 2025, a higher </w:t>
            </w:r>
            <w:r>
              <w:rPr>
                <w:color w:val="0D0D0D" w:themeColor="text1" w:themeTint="F2"/>
                <w:spacing w:val="-2"/>
              </w:rPr>
              <w:t>production</w:t>
            </w:r>
            <w:r w:rsidRPr="00C64292">
              <w:rPr>
                <w:color w:val="0D0D0D" w:themeColor="text1" w:themeTint="F2"/>
                <w:spacing w:val="-2"/>
              </w:rPr>
              <w:t xml:space="preserve"> is expected only for marginal crops – triticale and spring wheat, for which the decrease </w:t>
            </w:r>
            <w:r>
              <w:rPr>
                <w:color w:val="0D0D0D" w:themeColor="text1" w:themeTint="F2"/>
                <w:spacing w:val="-2"/>
              </w:rPr>
              <w:t>of</w:t>
            </w:r>
            <w:r w:rsidRPr="00C64292">
              <w:rPr>
                <w:color w:val="0D0D0D" w:themeColor="text1" w:themeTint="F2"/>
                <w:spacing w:val="-2"/>
              </w:rPr>
              <w:t xml:space="preserve"> yields per hectare was compensated by a rapid </w:t>
            </w:r>
            <w:r>
              <w:rPr>
                <w:color w:val="0D0D0D" w:themeColor="text1" w:themeTint="F2"/>
                <w:spacing w:val="-2"/>
              </w:rPr>
              <w:t>rise of s</w:t>
            </w:r>
            <w:r w:rsidRPr="00C64292">
              <w:rPr>
                <w:color w:val="0D0D0D" w:themeColor="text1" w:themeTint="F2"/>
                <w:spacing w:val="-2"/>
              </w:rPr>
              <w:t xml:space="preserve">own areas. Thanks to the warm and mostly dry weather in the summer months, this year's harvest took place at an unprecedentedly fast pace. This </w:t>
            </w:r>
            <w:r>
              <w:rPr>
                <w:color w:val="0D0D0D" w:themeColor="text1" w:themeTint="F2"/>
                <w:spacing w:val="-2"/>
              </w:rPr>
              <w:t xml:space="preserve">was positively reflected in the </w:t>
            </w:r>
            <w:r w:rsidRPr="00C64292">
              <w:rPr>
                <w:color w:val="0D0D0D" w:themeColor="text1" w:themeTint="F2"/>
                <w:spacing w:val="-2"/>
              </w:rPr>
              <w:t>higher technological quality of the harvested grain</w:t>
            </w:r>
            <w:r w:rsidRPr="00B131B0">
              <w:rPr>
                <w:rStyle w:val="Znakapoznpodarou"/>
                <w:color w:val="0D0D0D" w:themeColor="text1" w:themeTint="F2"/>
                <w:spacing w:val="-2"/>
              </w:rPr>
              <w:footnoteReference w:id="2"/>
            </w:r>
            <w:r w:rsidRPr="00C64292">
              <w:rPr>
                <w:color w:val="0D0D0D" w:themeColor="text1" w:themeTint="F2"/>
                <w:spacing w:val="-2"/>
              </w:rPr>
              <w:t xml:space="preserve"> for both food wheat and malting barley. According to the estimate, a significant year-on-year </w:t>
            </w:r>
            <w:r>
              <w:rPr>
                <w:color w:val="0D0D0D" w:themeColor="text1" w:themeTint="F2"/>
                <w:spacing w:val="-2"/>
              </w:rPr>
              <w:t xml:space="preserve">reduction of </w:t>
            </w:r>
            <w:r w:rsidRPr="00C64292">
              <w:rPr>
                <w:color w:val="0D0D0D" w:themeColor="text1" w:themeTint="F2"/>
                <w:spacing w:val="-2"/>
              </w:rPr>
              <w:t>harvest of other crops is also expected. Potatoes should be harvested 544 thousand tons (</w:t>
            </w:r>
            <w:r w:rsidRPr="00995C95">
              <w:rPr>
                <w:spacing w:val="-4"/>
                <w:szCs w:val="20"/>
                <w:lang w:eastAsia="en-US"/>
              </w:rPr>
              <w:t>−</w:t>
            </w:r>
            <w:r w:rsidRPr="00C64292">
              <w:rPr>
                <w:color w:val="0D0D0D" w:themeColor="text1" w:themeTint="F2"/>
                <w:spacing w:val="-2"/>
              </w:rPr>
              <w:t>26.0%), sugar beet 3.221 million tons (</w:t>
            </w:r>
            <w:r w:rsidRPr="00995C95">
              <w:rPr>
                <w:spacing w:val="-4"/>
                <w:szCs w:val="20"/>
                <w:lang w:eastAsia="en-US"/>
              </w:rPr>
              <w:t>−</w:t>
            </w:r>
            <w:r w:rsidRPr="00C64292">
              <w:rPr>
                <w:color w:val="0D0D0D" w:themeColor="text1" w:themeTint="F2"/>
                <w:spacing w:val="-2"/>
              </w:rPr>
              <w:t xml:space="preserve">18.4%), </w:t>
            </w:r>
            <w:r>
              <w:rPr>
                <w:color w:val="0D0D0D" w:themeColor="text1" w:themeTint="F2"/>
                <w:spacing w:val="-2"/>
              </w:rPr>
              <w:t>g</w:t>
            </w:r>
            <w:r w:rsidRPr="00781996">
              <w:rPr>
                <w:color w:val="0D0D0D" w:themeColor="text1" w:themeTint="F2"/>
                <w:spacing w:val="-2"/>
              </w:rPr>
              <w:t>reen maize</w:t>
            </w:r>
            <w:r w:rsidRPr="00C64292">
              <w:rPr>
                <w:color w:val="0D0D0D" w:themeColor="text1" w:themeTint="F2"/>
                <w:spacing w:val="-2"/>
              </w:rPr>
              <w:t xml:space="preserve"> 6.401 million tons (</w:t>
            </w:r>
            <w:r w:rsidRPr="00995C95">
              <w:rPr>
                <w:spacing w:val="-4"/>
                <w:szCs w:val="20"/>
                <w:lang w:eastAsia="en-US"/>
              </w:rPr>
              <w:t>−</w:t>
            </w:r>
            <w:r w:rsidRPr="00C64292">
              <w:rPr>
                <w:color w:val="0D0D0D" w:themeColor="text1" w:themeTint="F2"/>
                <w:spacing w:val="-2"/>
              </w:rPr>
              <w:t xml:space="preserve">19.9%) and </w:t>
            </w:r>
            <w:r>
              <w:rPr>
                <w:color w:val="0D0D0D" w:themeColor="text1" w:themeTint="F2"/>
                <w:spacing w:val="-2"/>
              </w:rPr>
              <w:t>l</w:t>
            </w:r>
            <w:r w:rsidRPr="00781996">
              <w:rPr>
                <w:color w:val="0D0D0D" w:themeColor="text1" w:themeTint="F2"/>
                <w:spacing w:val="-2"/>
              </w:rPr>
              <w:t>ucerne</w:t>
            </w:r>
            <w:r w:rsidRPr="00C64292">
              <w:rPr>
                <w:color w:val="0D0D0D" w:themeColor="text1" w:themeTint="F2"/>
                <w:spacing w:val="-2"/>
              </w:rPr>
              <w:t xml:space="preserve"> 301 thousand tons (</w:t>
            </w:r>
            <w:r w:rsidRPr="00995C95">
              <w:rPr>
                <w:spacing w:val="-4"/>
                <w:szCs w:val="20"/>
                <w:lang w:eastAsia="en-US"/>
              </w:rPr>
              <w:t>−</w:t>
            </w:r>
            <w:r w:rsidRPr="00C64292">
              <w:rPr>
                <w:color w:val="0D0D0D" w:themeColor="text1" w:themeTint="F2"/>
                <w:spacing w:val="-2"/>
              </w:rPr>
              <w:t>22.4%).</w:t>
            </w:r>
            <w:r>
              <w:rPr>
                <w:color w:val="0D0D0D" w:themeColor="text1" w:themeTint="F2"/>
                <w:spacing w:val="-2"/>
              </w:rPr>
              <w:t xml:space="preserve"> </w:t>
            </w:r>
          </w:p>
        </w:tc>
      </w:tr>
      <w:tr w:rsidR="00927BC1" w:rsidRPr="00B131B0" w14:paraId="535CF49E" w14:textId="77777777" w:rsidTr="00D60677">
        <w:trPr>
          <w:trHeight w:val="145"/>
        </w:trPr>
        <w:tc>
          <w:tcPr>
            <w:tcW w:w="1863" w:type="dxa"/>
            <w:tcMar>
              <w:left w:w="0" w:type="dxa"/>
            </w:tcMar>
          </w:tcPr>
          <w:p w14:paraId="37C7B0E0" w14:textId="77777777" w:rsidR="00927BC1" w:rsidRPr="00B131B0" w:rsidRDefault="00927BC1" w:rsidP="00D60677">
            <w:pPr>
              <w:pStyle w:val="Marginlie"/>
              <w:spacing w:after="240"/>
              <w:rPr>
                <w:color w:val="0D0D0D" w:themeColor="text1" w:themeTint="F2"/>
                <w:spacing w:val="0"/>
              </w:rPr>
            </w:pPr>
            <w:r w:rsidRPr="00D3310D">
              <w:rPr>
                <w:color w:val="0D0D0D" w:themeColor="text1" w:themeTint="F2"/>
                <w:lang w:val="en"/>
              </w:rPr>
              <w:t xml:space="preserve">At the beginning of the year, a few negative external factors affected domestic industry. </w:t>
            </w:r>
            <w:r>
              <w:rPr>
                <w:color w:val="0D0D0D" w:themeColor="text1" w:themeTint="F2"/>
                <w:lang w:val="en"/>
              </w:rPr>
              <w:t>T</w:t>
            </w:r>
            <w:r w:rsidRPr="00D3310D">
              <w:rPr>
                <w:color w:val="0D0D0D" w:themeColor="text1" w:themeTint="F2"/>
                <w:lang w:val="en"/>
              </w:rPr>
              <w:t>he situation partially improved</w:t>
            </w:r>
            <w:r>
              <w:rPr>
                <w:color w:val="0D0D0D" w:themeColor="text1" w:themeTint="F2"/>
                <w:lang w:val="en"/>
              </w:rPr>
              <w:t xml:space="preserve"> during the spring</w:t>
            </w:r>
            <w:r w:rsidRPr="00D3310D">
              <w:rPr>
                <w:color w:val="0D0D0D" w:themeColor="text1" w:themeTint="F2"/>
                <w:lang w:val="en"/>
              </w:rPr>
              <w:t>.</w:t>
            </w:r>
            <w:r>
              <w:rPr>
                <w:color w:val="0D0D0D" w:themeColor="text1" w:themeTint="F2"/>
                <w:lang w:val="en"/>
              </w:rPr>
              <w:t xml:space="preserve"> </w:t>
            </w:r>
          </w:p>
        </w:tc>
        <w:tc>
          <w:tcPr>
            <w:tcW w:w="142" w:type="dxa"/>
            <w:tcMar>
              <w:left w:w="0" w:type="dxa"/>
            </w:tcMar>
          </w:tcPr>
          <w:p w14:paraId="02D956B9"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66E0A669" w14:textId="77777777" w:rsidR="00927BC1" w:rsidRPr="00B131B0" w:rsidRDefault="00927BC1" w:rsidP="00D60677">
            <w:pPr>
              <w:spacing w:after="200"/>
              <w:rPr>
                <w:color w:val="0D0D0D" w:themeColor="text1" w:themeTint="F2"/>
                <w:spacing w:val="-2"/>
              </w:rPr>
            </w:pPr>
            <w:r w:rsidRPr="00806686">
              <w:rPr>
                <w:color w:val="0D0D0D" w:themeColor="text1" w:themeTint="F2"/>
                <w:spacing w:val="-2"/>
              </w:rPr>
              <w:t xml:space="preserve">After 2025, when cost pressures further stabilised in domestic industry and </w:t>
            </w:r>
            <w:r>
              <w:rPr>
                <w:color w:val="0D0D0D" w:themeColor="text1" w:themeTint="F2"/>
                <w:spacing w:val="-2"/>
              </w:rPr>
              <w:t xml:space="preserve">external </w:t>
            </w:r>
            <w:r w:rsidRPr="00806686">
              <w:rPr>
                <w:color w:val="0D0D0D" w:themeColor="text1" w:themeTint="F2"/>
                <w:spacing w:val="-2"/>
              </w:rPr>
              <w:t>and domestic demand grew (also thanks to a rebound in investment activity)</w:t>
            </w:r>
            <w:r>
              <w:rPr>
                <w:color w:val="0D0D0D" w:themeColor="text1" w:themeTint="F2"/>
                <w:spacing w:val="-2"/>
              </w:rPr>
              <w:t xml:space="preserve"> </w:t>
            </w:r>
            <w:r w:rsidRPr="00806686">
              <w:rPr>
                <w:color w:val="0D0D0D" w:themeColor="text1" w:themeTint="F2"/>
                <w:spacing w:val="-2"/>
              </w:rPr>
              <w:t>despite fluctuating conditions (also due to tensions in EU-US trade relations)</w:t>
            </w:r>
            <w:r>
              <w:rPr>
                <w:color w:val="0D0D0D" w:themeColor="text1" w:themeTint="F2"/>
                <w:spacing w:val="-2"/>
              </w:rPr>
              <w:t>,</w:t>
            </w:r>
            <w:r w:rsidRPr="00806686">
              <w:rPr>
                <w:color w:val="0D0D0D" w:themeColor="text1" w:themeTint="F2"/>
                <w:spacing w:val="-2"/>
              </w:rPr>
              <w:t xml:space="preserve"> a deterioration occurred at the beginning of this year. The slowdown </w:t>
            </w:r>
            <w:r>
              <w:rPr>
                <w:color w:val="0D0D0D" w:themeColor="text1" w:themeTint="F2"/>
                <w:spacing w:val="-2"/>
              </w:rPr>
              <w:t>of</w:t>
            </w:r>
            <w:r w:rsidRPr="00806686">
              <w:rPr>
                <w:color w:val="0D0D0D" w:themeColor="text1" w:themeTint="F2"/>
                <w:spacing w:val="-2"/>
              </w:rPr>
              <w:t xml:space="preserve"> the already relatively weak economic growth in the EU (including key trading partners for the Czech Republic) was exacerbated by the escalation of the war in the Middle East in March. This led to a rapid and noticeable rise</w:t>
            </w:r>
            <w:r>
              <w:rPr>
                <w:color w:val="0D0D0D" w:themeColor="text1" w:themeTint="F2"/>
                <w:spacing w:val="-2"/>
              </w:rPr>
              <w:t xml:space="preserve"> of</w:t>
            </w:r>
            <w:r w:rsidRPr="00806686">
              <w:rPr>
                <w:color w:val="0D0D0D" w:themeColor="text1" w:themeTint="F2"/>
                <w:spacing w:val="-2"/>
              </w:rPr>
              <w:t xml:space="preserve"> global prices of key energy commodities and other raw materials, in addition to weakening (especially in the euro area) fragile business and consumer confidence and increasing the risk of broader and deeper impacts on traditional manufacturing </w:t>
            </w:r>
            <w:r>
              <w:rPr>
                <w:color w:val="0D0D0D" w:themeColor="text1" w:themeTint="F2"/>
                <w:spacing w:val="-2"/>
              </w:rPr>
              <w:t xml:space="preserve">activities </w:t>
            </w:r>
            <w:r w:rsidRPr="00806686">
              <w:rPr>
                <w:color w:val="0D0D0D" w:themeColor="text1" w:themeTint="F2"/>
                <w:spacing w:val="-2"/>
              </w:rPr>
              <w:t>(</w:t>
            </w:r>
            <w:r>
              <w:rPr>
                <w:color w:val="0D0D0D" w:themeColor="text1" w:themeTint="F2"/>
                <w:spacing w:val="-2"/>
              </w:rPr>
              <w:t xml:space="preserve">as a consequence of </w:t>
            </w:r>
            <w:r w:rsidRPr="00806686">
              <w:rPr>
                <w:color w:val="0D0D0D" w:themeColor="text1" w:themeTint="F2"/>
                <w:spacing w:val="-2"/>
              </w:rPr>
              <w:t xml:space="preserve">disruptions </w:t>
            </w:r>
            <w:r>
              <w:rPr>
                <w:color w:val="0D0D0D" w:themeColor="text1" w:themeTint="F2"/>
                <w:spacing w:val="-2"/>
              </w:rPr>
              <w:t>to</w:t>
            </w:r>
            <w:r w:rsidRPr="00806686">
              <w:rPr>
                <w:color w:val="0D0D0D" w:themeColor="text1" w:themeTint="F2"/>
                <w:spacing w:val="-2"/>
              </w:rPr>
              <w:t xml:space="preserve"> global supply chains).</w:t>
            </w:r>
            <w:r>
              <w:rPr>
                <w:color w:val="0D0D0D" w:themeColor="text1" w:themeTint="F2"/>
                <w:spacing w:val="-2"/>
              </w:rPr>
              <w:t xml:space="preserve"> </w:t>
            </w:r>
            <w:r w:rsidRPr="00B131B0">
              <w:rPr>
                <w:color w:val="0D0D0D" w:themeColor="text1" w:themeTint="F2"/>
                <w:spacing w:val="-2"/>
              </w:rPr>
              <w:t xml:space="preserve"> </w:t>
            </w:r>
            <w:r w:rsidRPr="000951C7">
              <w:rPr>
                <w:color w:val="0D0D0D" w:themeColor="text1" w:themeTint="F2"/>
                <w:spacing w:val="-2"/>
              </w:rPr>
              <w:lastRenderedPageBreak/>
              <w:t>However, prices of some commodities stabilised</w:t>
            </w:r>
            <w:r>
              <w:rPr>
                <w:color w:val="0D0D0D" w:themeColor="text1" w:themeTint="F2"/>
                <w:spacing w:val="-2"/>
              </w:rPr>
              <w:t xml:space="preserve"> i</w:t>
            </w:r>
            <w:r w:rsidRPr="000951C7">
              <w:rPr>
                <w:color w:val="0D0D0D" w:themeColor="text1" w:themeTint="F2"/>
                <w:spacing w:val="-2"/>
              </w:rPr>
              <w:t>n Q2 2026 and confidence in key economies partially recovered.</w:t>
            </w:r>
          </w:p>
        </w:tc>
      </w:tr>
      <w:tr w:rsidR="00927BC1" w:rsidRPr="00B131B0" w14:paraId="6063C599" w14:textId="77777777" w:rsidTr="00D60677">
        <w:trPr>
          <w:trHeight w:val="145"/>
        </w:trPr>
        <w:tc>
          <w:tcPr>
            <w:tcW w:w="1863" w:type="dxa"/>
            <w:tcMar>
              <w:left w:w="0" w:type="dxa"/>
            </w:tcMar>
          </w:tcPr>
          <w:p w14:paraId="30214683" w14:textId="77777777" w:rsidR="00927BC1" w:rsidRPr="00B131B0" w:rsidRDefault="00927BC1" w:rsidP="00D60677">
            <w:pPr>
              <w:pStyle w:val="Marginlie"/>
              <w:spacing w:after="240"/>
              <w:rPr>
                <w:color w:val="0D0D0D" w:themeColor="text1" w:themeTint="F2"/>
                <w:spacing w:val="0"/>
              </w:rPr>
            </w:pPr>
            <w:r w:rsidRPr="00764FD3">
              <w:rPr>
                <w:color w:val="0D0D0D" w:themeColor="text1" w:themeTint="F2"/>
                <w:spacing w:val="0"/>
              </w:rPr>
              <w:lastRenderedPageBreak/>
              <w:t xml:space="preserve">Mainly thanks to investment-oriented sectors, industrial production revived during </w:t>
            </w:r>
            <w:r>
              <w:rPr>
                <w:color w:val="0D0D0D" w:themeColor="text1" w:themeTint="F2"/>
                <w:spacing w:val="0"/>
              </w:rPr>
              <w:t>Q</w:t>
            </w:r>
            <w:r w:rsidRPr="00764FD3">
              <w:rPr>
                <w:color w:val="0D0D0D" w:themeColor="text1" w:themeTint="F2"/>
                <w:spacing w:val="0"/>
              </w:rPr>
              <w:t>2</w:t>
            </w:r>
            <w:r>
              <w:rPr>
                <w:color w:val="0D0D0D" w:themeColor="text1" w:themeTint="F2"/>
                <w:spacing w:val="0"/>
              </w:rPr>
              <w:t xml:space="preserve"> </w:t>
            </w:r>
            <w:r w:rsidRPr="00764FD3">
              <w:rPr>
                <w:color w:val="0D0D0D" w:themeColor="text1" w:themeTint="F2"/>
                <w:spacing w:val="0"/>
              </w:rPr>
              <w:t>and thus overcame the partial d</w:t>
            </w:r>
            <w:r>
              <w:rPr>
                <w:color w:val="0D0D0D" w:themeColor="text1" w:themeTint="F2"/>
                <w:spacing w:val="0"/>
              </w:rPr>
              <w:t>ownturn</w:t>
            </w:r>
            <w:r w:rsidRPr="00764FD3">
              <w:rPr>
                <w:color w:val="0D0D0D" w:themeColor="text1" w:themeTint="F2"/>
                <w:spacing w:val="0"/>
              </w:rPr>
              <w:t xml:space="preserve"> at the beginning of the year.</w:t>
            </w:r>
            <w:r>
              <w:rPr>
                <w:color w:val="0D0D0D" w:themeColor="text1" w:themeTint="F2"/>
                <w:spacing w:val="0"/>
              </w:rPr>
              <w:t xml:space="preserve"> </w:t>
            </w:r>
          </w:p>
        </w:tc>
        <w:tc>
          <w:tcPr>
            <w:tcW w:w="142" w:type="dxa"/>
            <w:tcMar>
              <w:left w:w="0" w:type="dxa"/>
            </w:tcMar>
          </w:tcPr>
          <w:p w14:paraId="079AE5C3"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5C6D18F8" w14:textId="77777777" w:rsidR="00927BC1" w:rsidRPr="00B131B0" w:rsidRDefault="00927BC1" w:rsidP="00D60677">
            <w:pPr>
              <w:spacing w:after="200"/>
              <w:rPr>
                <w:color w:val="0D0D0D" w:themeColor="text1" w:themeTint="F2"/>
                <w:spacing w:val="-2"/>
              </w:rPr>
            </w:pPr>
            <w:r w:rsidRPr="008D12F1">
              <w:rPr>
                <w:color w:val="0D0D0D" w:themeColor="text1" w:themeTint="F2"/>
                <w:spacing w:val="-2"/>
              </w:rPr>
              <w:t xml:space="preserve">Domestic industry also reacted to this situation. Its </w:t>
            </w:r>
            <w:r>
              <w:rPr>
                <w:color w:val="0D0D0D" w:themeColor="text1" w:themeTint="F2"/>
                <w:spacing w:val="-2"/>
              </w:rPr>
              <w:t>output</w:t>
            </w:r>
            <w:r w:rsidRPr="00B131B0">
              <w:rPr>
                <w:rStyle w:val="Znakapoznpodarou"/>
                <w:color w:val="0D0D0D" w:themeColor="text1" w:themeTint="F2"/>
                <w:spacing w:val="-2"/>
              </w:rPr>
              <w:footnoteReference w:id="3"/>
            </w:r>
            <w:r w:rsidRPr="008D12F1">
              <w:rPr>
                <w:color w:val="0D0D0D" w:themeColor="text1" w:themeTint="F2"/>
                <w:spacing w:val="-2"/>
              </w:rPr>
              <w:t xml:space="preserve"> </w:t>
            </w:r>
            <w:r>
              <w:rPr>
                <w:color w:val="0D0D0D" w:themeColor="text1" w:themeTint="F2"/>
                <w:spacing w:val="-2"/>
              </w:rPr>
              <w:t xml:space="preserve">went down </w:t>
            </w:r>
            <w:r w:rsidRPr="008D12F1">
              <w:rPr>
                <w:color w:val="0D0D0D" w:themeColor="text1" w:themeTint="F2"/>
                <w:spacing w:val="-2"/>
              </w:rPr>
              <w:t>slightly</w:t>
            </w:r>
            <w:r>
              <w:rPr>
                <w:color w:val="0D0D0D" w:themeColor="text1" w:themeTint="F2"/>
                <w:spacing w:val="-2"/>
              </w:rPr>
              <w:t>,</w:t>
            </w:r>
            <w:r w:rsidRPr="008D12F1">
              <w:rPr>
                <w:color w:val="0D0D0D" w:themeColor="text1" w:themeTint="F2"/>
                <w:spacing w:val="-2"/>
              </w:rPr>
              <w:t xml:space="preserve"> quarter-on-quarter</w:t>
            </w:r>
            <w:r>
              <w:rPr>
                <w:color w:val="0D0D0D" w:themeColor="text1" w:themeTint="F2"/>
                <w:spacing w:val="-2"/>
              </w:rPr>
              <w:t>,</w:t>
            </w:r>
            <w:r w:rsidRPr="008D12F1">
              <w:rPr>
                <w:color w:val="0D0D0D" w:themeColor="text1" w:themeTint="F2"/>
                <w:spacing w:val="-2"/>
              </w:rPr>
              <w:t xml:space="preserve"> at the beginning of this year (by 0.9%) after a stronger recovery in Q4 2025. </w:t>
            </w:r>
            <w:r>
              <w:rPr>
                <w:color w:val="0D0D0D" w:themeColor="text1" w:themeTint="F2"/>
                <w:spacing w:val="-2"/>
              </w:rPr>
              <w:t>I</w:t>
            </w:r>
            <w:r w:rsidRPr="008D12F1">
              <w:rPr>
                <w:color w:val="0D0D0D" w:themeColor="text1" w:themeTint="F2"/>
                <w:spacing w:val="-2"/>
              </w:rPr>
              <w:t xml:space="preserve">nvestment-oriented </w:t>
            </w:r>
            <w:r>
              <w:rPr>
                <w:color w:val="0D0D0D" w:themeColor="text1" w:themeTint="F2"/>
                <w:spacing w:val="-2"/>
              </w:rPr>
              <w:t xml:space="preserve">activities </w:t>
            </w:r>
            <w:r w:rsidRPr="008D12F1">
              <w:rPr>
                <w:color w:val="0D0D0D" w:themeColor="text1" w:themeTint="F2"/>
                <w:spacing w:val="-2"/>
              </w:rPr>
              <w:t xml:space="preserve">and also a relatively small segment </w:t>
            </w:r>
            <w:r>
              <w:rPr>
                <w:color w:val="0D0D0D" w:themeColor="text1" w:themeTint="F2"/>
                <w:spacing w:val="-2"/>
              </w:rPr>
              <w:t xml:space="preserve">of branches aimed at production </w:t>
            </w:r>
            <w:r w:rsidRPr="008D12F1">
              <w:rPr>
                <w:color w:val="0D0D0D" w:themeColor="text1" w:themeTint="F2"/>
                <w:spacing w:val="-2"/>
              </w:rPr>
              <w:t>of durable goods</w:t>
            </w:r>
            <w:r>
              <w:rPr>
                <w:color w:val="0D0D0D" w:themeColor="text1" w:themeTint="F2"/>
                <w:spacing w:val="-2"/>
              </w:rPr>
              <w:t xml:space="preserve"> </w:t>
            </w:r>
            <w:r w:rsidRPr="008D12F1">
              <w:rPr>
                <w:color w:val="0D0D0D" w:themeColor="text1" w:themeTint="F2"/>
                <w:spacing w:val="-2"/>
              </w:rPr>
              <w:t xml:space="preserve">(which, however, also struggled with a </w:t>
            </w:r>
            <w:r>
              <w:rPr>
                <w:color w:val="0D0D0D" w:themeColor="text1" w:themeTint="F2"/>
                <w:spacing w:val="-2"/>
              </w:rPr>
              <w:t xml:space="preserve">reduced </w:t>
            </w:r>
            <w:r w:rsidRPr="008D12F1">
              <w:rPr>
                <w:color w:val="0D0D0D" w:themeColor="text1" w:themeTint="F2"/>
                <w:spacing w:val="-2"/>
              </w:rPr>
              <w:t>demand for most of last year)</w:t>
            </w:r>
            <w:r>
              <w:rPr>
                <w:color w:val="0D0D0D" w:themeColor="text1" w:themeTint="F2"/>
                <w:spacing w:val="-2"/>
              </w:rPr>
              <w:t xml:space="preserve"> were mainly behind this decrease</w:t>
            </w:r>
            <w:r w:rsidRPr="008D12F1">
              <w:rPr>
                <w:color w:val="0D0D0D" w:themeColor="text1" w:themeTint="F2"/>
                <w:spacing w:val="-2"/>
              </w:rPr>
              <w:t xml:space="preserve">. In Q2, however, industrial output increased by 1.9%, as demand in investment-oriented </w:t>
            </w:r>
            <w:r>
              <w:rPr>
                <w:color w:val="0D0D0D" w:themeColor="text1" w:themeTint="F2"/>
                <w:spacing w:val="-2"/>
              </w:rPr>
              <w:t>activities a</w:t>
            </w:r>
            <w:r w:rsidRPr="008D12F1">
              <w:rPr>
                <w:color w:val="0D0D0D" w:themeColor="text1" w:themeTint="F2"/>
                <w:spacing w:val="-2"/>
              </w:rPr>
              <w:t>nd segments producing intermediate products recovered, and energy</w:t>
            </w:r>
            <w:r>
              <w:rPr>
                <w:color w:val="0D0D0D" w:themeColor="text1" w:themeTint="F2"/>
                <w:spacing w:val="-2"/>
              </w:rPr>
              <w:t xml:space="preserve"> industry</w:t>
            </w:r>
            <w:r w:rsidRPr="008D12F1">
              <w:rPr>
                <w:color w:val="0D0D0D" w:themeColor="text1" w:themeTint="F2"/>
                <w:spacing w:val="-2"/>
              </w:rPr>
              <w:t xml:space="preserve"> also had a growth-boosting effect. Total industrial production thus remained slightly above the level from the peak of the last boom period, i.e. Q2 2019 (2.2%)</w:t>
            </w:r>
            <w:r w:rsidRPr="00B131B0">
              <w:rPr>
                <w:rStyle w:val="Znakapoznpodarou"/>
                <w:color w:val="0D0D0D" w:themeColor="text1" w:themeTint="F2"/>
                <w:spacing w:val="-2"/>
              </w:rPr>
              <w:footnoteReference w:id="4"/>
            </w:r>
            <w:r w:rsidRPr="00B131B0">
              <w:rPr>
                <w:color w:val="0D0D0D" w:themeColor="text1" w:themeTint="F2"/>
                <w:spacing w:val="-2"/>
              </w:rPr>
              <w:t>.</w:t>
            </w:r>
          </w:p>
        </w:tc>
      </w:tr>
      <w:tr w:rsidR="00927BC1" w:rsidRPr="00B131B0" w14:paraId="49700B72" w14:textId="77777777" w:rsidTr="00D60677">
        <w:trPr>
          <w:trHeight w:val="145"/>
        </w:trPr>
        <w:tc>
          <w:tcPr>
            <w:tcW w:w="1863" w:type="dxa"/>
            <w:tcMar>
              <w:left w:w="0" w:type="dxa"/>
            </w:tcMar>
          </w:tcPr>
          <w:p w14:paraId="6EA060CF" w14:textId="77777777" w:rsidR="00927BC1" w:rsidRPr="00B131B0" w:rsidRDefault="00927BC1" w:rsidP="00D60677">
            <w:pPr>
              <w:pStyle w:val="Marginlie"/>
              <w:spacing w:after="240"/>
              <w:rPr>
                <w:color w:val="0D0D0D" w:themeColor="text1" w:themeTint="F2"/>
                <w:spacing w:val="0"/>
              </w:rPr>
            </w:pPr>
            <w:r w:rsidRPr="00F24A18">
              <w:rPr>
                <w:color w:val="0D0D0D" w:themeColor="text1" w:themeTint="F2"/>
                <w:spacing w:val="0"/>
              </w:rPr>
              <w:t xml:space="preserve">This year's slight growth </w:t>
            </w:r>
            <w:r>
              <w:rPr>
                <w:color w:val="0D0D0D" w:themeColor="text1" w:themeTint="F2"/>
                <w:spacing w:val="0"/>
              </w:rPr>
              <w:t>of</w:t>
            </w:r>
            <w:r w:rsidRPr="00F24A18">
              <w:rPr>
                <w:color w:val="0D0D0D" w:themeColor="text1" w:themeTint="F2"/>
                <w:spacing w:val="0"/>
              </w:rPr>
              <w:t xml:space="preserve"> industrial production was mostly driven by </w:t>
            </w:r>
            <w:r>
              <w:rPr>
                <w:color w:val="0D0D0D" w:themeColor="text1" w:themeTint="F2"/>
                <w:spacing w:val="0"/>
              </w:rPr>
              <w:t xml:space="preserve">manufacturing </w:t>
            </w:r>
            <w:r w:rsidRPr="00F24A18">
              <w:rPr>
                <w:color w:val="0D0D0D" w:themeColor="text1" w:themeTint="F2"/>
                <w:spacing w:val="0"/>
              </w:rPr>
              <w:t xml:space="preserve">of transport equipment and most other investment-oriented </w:t>
            </w:r>
            <w:r>
              <w:rPr>
                <w:color w:val="0D0D0D" w:themeColor="text1" w:themeTint="F2"/>
                <w:spacing w:val="0"/>
              </w:rPr>
              <w:t>activities</w:t>
            </w:r>
            <w:r w:rsidRPr="00F24A18">
              <w:rPr>
                <w:color w:val="0D0D0D" w:themeColor="text1" w:themeTint="F2"/>
                <w:spacing w:val="0"/>
              </w:rPr>
              <w:t>.</w:t>
            </w:r>
            <w:r w:rsidRPr="00B131B0">
              <w:rPr>
                <w:color w:val="0D0D0D" w:themeColor="text1" w:themeTint="F2"/>
                <w:spacing w:val="0"/>
              </w:rPr>
              <w:t xml:space="preserve"> </w:t>
            </w:r>
          </w:p>
          <w:p w14:paraId="19AEEA6D" w14:textId="77777777" w:rsidR="00927BC1" w:rsidRPr="00B131B0" w:rsidRDefault="00927BC1" w:rsidP="00D60677">
            <w:pPr>
              <w:pStyle w:val="Marginlie"/>
              <w:rPr>
                <w:color w:val="0D0D0D" w:themeColor="text1" w:themeTint="F2"/>
                <w:spacing w:val="0"/>
              </w:rPr>
            </w:pPr>
          </w:p>
          <w:p w14:paraId="66640993" w14:textId="77777777" w:rsidR="00927BC1" w:rsidRPr="00B131B0" w:rsidRDefault="00927BC1" w:rsidP="00D60677">
            <w:pPr>
              <w:pStyle w:val="Marginlie"/>
              <w:rPr>
                <w:color w:val="0D0D0D" w:themeColor="text1" w:themeTint="F2"/>
                <w:spacing w:val="0"/>
              </w:rPr>
            </w:pPr>
          </w:p>
          <w:p w14:paraId="26D02C2A" w14:textId="77777777" w:rsidR="00927BC1" w:rsidRPr="00B131B0" w:rsidRDefault="00927BC1" w:rsidP="00D60677">
            <w:pPr>
              <w:pStyle w:val="Marginlie"/>
              <w:rPr>
                <w:color w:val="0D0D0D" w:themeColor="text1" w:themeTint="F2"/>
                <w:spacing w:val="0"/>
              </w:rPr>
            </w:pPr>
          </w:p>
          <w:p w14:paraId="1B3AFFFB" w14:textId="77777777" w:rsidR="00927BC1" w:rsidRPr="00B131B0" w:rsidRDefault="00927BC1" w:rsidP="00D60677">
            <w:pPr>
              <w:pStyle w:val="Marginlie"/>
              <w:rPr>
                <w:color w:val="0D0D0D" w:themeColor="text1" w:themeTint="F2"/>
                <w:spacing w:val="0"/>
              </w:rPr>
            </w:pPr>
          </w:p>
          <w:p w14:paraId="417B06EB" w14:textId="77777777" w:rsidR="00927BC1" w:rsidRPr="00B131B0" w:rsidRDefault="00927BC1" w:rsidP="00D60677">
            <w:pPr>
              <w:pStyle w:val="Marginlie"/>
              <w:rPr>
                <w:color w:val="0D0D0D" w:themeColor="text1" w:themeTint="F2"/>
                <w:spacing w:val="0"/>
              </w:rPr>
            </w:pPr>
          </w:p>
          <w:p w14:paraId="27C52AD5" w14:textId="77777777" w:rsidR="00927BC1" w:rsidRPr="00B131B0" w:rsidRDefault="00927BC1" w:rsidP="00D60677">
            <w:pPr>
              <w:pStyle w:val="Marginlie"/>
              <w:rPr>
                <w:color w:val="0D0D0D" w:themeColor="text1" w:themeTint="F2"/>
                <w:spacing w:val="0"/>
              </w:rPr>
            </w:pPr>
          </w:p>
          <w:p w14:paraId="5208EF77" w14:textId="77777777" w:rsidR="00927BC1" w:rsidRPr="00B131B0" w:rsidRDefault="00927BC1" w:rsidP="00D60677">
            <w:pPr>
              <w:pStyle w:val="Marginlie"/>
              <w:rPr>
                <w:color w:val="0D0D0D" w:themeColor="text1" w:themeTint="F2"/>
                <w:spacing w:val="0"/>
              </w:rPr>
            </w:pPr>
          </w:p>
          <w:p w14:paraId="3BD78A03" w14:textId="77777777" w:rsidR="00927BC1" w:rsidRPr="00B131B0" w:rsidRDefault="00927BC1" w:rsidP="00D60677">
            <w:pPr>
              <w:pStyle w:val="Marginlie"/>
              <w:spacing w:after="240"/>
              <w:rPr>
                <w:color w:val="0D0D0D" w:themeColor="text1" w:themeTint="F2"/>
                <w:spacing w:val="0"/>
              </w:rPr>
            </w:pPr>
            <w:r>
              <w:rPr>
                <w:color w:val="0D0D0D" w:themeColor="text1" w:themeTint="F2"/>
                <w:spacing w:val="0"/>
              </w:rPr>
              <w:t xml:space="preserve">Output </w:t>
            </w:r>
            <w:r w:rsidRPr="00700F27">
              <w:rPr>
                <w:color w:val="0D0D0D" w:themeColor="text1" w:themeTint="F2"/>
                <w:spacing w:val="0"/>
              </w:rPr>
              <w:t>in the electronics industry accelerated significantly</w:t>
            </w:r>
            <w:r>
              <w:rPr>
                <w:color w:val="0D0D0D" w:themeColor="text1" w:themeTint="F2"/>
                <w:spacing w:val="0"/>
              </w:rPr>
              <w:t xml:space="preserve"> d</w:t>
            </w:r>
            <w:r w:rsidRPr="00700F27">
              <w:rPr>
                <w:color w:val="0D0D0D" w:themeColor="text1" w:themeTint="F2"/>
                <w:spacing w:val="0"/>
              </w:rPr>
              <w:t>uring the spring months</w:t>
            </w:r>
            <w:r>
              <w:rPr>
                <w:color w:val="0D0D0D" w:themeColor="text1" w:themeTint="F2"/>
                <w:spacing w:val="0"/>
              </w:rPr>
              <w:t xml:space="preserve">. </w:t>
            </w:r>
          </w:p>
        </w:tc>
        <w:tc>
          <w:tcPr>
            <w:tcW w:w="142" w:type="dxa"/>
            <w:tcMar>
              <w:left w:w="0" w:type="dxa"/>
            </w:tcMar>
          </w:tcPr>
          <w:p w14:paraId="56D67080"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7BA6CF6A" w14:textId="77777777" w:rsidR="00927BC1" w:rsidRPr="00B131B0" w:rsidRDefault="00927BC1" w:rsidP="00D60677">
            <w:pPr>
              <w:spacing w:after="200"/>
              <w:rPr>
                <w:color w:val="0D0D0D" w:themeColor="text1" w:themeTint="F2"/>
                <w:spacing w:val="-4"/>
              </w:rPr>
            </w:pPr>
            <w:r>
              <w:rPr>
                <w:color w:val="0D0D0D" w:themeColor="text1" w:themeTint="F2"/>
                <w:spacing w:val="-4"/>
              </w:rPr>
              <w:t>I</w:t>
            </w:r>
            <w:r w:rsidRPr="00591EC6">
              <w:rPr>
                <w:color w:val="0D0D0D" w:themeColor="text1" w:themeTint="F2"/>
                <w:spacing w:val="-4"/>
              </w:rPr>
              <w:t>ndustrial output increased by 1.9%</w:t>
            </w:r>
            <w:r>
              <w:rPr>
                <w:color w:val="0D0D0D" w:themeColor="text1" w:themeTint="F2"/>
                <w:spacing w:val="-4"/>
              </w:rPr>
              <w:t>,</w:t>
            </w:r>
            <w:r w:rsidRPr="00591EC6">
              <w:rPr>
                <w:color w:val="0D0D0D" w:themeColor="text1" w:themeTint="F2"/>
                <w:spacing w:val="-4"/>
              </w:rPr>
              <w:t xml:space="preserve"> year-on-year</w:t>
            </w:r>
            <w:r>
              <w:rPr>
                <w:color w:val="0D0D0D" w:themeColor="text1" w:themeTint="F2"/>
                <w:spacing w:val="-4"/>
              </w:rPr>
              <w:t>, f</w:t>
            </w:r>
            <w:r w:rsidRPr="00591EC6">
              <w:rPr>
                <w:color w:val="0D0D0D" w:themeColor="text1" w:themeTint="F2"/>
                <w:spacing w:val="-4"/>
              </w:rPr>
              <w:t xml:space="preserve">or the </w:t>
            </w:r>
            <w:r>
              <w:rPr>
                <w:color w:val="0D0D0D" w:themeColor="text1" w:themeTint="F2"/>
                <w:spacing w:val="-4"/>
              </w:rPr>
              <w:t>total H</w:t>
            </w:r>
            <w:r w:rsidRPr="00591EC6">
              <w:rPr>
                <w:color w:val="0D0D0D" w:themeColor="text1" w:themeTint="F2"/>
                <w:spacing w:val="-4"/>
              </w:rPr>
              <w:t>1</w:t>
            </w:r>
            <w:r>
              <w:rPr>
                <w:color w:val="0D0D0D" w:themeColor="text1" w:themeTint="F2"/>
                <w:spacing w:val="-4"/>
              </w:rPr>
              <w:t xml:space="preserve"> </w:t>
            </w:r>
            <w:r w:rsidRPr="00591EC6">
              <w:rPr>
                <w:color w:val="0D0D0D" w:themeColor="text1" w:themeTint="F2"/>
                <w:spacing w:val="-4"/>
              </w:rPr>
              <w:t xml:space="preserve">2026 and has been on a moderate growth trajectory since the beginning of last year. Despite this more modest pace, production increased in the vast majority of major </w:t>
            </w:r>
            <w:r>
              <w:rPr>
                <w:color w:val="0D0D0D" w:themeColor="text1" w:themeTint="F2"/>
                <w:spacing w:val="-4"/>
              </w:rPr>
              <w:t>industries</w:t>
            </w:r>
            <w:r w:rsidRPr="00591EC6">
              <w:rPr>
                <w:color w:val="0D0D0D" w:themeColor="text1" w:themeTint="F2"/>
                <w:spacing w:val="-4"/>
              </w:rPr>
              <w:t xml:space="preserve">. This year's development was mostly influenced by the </w:t>
            </w:r>
            <w:r>
              <w:rPr>
                <w:color w:val="0D0D0D" w:themeColor="text1" w:themeTint="F2"/>
                <w:spacing w:val="-4"/>
              </w:rPr>
              <w:t xml:space="preserve">manufacturing of </w:t>
            </w:r>
            <w:r w:rsidRPr="00591EC6">
              <w:rPr>
                <w:color w:val="0D0D0D" w:themeColor="text1" w:themeTint="F2"/>
                <w:spacing w:val="-4"/>
              </w:rPr>
              <w:t>motor vehicle</w:t>
            </w:r>
            <w:r>
              <w:rPr>
                <w:color w:val="0D0D0D" w:themeColor="text1" w:themeTint="F2"/>
                <w:spacing w:val="-4"/>
              </w:rPr>
              <w:t>s</w:t>
            </w:r>
            <w:r w:rsidRPr="00591EC6">
              <w:rPr>
                <w:color w:val="0D0D0D" w:themeColor="text1" w:themeTint="F2"/>
                <w:spacing w:val="-4"/>
              </w:rPr>
              <w:t xml:space="preserve">, whose output increased by 3.3% – the highest in the last two and a half years. A slight increase </w:t>
            </w:r>
            <w:r>
              <w:rPr>
                <w:color w:val="0D0D0D" w:themeColor="text1" w:themeTint="F2"/>
                <w:spacing w:val="-4"/>
              </w:rPr>
              <w:t>of</w:t>
            </w:r>
            <w:r w:rsidRPr="00591EC6">
              <w:rPr>
                <w:color w:val="0D0D0D" w:themeColor="text1" w:themeTint="F2"/>
                <w:spacing w:val="-4"/>
              </w:rPr>
              <w:t xml:space="preserve"> </w:t>
            </w:r>
            <w:r>
              <w:rPr>
                <w:color w:val="0D0D0D" w:themeColor="text1" w:themeTint="F2"/>
                <w:spacing w:val="-4"/>
              </w:rPr>
              <w:t xml:space="preserve">both </w:t>
            </w:r>
            <w:r w:rsidRPr="00591EC6">
              <w:rPr>
                <w:color w:val="0D0D0D" w:themeColor="text1" w:themeTint="F2"/>
                <w:spacing w:val="-4"/>
              </w:rPr>
              <w:t xml:space="preserve">domestic and </w:t>
            </w:r>
            <w:r>
              <w:rPr>
                <w:color w:val="0D0D0D" w:themeColor="text1" w:themeTint="F2"/>
                <w:spacing w:val="-4"/>
              </w:rPr>
              <w:t xml:space="preserve">external </w:t>
            </w:r>
            <w:r w:rsidRPr="00591EC6">
              <w:rPr>
                <w:color w:val="0D0D0D" w:themeColor="text1" w:themeTint="F2"/>
                <w:spacing w:val="-4"/>
              </w:rPr>
              <w:t xml:space="preserve">demand </w:t>
            </w:r>
            <w:r>
              <w:rPr>
                <w:color w:val="0D0D0D" w:themeColor="text1" w:themeTint="F2"/>
                <w:spacing w:val="-4"/>
              </w:rPr>
              <w:t xml:space="preserve">played a part </w:t>
            </w:r>
            <w:r w:rsidRPr="00591EC6">
              <w:rPr>
                <w:color w:val="0D0D0D" w:themeColor="text1" w:themeTint="F2"/>
                <w:spacing w:val="-4"/>
              </w:rPr>
              <w:t>here. In addition to final vehicle manufacturers</w:t>
            </w:r>
            <w:r w:rsidRPr="00B131B0">
              <w:rPr>
                <w:rStyle w:val="Znakapoznpodarou"/>
                <w:color w:val="0D0D0D" w:themeColor="text1" w:themeTint="F2"/>
                <w:spacing w:val="-4"/>
              </w:rPr>
              <w:footnoteReference w:id="5"/>
            </w:r>
            <w:r w:rsidRPr="00591EC6">
              <w:rPr>
                <w:color w:val="0D0D0D" w:themeColor="text1" w:themeTint="F2"/>
                <w:spacing w:val="-4"/>
              </w:rPr>
              <w:t xml:space="preserve">, domestic subcontractors (operating within the automotive industry) also have a significant impact on the performance of the above-mentioned industry. The dynamic growth of the smaller sector of </w:t>
            </w:r>
            <w:r>
              <w:rPr>
                <w:color w:val="0D0D0D" w:themeColor="text1" w:themeTint="F2"/>
                <w:spacing w:val="-4"/>
              </w:rPr>
              <w:t xml:space="preserve">manufacturing </w:t>
            </w:r>
            <w:r w:rsidRPr="00591EC6">
              <w:rPr>
                <w:color w:val="0D0D0D" w:themeColor="text1" w:themeTint="F2"/>
                <w:spacing w:val="-4"/>
              </w:rPr>
              <w:t xml:space="preserve">of other (especially rail) transport </w:t>
            </w:r>
            <w:r>
              <w:rPr>
                <w:color w:val="0D0D0D" w:themeColor="text1" w:themeTint="F2"/>
                <w:spacing w:val="-4"/>
              </w:rPr>
              <w:t xml:space="preserve">equipment </w:t>
            </w:r>
            <w:r w:rsidRPr="00591EC6">
              <w:rPr>
                <w:color w:val="0D0D0D" w:themeColor="text1" w:themeTint="F2"/>
                <w:spacing w:val="-4"/>
              </w:rPr>
              <w:t xml:space="preserve">continued, benefiting from a longer-term preference for low-emission transport and, in recent years, </w:t>
            </w:r>
            <w:r>
              <w:rPr>
                <w:color w:val="0D0D0D" w:themeColor="text1" w:themeTint="F2"/>
                <w:spacing w:val="-4"/>
              </w:rPr>
              <w:t xml:space="preserve">also </w:t>
            </w:r>
            <w:r w:rsidRPr="00591EC6">
              <w:rPr>
                <w:color w:val="0D0D0D" w:themeColor="text1" w:themeTint="F2"/>
                <w:spacing w:val="-4"/>
              </w:rPr>
              <w:t xml:space="preserve">from growing public expenditure in the field of defence and security. Its growth (+11.1%), the highest of all manufacturing </w:t>
            </w:r>
            <w:r>
              <w:rPr>
                <w:color w:val="0D0D0D" w:themeColor="text1" w:themeTint="F2"/>
                <w:spacing w:val="-4"/>
              </w:rPr>
              <w:t>activities</w:t>
            </w:r>
            <w:r w:rsidRPr="00591EC6">
              <w:rPr>
                <w:color w:val="0D0D0D" w:themeColor="text1" w:themeTint="F2"/>
                <w:spacing w:val="-4"/>
              </w:rPr>
              <w:t xml:space="preserve">, mainly reflected </w:t>
            </w:r>
            <w:r>
              <w:rPr>
                <w:color w:val="0D0D0D" w:themeColor="text1" w:themeTint="F2"/>
                <w:spacing w:val="-4"/>
              </w:rPr>
              <w:t xml:space="preserve">the </w:t>
            </w:r>
            <w:r w:rsidRPr="00591EC6">
              <w:rPr>
                <w:color w:val="0D0D0D" w:themeColor="text1" w:themeTint="F2"/>
                <w:spacing w:val="-4"/>
              </w:rPr>
              <w:t>strong domestic demand this year</w:t>
            </w:r>
            <w:r w:rsidRPr="00B131B0">
              <w:rPr>
                <w:rStyle w:val="Znakapoznpodarou"/>
                <w:color w:val="0D0D0D" w:themeColor="text1" w:themeTint="F2"/>
                <w:spacing w:val="-4"/>
              </w:rPr>
              <w:footnoteReference w:id="6"/>
            </w:r>
            <w:r w:rsidRPr="00591EC6">
              <w:rPr>
                <w:color w:val="0D0D0D" w:themeColor="text1" w:themeTint="F2"/>
                <w:spacing w:val="-4"/>
              </w:rPr>
              <w:t xml:space="preserve">. Other investment-oriented sectors also developed. The diversified </w:t>
            </w:r>
            <w:r>
              <w:rPr>
                <w:color w:val="0D0D0D" w:themeColor="text1" w:themeTint="F2"/>
                <w:spacing w:val="-4"/>
              </w:rPr>
              <w:t xml:space="preserve">fabricated </w:t>
            </w:r>
            <w:r w:rsidRPr="00591EC6">
              <w:rPr>
                <w:color w:val="0D0D0D" w:themeColor="text1" w:themeTint="F2"/>
                <w:spacing w:val="-4"/>
              </w:rPr>
              <w:t>meta</w:t>
            </w:r>
            <w:r>
              <w:rPr>
                <w:color w:val="0D0D0D" w:themeColor="text1" w:themeTint="F2"/>
                <w:spacing w:val="-4"/>
              </w:rPr>
              <w:t>l</w:t>
            </w:r>
            <w:r w:rsidRPr="00591EC6">
              <w:rPr>
                <w:color w:val="0D0D0D" w:themeColor="text1" w:themeTint="F2"/>
                <w:spacing w:val="-4"/>
              </w:rPr>
              <w:t xml:space="preserve"> </w:t>
            </w:r>
            <w:r>
              <w:rPr>
                <w:color w:val="0D0D0D" w:themeColor="text1" w:themeTint="F2"/>
                <w:spacing w:val="-4"/>
              </w:rPr>
              <w:t xml:space="preserve">production </w:t>
            </w:r>
            <w:r w:rsidRPr="00591EC6">
              <w:rPr>
                <w:color w:val="0D0D0D" w:themeColor="text1" w:themeTint="F2"/>
                <w:spacing w:val="-4"/>
              </w:rPr>
              <w:t xml:space="preserve">industry also continued to thrive (+4.3%), </w:t>
            </w:r>
            <w:r>
              <w:rPr>
                <w:color w:val="0D0D0D" w:themeColor="text1" w:themeTint="F2"/>
                <w:spacing w:val="-4"/>
              </w:rPr>
              <w:t xml:space="preserve">assisted </w:t>
            </w:r>
            <w:r w:rsidRPr="00591EC6">
              <w:rPr>
                <w:color w:val="0D0D0D" w:themeColor="text1" w:themeTint="F2"/>
                <w:spacing w:val="-4"/>
              </w:rPr>
              <w:t xml:space="preserve">by a small but still dynamic segment of arms production. However, the </w:t>
            </w:r>
            <w:r>
              <w:rPr>
                <w:color w:val="0D0D0D" w:themeColor="text1" w:themeTint="F2"/>
                <w:spacing w:val="-4"/>
              </w:rPr>
              <w:t xml:space="preserve">manufacturing </w:t>
            </w:r>
            <w:r w:rsidRPr="00591EC6">
              <w:rPr>
                <w:color w:val="0D0D0D" w:themeColor="text1" w:themeTint="F2"/>
                <w:spacing w:val="-4"/>
              </w:rPr>
              <w:t xml:space="preserve">of metal structures was also used in the automotive </w:t>
            </w:r>
            <w:r>
              <w:rPr>
                <w:color w:val="0D0D0D" w:themeColor="text1" w:themeTint="F2"/>
                <w:spacing w:val="-4"/>
              </w:rPr>
              <w:t xml:space="preserve">industry </w:t>
            </w:r>
            <w:r w:rsidRPr="00591EC6">
              <w:rPr>
                <w:color w:val="0D0D0D" w:themeColor="text1" w:themeTint="F2"/>
                <w:spacing w:val="-4"/>
              </w:rPr>
              <w:t>and construction. After a weaker year last year, production in the manufactur</w:t>
            </w:r>
            <w:r>
              <w:rPr>
                <w:color w:val="0D0D0D" w:themeColor="text1" w:themeTint="F2"/>
                <w:spacing w:val="-4"/>
              </w:rPr>
              <w:t xml:space="preserve">ing </w:t>
            </w:r>
            <w:r w:rsidRPr="00591EC6">
              <w:rPr>
                <w:color w:val="0D0D0D" w:themeColor="text1" w:themeTint="F2"/>
                <w:spacing w:val="-4"/>
              </w:rPr>
              <w:t xml:space="preserve">of computers, electronic and optical </w:t>
            </w:r>
            <w:r>
              <w:rPr>
                <w:color w:val="0D0D0D" w:themeColor="text1" w:themeTint="F2"/>
                <w:spacing w:val="-4"/>
              </w:rPr>
              <w:t xml:space="preserve">appliances </w:t>
            </w:r>
            <w:r w:rsidRPr="00591EC6">
              <w:rPr>
                <w:color w:val="0D0D0D" w:themeColor="text1" w:themeTint="F2"/>
                <w:spacing w:val="-4"/>
              </w:rPr>
              <w:t xml:space="preserve">rebounded significantly (+8.8%), mainly thanks to </w:t>
            </w:r>
            <w:r>
              <w:rPr>
                <w:color w:val="0D0D0D" w:themeColor="text1" w:themeTint="F2"/>
                <w:spacing w:val="-4"/>
              </w:rPr>
              <w:t>Q</w:t>
            </w:r>
            <w:r w:rsidRPr="00591EC6">
              <w:rPr>
                <w:color w:val="0D0D0D" w:themeColor="text1" w:themeTint="F2"/>
                <w:spacing w:val="-4"/>
              </w:rPr>
              <w:t>2</w:t>
            </w:r>
            <w:r>
              <w:rPr>
                <w:color w:val="0D0D0D" w:themeColor="text1" w:themeTint="F2"/>
                <w:spacing w:val="-4"/>
              </w:rPr>
              <w:t xml:space="preserve"> </w:t>
            </w:r>
            <w:r w:rsidRPr="00591EC6">
              <w:rPr>
                <w:color w:val="0D0D0D" w:themeColor="text1" w:themeTint="F2"/>
                <w:spacing w:val="-4"/>
              </w:rPr>
              <w:t xml:space="preserve">2026, when its growth was the highest in the last eight and a half years (+14.0%). This development was heralded by strongly growing imports of production components </w:t>
            </w:r>
            <w:r>
              <w:rPr>
                <w:color w:val="0D0D0D" w:themeColor="text1" w:themeTint="F2"/>
                <w:spacing w:val="-4"/>
              </w:rPr>
              <w:t xml:space="preserve">already </w:t>
            </w:r>
            <w:r w:rsidRPr="00591EC6">
              <w:rPr>
                <w:color w:val="0D0D0D" w:themeColor="text1" w:themeTint="F2"/>
                <w:spacing w:val="-4"/>
              </w:rPr>
              <w:t xml:space="preserve">at the beginning of this year. In addition to the traditionally key </w:t>
            </w:r>
            <w:r>
              <w:rPr>
                <w:color w:val="0D0D0D" w:themeColor="text1" w:themeTint="F2"/>
                <w:spacing w:val="-4"/>
              </w:rPr>
              <w:t xml:space="preserve">external </w:t>
            </w:r>
            <w:r w:rsidRPr="00591EC6">
              <w:rPr>
                <w:color w:val="0D0D0D" w:themeColor="text1" w:themeTint="F2"/>
                <w:spacing w:val="-4"/>
              </w:rPr>
              <w:t xml:space="preserve">demand, the performance of this sector was also influenced by domestic demand, partly supported by the continued development of photovoltaics. All of the above-mentioned investment-oriented </w:t>
            </w:r>
            <w:r>
              <w:rPr>
                <w:color w:val="0D0D0D" w:themeColor="text1" w:themeTint="F2"/>
                <w:spacing w:val="-4"/>
              </w:rPr>
              <w:t xml:space="preserve">activities </w:t>
            </w:r>
            <w:r w:rsidRPr="00591EC6">
              <w:rPr>
                <w:color w:val="0D0D0D" w:themeColor="text1" w:themeTint="F2"/>
                <w:spacing w:val="-4"/>
              </w:rPr>
              <w:t>contributed 1.55 p.</w:t>
            </w:r>
            <w:r>
              <w:rPr>
                <w:color w:val="0D0D0D" w:themeColor="text1" w:themeTint="F2"/>
                <w:spacing w:val="-4"/>
              </w:rPr>
              <w:t xml:space="preserve"> </w:t>
            </w:r>
            <w:r w:rsidRPr="00591EC6">
              <w:rPr>
                <w:color w:val="0D0D0D" w:themeColor="text1" w:themeTint="F2"/>
                <w:spacing w:val="-4"/>
              </w:rPr>
              <w:t xml:space="preserve">p. to the growth of the </w:t>
            </w:r>
            <w:r>
              <w:rPr>
                <w:color w:val="0D0D0D" w:themeColor="text1" w:themeTint="F2"/>
                <w:spacing w:val="-4"/>
              </w:rPr>
              <w:t xml:space="preserve">total </w:t>
            </w:r>
            <w:r w:rsidRPr="00591EC6">
              <w:rPr>
                <w:color w:val="0D0D0D" w:themeColor="text1" w:themeTint="F2"/>
                <w:spacing w:val="-4"/>
              </w:rPr>
              <w:t xml:space="preserve">industry in </w:t>
            </w:r>
            <w:r>
              <w:rPr>
                <w:color w:val="0D0D0D" w:themeColor="text1" w:themeTint="F2"/>
                <w:spacing w:val="-4"/>
              </w:rPr>
              <w:t>H</w:t>
            </w:r>
            <w:r w:rsidRPr="00591EC6">
              <w:rPr>
                <w:color w:val="0D0D0D" w:themeColor="text1" w:themeTint="F2"/>
                <w:spacing w:val="-4"/>
              </w:rPr>
              <w:t xml:space="preserve">1, </w:t>
            </w:r>
            <w:r>
              <w:rPr>
                <w:color w:val="0D0D0D" w:themeColor="text1" w:themeTint="F2"/>
                <w:spacing w:val="-4"/>
              </w:rPr>
              <w:t xml:space="preserve">in that </w:t>
            </w:r>
            <w:r w:rsidRPr="00591EC6">
              <w:rPr>
                <w:color w:val="0D0D0D" w:themeColor="text1" w:themeTint="F2"/>
                <w:spacing w:val="-4"/>
              </w:rPr>
              <w:t xml:space="preserve">the </w:t>
            </w:r>
            <w:r>
              <w:rPr>
                <w:color w:val="0D0D0D" w:themeColor="text1" w:themeTint="F2"/>
                <w:spacing w:val="-4"/>
              </w:rPr>
              <w:t xml:space="preserve">manufacturing </w:t>
            </w:r>
            <w:r w:rsidRPr="00591EC6">
              <w:rPr>
                <w:color w:val="0D0D0D" w:themeColor="text1" w:themeTint="F2"/>
                <w:spacing w:val="-4"/>
              </w:rPr>
              <w:t>of motor vehicles itself 0.65 p.</w:t>
            </w:r>
            <w:r>
              <w:rPr>
                <w:color w:val="0D0D0D" w:themeColor="text1" w:themeTint="F2"/>
                <w:spacing w:val="-4"/>
              </w:rPr>
              <w:t xml:space="preserve"> </w:t>
            </w:r>
            <w:r w:rsidRPr="00591EC6">
              <w:rPr>
                <w:color w:val="0D0D0D" w:themeColor="text1" w:themeTint="F2"/>
                <w:spacing w:val="-4"/>
              </w:rPr>
              <w:t>p.</w:t>
            </w:r>
            <w:r>
              <w:rPr>
                <w:color w:val="0D0D0D" w:themeColor="text1" w:themeTint="F2"/>
                <w:spacing w:val="-4"/>
              </w:rPr>
              <w:t xml:space="preserve">  </w:t>
            </w:r>
          </w:p>
        </w:tc>
      </w:tr>
      <w:tr w:rsidR="00927BC1" w:rsidRPr="00B131B0" w14:paraId="49D7A136" w14:textId="77777777" w:rsidTr="00D60677">
        <w:trPr>
          <w:trHeight w:val="145"/>
        </w:trPr>
        <w:tc>
          <w:tcPr>
            <w:tcW w:w="1863" w:type="dxa"/>
            <w:tcMar>
              <w:left w:w="0" w:type="dxa"/>
            </w:tcMar>
          </w:tcPr>
          <w:p w14:paraId="6A73EAA7" w14:textId="77777777" w:rsidR="00927BC1" w:rsidRPr="00B131B0" w:rsidRDefault="00927BC1" w:rsidP="00D60677">
            <w:pPr>
              <w:pStyle w:val="Marginlie"/>
              <w:spacing w:after="240"/>
              <w:rPr>
                <w:color w:val="0D0D0D" w:themeColor="text1" w:themeTint="F2"/>
                <w:spacing w:val="0"/>
              </w:rPr>
            </w:pPr>
            <w:bookmarkStart w:id="5" w:name="_Hlk238599940"/>
            <w:r w:rsidRPr="00F169B9">
              <w:rPr>
                <w:color w:val="0D0D0D" w:themeColor="text1" w:themeTint="F2"/>
                <w:spacing w:val="0"/>
              </w:rPr>
              <w:t xml:space="preserve">The energy-intensive </w:t>
            </w:r>
            <w:r>
              <w:rPr>
                <w:color w:val="0D0D0D" w:themeColor="text1" w:themeTint="F2"/>
                <w:spacing w:val="0"/>
              </w:rPr>
              <w:t xml:space="preserve">activities </w:t>
            </w:r>
            <w:r w:rsidRPr="00F169B9">
              <w:rPr>
                <w:color w:val="0D0D0D" w:themeColor="text1" w:themeTint="F2"/>
                <w:spacing w:val="0"/>
              </w:rPr>
              <w:t xml:space="preserve">of metallurgy, foundry and chemical </w:t>
            </w:r>
            <w:r w:rsidRPr="00F169B9">
              <w:rPr>
                <w:color w:val="0D0D0D" w:themeColor="text1" w:themeTint="F2"/>
                <w:spacing w:val="0"/>
              </w:rPr>
              <w:lastRenderedPageBreak/>
              <w:t xml:space="preserve">industry </w:t>
            </w:r>
            <w:r>
              <w:rPr>
                <w:color w:val="0D0D0D" w:themeColor="text1" w:themeTint="F2"/>
                <w:spacing w:val="0"/>
              </w:rPr>
              <w:t xml:space="preserve">continued in </w:t>
            </w:r>
            <w:r w:rsidRPr="00F169B9">
              <w:rPr>
                <w:color w:val="0D0D0D" w:themeColor="text1" w:themeTint="F2"/>
                <w:spacing w:val="0"/>
              </w:rPr>
              <w:t>last year's recovery.</w:t>
            </w:r>
          </w:p>
        </w:tc>
        <w:tc>
          <w:tcPr>
            <w:tcW w:w="142" w:type="dxa"/>
            <w:tcMar>
              <w:left w:w="0" w:type="dxa"/>
            </w:tcMar>
          </w:tcPr>
          <w:p w14:paraId="7BFE0B7D"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5C0BC028" w14:textId="77777777" w:rsidR="00927BC1" w:rsidRPr="00B131B0" w:rsidRDefault="00927BC1" w:rsidP="00D60677">
            <w:pPr>
              <w:spacing w:after="200"/>
              <w:rPr>
                <w:color w:val="0D0D0D" w:themeColor="text1" w:themeTint="F2"/>
                <w:spacing w:val="-4"/>
              </w:rPr>
            </w:pPr>
            <w:r w:rsidRPr="00304872">
              <w:rPr>
                <w:color w:val="0D0D0D" w:themeColor="text1" w:themeTint="F2"/>
                <w:spacing w:val="-4"/>
                <w:lang w:val="en"/>
              </w:rPr>
              <w:t>Industrial production was also supported by the vast majority of more energy-intensive industries producing intermediate products</w:t>
            </w:r>
            <w:r>
              <w:rPr>
                <w:color w:val="0D0D0D" w:themeColor="text1" w:themeTint="F2"/>
                <w:spacing w:val="-4"/>
                <w:lang w:val="en"/>
              </w:rPr>
              <w:t xml:space="preserve"> </w:t>
            </w:r>
            <w:r w:rsidRPr="00304872">
              <w:rPr>
                <w:color w:val="0D0D0D" w:themeColor="text1" w:themeTint="F2"/>
                <w:spacing w:val="-4"/>
                <w:lang w:val="en"/>
              </w:rPr>
              <w:t xml:space="preserve">this year. The rubber and plastics industries had the greatest impact, with a 2.5% growth stemming mainly from higher domestic demand </w:t>
            </w:r>
            <w:r>
              <w:rPr>
                <w:color w:val="0D0D0D" w:themeColor="text1" w:themeTint="F2"/>
                <w:spacing w:val="-4"/>
                <w:lang w:val="en"/>
              </w:rPr>
              <w:t xml:space="preserve">on </w:t>
            </w:r>
            <w:r>
              <w:rPr>
                <w:color w:val="0D0D0D" w:themeColor="text1" w:themeTint="F2"/>
                <w:spacing w:val="-4"/>
                <w:lang w:val="en"/>
              </w:rPr>
              <w:lastRenderedPageBreak/>
              <w:t xml:space="preserve">the part of </w:t>
            </w:r>
            <w:r w:rsidRPr="00304872">
              <w:rPr>
                <w:color w:val="0D0D0D" w:themeColor="text1" w:themeTint="F2"/>
                <w:spacing w:val="-4"/>
                <w:lang w:val="en"/>
              </w:rPr>
              <w:t xml:space="preserve">automotive industry. The chemical industry </w:t>
            </w:r>
            <w:r>
              <w:rPr>
                <w:color w:val="0D0D0D" w:themeColor="text1" w:themeTint="F2"/>
                <w:spacing w:val="-4"/>
                <w:lang w:val="en"/>
              </w:rPr>
              <w:t xml:space="preserve">continued </w:t>
            </w:r>
            <w:r w:rsidRPr="00304872">
              <w:rPr>
                <w:color w:val="0D0D0D" w:themeColor="text1" w:themeTint="F2"/>
                <w:spacing w:val="-4"/>
                <w:lang w:val="en"/>
              </w:rPr>
              <w:t xml:space="preserve">the recovery from </w:t>
            </w:r>
            <w:r>
              <w:rPr>
                <w:color w:val="0D0D0D" w:themeColor="text1" w:themeTint="F2"/>
                <w:spacing w:val="-4"/>
                <w:lang w:val="en"/>
              </w:rPr>
              <w:t xml:space="preserve">H2 </w:t>
            </w:r>
            <w:r w:rsidRPr="00304872">
              <w:rPr>
                <w:color w:val="0D0D0D" w:themeColor="text1" w:themeTint="F2"/>
                <w:spacing w:val="-4"/>
                <w:lang w:val="en"/>
              </w:rPr>
              <w:t xml:space="preserve">2025 and strengthened by 4.2% this year (the most in the last four and a half years), largely due to higher external demand. </w:t>
            </w:r>
            <w:r>
              <w:rPr>
                <w:color w:val="0D0D0D" w:themeColor="text1" w:themeTint="F2"/>
                <w:spacing w:val="-4"/>
                <w:lang w:val="en"/>
              </w:rPr>
              <w:t xml:space="preserve">This demand </w:t>
            </w:r>
            <w:r w:rsidRPr="00304872">
              <w:rPr>
                <w:color w:val="0D0D0D" w:themeColor="text1" w:themeTint="F2"/>
                <w:spacing w:val="-4"/>
                <w:lang w:val="en"/>
              </w:rPr>
              <w:t>also supported the production of metallurgy, including foundry (+5.1%), which thus followed last year's partial re</w:t>
            </w:r>
            <w:r>
              <w:rPr>
                <w:color w:val="0D0D0D" w:themeColor="text1" w:themeTint="F2"/>
                <w:spacing w:val="-4"/>
                <w:lang w:val="en"/>
              </w:rPr>
              <w:t xml:space="preserve">vival </w:t>
            </w:r>
            <w:r w:rsidRPr="00304872">
              <w:rPr>
                <w:color w:val="0D0D0D" w:themeColor="text1" w:themeTint="F2"/>
                <w:spacing w:val="-4"/>
                <w:lang w:val="en"/>
              </w:rPr>
              <w:t xml:space="preserve">(after a deep </w:t>
            </w:r>
            <w:r>
              <w:rPr>
                <w:color w:val="0D0D0D" w:themeColor="text1" w:themeTint="F2"/>
                <w:spacing w:val="-4"/>
                <w:lang w:val="en"/>
              </w:rPr>
              <w:t>production slump b</w:t>
            </w:r>
            <w:r w:rsidRPr="00304872">
              <w:rPr>
                <w:color w:val="0D0D0D" w:themeColor="text1" w:themeTint="F2"/>
                <w:spacing w:val="-4"/>
                <w:lang w:val="en"/>
              </w:rPr>
              <w:t>etween 2022 and 2024</w:t>
            </w:r>
            <w:r w:rsidRPr="00B131B0">
              <w:rPr>
                <w:rStyle w:val="Znakapoznpodarou"/>
                <w:color w:val="0D0D0D" w:themeColor="text1" w:themeTint="F2"/>
                <w:spacing w:val="-4"/>
              </w:rPr>
              <w:footnoteReference w:id="7"/>
            </w:r>
            <w:r w:rsidRPr="00304872">
              <w:rPr>
                <w:color w:val="0D0D0D" w:themeColor="text1" w:themeTint="F2"/>
                <w:spacing w:val="-4"/>
                <w:lang w:val="en"/>
              </w:rPr>
              <w:t xml:space="preserve">, the longest and deepest in the current millennium). </w:t>
            </w:r>
            <w:r>
              <w:rPr>
                <w:color w:val="0D0D0D" w:themeColor="text1" w:themeTint="F2"/>
                <w:spacing w:val="-4"/>
                <w:lang w:val="en"/>
              </w:rPr>
              <w:t>T</w:t>
            </w:r>
            <w:r w:rsidRPr="00304872">
              <w:rPr>
                <w:color w:val="0D0D0D" w:themeColor="text1" w:themeTint="F2"/>
                <w:spacing w:val="-4"/>
                <w:lang w:val="en"/>
              </w:rPr>
              <w:t xml:space="preserve">he </w:t>
            </w:r>
            <w:r>
              <w:rPr>
                <w:color w:val="0D0D0D" w:themeColor="text1" w:themeTint="F2"/>
                <w:spacing w:val="-4"/>
                <w:lang w:val="en"/>
              </w:rPr>
              <w:t>manufacturing o</w:t>
            </w:r>
            <w:r w:rsidRPr="00304872">
              <w:rPr>
                <w:color w:val="0D0D0D" w:themeColor="text1" w:themeTint="F2"/>
                <w:spacing w:val="-4"/>
                <w:lang w:val="en"/>
              </w:rPr>
              <w:t xml:space="preserve">f electrical equipment </w:t>
            </w:r>
            <w:r>
              <w:rPr>
                <w:color w:val="0D0D0D" w:themeColor="text1" w:themeTint="F2"/>
                <w:spacing w:val="-4"/>
                <w:lang w:val="en"/>
              </w:rPr>
              <w:t>recorded slower</w:t>
            </w:r>
            <w:r w:rsidRPr="00304872">
              <w:rPr>
                <w:color w:val="0D0D0D" w:themeColor="text1" w:themeTint="F2"/>
                <w:spacing w:val="-4"/>
                <w:lang w:val="en"/>
              </w:rPr>
              <w:t xml:space="preserve"> growth (1.0 to 2.5%) </w:t>
            </w:r>
            <w:r>
              <w:rPr>
                <w:color w:val="0D0D0D" w:themeColor="text1" w:themeTint="F2"/>
                <w:spacing w:val="-4"/>
                <w:lang w:val="en"/>
              </w:rPr>
              <w:t>t</w:t>
            </w:r>
            <w:r w:rsidRPr="00304872">
              <w:rPr>
                <w:color w:val="0D0D0D" w:themeColor="text1" w:themeTint="F2"/>
                <w:spacing w:val="-4"/>
                <w:lang w:val="en"/>
              </w:rPr>
              <w:t>his year</w:t>
            </w:r>
            <w:r>
              <w:rPr>
                <w:color w:val="0D0D0D" w:themeColor="text1" w:themeTint="F2"/>
                <w:spacing w:val="-4"/>
                <w:lang w:val="en"/>
              </w:rPr>
              <w:t xml:space="preserve">. The similar growth was evident also in the </w:t>
            </w:r>
            <w:r w:rsidRPr="00304872">
              <w:rPr>
                <w:color w:val="0D0D0D" w:themeColor="text1" w:themeTint="F2"/>
                <w:spacing w:val="-4"/>
                <w:lang w:val="en"/>
              </w:rPr>
              <w:t xml:space="preserve">smaller branches of the paper industry and </w:t>
            </w:r>
            <w:r>
              <w:rPr>
                <w:color w:val="0D0D0D" w:themeColor="text1" w:themeTint="F2"/>
                <w:spacing w:val="-4"/>
                <w:lang w:val="en"/>
              </w:rPr>
              <w:t xml:space="preserve">also </w:t>
            </w:r>
            <w:r w:rsidRPr="00304872">
              <w:rPr>
                <w:color w:val="0D0D0D" w:themeColor="text1" w:themeTint="F2"/>
                <w:spacing w:val="-4"/>
                <w:lang w:val="en"/>
              </w:rPr>
              <w:t xml:space="preserve">the textile industry, the key part of which is focused on the production of non-woven textiles used, for example, in construction. All the above </w:t>
            </w:r>
            <w:r>
              <w:rPr>
                <w:color w:val="0D0D0D" w:themeColor="text1" w:themeTint="F2"/>
                <w:spacing w:val="-4"/>
                <w:lang w:val="en"/>
              </w:rPr>
              <w:t xml:space="preserve">stated activities </w:t>
            </w:r>
            <w:r w:rsidRPr="00304872">
              <w:rPr>
                <w:color w:val="0D0D0D" w:themeColor="text1" w:themeTint="F2"/>
                <w:spacing w:val="-4"/>
                <w:lang w:val="en"/>
              </w:rPr>
              <w:t xml:space="preserve">contributed to the growth of the </w:t>
            </w:r>
            <w:r>
              <w:rPr>
                <w:color w:val="0D0D0D" w:themeColor="text1" w:themeTint="F2"/>
                <w:spacing w:val="-4"/>
                <w:lang w:val="en"/>
              </w:rPr>
              <w:t xml:space="preserve">total </w:t>
            </w:r>
            <w:r w:rsidRPr="00304872">
              <w:rPr>
                <w:color w:val="0D0D0D" w:themeColor="text1" w:themeTint="F2"/>
                <w:spacing w:val="-4"/>
                <w:lang w:val="en"/>
              </w:rPr>
              <w:t>industry by 0.64 p.</w:t>
            </w:r>
            <w:r>
              <w:rPr>
                <w:color w:val="0D0D0D" w:themeColor="text1" w:themeTint="F2"/>
                <w:spacing w:val="-4"/>
                <w:lang w:val="en"/>
              </w:rPr>
              <w:t xml:space="preserve"> </w:t>
            </w:r>
            <w:r w:rsidRPr="00304872">
              <w:rPr>
                <w:color w:val="0D0D0D" w:themeColor="text1" w:themeTint="F2"/>
                <w:spacing w:val="-4"/>
                <w:lang w:val="en"/>
              </w:rPr>
              <w:t>p.</w:t>
            </w:r>
            <w:r>
              <w:rPr>
                <w:color w:val="0D0D0D" w:themeColor="text1" w:themeTint="F2"/>
                <w:spacing w:val="-4"/>
                <w:lang w:val="en"/>
              </w:rPr>
              <w:t xml:space="preserve"> </w:t>
            </w:r>
            <w:r w:rsidRPr="00B131B0">
              <w:rPr>
                <w:color w:val="0D0D0D" w:themeColor="text1" w:themeTint="F2"/>
                <w:spacing w:val="-4"/>
              </w:rPr>
              <w:t xml:space="preserve"> </w:t>
            </w:r>
          </w:p>
        </w:tc>
      </w:tr>
      <w:bookmarkEnd w:id="5"/>
      <w:tr w:rsidR="00927BC1" w:rsidRPr="00B131B0" w14:paraId="4001BAFE" w14:textId="77777777" w:rsidTr="00D60677">
        <w:trPr>
          <w:trHeight w:val="145"/>
        </w:trPr>
        <w:tc>
          <w:tcPr>
            <w:tcW w:w="1863" w:type="dxa"/>
            <w:tcMar>
              <w:left w:w="0" w:type="dxa"/>
            </w:tcMar>
          </w:tcPr>
          <w:p w14:paraId="705076EC" w14:textId="77777777" w:rsidR="00927BC1" w:rsidRPr="00B131B0" w:rsidRDefault="00927BC1" w:rsidP="00D60677">
            <w:pPr>
              <w:pStyle w:val="Marginlie"/>
              <w:rPr>
                <w:color w:val="0D0D0D" w:themeColor="text1" w:themeTint="F2"/>
                <w:spacing w:val="0"/>
              </w:rPr>
            </w:pPr>
            <w:r w:rsidRPr="00AE0EB9">
              <w:rPr>
                <w:color w:val="0D0D0D" w:themeColor="text1" w:themeTint="F2"/>
                <w:spacing w:val="0"/>
              </w:rPr>
              <w:lastRenderedPageBreak/>
              <w:t>Electricity production increased mainly thanks to steam-gas power plants.</w:t>
            </w:r>
          </w:p>
          <w:p w14:paraId="59EF2190" w14:textId="77777777" w:rsidR="00927BC1" w:rsidRPr="00B131B0" w:rsidRDefault="00927BC1" w:rsidP="00D60677">
            <w:pPr>
              <w:pStyle w:val="Marginlie"/>
              <w:rPr>
                <w:color w:val="0D0D0D" w:themeColor="text1" w:themeTint="F2"/>
                <w:spacing w:val="0"/>
              </w:rPr>
            </w:pPr>
          </w:p>
          <w:p w14:paraId="45E76575" w14:textId="77777777" w:rsidR="00927BC1" w:rsidRPr="00B131B0" w:rsidRDefault="00927BC1" w:rsidP="00D60677">
            <w:pPr>
              <w:pStyle w:val="Marginlie"/>
              <w:rPr>
                <w:color w:val="0D0D0D" w:themeColor="text1" w:themeTint="F2"/>
                <w:spacing w:val="0"/>
              </w:rPr>
            </w:pPr>
          </w:p>
          <w:p w14:paraId="592C12AB" w14:textId="77777777" w:rsidR="00927BC1" w:rsidRDefault="00927BC1" w:rsidP="00D60677">
            <w:pPr>
              <w:pStyle w:val="Marginlie"/>
              <w:spacing w:line="240" w:lineRule="auto"/>
              <w:rPr>
                <w:color w:val="0D0D0D" w:themeColor="text1" w:themeTint="F2"/>
                <w:spacing w:val="0"/>
              </w:rPr>
            </w:pPr>
          </w:p>
          <w:p w14:paraId="0AD509CF" w14:textId="77777777" w:rsidR="00927BC1" w:rsidRDefault="00927BC1" w:rsidP="00D60677">
            <w:pPr>
              <w:pStyle w:val="Marginlie"/>
              <w:spacing w:line="240" w:lineRule="auto"/>
              <w:rPr>
                <w:color w:val="0D0D0D" w:themeColor="text1" w:themeTint="F2"/>
                <w:spacing w:val="0"/>
              </w:rPr>
            </w:pPr>
          </w:p>
          <w:p w14:paraId="29E5FBF4" w14:textId="77777777" w:rsidR="00927BC1" w:rsidRPr="00B131B0" w:rsidRDefault="00927BC1" w:rsidP="00D60677">
            <w:pPr>
              <w:pStyle w:val="Marginlie"/>
              <w:spacing w:line="240" w:lineRule="auto"/>
              <w:rPr>
                <w:color w:val="0D0D0D" w:themeColor="text1" w:themeTint="F2"/>
                <w:spacing w:val="0"/>
              </w:rPr>
            </w:pPr>
          </w:p>
          <w:p w14:paraId="76FF8A7E" w14:textId="77777777" w:rsidR="00927BC1" w:rsidRPr="00B131B0" w:rsidRDefault="00927BC1" w:rsidP="00D60677">
            <w:pPr>
              <w:pStyle w:val="Marginlie"/>
              <w:spacing w:line="240" w:lineRule="auto"/>
              <w:rPr>
                <w:color w:val="0D0D0D" w:themeColor="text1" w:themeTint="F2"/>
                <w:spacing w:val="0"/>
              </w:rPr>
            </w:pPr>
          </w:p>
          <w:p w14:paraId="4470EF38" w14:textId="77777777" w:rsidR="00927BC1" w:rsidRPr="00B131B0" w:rsidRDefault="00927BC1" w:rsidP="00D60677">
            <w:pPr>
              <w:pStyle w:val="Marginlie"/>
              <w:spacing w:line="240" w:lineRule="auto"/>
              <w:rPr>
                <w:color w:val="0D0D0D" w:themeColor="text1" w:themeTint="F2"/>
                <w:spacing w:val="0"/>
              </w:rPr>
            </w:pPr>
          </w:p>
          <w:p w14:paraId="3B962377" w14:textId="77777777" w:rsidR="00927BC1" w:rsidRPr="00B131B0" w:rsidRDefault="00927BC1" w:rsidP="00D60677">
            <w:pPr>
              <w:pStyle w:val="Marginlie"/>
              <w:spacing w:after="240"/>
              <w:rPr>
                <w:color w:val="0D0D0D" w:themeColor="text1" w:themeTint="F2"/>
                <w:spacing w:val="0"/>
              </w:rPr>
            </w:pPr>
            <w:r w:rsidRPr="00D01C1C">
              <w:rPr>
                <w:color w:val="0D0D0D" w:themeColor="text1" w:themeTint="F2"/>
                <w:spacing w:val="0"/>
              </w:rPr>
              <w:t>Domestic electricity and gas consumption grew slightly for the second year in a row. There was less willingness of customers to make further savings, but also the impact of colder weather in January and April.</w:t>
            </w:r>
          </w:p>
        </w:tc>
        <w:tc>
          <w:tcPr>
            <w:tcW w:w="142" w:type="dxa"/>
            <w:tcMar>
              <w:left w:w="0" w:type="dxa"/>
            </w:tcMar>
          </w:tcPr>
          <w:p w14:paraId="09DB6A32"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4185AB19" w14:textId="77777777" w:rsidR="00927BC1" w:rsidRPr="00944507" w:rsidRDefault="00927BC1" w:rsidP="00D60677">
            <w:pPr>
              <w:rPr>
                <w:color w:val="0D0D0D" w:themeColor="text1" w:themeTint="F2"/>
                <w:spacing w:val="-3"/>
              </w:rPr>
            </w:pPr>
            <w:r w:rsidRPr="00944507">
              <w:rPr>
                <w:color w:val="0D0D0D" w:themeColor="text1" w:themeTint="F2"/>
                <w:spacing w:val="-3"/>
              </w:rPr>
              <w:t>In addition, the energy sector also had a growth-boosting effect, with production increasing by 2.7% this year and contributing 0.23 p. p. to the growth of the total industry. Net electricity production increased by 2.6%, year-on-year, in H1 (to 37.3 TWh), mainly due to higher production of steam-gas power plants (+28%). Pumped storage hydropower plants (+33%) and photovoltaic power plants (+6.7%, with enhanced installed capacity by 9.6%) also contributed more. On the contrary, due to this year's planned technological shutdowns and last year's high comparison base, production from nuclear installations decreased (−1.2%). The decline of hydroelectric (−17.7%) and wind power plants (−7.9%) also had a smaller overall impact. Total domestic electricity consumption also grew, confirming the trend change from mid-2024. Higher demand was evident across the total market segment</w:t>
            </w:r>
            <w:r w:rsidRPr="00944507">
              <w:rPr>
                <w:rStyle w:val="Znakapoznpodarou"/>
                <w:color w:val="0D0D0D" w:themeColor="text1" w:themeTint="F2"/>
                <w:spacing w:val="-3"/>
              </w:rPr>
              <w:footnoteReference w:id="8"/>
            </w:r>
            <w:r w:rsidRPr="00944507">
              <w:rPr>
                <w:color w:val="0D0D0D" w:themeColor="text1" w:themeTint="F2"/>
                <w:spacing w:val="-3"/>
              </w:rPr>
              <w:t>. Gas consumption</w:t>
            </w:r>
            <w:r w:rsidRPr="00944507">
              <w:rPr>
                <w:rStyle w:val="Znakapoznpodarou"/>
                <w:color w:val="0D0D0D" w:themeColor="text1" w:themeTint="F2"/>
                <w:spacing w:val="-3"/>
              </w:rPr>
              <w:footnoteReference w:id="9"/>
            </w:r>
            <w:r w:rsidRPr="00944507">
              <w:rPr>
                <w:color w:val="0D0D0D" w:themeColor="text1" w:themeTint="F2"/>
                <w:spacing w:val="-3"/>
              </w:rPr>
              <w:t xml:space="preserve"> also increased slightly for the second year in a row. The growth of electricity and gas consumption reflected the effect of colder weather in January and April this year</w:t>
            </w:r>
            <w:r w:rsidRPr="00944507">
              <w:rPr>
                <w:rStyle w:val="Znakapoznpodarou"/>
                <w:color w:val="0D0D0D" w:themeColor="text1" w:themeTint="F2"/>
                <w:spacing w:val="-3"/>
              </w:rPr>
              <w:footnoteReference w:id="10"/>
            </w:r>
            <w:r w:rsidRPr="00944507">
              <w:rPr>
                <w:color w:val="0D0D0D" w:themeColor="text1" w:themeTint="F2"/>
                <w:spacing w:val="-3"/>
              </w:rPr>
              <w:t xml:space="preserve">.  The diminishing motivation for further savings in consumption (especially in households) had the opposite effect. It also decreased as a result of stabilisation and subsequent reduction of energy prices, which was more noticeable mainly for natural gas. In addition, higher consumption mirrored the more favourable financial situation of households and a gradual recovery of economic performance, accompanied by a stabilisation of demand in some energy-intensive industries.   </w:t>
            </w:r>
          </w:p>
        </w:tc>
      </w:tr>
      <w:tr w:rsidR="00927BC1" w:rsidRPr="00B131B0" w14:paraId="35FDE880" w14:textId="77777777" w:rsidTr="00D60677">
        <w:trPr>
          <w:trHeight w:val="145"/>
        </w:trPr>
        <w:tc>
          <w:tcPr>
            <w:tcW w:w="1863" w:type="dxa"/>
            <w:tcMar>
              <w:left w:w="0" w:type="dxa"/>
            </w:tcMar>
          </w:tcPr>
          <w:p w14:paraId="1D6F851B" w14:textId="77777777" w:rsidR="00927BC1" w:rsidRPr="00B131B0" w:rsidRDefault="00927BC1" w:rsidP="00D60677">
            <w:pPr>
              <w:pStyle w:val="Marginlie"/>
              <w:spacing w:after="240"/>
              <w:rPr>
                <w:color w:val="0D0D0D" w:themeColor="text1" w:themeTint="F2"/>
                <w:spacing w:val="0"/>
              </w:rPr>
            </w:pPr>
            <w:r w:rsidRPr="00EB42ED">
              <w:rPr>
                <w:color w:val="0D0D0D" w:themeColor="text1" w:themeTint="F2"/>
                <w:lang w:val="en"/>
              </w:rPr>
              <w:t xml:space="preserve">Moderate growth </w:t>
            </w:r>
            <w:r>
              <w:rPr>
                <w:color w:val="0D0D0D" w:themeColor="text1" w:themeTint="F2"/>
                <w:lang w:val="en"/>
              </w:rPr>
              <w:t>of</w:t>
            </w:r>
            <w:r w:rsidRPr="00EB42ED">
              <w:rPr>
                <w:color w:val="0D0D0D" w:themeColor="text1" w:themeTint="F2"/>
                <w:lang w:val="en"/>
              </w:rPr>
              <w:t xml:space="preserve"> the food industry continued thanks to domestic demand. The footwear and leather industry revived more significantly.</w:t>
            </w:r>
            <w:r>
              <w:rPr>
                <w:color w:val="0D0D0D" w:themeColor="text1" w:themeTint="F2"/>
                <w:lang w:val="en"/>
              </w:rPr>
              <w:t xml:space="preserve"> </w:t>
            </w:r>
            <w:r w:rsidRPr="00B131B0">
              <w:rPr>
                <w:color w:val="0D0D0D" w:themeColor="text1" w:themeTint="F2"/>
                <w:spacing w:val="0"/>
              </w:rPr>
              <w:t xml:space="preserve"> </w:t>
            </w:r>
          </w:p>
        </w:tc>
        <w:tc>
          <w:tcPr>
            <w:tcW w:w="142" w:type="dxa"/>
            <w:tcMar>
              <w:left w:w="0" w:type="dxa"/>
            </w:tcMar>
          </w:tcPr>
          <w:p w14:paraId="5A5226B0"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1CA30B87" w14:textId="77777777" w:rsidR="00927BC1" w:rsidRPr="00B131B0" w:rsidRDefault="00927BC1" w:rsidP="00D60677">
            <w:pPr>
              <w:spacing w:after="200"/>
              <w:rPr>
                <w:color w:val="0D0D0D" w:themeColor="text1" w:themeTint="F2"/>
                <w:spacing w:val="-4"/>
              </w:rPr>
            </w:pPr>
            <w:r>
              <w:rPr>
                <w:color w:val="0D0D0D" w:themeColor="text1" w:themeTint="F2"/>
                <w:spacing w:val="-4"/>
                <w:lang w:val="en"/>
              </w:rPr>
              <w:t>Among the manufacturing aimed at production of consumption goods, o</w:t>
            </w:r>
            <w:r w:rsidRPr="006740E4">
              <w:rPr>
                <w:color w:val="0D0D0D" w:themeColor="text1" w:themeTint="F2"/>
                <w:spacing w:val="-4"/>
                <w:lang w:val="en"/>
              </w:rPr>
              <w:t xml:space="preserve">ther manufacturing, including </w:t>
            </w:r>
            <w:r>
              <w:rPr>
                <w:color w:val="0D0D0D" w:themeColor="text1" w:themeTint="F2"/>
                <w:spacing w:val="-4"/>
                <w:lang w:val="en"/>
              </w:rPr>
              <w:t xml:space="preserve">for instance manufacturing </w:t>
            </w:r>
            <w:r w:rsidRPr="006740E4">
              <w:rPr>
                <w:color w:val="0D0D0D" w:themeColor="text1" w:themeTint="F2"/>
                <w:spacing w:val="-4"/>
                <w:lang w:val="en"/>
              </w:rPr>
              <w:t>of sport</w:t>
            </w:r>
            <w:r>
              <w:rPr>
                <w:color w:val="0D0D0D" w:themeColor="text1" w:themeTint="F2"/>
                <w:spacing w:val="-4"/>
                <w:lang w:val="en"/>
              </w:rPr>
              <w:t xml:space="preserve"> </w:t>
            </w:r>
            <w:r w:rsidRPr="006740E4">
              <w:rPr>
                <w:color w:val="0D0D0D" w:themeColor="text1" w:themeTint="F2"/>
                <w:spacing w:val="-4"/>
                <w:lang w:val="en"/>
              </w:rPr>
              <w:t xml:space="preserve">goods, games, toys and jewelry, benefited from </w:t>
            </w:r>
            <w:r w:rsidRPr="00947ECA">
              <w:rPr>
                <w:color w:val="0D0D0D" w:themeColor="text1" w:themeTint="F2"/>
                <w:spacing w:val="-6"/>
                <w:lang w:val="en"/>
              </w:rPr>
              <w:t>the growing purchasing power of households and their confidence in the economy. Production</w:t>
            </w:r>
            <w:r w:rsidRPr="006740E4">
              <w:rPr>
                <w:color w:val="0D0D0D" w:themeColor="text1" w:themeTint="F2"/>
                <w:spacing w:val="-4"/>
                <w:lang w:val="en"/>
              </w:rPr>
              <w:t xml:space="preserve"> </w:t>
            </w:r>
            <w:r w:rsidRPr="00947ECA">
              <w:rPr>
                <w:color w:val="0D0D0D" w:themeColor="text1" w:themeTint="F2"/>
                <w:spacing w:val="-6"/>
                <w:lang w:val="en"/>
              </w:rPr>
              <w:t>growth rose to 5.7% here, solely due to strengthening external demand. Output increased more</w:t>
            </w:r>
            <w:r w:rsidRPr="006740E4">
              <w:rPr>
                <w:color w:val="0D0D0D" w:themeColor="text1" w:themeTint="F2"/>
                <w:spacing w:val="-4"/>
                <w:lang w:val="en"/>
              </w:rPr>
              <w:t xml:space="preserve"> moderately in </w:t>
            </w:r>
            <w:r>
              <w:rPr>
                <w:color w:val="0D0D0D" w:themeColor="text1" w:themeTint="F2"/>
                <w:spacing w:val="-4"/>
                <w:lang w:val="en"/>
              </w:rPr>
              <w:t xml:space="preserve">manufacturing </w:t>
            </w:r>
            <w:r w:rsidRPr="006740E4">
              <w:rPr>
                <w:color w:val="0D0D0D" w:themeColor="text1" w:themeTint="F2"/>
                <w:spacing w:val="-4"/>
                <w:lang w:val="en"/>
              </w:rPr>
              <w:t>food (+1.5%) and beverage</w:t>
            </w:r>
            <w:r>
              <w:rPr>
                <w:color w:val="0D0D0D" w:themeColor="text1" w:themeTint="F2"/>
                <w:spacing w:val="-4"/>
                <w:lang w:val="en"/>
              </w:rPr>
              <w:t xml:space="preserve">s </w:t>
            </w:r>
            <w:r w:rsidRPr="006740E4">
              <w:rPr>
                <w:color w:val="0D0D0D" w:themeColor="text1" w:themeTint="F2"/>
                <w:spacing w:val="-4"/>
                <w:lang w:val="en"/>
              </w:rPr>
              <w:t xml:space="preserve">(+2.6%), for which domestic demand is traditionally decisive. </w:t>
            </w:r>
            <w:r>
              <w:rPr>
                <w:color w:val="0D0D0D" w:themeColor="text1" w:themeTint="F2"/>
                <w:spacing w:val="-4"/>
                <w:lang w:val="en"/>
              </w:rPr>
              <w:t xml:space="preserve">It </w:t>
            </w:r>
            <w:r w:rsidRPr="006740E4">
              <w:rPr>
                <w:color w:val="0D0D0D" w:themeColor="text1" w:themeTint="F2"/>
                <w:spacing w:val="-4"/>
                <w:lang w:val="en"/>
              </w:rPr>
              <w:t xml:space="preserve">significantly helped in the recovery of the footwear and leather industry (+7.3%) and also </w:t>
            </w:r>
            <w:r>
              <w:rPr>
                <w:color w:val="0D0D0D" w:themeColor="text1" w:themeTint="F2"/>
                <w:spacing w:val="-4"/>
                <w:lang w:val="en"/>
              </w:rPr>
              <w:t xml:space="preserve">manufacturing of clothing </w:t>
            </w:r>
            <w:r w:rsidRPr="006740E4">
              <w:rPr>
                <w:color w:val="0D0D0D" w:themeColor="text1" w:themeTint="F2"/>
                <w:spacing w:val="-4"/>
                <w:lang w:val="en"/>
              </w:rPr>
              <w:t xml:space="preserve">(+3.4%). The above-mentioned </w:t>
            </w:r>
            <w:r>
              <w:rPr>
                <w:color w:val="0D0D0D" w:themeColor="text1" w:themeTint="F2"/>
                <w:spacing w:val="-4"/>
                <w:lang w:val="en"/>
              </w:rPr>
              <w:t>“</w:t>
            </w:r>
            <w:r w:rsidRPr="006740E4">
              <w:rPr>
                <w:color w:val="0D0D0D" w:themeColor="text1" w:themeTint="F2"/>
                <w:spacing w:val="-4"/>
                <w:lang w:val="en"/>
              </w:rPr>
              <w:t xml:space="preserve">consumer </w:t>
            </w:r>
            <w:r>
              <w:rPr>
                <w:color w:val="0D0D0D" w:themeColor="text1" w:themeTint="F2"/>
                <w:spacing w:val="-4"/>
                <w:lang w:val="en"/>
              </w:rPr>
              <w:t>industries”</w:t>
            </w:r>
            <w:r w:rsidRPr="006740E4">
              <w:rPr>
                <w:color w:val="0D0D0D" w:themeColor="text1" w:themeTint="F2"/>
                <w:spacing w:val="-4"/>
                <w:lang w:val="en"/>
              </w:rPr>
              <w:t xml:space="preserve"> contributed only 0.28 p</w:t>
            </w:r>
            <w:r>
              <w:rPr>
                <w:color w:val="0D0D0D" w:themeColor="text1" w:themeTint="F2"/>
                <w:spacing w:val="-4"/>
                <w:lang w:val="en"/>
              </w:rPr>
              <w:t xml:space="preserve">. p. </w:t>
            </w:r>
            <w:r w:rsidRPr="006740E4">
              <w:rPr>
                <w:color w:val="0D0D0D" w:themeColor="text1" w:themeTint="F2"/>
                <w:spacing w:val="-4"/>
                <w:lang w:val="en"/>
              </w:rPr>
              <w:t xml:space="preserve">to the growth of the </w:t>
            </w:r>
            <w:r>
              <w:rPr>
                <w:color w:val="0D0D0D" w:themeColor="text1" w:themeTint="F2"/>
                <w:spacing w:val="-4"/>
                <w:lang w:val="en"/>
              </w:rPr>
              <w:t xml:space="preserve">total </w:t>
            </w:r>
            <w:r w:rsidRPr="006740E4">
              <w:rPr>
                <w:color w:val="0D0D0D" w:themeColor="text1" w:themeTint="F2"/>
                <w:spacing w:val="-4"/>
                <w:lang w:val="en"/>
              </w:rPr>
              <w:t>industry this year.</w:t>
            </w:r>
            <w:r>
              <w:rPr>
                <w:color w:val="0D0D0D" w:themeColor="text1" w:themeTint="F2"/>
                <w:spacing w:val="-4"/>
                <w:lang w:val="en"/>
              </w:rPr>
              <w:t xml:space="preserve"> </w:t>
            </w:r>
          </w:p>
        </w:tc>
      </w:tr>
      <w:tr w:rsidR="00927BC1" w:rsidRPr="00F24A18" w14:paraId="500D13DE" w14:textId="77777777" w:rsidTr="00D60677">
        <w:trPr>
          <w:trHeight w:val="145"/>
        </w:trPr>
        <w:tc>
          <w:tcPr>
            <w:tcW w:w="1863" w:type="dxa"/>
            <w:tcMar>
              <w:left w:w="0" w:type="dxa"/>
            </w:tcMar>
          </w:tcPr>
          <w:p w14:paraId="68CD41A7" w14:textId="77777777" w:rsidR="00927BC1" w:rsidRDefault="00927BC1" w:rsidP="00D60677">
            <w:pPr>
              <w:pStyle w:val="Marginlie"/>
              <w:rPr>
                <w:color w:val="0D0D0D" w:themeColor="text1" w:themeTint="F2"/>
                <w:spacing w:val="0"/>
              </w:rPr>
            </w:pPr>
            <w:r w:rsidRPr="00B306DC">
              <w:rPr>
                <w:color w:val="0D0D0D" w:themeColor="text1" w:themeTint="F2"/>
                <w:spacing w:val="0"/>
              </w:rPr>
              <w:t xml:space="preserve">Engineering </w:t>
            </w:r>
            <w:r>
              <w:rPr>
                <w:color w:val="0D0D0D" w:themeColor="text1" w:themeTint="F2"/>
                <w:spacing w:val="0"/>
              </w:rPr>
              <w:t>hampered the industry growth the most</w:t>
            </w:r>
            <w:r w:rsidRPr="00B306DC">
              <w:rPr>
                <w:color w:val="0D0D0D" w:themeColor="text1" w:themeTint="F2"/>
                <w:spacing w:val="0"/>
              </w:rPr>
              <w:t xml:space="preserve">, limited by weaker </w:t>
            </w:r>
            <w:r>
              <w:rPr>
                <w:color w:val="0D0D0D" w:themeColor="text1" w:themeTint="F2"/>
                <w:spacing w:val="0"/>
              </w:rPr>
              <w:t xml:space="preserve">external </w:t>
            </w:r>
            <w:r w:rsidRPr="00B306DC">
              <w:rPr>
                <w:color w:val="0D0D0D" w:themeColor="text1" w:themeTint="F2"/>
                <w:spacing w:val="0"/>
              </w:rPr>
              <w:t>demand</w:t>
            </w:r>
            <w:r>
              <w:rPr>
                <w:color w:val="0D0D0D" w:themeColor="text1" w:themeTint="F2"/>
                <w:spacing w:val="0"/>
              </w:rPr>
              <w:t>.</w:t>
            </w:r>
            <w:r w:rsidRPr="00B306DC">
              <w:rPr>
                <w:color w:val="0D0D0D" w:themeColor="text1" w:themeTint="F2"/>
                <w:spacing w:val="0"/>
              </w:rPr>
              <w:t xml:space="preserve"> </w:t>
            </w:r>
          </w:p>
          <w:p w14:paraId="255C84A1" w14:textId="77777777" w:rsidR="00927BC1" w:rsidRDefault="00927BC1" w:rsidP="00D60677">
            <w:pPr>
              <w:pStyle w:val="Marginlie"/>
              <w:rPr>
                <w:color w:val="0D0D0D" w:themeColor="text1" w:themeTint="F2"/>
                <w:spacing w:val="0"/>
              </w:rPr>
            </w:pPr>
          </w:p>
          <w:p w14:paraId="6958C99C" w14:textId="77777777" w:rsidR="00927BC1" w:rsidRDefault="00927BC1" w:rsidP="00D60677">
            <w:pPr>
              <w:pStyle w:val="Marginlie"/>
              <w:rPr>
                <w:color w:val="0D0D0D" w:themeColor="text1" w:themeTint="F2"/>
                <w:spacing w:val="0"/>
              </w:rPr>
            </w:pPr>
          </w:p>
          <w:p w14:paraId="0E3B5D8F" w14:textId="77777777" w:rsidR="00927BC1" w:rsidRDefault="00927BC1" w:rsidP="00D60677">
            <w:pPr>
              <w:pStyle w:val="Marginlie"/>
              <w:rPr>
                <w:color w:val="0D0D0D" w:themeColor="text1" w:themeTint="F2"/>
                <w:spacing w:val="0"/>
              </w:rPr>
            </w:pPr>
          </w:p>
          <w:p w14:paraId="16810268" w14:textId="77777777" w:rsidR="00927BC1" w:rsidRDefault="00927BC1" w:rsidP="00D60677">
            <w:pPr>
              <w:pStyle w:val="Marginlie"/>
              <w:rPr>
                <w:color w:val="0D0D0D" w:themeColor="text1" w:themeTint="F2"/>
                <w:spacing w:val="0"/>
              </w:rPr>
            </w:pPr>
          </w:p>
          <w:p w14:paraId="6E45FFE2" w14:textId="77777777" w:rsidR="00927BC1" w:rsidRPr="00152E68" w:rsidRDefault="00927BC1" w:rsidP="00D60677">
            <w:pPr>
              <w:pStyle w:val="Marginlie"/>
              <w:rPr>
                <w:color w:val="0D0D0D" w:themeColor="text1" w:themeTint="F2"/>
                <w:spacing w:val="0"/>
                <w:lang w:val="en-US"/>
              </w:rPr>
            </w:pPr>
            <w:r>
              <w:rPr>
                <w:color w:val="0D0D0D" w:themeColor="text1" w:themeTint="F2"/>
                <w:spacing w:val="0"/>
              </w:rPr>
              <w:lastRenderedPageBreak/>
              <w:t>C</w:t>
            </w:r>
            <w:r w:rsidRPr="00F6132C">
              <w:rPr>
                <w:color w:val="0D0D0D" w:themeColor="text1" w:themeTint="F2"/>
                <w:spacing w:val="0"/>
              </w:rPr>
              <w:t>ontrolled decline</w:t>
            </w:r>
            <w:r>
              <w:rPr>
                <w:color w:val="0D0D0D" w:themeColor="text1" w:themeTint="F2"/>
                <w:spacing w:val="0"/>
              </w:rPr>
              <w:t xml:space="preserve"> continued in coal mining</w:t>
            </w:r>
            <w:r w:rsidRPr="00F6132C">
              <w:rPr>
                <w:color w:val="0D0D0D" w:themeColor="text1" w:themeTint="F2"/>
                <w:spacing w:val="0"/>
              </w:rPr>
              <w:t>. The mining of building materials also continued to decrease.</w:t>
            </w:r>
            <w:r w:rsidRPr="00152E68">
              <w:rPr>
                <w:color w:val="0D0D0D" w:themeColor="text1" w:themeTint="F2"/>
                <w:spacing w:val="0"/>
                <w:lang w:val="en-US"/>
              </w:rPr>
              <w:t xml:space="preserve"> </w:t>
            </w:r>
          </w:p>
          <w:p w14:paraId="0E767279" w14:textId="77777777" w:rsidR="00927BC1" w:rsidRPr="00152E68" w:rsidRDefault="00927BC1" w:rsidP="00D60677">
            <w:pPr>
              <w:pStyle w:val="Marginlie"/>
              <w:spacing w:after="240"/>
              <w:rPr>
                <w:color w:val="0D0D0D" w:themeColor="text1" w:themeTint="F2"/>
                <w:spacing w:val="0"/>
                <w:lang w:val="en-US"/>
              </w:rPr>
            </w:pPr>
          </w:p>
        </w:tc>
        <w:tc>
          <w:tcPr>
            <w:tcW w:w="142" w:type="dxa"/>
            <w:tcMar>
              <w:left w:w="0" w:type="dxa"/>
            </w:tcMar>
          </w:tcPr>
          <w:p w14:paraId="711238B0" w14:textId="77777777" w:rsidR="00927BC1" w:rsidRPr="00152E68" w:rsidRDefault="00927BC1" w:rsidP="00D60677">
            <w:pPr>
              <w:pStyle w:val="Textpoznpodarou"/>
              <w:spacing w:after="240"/>
              <w:jc w:val="both"/>
              <w:rPr>
                <w:color w:val="0D0D0D" w:themeColor="text1" w:themeTint="F2"/>
                <w:lang w:val="en-US"/>
              </w:rPr>
            </w:pPr>
          </w:p>
        </w:tc>
        <w:tc>
          <w:tcPr>
            <w:tcW w:w="7653" w:type="dxa"/>
            <w:gridSpan w:val="2"/>
            <w:tcMar>
              <w:left w:w="0" w:type="dxa"/>
            </w:tcMar>
          </w:tcPr>
          <w:p w14:paraId="6315A2A2" w14:textId="77777777" w:rsidR="00927BC1" w:rsidRPr="005923B1" w:rsidRDefault="00927BC1" w:rsidP="00D60677">
            <w:pPr>
              <w:spacing w:after="200"/>
              <w:rPr>
                <w:color w:val="0D0D0D" w:themeColor="text1" w:themeTint="F2"/>
                <w:spacing w:val="-4"/>
              </w:rPr>
            </w:pPr>
            <w:r>
              <w:rPr>
                <w:color w:val="0D0D0D" w:themeColor="text1" w:themeTint="F2"/>
                <w:spacing w:val="-4"/>
              </w:rPr>
              <w:t>T</w:t>
            </w:r>
            <w:r w:rsidRPr="00E57E83">
              <w:rPr>
                <w:color w:val="0D0D0D" w:themeColor="text1" w:themeTint="F2"/>
                <w:spacing w:val="-4"/>
              </w:rPr>
              <w:t>he growth of domestic industry output was dampened the most by engineering</w:t>
            </w:r>
            <w:r>
              <w:rPr>
                <w:color w:val="0D0D0D" w:themeColor="text1" w:themeTint="F2"/>
                <w:spacing w:val="-4"/>
              </w:rPr>
              <w:t xml:space="preserve"> t</w:t>
            </w:r>
            <w:r w:rsidRPr="00E57E83">
              <w:rPr>
                <w:color w:val="0D0D0D" w:themeColor="text1" w:themeTint="F2"/>
                <w:spacing w:val="-4"/>
              </w:rPr>
              <w:t xml:space="preserve">his year (as in </w:t>
            </w:r>
            <w:r>
              <w:rPr>
                <w:color w:val="0D0D0D" w:themeColor="text1" w:themeTint="F2"/>
                <w:spacing w:val="-4"/>
              </w:rPr>
              <w:t xml:space="preserve">H1 </w:t>
            </w:r>
            <w:r w:rsidRPr="00E57E83">
              <w:rPr>
                <w:color w:val="0D0D0D" w:themeColor="text1" w:themeTint="F2"/>
                <w:spacing w:val="-4"/>
              </w:rPr>
              <w:t>last year), where production fell by 2.5%</w:t>
            </w:r>
            <w:r>
              <w:rPr>
                <w:color w:val="0D0D0D" w:themeColor="text1" w:themeTint="F2"/>
                <w:spacing w:val="-4"/>
              </w:rPr>
              <w:t>,</w:t>
            </w:r>
            <w:r w:rsidRPr="00E57E83">
              <w:rPr>
                <w:color w:val="0D0D0D" w:themeColor="text1" w:themeTint="F2"/>
                <w:spacing w:val="-4"/>
              </w:rPr>
              <w:t xml:space="preserve"> year-on-year</w:t>
            </w:r>
            <w:r>
              <w:rPr>
                <w:color w:val="0D0D0D" w:themeColor="text1" w:themeTint="F2"/>
                <w:spacing w:val="-4"/>
              </w:rPr>
              <w:t>,</w:t>
            </w:r>
            <w:r w:rsidRPr="00E57E83">
              <w:rPr>
                <w:color w:val="0D0D0D" w:themeColor="text1" w:themeTint="F2"/>
                <w:spacing w:val="-4"/>
              </w:rPr>
              <w:t xml:space="preserve"> and continued to lack a significant sales impulse, especially from abroad. Currently, the </w:t>
            </w:r>
            <w:r>
              <w:rPr>
                <w:color w:val="0D0D0D" w:themeColor="text1" w:themeTint="F2"/>
                <w:spacing w:val="-4"/>
              </w:rPr>
              <w:t xml:space="preserve">activity </w:t>
            </w:r>
            <w:r w:rsidRPr="00E57E83">
              <w:rPr>
                <w:color w:val="0D0D0D" w:themeColor="text1" w:themeTint="F2"/>
                <w:spacing w:val="-4"/>
              </w:rPr>
              <w:t xml:space="preserve">repair of machinery and equipment, traditionally focused more on the domestic market (e.g. repairs of nuclear installations), also </w:t>
            </w:r>
            <w:r>
              <w:rPr>
                <w:color w:val="0D0D0D" w:themeColor="text1" w:themeTint="F2"/>
                <w:spacing w:val="-4"/>
              </w:rPr>
              <w:t>did not thrive</w:t>
            </w:r>
            <w:r w:rsidRPr="00E57E83">
              <w:rPr>
                <w:color w:val="0D0D0D" w:themeColor="text1" w:themeTint="F2"/>
                <w:spacing w:val="-4"/>
              </w:rPr>
              <w:t>. Output decreased by 5.1%</w:t>
            </w:r>
            <w:r>
              <w:rPr>
                <w:color w:val="0D0D0D" w:themeColor="text1" w:themeTint="F2"/>
                <w:spacing w:val="-4"/>
              </w:rPr>
              <w:t xml:space="preserve"> here</w:t>
            </w:r>
            <w:r w:rsidRPr="00E57E83">
              <w:rPr>
                <w:color w:val="0D0D0D" w:themeColor="text1" w:themeTint="F2"/>
                <w:spacing w:val="-4"/>
              </w:rPr>
              <w:t xml:space="preserve"> – the highest in the last five and a half years. The above-mentioned </w:t>
            </w:r>
            <w:r>
              <w:rPr>
                <w:color w:val="0D0D0D" w:themeColor="text1" w:themeTint="F2"/>
                <w:spacing w:val="-4"/>
              </w:rPr>
              <w:t>“</w:t>
            </w:r>
            <w:r w:rsidRPr="00E57E83">
              <w:rPr>
                <w:color w:val="0D0D0D" w:themeColor="text1" w:themeTint="F2"/>
                <w:spacing w:val="-4"/>
              </w:rPr>
              <w:t xml:space="preserve">investment </w:t>
            </w:r>
            <w:r>
              <w:rPr>
                <w:color w:val="0D0D0D" w:themeColor="text1" w:themeTint="F2"/>
                <w:spacing w:val="-4"/>
              </w:rPr>
              <w:t>industries”</w:t>
            </w:r>
            <w:r w:rsidRPr="00E57E83">
              <w:rPr>
                <w:color w:val="0D0D0D" w:themeColor="text1" w:themeTint="F2"/>
                <w:spacing w:val="-4"/>
              </w:rPr>
              <w:t xml:space="preserve"> counteracted the growth of the </w:t>
            </w:r>
            <w:r>
              <w:rPr>
                <w:color w:val="0D0D0D" w:themeColor="text1" w:themeTint="F2"/>
                <w:spacing w:val="-4"/>
              </w:rPr>
              <w:t xml:space="preserve">total </w:t>
            </w:r>
            <w:r w:rsidRPr="00E57E83">
              <w:rPr>
                <w:color w:val="0D0D0D" w:themeColor="text1" w:themeTint="F2"/>
                <w:spacing w:val="-4"/>
              </w:rPr>
              <w:t>industry by a total of 0.35 p.</w:t>
            </w:r>
            <w:r>
              <w:rPr>
                <w:color w:val="0D0D0D" w:themeColor="text1" w:themeTint="F2"/>
                <w:spacing w:val="-4"/>
              </w:rPr>
              <w:t xml:space="preserve"> </w:t>
            </w:r>
            <w:r w:rsidRPr="00E57E83">
              <w:rPr>
                <w:color w:val="0D0D0D" w:themeColor="text1" w:themeTint="F2"/>
                <w:spacing w:val="-4"/>
              </w:rPr>
              <w:t xml:space="preserve">p. Deeper problems were still faced by some mostly </w:t>
            </w:r>
            <w:r w:rsidRPr="00E57E83">
              <w:rPr>
                <w:color w:val="0D0D0D" w:themeColor="text1" w:themeTint="F2"/>
                <w:spacing w:val="-4"/>
              </w:rPr>
              <w:lastRenderedPageBreak/>
              <w:t xml:space="preserve">energy-intensive industries </w:t>
            </w:r>
            <w:r>
              <w:rPr>
                <w:color w:val="0D0D0D" w:themeColor="text1" w:themeTint="F2"/>
                <w:spacing w:val="-4"/>
              </w:rPr>
              <w:t>aimed at i</w:t>
            </w:r>
            <w:r w:rsidRPr="00E57E83">
              <w:rPr>
                <w:color w:val="0D0D0D" w:themeColor="text1" w:themeTint="F2"/>
                <w:spacing w:val="-4"/>
              </w:rPr>
              <w:t>ntermediate products.</w:t>
            </w:r>
            <w:r>
              <w:rPr>
                <w:color w:val="0D0D0D" w:themeColor="text1" w:themeTint="F2"/>
                <w:spacing w:val="-4"/>
              </w:rPr>
              <w:t xml:space="preserve"> Output </w:t>
            </w:r>
            <w:r w:rsidRPr="00E57E83">
              <w:rPr>
                <w:color w:val="0D0D0D" w:themeColor="text1" w:themeTint="F2"/>
                <w:spacing w:val="-4"/>
              </w:rPr>
              <w:t>decreased by 4.1%</w:t>
            </w:r>
            <w:r>
              <w:rPr>
                <w:color w:val="0D0D0D" w:themeColor="text1" w:themeTint="F2"/>
                <w:spacing w:val="-4"/>
              </w:rPr>
              <w:t>,</w:t>
            </w:r>
            <w:r w:rsidRPr="00E57E83">
              <w:rPr>
                <w:color w:val="0D0D0D" w:themeColor="text1" w:themeTint="F2"/>
                <w:spacing w:val="-4"/>
              </w:rPr>
              <w:t xml:space="preserve"> year-on-year</w:t>
            </w:r>
            <w:r>
              <w:rPr>
                <w:color w:val="0D0D0D" w:themeColor="text1" w:themeTint="F2"/>
                <w:spacing w:val="-4"/>
              </w:rPr>
              <w:t>, i</w:t>
            </w:r>
            <w:r w:rsidRPr="00E57E83">
              <w:rPr>
                <w:color w:val="0D0D0D" w:themeColor="text1" w:themeTint="F2"/>
                <w:spacing w:val="-4"/>
              </w:rPr>
              <w:t xml:space="preserve">n mining and quarrying. The decline in coal mining continued (hard coal </w:t>
            </w:r>
            <w:r>
              <w:rPr>
                <w:color w:val="0D0D0D" w:themeColor="text1" w:themeTint="F2"/>
                <w:spacing w:val="-4"/>
              </w:rPr>
              <w:t xml:space="preserve">mining </w:t>
            </w:r>
            <w:r w:rsidRPr="00E57E83">
              <w:rPr>
                <w:color w:val="0D0D0D" w:themeColor="text1" w:themeTint="F2"/>
                <w:spacing w:val="-4"/>
              </w:rPr>
              <w:t>stopped altogether</w:t>
            </w:r>
            <w:r>
              <w:rPr>
                <w:color w:val="0D0D0D" w:themeColor="text1" w:themeTint="F2"/>
                <w:spacing w:val="-4"/>
              </w:rPr>
              <w:t xml:space="preserve"> </w:t>
            </w:r>
            <w:r w:rsidRPr="00E57E83">
              <w:rPr>
                <w:color w:val="0D0D0D" w:themeColor="text1" w:themeTint="F2"/>
                <w:spacing w:val="-4"/>
              </w:rPr>
              <w:t xml:space="preserve">in the Czech Republic at the turn of 2025 and 2026). Production decreased more moderately in the mining of building materials, and its </w:t>
            </w:r>
            <w:r>
              <w:rPr>
                <w:color w:val="0D0D0D" w:themeColor="text1" w:themeTint="F2"/>
                <w:spacing w:val="-4"/>
              </w:rPr>
              <w:t xml:space="preserve">fall </w:t>
            </w:r>
            <w:r w:rsidRPr="00E57E83">
              <w:rPr>
                <w:color w:val="0D0D0D" w:themeColor="text1" w:themeTint="F2"/>
                <w:spacing w:val="-4"/>
              </w:rPr>
              <w:t xml:space="preserve">continued for the fourth year in a row. In addition to increased production costs, growing demand increasingly ran into the current limits set by the number of permitted mining </w:t>
            </w:r>
            <w:r w:rsidRPr="00472C42">
              <w:rPr>
                <w:color w:val="0D0D0D" w:themeColor="text1" w:themeTint="F2"/>
                <w:spacing w:val="-4"/>
              </w:rPr>
              <w:t>areas</w:t>
            </w:r>
            <w:r>
              <w:rPr>
                <w:color w:val="0D0D0D" w:themeColor="text1" w:themeTint="F2"/>
                <w:spacing w:val="-4"/>
              </w:rPr>
              <w:t xml:space="preserve"> here</w:t>
            </w:r>
            <w:r w:rsidRPr="00472C42">
              <w:rPr>
                <w:color w:val="0D0D0D" w:themeColor="text1" w:themeTint="F2"/>
                <w:spacing w:val="-4"/>
              </w:rPr>
              <w:t xml:space="preserve">. The production of the wood-processing industry also decreased </w:t>
            </w:r>
            <w:r>
              <w:rPr>
                <w:color w:val="0D0D0D" w:themeColor="text1" w:themeTint="F2"/>
                <w:spacing w:val="-4"/>
              </w:rPr>
              <w:t>negligibly</w:t>
            </w:r>
            <w:r w:rsidRPr="00472C42">
              <w:rPr>
                <w:color w:val="0D0D0D" w:themeColor="text1" w:themeTint="F2"/>
                <w:spacing w:val="-4"/>
              </w:rPr>
              <w:t>, as the growing domestic demand was not able to fully compensate for weaker sales abroad</w:t>
            </w:r>
            <w:r>
              <w:rPr>
                <w:color w:val="0D0D0D" w:themeColor="text1" w:themeTint="F2"/>
                <w:spacing w:val="-4"/>
              </w:rPr>
              <w:t xml:space="preserve">. </w:t>
            </w:r>
          </w:p>
        </w:tc>
      </w:tr>
      <w:tr w:rsidR="00927BC1" w:rsidRPr="00F24A18" w14:paraId="5CFFE2E5" w14:textId="77777777" w:rsidTr="00D60677">
        <w:trPr>
          <w:trHeight w:val="145"/>
        </w:trPr>
        <w:tc>
          <w:tcPr>
            <w:tcW w:w="1863" w:type="dxa"/>
            <w:tcMar>
              <w:left w:w="0" w:type="dxa"/>
            </w:tcMar>
          </w:tcPr>
          <w:p w14:paraId="20BFFE85" w14:textId="77777777" w:rsidR="00927BC1" w:rsidRPr="005923B1" w:rsidRDefault="00927BC1" w:rsidP="00D60677">
            <w:pPr>
              <w:pStyle w:val="Marginlie"/>
              <w:spacing w:after="240"/>
              <w:rPr>
                <w:color w:val="0D0D0D" w:themeColor="text1" w:themeTint="F2"/>
                <w:spacing w:val="0"/>
              </w:rPr>
            </w:pPr>
            <w:r w:rsidRPr="006F0B6A">
              <w:rPr>
                <w:color w:val="0D0D0D" w:themeColor="text1" w:themeTint="F2"/>
                <w:spacing w:val="0"/>
              </w:rPr>
              <w:lastRenderedPageBreak/>
              <w:t>The d</w:t>
            </w:r>
            <w:r>
              <w:rPr>
                <w:color w:val="0D0D0D" w:themeColor="text1" w:themeTint="F2"/>
                <w:spacing w:val="0"/>
              </w:rPr>
              <w:t>ownturn of p</w:t>
            </w:r>
            <w:r w:rsidRPr="006F0B6A">
              <w:rPr>
                <w:color w:val="0D0D0D" w:themeColor="text1" w:themeTint="F2"/>
                <w:spacing w:val="0"/>
              </w:rPr>
              <w:t xml:space="preserve">roduction in </w:t>
            </w:r>
            <w:r>
              <w:rPr>
                <w:color w:val="0D0D0D" w:themeColor="text1" w:themeTint="F2"/>
                <w:spacing w:val="0"/>
              </w:rPr>
              <w:t xml:space="preserve">manufacturing of </w:t>
            </w:r>
            <w:r w:rsidRPr="006F0B6A">
              <w:rPr>
                <w:color w:val="0D0D0D" w:themeColor="text1" w:themeTint="F2"/>
                <w:spacing w:val="0"/>
              </w:rPr>
              <w:t xml:space="preserve">furniture was related to a drop in </w:t>
            </w:r>
            <w:r>
              <w:rPr>
                <w:color w:val="0D0D0D" w:themeColor="text1" w:themeTint="F2"/>
                <w:spacing w:val="0"/>
              </w:rPr>
              <w:t>external d</w:t>
            </w:r>
            <w:r w:rsidRPr="006F0B6A">
              <w:rPr>
                <w:color w:val="0D0D0D" w:themeColor="text1" w:themeTint="F2"/>
                <w:spacing w:val="0"/>
              </w:rPr>
              <w:t>emand.</w:t>
            </w:r>
          </w:p>
        </w:tc>
        <w:tc>
          <w:tcPr>
            <w:tcW w:w="142" w:type="dxa"/>
            <w:tcMar>
              <w:left w:w="0" w:type="dxa"/>
            </w:tcMar>
          </w:tcPr>
          <w:p w14:paraId="00940A1D" w14:textId="77777777" w:rsidR="00927BC1" w:rsidRPr="005923B1" w:rsidRDefault="00927BC1" w:rsidP="00D60677">
            <w:pPr>
              <w:pStyle w:val="Textpoznpodarou"/>
              <w:spacing w:after="240"/>
              <w:jc w:val="both"/>
              <w:rPr>
                <w:color w:val="0D0D0D" w:themeColor="text1" w:themeTint="F2"/>
              </w:rPr>
            </w:pPr>
          </w:p>
        </w:tc>
        <w:tc>
          <w:tcPr>
            <w:tcW w:w="7653" w:type="dxa"/>
            <w:gridSpan w:val="2"/>
            <w:tcMar>
              <w:left w:w="0" w:type="dxa"/>
            </w:tcMar>
          </w:tcPr>
          <w:p w14:paraId="4A54AD30" w14:textId="77777777" w:rsidR="00927BC1" w:rsidRPr="005923B1" w:rsidRDefault="00927BC1" w:rsidP="00D60677">
            <w:pPr>
              <w:spacing w:after="0"/>
              <w:rPr>
                <w:color w:val="0D0D0D" w:themeColor="text1" w:themeTint="F2"/>
                <w:spacing w:val="-2"/>
              </w:rPr>
            </w:pPr>
            <w:r>
              <w:rPr>
                <w:color w:val="0D0D0D" w:themeColor="text1" w:themeTint="F2"/>
                <w:spacing w:val="-2"/>
              </w:rPr>
              <w:t>O</w:t>
            </w:r>
            <w:r w:rsidRPr="006F0B6A">
              <w:rPr>
                <w:color w:val="0D0D0D" w:themeColor="text1" w:themeTint="F2"/>
                <w:spacing w:val="-2"/>
              </w:rPr>
              <w:t xml:space="preserve">utput also decreased in some small sectors focused on the </w:t>
            </w:r>
            <w:r>
              <w:rPr>
                <w:color w:val="0D0D0D" w:themeColor="text1" w:themeTint="F2"/>
                <w:spacing w:val="-2"/>
              </w:rPr>
              <w:t>production</w:t>
            </w:r>
            <w:r w:rsidRPr="006F0B6A">
              <w:rPr>
                <w:color w:val="0D0D0D" w:themeColor="text1" w:themeTint="F2"/>
                <w:spacing w:val="-2"/>
              </w:rPr>
              <w:t xml:space="preserve"> of short-term or long-term consumer products</w:t>
            </w:r>
            <w:r>
              <w:rPr>
                <w:color w:val="0D0D0D" w:themeColor="text1" w:themeTint="F2"/>
                <w:spacing w:val="-2"/>
              </w:rPr>
              <w:t xml:space="preserve"> this year</w:t>
            </w:r>
            <w:r w:rsidRPr="006F0B6A">
              <w:rPr>
                <w:color w:val="0D0D0D" w:themeColor="text1" w:themeTint="F2"/>
                <w:spacing w:val="-2"/>
              </w:rPr>
              <w:t xml:space="preserve">. In </w:t>
            </w:r>
            <w:r>
              <w:rPr>
                <w:color w:val="0D0D0D" w:themeColor="text1" w:themeTint="F2"/>
                <w:spacing w:val="-2"/>
              </w:rPr>
              <w:t xml:space="preserve">manufacturing of </w:t>
            </w:r>
            <w:r w:rsidRPr="006F0B6A">
              <w:rPr>
                <w:color w:val="0D0D0D" w:themeColor="text1" w:themeTint="F2"/>
                <w:spacing w:val="-2"/>
              </w:rPr>
              <w:t>furniture, production fell by almost a tenth</w:t>
            </w:r>
            <w:r>
              <w:rPr>
                <w:color w:val="0D0D0D" w:themeColor="text1" w:themeTint="F2"/>
                <w:spacing w:val="-2"/>
              </w:rPr>
              <w:t>,</w:t>
            </w:r>
            <w:r w:rsidRPr="006F0B6A">
              <w:rPr>
                <w:color w:val="0D0D0D" w:themeColor="text1" w:themeTint="F2"/>
                <w:spacing w:val="-2"/>
              </w:rPr>
              <w:t xml:space="preserve"> year-on-year, i.e. the most of all industries. </w:t>
            </w:r>
            <w:r w:rsidRPr="00961DA7">
              <w:rPr>
                <w:color w:val="0D0D0D" w:themeColor="text1" w:themeTint="F2"/>
                <w:spacing w:val="-2"/>
              </w:rPr>
              <w:t xml:space="preserve">Behind it was a drop in </w:t>
            </w:r>
            <w:r>
              <w:rPr>
                <w:color w:val="0D0D0D" w:themeColor="text1" w:themeTint="F2"/>
                <w:spacing w:val="-2"/>
              </w:rPr>
              <w:t xml:space="preserve">external </w:t>
            </w:r>
            <w:r w:rsidRPr="00961DA7">
              <w:rPr>
                <w:color w:val="0D0D0D" w:themeColor="text1" w:themeTint="F2"/>
                <w:spacing w:val="-2"/>
              </w:rPr>
              <w:t>demand</w:t>
            </w:r>
            <w:r>
              <w:rPr>
                <w:color w:val="0D0D0D" w:themeColor="text1" w:themeTint="F2"/>
                <w:spacing w:val="-2"/>
              </w:rPr>
              <w:t>.</w:t>
            </w:r>
            <w:r w:rsidRPr="00961DA7">
              <w:rPr>
                <w:color w:val="0D0D0D" w:themeColor="text1" w:themeTint="F2"/>
                <w:spacing w:val="-2"/>
              </w:rPr>
              <w:t xml:space="preserve"> </w:t>
            </w:r>
            <w:r w:rsidRPr="006F0B6A">
              <w:rPr>
                <w:color w:val="0D0D0D" w:themeColor="text1" w:themeTint="F2"/>
                <w:spacing w:val="-2"/>
              </w:rPr>
              <w:t xml:space="preserve">On the </w:t>
            </w:r>
            <w:r>
              <w:rPr>
                <w:color w:val="0D0D0D" w:themeColor="text1" w:themeTint="F2"/>
                <w:spacing w:val="-2"/>
              </w:rPr>
              <w:t>contrary</w:t>
            </w:r>
            <w:r w:rsidRPr="006F0B6A">
              <w:rPr>
                <w:color w:val="0D0D0D" w:themeColor="text1" w:themeTint="F2"/>
                <w:spacing w:val="-2"/>
              </w:rPr>
              <w:t>, weak domestic sales reduced output in printing (−6.1%), the decline of which, however, is of a longer-term nature</w:t>
            </w:r>
            <w:r>
              <w:rPr>
                <w:color w:val="0D0D0D" w:themeColor="text1" w:themeTint="F2"/>
                <w:spacing w:val="-2"/>
              </w:rPr>
              <w:t>. A</w:t>
            </w:r>
            <w:r w:rsidRPr="006F0B6A">
              <w:rPr>
                <w:color w:val="0D0D0D" w:themeColor="text1" w:themeTint="F2"/>
                <w:spacing w:val="-2"/>
              </w:rPr>
              <w:t xml:space="preserve"> slight decline </w:t>
            </w:r>
            <w:r>
              <w:rPr>
                <w:color w:val="0D0D0D" w:themeColor="text1" w:themeTint="F2"/>
                <w:spacing w:val="-2"/>
              </w:rPr>
              <w:t xml:space="preserve">of </w:t>
            </w:r>
            <w:r w:rsidRPr="006F0B6A">
              <w:rPr>
                <w:color w:val="0D0D0D" w:themeColor="text1" w:themeTint="F2"/>
                <w:spacing w:val="-2"/>
              </w:rPr>
              <w:t xml:space="preserve">output in the otherwise long-term dynamically developing pharmaceutical industry continued </w:t>
            </w:r>
            <w:r>
              <w:rPr>
                <w:color w:val="0D0D0D" w:themeColor="text1" w:themeTint="F2"/>
                <w:spacing w:val="-2"/>
              </w:rPr>
              <w:t xml:space="preserve">for the second year in a row </w:t>
            </w:r>
            <w:r w:rsidRPr="006F0B6A">
              <w:rPr>
                <w:color w:val="0D0D0D" w:themeColor="text1" w:themeTint="F2"/>
                <w:spacing w:val="-2"/>
              </w:rPr>
              <w:t xml:space="preserve">(−3.7%, the highest since </w:t>
            </w:r>
            <w:r>
              <w:rPr>
                <w:color w:val="0D0D0D" w:themeColor="text1" w:themeTint="F2"/>
                <w:spacing w:val="-2"/>
              </w:rPr>
              <w:t xml:space="preserve">H2 </w:t>
            </w:r>
            <w:r w:rsidRPr="006F0B6A">
              <w:rPr>
                <w:color w:val="0D0D0D" w:themeColor="text1" w:themeTint="F2"/>
                <w:spacing w:val="-2"/>
              </w:rPr>
              <w:t>2014). There was a weakening in the key area of external demand, and the growth impulse from the domestic market related to higher public sector demand in the area of security</w:t>
            </w:r>
            <w:r w:rsidRPr="00B131B0">
              <w:rPr>
                <w:rStyle w:val="Znakapoznpodarou"/>
                <w:color w:val="0D0D0D" w:themeColor="text1" w:themeTint="F2"/>
                <w:spacing w:val="-2"/>
              </w:rPr>
              <w:footnoteReference w:id="11"/>
            </w:r>
            <w:r w:rsidRPr="006F0B6A">
              <w:rPr>
                <w:color w:val="0D0D0D" w:themeColor="text1" w:themeTint="F2"/>
                <w:spacing w:val="-2"/>
              </w:rPr>
              <w:t xml:space="preserve"> also </w:t>
            </w:r>
            <w:r>
              <w:rPr>
                <w:color w:val="0D0D0D" w:themeColor="text1" w:themeTint="F2"/>
                <w:spacing w:val="-2"/>
              </w:rPr>
              <w:t xml:space="preserve">likely </w:t>
            </w:r>
            <w:r w:rsidRPr="006F0B6A">
              <w:rPr>
                <w:color w:val="0D0D0D" w:themeColor="text1" w:themeTint="F2"/>
                <w:spacing w:val="-2"/>
              </w:rPr>
              <w:t>faded.</w:t>
            </w:r>
            <w:r>
              <w:rPr>
                <w:color w:val="0D0D0D" w:themeColor="text1" w:themeTint="F2"/>
                <w:spacing w:val="-2"/>
              </w:rPr>
              <w:t xml:space="preserve"> </w:t>
            </w:r>
            <w:r w:rsidRPr="005923B1">
              <w:rPr>
                <w:color w:val="0D0D0D" w:themeColor="text1" w:themeTint="F2"/>
                <w:spacing w:val="-2"/>
              </w:rPr>
              <w:t xml:space="preserve"> </w:t>
            </w:r>
          </w:p>
          <w:p w14:paraId="2D84DC30" w14:textId="77777777" w:rsidR="00927BC1" w:rsidRPr="005923B1" w:rsidRDefault="00927BC1" w:rsidP="00D60677">
            <w:pPr>
              <w:spacing w:after="0"/>
              <w:rPr>
                <w:color w:val="0D0D0D" w:themeColor="text1" w:themeTint="F2"/>
                <w:spacing w:val="-2"/>
              </w:rPr>
            </w:pPr>
          </w:p>
        </w:tc>
      </w:tr>
      <w:tr w:rsidR="00927BC1" w:rsidRPr="00F24A18" w14:paraId="3345EC4C" w14:textId="77777777" w:rsidTr="00D60677">
        <w:trPr>
          <w:trHeight w:val="145"/>
        </w:trPr>
        <w:tc>
          <w:tcPr>
            <w:tcW w:w="1863" w:type="dxa"/>
            <w:tcMar>
              <w:left w:w="0" w:type="dxa"/>
            </w:tcMar>
          </w:tcPr>
          <w:p w14:paraId="5FB053A4" w14:textId="77777777" w:rsidR="00927BC1" w:rsidRPr="005923B1" w:rsidRDefault="00927BC1" w:rsidP="00D60677">
            <w:pPr>
              <w:pStyle w:val="Marginlie"/>
              <w:rPr>
                <w:color w:val="0D0D0D" w:themeColor="text1" w:themeTint="F2"/>
                <w:spacing w:val="0"/>
              </w:rPr>
            </w:pPr>
          </w:p>
        </w:tc>
        <w:tc>
          <w:tcPr>
            <w:tcW w:w="142" w:type="dxa"/>
            <w:tcMar>
              <w:left w:w="0" w:type="dxa"/>
            </w:tcMar>
          </w:tcPr>
          <w:p w14:paraId="0A859C5D" w14:textId="77777777" w:rsidR="00927BC1" w:rsidRPr="005923B1" w:rsidRDefault="00927BC1" w:rsidP="00D60677">
            <w:pPr>
              <w:pStyle w:val="Textpoznpodarou"/>
              <w:jc w:val="both"/>
              <w:rPr>
                <w:color w:val="0D0D0D" w:themeColor="text1" w:themeTint="F2"/>
              </w:rPr>
            </w:pPr>
          </w:p>
        </w:tc>
        <w:tc>
          <w:tcPr>
            <w:tcW w:w="7653" w:type="dxa"/>
            <w:gridSpan w:val="2"/>
            <w:tcMar>
              <w:left w:w="0" w:type="dxa"/>
            </w:tcMar>
          </w:tcPr>
          <w:p w14:paraId="42CC50D6" w14:textId="77777777" w:rsidR="00927BC1" w:rsidRPr="005923B1" w:rsidRDefault="00927BC1" w:rsidP="00D60677">
            <w:pPr>
              <w:spacing w:after="40"/>
              <w:jc w:val="left"/>
              <w:rPr>
                <w:color w:val="0D0D0D" w:themeColor="text1" w:themeTint="F2"/>
              </w:rPr>
            </w:pPr>
            <w:r>
              <w:rPr>
                <w:b/>
                <w:color w:val="0D0D0D" w:themeColor="text1" w:themeTint="F2"/>
              </w:rPr>
              <w:t xml:space="preserve">Chart </w:t>
            </w:r>
            <w:r w:rsidRPr="005923B1">
              <w:rPr>
                <w:b/>
                <w:color w:val="0D0D0D" w:themeColor="text1" w:themeTint="F2"/>
              </w:rPr>
              <w:t xml:space="preserve">5 </w:t>
            </w:r>
            <w:r w:rsidRPr="00961DA7">
              <w:rPr>
                <w:b/>
                <w:color w:val="0D0D0D" w:themeColor="text1" w:themeTint="F2"/>
              </w:rPr>
              <w:t>Decomposition of year-on-year change in industrial production</w:t>
            </w:r>
            <w:r>
              <w:rPr>
                <w:b/>
                <w:color w:val="0D0D0D" w:themeColor="text1" w:themeTint="F2"/>
              </w:rPr>
              <w:t xml:space="preserve"> </w:t>
            </w:r>
            <w:r w:rsidRPr="00961DA7">
              <w:rPr>
                <w:bCs/>
                <w:color w:val="0D0D0D" w:themeColor="text1" w:themeTint="F2"/>
              </w:rPr>
              <w:t>(</w:t>
            </w:r>
            <w:r>
              <w:rPr>
                <w:bCs/>
                <w:color w:val="0D0D0D" w:themeColor="text1" w:themeTint="F2"/>
              </w:rPr>
              <w:t>contributions to growth, in p. p.</w:t>
            </w:r>
            <w:r w:rsidRPr="005923B1">
              <w:rPr>
                <w:rFonts w:cs="Arial"/>
                <w:bCs/>
                <w:color w:val="000000"/>
                <w:szCs w:val="20"/>
              </w:rPr>
              <w:t>)</w:t>
            </w:r>
          </w:p>
        </w:tc>
      </w:tr>
      <w:tr w:rsidR="00927BC1" w:rsidRPr="00B131B0" w14:paraId="11A40712" w14:textId="77777777" w:rsidTr="00D60677">
        <w:tblPrEx>
          <w:tblCellMar>
            <w:left w:w="70" w:type="dxa"/>
            <w:right w:w="70" w:type="dxa"/>
          </w:tblCellMar>
        </w:tblPrEx>
        <w:trPr>
          <w:trHeight w:val="145"/>
        </w:trPr>
        <w:tc>
          <w:tcPr>
            <w:tcW w:w="1863" w:type="dxa"/>
          </w:tcPr>
          <w:p w14:paraId="1C86EF30" w14:textId="77777777" w:rsidR="00927BC1" w:rsidRPr="005923B1" w:rsidRDefault="00927BC1" w:rsidP="00D60677">
            <w:pPr>
              <w:pStyle w:val="Marginlie"/>
              <w:spacing w:after="240"/>
              <w:rPr>
                <w:color w:val="0D0D0D" w:themeColor="text1" w:themeTint="F2"/>
                <w:spacing w:val="0"/>
              </w:rPr>
            </w:pPr>
          </w:p>
        </w:tc>
        <w:tc>
          <w:tcPr>
            <w:tcW w:w="160" w:type="dxa"/>
            <w:gridSpan w:val="2"/>
          </w:tcPr>
          <w:p w14:paraId="7F92B42A" w14:textId="77777777" w:rsidR="00927BC1" w:rsidRPr="005923B1" w:rsidRDefault="00927BC1" w:rsidP="00D60677">
            <w:pPr>
              <w:pStyle w:val="Textpoznpodarou"/>
              <w:spacing w:after="240"/>
              <w:jc w:val="both"/>
              <w:rPr>
                <w:color w:val="0D0D0D" w:themeColor="text1" w:themeTint="F2"/>
              </w:rPr>
            </w:pPr>
          </w:p>
        </w:tc>
        <w:tc>
          <w:tcPr>
            <w:tcW w:w="7635" w:type="dxa"/>
          </w:tcPr>
          <w:p w14:paraId="3A16A426" w14:textId="77777777" w:rsidR="00927BC1" w:rsidRPr="00B131B0" w:rsidRDefault="00927BC1" w:rsidP="00D60677">
            <w:pPr>
              <w:spacing w:before="40" w:after="20"/>
              <w:rPr>
                <w:color w:val="0D0D0D" w:themeColor="text1" w:themeTint="F2"/>
              </w:rPr>
            </w:pPr>
            <w:r>
              <w:rPr>
                <w:noProof/>
              </w:rPr>
              <w:drawing>
                <wp:inline distT="0" distB="0" distL="0" distR="0" wp14:anchorId="0B25030E" wp14:editId="25F2E5E3">
                  <wp:extent cx="4752975" cy="3554083"/>
                  <wp:effectExtent l="0" t="0" r="0" b="8890"/>
                  <wp:docPr id="1857169762" name="Graf 1">
                    <a:extLst xmlns:a="http://schemas.openxmlformats.org/drawingml/2006/main">
                      <a:ext uri="{FF2B5EF4-FFF2-40B4-BE49-F238E27FC236}">
                        <a16:creationId xmlns:a16="http://schemas.microsoft.com/office/drawing/2014/main" id="{B8E84710-8827-4A92-8315-9BABFD7610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927BC1" w:rsidRPr="00B131B0" w14:paraId="78B5DC91" w14:textId="77777777" w:rsidTr="00D60677">
        <w:trPr>
          <w:trHeight w:val="145"/>
        </w:trPr>
        <w:tc>
          <w:tcPr>
            <w:tcW w:w="1863" w:type="dxa"/>
            <w:tcMar>
              <w:left w:w="0" w:type="dxa"/>
            </w:tcMar>
          </w:tcPr>
          <w:p w14:paraId="5CAFF908" w14:textId="77777777" w:rsidR="00927BC1" w:rsidRPr="00B131B0" w:rsidRDefault="00927BC1" w:rsidP="00D60677">
            <w:pPr>
              <w:pStyle w:val="Marginlie"/>
              <w:spacing w:after="240"/>
              <w:rPr>
                <w:color w:val="0D0D0D" w:themeColor="text1" w:themeTint="F2"/>
                <w:spacing w:val="0"/>
              </w:rPr>
            </w:pPr>
          </w:p>
        </w:tc>
        <w:tc>
          <w:tcPr>
            <w:tcW w:w="142" w:type="dxa"/>
            <w:tcMar>
              <w:left w:w="0" w:type="dxa"/>
            </w:tcMar>
          </w:tcPr>
          <w:p w14:paraId="65F18A49"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7E52FF50" w14:textId="77777777" w:rsidR="00927BC1" w:rsidRDefault="00927BC1" w:rsidP="00D60677">
            <w:pPr>
              <w:spacing w:after="0"/>
              <w:jc w:val="left"/>
              <w:rPr>
                <w:color w:val="0D0D0D" w:themeColor="text1" w:themeTint="F2"/>
                <w:sz w:val="14"/>
                <w:szCs w:val="14"/>
              </w:rPr>
            </w:pPr>
            <w:r>
              <w:rPr>
                <w:color w:val="0D0D0D" w:themeColor="text1" w:themeTint="F2"/>
                <w:sz w:val="14"/>
                <w:szCs w:val="14"/>
              </w:rPr>
              <w:t xml:space="preserve">Note: </w:t>
            </w:r>
            <w:r w:rsidRPr="00A97A8A">
              <w:rPr>
                <w:color w:val="0D0D0D" w:themeColor="text1" w:themeTint="F2"/>
                <w:sz w:val="14"/>
                <w:szCs w:val="14"/>
              </w:rPr>
              <w:t>Production is presented in real terms and adjusted for calendar effects.</w:t>
            </w:r>
          </w:p>
          <w:p w14:paraId="51199660" w14:textId="77777777" w:rsidR="00927BC1" w:rsidRDefault="00927BC1" w:rsidP="00D60677">
            <w:pPr>
              <w:spacing w:after="0"/>
              <w:jc w:val="left"/>
              <w:rPr>
                <w:rFonts w:cs="Arial"/>
                <w:spacing w:val="-2"/>
                <w:sz w:val="14"/>
                <w:szCs w:val="14"/>
              </w:rPr>
            </w:pPr>
            <w:r w:rsidRPr="00B131B0">
              <w:rPr>
                <w:color w:val="0D0D0D" w:themeColor="text1" w:themeTint="F2"/>
                <w:sz w:val="14"/>
                <w:szCs w:val="14"/>
              </w:rPr>
              <w:t>*</w:t>
            </w:r>
            <w:r w:rsidRPr="007E103C">
              <w:rPr>
                <w:rFonts w:cs="Arial"/>
                <w:spacing w:val="-2"/>
                <w:sz w:val="14"/>
                <w:szCs w:val="14"/>
              </w:rPr>
              <w:t>Contribution of the remaining manufacturing industry also includes the effect of the total methodical discrepancy stemming from the change of the weights.</w:t>
            </w:r>
            <w:r>
              <w:rPr>
                <w:rFonts w:cs="Arial"/>
                <w:spacing w:val="-2"/>
                <w:sz w:val="14"/>
                <w:szCs w:val="14"/>
              </w:rPr>
              <w:t xml:space="preserve">                                                                                                                            </w:t>
            </w:r>
            <w:r w:rsidRPr="00B335CE">
              <w:rPr>
                <w:color w:val="0D0D0D" w:themeColor="text1" w:themeTint="F2"/>
                <w:sz w:val="14"/>
                <w:szCs w:val="14"/>
              </w:rPr>
              <w:t>Source: CZSO</w:t>
            </w:r>
          </w:p>
          <w:p w14:paraId="5DAAB385" w14:textId="77777777" w:rsidR="00927BC1" w:rsidRPr="00EB66F9" w:rsidRDefault="00927BC1" w:rsidP="00D60677">
            <w:pPr>
              <w:spacing w:after="0"/>
              <w:rPr>
                <w:rFonts w:cs="Arial"/>
                <w:spacing w:val="-2"/>
                <w:sz w:val="14"/>
                <w:szCs w:val="14"/>
              </w:rPr>
            </w:pPr>
          </w:p>
        </w:tc>
      </w:tr>
      <w:tr w:rsidR="00927BC1" w:rsidRPr="00B131B0" w14:paraId="1CDB672B" w14:textId="77777777" w:rsidTr="00D60677">
        <w:trPr>
          <w:trHeight w:val="145"/>
        </w:trPr>
        <w:tc>
          <w:tcPr>
            <w:tcW w:w="1863" w:type="dxa"/>
            <w:tcMar>
              <w:left w:w="0" w:type="dxa"/>
            </w:tcMar>
          </w:tcPr>
          <w:p w14:paraId="73DB8C0D" w14:textId="77777777" w:rsidR="00927BC1" w:rsidRPr="00B131B0" w:rsidRDefault="00927BC1" w:rsidP="00D60677">
            <w:pPr>
              <w:pStyle w:val="Marginlie"/>
              <w:spacing w:after="240"/>
              <w:rPr>
                <w:color w:val="0D0D0D" w:themeColor="text1" w:themeTint="F2"/>
                <w:spacing w:val="0"/>
              </w:rPr>
            </w:pPr>
            <w:r w:rsidRPr="00A97A8A">
              <w:rPr>
                <w:color w:val="0D0D0D" w:themeColor="text1" w:themeTint="F2"/>
                <w:spacing w:val="0"/>
              </w:rPr>
              <w:t xml:space="preserve">The growth </w:t>
            </w:r>
            <w:r>
              <w:rPr>
                <w:color w:val="0D0D0D" w:themeColor="text1" w:themeTint="F2"/>
                <w:spacing w:val="0"/>
              </w:rPr>
              <w:t xml:space="preserve">of </w:t>
            </w:r>
            <w:r w:rsidRPr="00A97A8A">
              <w:rPr>
                <w:color w:val="0D0D0D" w:themeColor="text1" w:themeTint="F2"/>
                <w:spacing w:val="0"/>
              </w:rPr>
              <w:t xml:space="preserve">the value of new orders accelerated slightly during </w:t>
            </w:r>
            <w:r>
              <w:rPr>
                <w:color w:val="0D0D0D" w:themeColor="text1" w:themeTint="F2"/>
                <w:spacing w:val="0"/>
              </w:rPr>
              <w:t>H1</w:t>
            </w:r>
            <w:r w:rsidRPr="00A97A8A">
              <w:rPr>
                <w:color w:val="0D0D0D" w:themeColor="text1" w:themeTint="F2"/>
                <w:spacing w:val="0"/>
              </w:rPr>
              <w:t xml:space="preserve">. </w:t>
            </w:r>
            <w:r>
              <w:rPr>
                <w:color w:val="0D0D0D" w:themeColor="text1" w:themeTint="F2"/>
                <w:spacing w:val="0"/>
              </w:rPr>
              <w:lastRenderedPageBreak/>
              <w:t xml:space="preserve">External </w:t>
            </w:r>
            <w:r w:rsidRPr="00A97A8A">
              <w:rPr>
                <w:color w:val="0D0D0D" w:themeColor="text1" w:themeTint="F2"/>
                <w:spacing w:val="0"/>
              </w:rPr>
              <w:t>demand in the production of transport equipment played a key role.</w:t>
            </w:r>
            <w:r w:rsidRPr="00B131B0">
              <w:rPr>
                <w:color w:val="0D0D0D" w:themeColor="text1" w:themeTint="F2"/>
                <w:spacing w:val="0"/>
              </w:rPr>
              <w:t xml:space="preserve"> </w:t>
            </w:r>
          </w:p>
        </w:tc>
        <w:tc>
          <w:tcPr>
            <w:tcW w:w="142" w:type="dxa"/>
            <w:tcMar>
              <w:left w:w="0" w:type="dxa"/>
            </w:tcMar>
          </w:tcPr>
          <w:p w14:paraId="4898C5C9"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27E87BA0" w14:textId="77777777" w:rsidR="00927BC1" w:rsidRPr="00B131B0" w:rsidRDefault="00927BC1" w:rsidP="00D60677">
            <w:pPr>
              <w:spacing w:after="200"/>
              <w:rPr>
                <w:color w:val="0D0D0D" w:themeColor="text1" w:themeTint="F2"/>
                <w:spacing w:val="-4"/>
              </w:rPr>
            </w:pPr>
            <w:r w:rsidRPr="00A97A8A">
              <w:rPr>
                <w:color w:val="0D0D0D" w:themeColor="text1" w:themeTint="F2"/>
                <w:spacing w:val="-4"/>
                <w:lang w:val="en"/>
              </w:rPr>
              <w:t xml:space="preserve">The year-on-year growth </w:t>
            </w:r>
            <w:r>
              <w:rPr>
                <w:color w:val="0D0D0D" w:themeColor="text1" w:themeTint="F2"/>
                <w:spacing w:val="-4"/>
                <w:lang w:val="en"/>
              </w:rPr>
              <w:t>of</w:t>
            </w:r>
            <w:r w:rsidRPr="00A97A8A">
              <w:rPr>
                <w:color w:val="0D0D0D" w:themeColor="text1" w:themeTint="F2"/>
                <w:spacing w:val="-4"/>
                <w:lang w:val="en"/>
              </w:rPr>
              <w:t xml:space="preserve"> the nominal value of new industrial orders</w:t>
            </w:r>
            <w:r w:rsidRPr="00B131B0">
              <w:rPr>
                <w:color w:val="0D0D0D" w:themeColor="text1" w:themeTint="F2"/>
                <w:spacing w:val="-4"/>
                <w:vertAlign w:val="superscript"/>
              </w:rPr>
              <w:footnoteReference w:id="12"/>
            </w:r>
            <w:r w:rsidRPr="00A97A8A">
              <w:rPr>
                <w:color w:val="0D0D0D" w:themeColor="text1" w:themeTint="F2"/>
                <w:spacing w:val="-4"/>
                <w:lang w:val="en"/>
              </w:rPr>
              <w:t>, which was evident for most of last year and culminated at the end of the year</w:t>
            </w:r>
            <w:r w:rsidRPr="00B131B0">
              <w:rPr>
                <w:rStyle w:val="Znakapoznpodarou"/>
                <w:color w:val="0D0D0D" w:themeColor="text1" w:themeTint="F2"/>
                <w:spacing w:val="-4"/>
              </w:rPr>
              <w:footnoteReference w:id="13"/>
            </w:r>
            <w:r w:rsidRPr="00A97A8A">
              <w:rPr>
                <w:color w:val="0D0D0D" w:themeColor="text1" w:themeTint="F2"/>
                <w:spacing w:val="-4"/>
                <w:lang w:val="en"/>
              </w:rPr>
              <w:t xml:space="preserve">, continued this year. Growth </w:t>
            </w:r>
            <w:r w:rsidRPr="00A97A8A">
              <w:rPr>
                <w:color w:val="0D0D0D" w:themeColor="text1" w:themeTint="F2"/>
                <w:spacing w:val="-4"/>
                <w:lang w:val="en"/>
              </w:rPr>
              <w:lastRenderedPageBreak/>
              <w:t xml:space="preserve">reached 4.0% in Q1 and accelerated to 6.7% in the following period. In both cases, </w:t>
            </w:r>
            <w:r>
              <w:rPr>
                <w:color w:val="0D0D0D" w:themeColor="text1" w:themeTint="F2"/>
                <w:spacing w:val="-4"/>
                <w:lang w:val="en"/>
              </w:rPr>
              <w:t xml:space="preserve">external </w:t>
            </w:r>
            <w:r w:rsidRPr="00A97A8A">
              <w:rPr>
                <w:color w:val="0D0D0D" w:themeColor="text1" w:themeTint="F2"/>
                <w:spacing w:val="-4"/>
                <w:lang w:val="en"/>
              </w:rPr>
              <w:t xml:space="preserve">demand was the dominant driver, as the value of domestic orders increased by only 2% for the whole half-year. The automotive industry contributed the most to the growth, with orders increasing by 7% in </w:t>
            </w:r>
            <w:r>
              <w:rPr>
                <w:color w:val="0D0D0D" w:themeColor="text1" w:themeTint="F2"/>
                <w:spacing w:val="-4"/>
                <w:lang w:val="en"/>
              </w:rPr>
              <w:t>H1 2026</w:t>
            </w:r>
            <w:r w:rsidRPr="00A97A8A">
              <w:rPr>
                <w:color w:val="0D0D0D" w:themeColor="text1" w:themeTint="F2"/>
                <w:spacing w:val="-4"/>
                <w:lang w:val="en"/>
              </w:rPr>
              <w:t xml:space="preserve">. Expected demand in </w:t>
            </w:r>
            <w:r>
              <w:rPr>
                <w:color w:val="0D0D0D" w:themeColor="text1" w:themeTint="F2"/>
                <w:spacing w:val="-4"/>
                <w:lang w:val="en"/>
              </w:rPr>
              <w:t xml:space="preserve">manufacturing </w:t>
            </w:r>
            <w:r w:rsidRPr="00A97A8A">
              <w:rPr>
                <w:color w:val="0D0D0D" w:themeColor="text1" w:themeTint="F2"/>
                <w:spacing w:val="-4"/>
                <w:lang w:val="en"/>
              </w:rPr>
              <w:t>other transport</w:t>
            </w:r>
            <w:r>
              <w:rPr>
                <w:color w:val="0D0D0D" w:themeColor="text1" w:themeTint="F2"/>
                <w:spacing w:val="-4"/>
                <w:lang w:val="en"/>
              </w:rPr>
              <w:t xml:space="preserve"> equipment</w:t>
            </w:r>
            <w:r w:rsidRPr="00A97A8A">
              <w:rPr>
                <w:color w:val="0D0D0D" w:themeColor="text1" w:themeTint="F2"/>
                <w:spacing w:val="-4"/>
                <w:lang w:val="en"/>
              </w:rPr>
              <w:t xml:space="preserve"> increased dynamically (+34%), mainly due to high orders which </w:t>
            </w:r>
            <w:r>
              <w:rPr>
                <w:color w:val="0D0D0D" w:themeColor="text1" w:themeTint="F2"/>
                <w:spacing w:val="-4"/>
                <w:lang w:val="en"/>
              </w:rPr>
              <w:t xml:space="preserve">were </w:t>
            </w:r>
            <w:r w:rsidRPr="00A97A8A">
              <w:rPr>
                <w:color w:val="0D0D0D" w:themeColor="text1" w:themeTint="F2"/>
                <w:spacing w:val="-4"/>
                <w:lang w:val="en"/>
              </w:rPr>
              <w:t xml:space="preserve">concluded in June this year. </w:t>
            </w:r>
            <w:r>
              <w:rPr>
                <w:color w:val="0D0D0D" w:themeColor="text1" w:themeTint="F2"/>
                <w:spacing w:val="-4"/>
                <w:lang w:val="en"/>
              </w:rPr>
              <w:t>Manufacturing</w:t>
            </w:r>
            <w:r w:rsidRPr="00A97A8A">
              <w:rPr>
                <w:color w:val="0D0D0D" w:themeColor="text1" w:themeTint="F2"/>
                <w:spacing w:val="-4"/>
                <w:lang w:val="en"/>
              </w:rPr>
              <w:t xml:space="preserve"> computers, electronic and optical </w:t>
            </w:r>
            <w:r>
              <w:rPr>
                <w:color w:val="0D0D0D" w:themeColor="text1" w:themeTint="F2"/>
                <w:spacing w:val="-4"/>
                <w:lang w:val="en"/>
              </w:rPr>
              <w:t xml:space="preserve">appliances </w:t>
            </w:r>
            <w:r w:rsidRPr="00A97A8A">
              <w:rPr>
                <w:color w:val="0D0D0D" w:themeColor="text1" w:themeTint="F2"/>
                <w:spacing w:val="-4"/>
                <w:lang w:val="en"/>
              </w:rPr>
              <w:t xml:space="preserve">(+10%, primarily due to domestic demand), </w:t>
            </w:r>
            <w:r>
              <w:rPr>
                <w:color w:val="0D0D0D" w:themeColor="text1" w:themeTint="F2"/>
                <w:spacing w:val="-4"/>
                <w:lang w:val="en"/>
              </w:rPr>
              <w:t xml:space="preserve">and </w:t>
            </w:r>
            <w:r w:rsidRPr="00A97A8A">
              <w:rPr>
                <w:color w:val="0D0D0D" w:themeColor="text1" w:themeTint="F2"/>
                <w:spacing w:val="-4"/>
                <w:lang w:val="en"/>
              </w:rPr>
              <w:t xml:space="preserve">electrical equipment have favorable prospects, and the continuing recovery is also confirmed by metallurgy. On the </w:t>
            </w:r>
            <w:r>
              <w:rPr>
                <w:color w:val="0D0D0D" w:themeColor="text1" w:themeTint="F2"/>
                <w:spacing w:val="-4"/>
                <w:lang w:val="en"/>
              </w:rPr>
              <w:t>contrary</w:t>
            </w:r>
            <w:r w:rsidRPr="00A97A8A">
              <w:rPr>
                <w:color w:val="0D0D0D" w:themeColor="text1" w:themeTint="F2"/>
                <w:spacing w:val="-4"/>
                <w:lang w:val="en"/>
              </w:rPr>
              <w:t xml:space="preserve">, the persistence of </w:t>
            </w:r>
            <w:r>
              <w:rPr>
                <w:color w:val="0D0D0D" w:themeColor="text1" w:themeTint="F2"/>
                <w:spacing w:val="-4"/>
                <w:lang w:val="en"/>
              </w:rPr>
              <w:t xml:space="preserve">adverse </w:t>
            </w:r>
            <w:r w:rsidRPr="00A97A8A">
              <w:rPr>
                <w:color w:val="0D0D0D" w:themeColor="text1" w:themeTint="F2"/>
                <w:spacing w:val="-4"/>
                <w:lang w:val="en"/>
              </w:rPr>
              <w:t>developments is indicated by lower orders in engineering (−1%) and pharmacy (−4%) and stagnation (after taking into account producer prices) in other monitored sectors</w:t>
            </w:r>
            <w:r w:rsidRPr="00B131B0">
              <w:rPr>
                <w:rStyle w:val="Znakapoznpodarou"/>
                <w:color w:val="0D0D0D" w:themeColor="text1" w:themeTint="F2"/>
                <w:spacing w:val="-4"/>
              </w:rPr>
              <w:footnoteReference w:id="14"/>
            </w:r>
            <w:r w:rsidRPr="00A97A8A">
              <w:rPr>
                <w:color w:val="0D0D0D" w:themeColor="text1" w:themeTint="F2"/>
                <w:spacing w:val="-4"/>
                <w:lang w:val="en"/>
              </w:rPr>
              <w:t>.</w:t>
            </w:r>
            <w:r>
              <w:rPr>
                <w:color w:val="0D0D0D" w:themeColor="text1" w:themeTint="F2"/>
                <w:spacing w:val="-4"/>
                <w:lang w:val="en"/>
              </w:rPr>
              <w:t xml:space="preserve"> </w:t>
            </w:r>
          </w:p>
        </w:tc>
      </w:tr>
      <w:tr w:rsidR="00927BC1" w:rsidRPr="005923B1" w14:paraId="68837D73" w14:textId="77777777" w:rsidTr="00D60677">
        <w:trPr>
          <w:trHeight w:val="145"/>
        </w:trPr>
        <w:tc>
          <w:tcPr>
            <w:tcW w:w="1863" w:type="dxa"/>
            <w:tcMar>
              <w:left w:w="0" w:type="dxa"/>
            </w:tcMar>
          </w:tcPr>
          <w:p w14:paraId="28119F62" w14:textId="77777777" w:rsidR="00927BC1" w:rsidRPr="00FE6150" w:rsidRDefault="00927BC1" w:rsidP="00D60677">
            <w:pPr>
              <w:pStyle w:val="Marginlie"/>
              <w:spacing w:after="240"/>
              <w:rPr>
                <w:color w:val="0D0D0D" w:themeColor="text1" w:themeTint="F2"/>
                <w:spacing w:val="0"/>
              </w:rPr>
            </w:pPr>
          </w:p>
        </w:tc>
        <w:tc>
          <w:tcPr>
            <w:tcW w:w="142" w:type="dxa"/>
            <w:tcMar>
              <w:left w:w="0" w:type="dxa"/>
            </w:tcMar>
          </w:tcPr>
          <w:p w14:paraId="471C465F" w14:textId="77777777" w:rsidR="00927BC1" w:rsidRPr="007232CB" w:rsidRDefault="00927BC1" w:rsidP="00D60677">
            <w:pPr>
              <w:pStyle w:val="Textpoznpodarou"/>
              <w:spacing w:after="240"/>
              <w:jc w:val="both"/>
              <w:rPr>
                <w:color w:val="0D0D0D" w:themeColor="text1" w:themeTint="F2"/>
                <w:lang w:val="en-US"/>
              </w:rPr>
            </w:pPr>
          </w:p>
        </w:tc>
        <w:tc>
          <w:tcPr>
            <w:tcW w:w="7653" w:type="dxa"/>
            <w:gridSpan w:val="2"/>
            <w:tcMar>
              <w:left w:w="0" w:type="dxa"/>
            </w:tcMar>
          </w:tcPr>
          <w:p w14:paraId="22C48733" w14:textId="77777777" w:rsidR="00927BC1" w:rsidRPr="007232CB" w:rsidRDefault="00927BC1" w:rsidP="00D60677">
            <w:pPr>
              <w:spacing w:after="40"/>
              <w:rPr>
                <w:color w:val="0D0D0D" w:themeColor="text1" w:themeTint="F2"/>
                <w:lang w:val="en-US"/>
              </w:rPr>
            </w:pPr>
            <w:r w:rsidRPr="00D24CCB">
              <w:rPr>
                <w:b/>
                <w:color w:val="0D0D0D" w:themeColor="text1" w:themeTint="F2"/>
                <w:spacing w:val="-4"/>
                <w:lang w:val="en-US"/>
              </w:rPr>
              <w:t xml:space="preserve">Chart 6 </w:t>
            </w:r>
            <w:r w:rsidRPr="00D24CCB">
              <w:rPr>
                <w:b/>
                <w:spacing w:val="-4"/>
              </w:rPr>
              <w:t xml:space="preserve">New orders in industry </w:t>
            </w:r>
            <w:r w:rsidRPr="00D24CCB">
              <w:rPr>
                <w:bCs/>
                <w:spacing w:val="-4"/>
              </w:rPr>
              <w:t xml:space="preserve">(nominal, year-on-year change in %), </w:t>
            </w:r>
            <w:r w:rsidRPr="00D24CCB">
              <w:rPr>
                <w:b/>
                <w:spacing w:val="-4"/>
              </w:rPr>
              <w:t>selected growth</w:t>
            </w:r>
            <w:r w:rsidRPr="00995C95">
              <w:rPr>
                <w:b/>
              </w:rPr>
              <w:t xml:space="preserve"> barriers</w:t>
            </w:r>
            <w:r w:rsidRPr="00995C95">
              <w:t xml:space="preserve"> (in %)</w:t>
            </w:r>
            <w:r>
              <w:t>,</w:t>
            </w:r>
            <w:r w:rsidRPr="00995C95">
              <w:rPr>
                <w:b/>
                <w:bCs/>
              </w:rPr>
              <w:t xml:space="preserve"> balance of business confidence indicator in industry</w:t>
            </w:r>
            <w:r w:rsidRPr="00995C95">
              <w:t xml:space="preserve"> (in p.p.</w:t>
            </w:r>
            <w:r w:rsidRPr="007232CB">
              <w:rPr>
                <w:color w:val="0D0D0D" w:themeColor="text1" w:themeTint="F2"/>
                <w:lang w:val="en-US"/>
              </w:rPr>
              <w:t>)</w:t>
            </w:r>
          </w:p>
        </w:tc>
      </w:tr>
      <w:tr w:rsidR="00927BC1" w:rsidRPr="00B131B0" w14:paraId="6CD682C4" w14:textId="77777777" w:rsidTr="00D60677">
        <w:tblPrEx>
          <w:tblCellMar>
            <w:left w:w="70" w:type="dxa"/>
            <w:right w:w="70" w:type="dxa"/>
          </w:tblCellMar>
        </w:tblPrEx>
        <w:trPr>
          <w:trHeight w:val="145"/>
        </w:trPr>
        <w:tc>
          <w:tcPr>
            <w:tcW w:w="1863" w:type="dxa"/>
          </w:tcPr>
          <w:p w14:paraId="1770A163" w14:textId="77777777" w:rsidR="00927BC1" w:rsidRPr="007232CB" w:rsidRDefault="00927BC1" w:rsidP="00D60677">
            <w:pPr>
              <w:pStyle w:val="Marginlie"/>
              <w:spacing w:after="240"/>
              <w:rPr>
                <w:color w:val="0D0D0D" w:themeColor="text1" w:themeTint="F2"/>
                <w:spacing w:val="0"/>
                <w:lang w:val="en-US"/>
              </w:rPr>
            </w:pPr>
          </w:p>
        </w:tc>
        <w:tc>
          <w:tcPr>
            <w:tcW w:w="160" w:type="dxa"/>
            <w:gridSpan w:val="2"/>
          </w:tcPr>
          <w:p w14:paraId="56EC0910" w14:textId="77777777" w:rsidR="00927BC1" w:rsidRPr="007232CB" w:rsidRDefault="00927BC1" w:rsidP="00D60677">
            <w:pPr>
              <w:pStyle w:val="Textpoznpodarou"/>
              <w:spacing w:after="240"/>
              <w:jc w:val="both"/>
              <w:rPr>
                <w:color w:val="0D0D0D" w:themeColor="text1" w:themeTint="F2"/>
                <w:lang w:val="en-US"/>
              </w:rPr>
            </w:pPr>
          </w:p>
        </w:tc>
        <w:tc>
          <w:tcPr>
            <w:tcW w:w="7635" w:type="dxa"/>
          </w:tcPr>
          <w:p w14:paraId="38248A32" w14:textId="77777777" w:rsidR="00927BC1" w:rsidRPr="00B131B0" w:rsidRDefault="00927BC1" w:rsidP="00D60677">
            <w:pPr>
              <w:spacing w:before="40" w:after="20"/>
              <w:rPr>
                <w:color w:val="0D0D0D" w:themeColor="text1" w:themeTint="F2"/>
              </w:rPr>
            </w:pPr>
            <w:r>
              <w:rPr>
                <w:noProof/>
              </w:rPr>
              <w:drawing>
                <wp:inline distT="0" distB="0" distL="0" distR="0" wp14:anchorId="7269F8F9" wp14:editId="66815B8B">
                  <wp:extent cx="4753154" cy="3600780"/>
                  <wp:effectExtent l="0" t="0" r="0" b="0"/>
                  <wp:docPr id="515557859" name="Graf 1">
                    <a:extLst xmlns:a="http://schemas.openxmlformats.org/drawingml/2006/main">
                      <a:ext uri="{FF2B5EF4-FFF2-40B4-BE49-F238E27FC236}">
                        <a16:creationId xmlns:a16="http://schemas.microsoft.com/office/drawing/2014/main" id="{C0094A0E-61BE-4079-AF51-5E430105A1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927BC1" w:rsidRPr="00B131B0" w14:paraId="08D3BBFD" w14:textId="77777777" w:rsidTr="00D60677">
        <w:trPr>
          <w:trHeight w:val="145"/>
        </w:trPr>
        <w:tc>
          <w:tcPr>
            <w:tcW w:w="1863" w:type="dxa"/>
            <w:tcMar>
              <w:left w:w="0" w:type="dxa"/>
            </w:tcMar>
          </w:tcPr>
          <w:p w14:paraId="7C639AE7" w14:textId="77777777" w:rsidR="00927BC1" w:rsidRPr="00B131B0" w:rsidRDefault="00927BC1" w:rsidP="00D60677">
            <w:pPr>
              <w:pStyle w:val="Marginlie"/>
              <w:spacing w:after="240"/>
              <w:rPr>
                <w:color w:val="0D0D0D" w:themeColor="text1" w:themeTint="F2"/>
                <w:spacing w:val="0"/>
              </w:rPr>
            </w:pPr>
          </w:p>
        </w:tc>
        <w:tc>
          <w:tcPr>
            <w:tcW w:w="142" w:type="dxa"/>
            <w:tcMar>
              <w:left w:w="0" w:type="dxa"/>
            </w:tcMar>
          </w:tcPr>
          <w:p w14:paraId="143A79F2"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2264ED4B" w14:textId="77777777" w:rsidR="00927BC1" w:rsidRDefault="00927BC1" w:rsidP="00D60677">
            <w:pPr>
              <w:spacing w:after="0" w:line="240" w:lineRule="auto"/>
              <w:jc w:val="left"/>
              <w:rPr>
                <w:color w:val="0D0D0D" w:themeColor="text1" w:themeTint="F2"/>
                <w:sz w:val="14"/>
                <w:szCs w:val="14"/>
              </w:rPr>
            </w:pPr>
            <w:r w:rsidRPr="00B335CE">
              <w:rPr>
                <w:color w:val="0D0D0D" w:themeColor="text1" w:themeTint="F2"/>
                <w:sz w:val="14"/>
                <w:szCs w:val="14"/>
              </w:rPr>
              <w:t xml:space="preserve">Note: Growth barriers express the level in the first month of the given quarter, balance of business confidence expresses the monthly average for the whole quarter, and for the last period, the average for the first two months. Orders are adjusted for calendar effects; other indicators are seasonally adjusted. Businesses could have indicated more key growth barriers simultaneously.                                                                                                                                 </w:t>
            </w:r>
          </w:p>
          <w:p w14:paraId="14F00873" w14:textId="77777777" w:rsidR="00927BC1" w:rsidRPr="00B335CE" w:rsidRDefault="00927BC1" w:rsidP="00D60677">
            <w:pPr>
              <w:spacing w:after="0" w:line="240" w:lineRule="auto"/>
              <w:jc w:val="left"/>
              <w:rPr>
                <w:color w:val="0D0D0D" w:themeColor="text1" w:themeTint="F2"/>
                <w:sz w:val="14"/>
                <w:szCs w:val="14"/>
              </w:rPr>
            </w:pPr>
            <w:r w:rsidRPr="00B335CE">
              <w:rPr>
                <w:color w:val="0D0D0D" w:themeColor="text1" w:themeTint="F2"/>
                <w:sz w:val="14"/>
                <w:szCs w:val="14"/>
              </w:rPr>
              <w:t>Source: CZSO, Eurostat</w:t>
            </w:r>
          </w:p>
          <w:p w14:paraId="5780F214" w14:textId="77777777" w:rsidR="00927BC1" w:rsidRPr="00216139" w:rsidRDefault="00927BC1" w:rsidP="00D60677">
            <w:pPr>
              <w:spacing w:after="0" w:line="240" w:lineRule="auto"/>
              <w:rPr>
                <w:b/>
                <w:bCs/>
                <w:color w:val="0D0D0D" w:themeColor="text1" w:themeTint="F2"/>
                <w:sz w:val="16"/>
                <w:szCs w:val="16"/>
              </w:rPr>
            </w:pPr>
          </w:p>
        </w:tc>
      </w:tr>
      <w:tr w:rsidR="00927BC1" w:rsidRPr="00B131B0" w14:paraId="0BE688B1" w14:textId="77777777" w:rsidTr="00D60677">
        <w:trPr>
          <w:trHeight w:val="145"/>
        </w:trPr>
        <w:tc>
          <w:tcPr>
            <w:tcW w:w="1863" w:type="dxa"/>
            <w:tcMar>
              <w:left w:w="0" w:type="dxa"/>
            </w:tcMar>
          </w:tcPr>
          <w:p w14:paraId="3DDFA0C4" w14:textId="77777777" w:rsidR="00927BC1" w:rsidRPr="006A190E" w:rsidRDefault="00927BC1" w:rsidP="00D60677">
            <w:pPr>
              <w:pStyle w:val="Marginlie"/>
              <w:rPr>
                <w:color w:val="0D0D0D" w:themeColor="text1" w:themeTint="F2"/>
                <w:spacing w:val="0"/>
              </w:rPr>
            </w:pPr>
            <w:r>
              <w:rPr>
                <w:color w:val="0D0D0D" w:themeColor="text1" w:themeTint="F2"/>
                <w:spacing w:val="0"/>
              </w:rPr>
              <w:t xml:space="preserve">Business </w:t>
            </w:r>
            <w:r w:rsidRPr="004C1E8B">
              <w:rPr>
                <w:color w:val="0D0D0D" w:themeColor="text1" w:themeTint="F2"/>
                <w:spacing w:val="0"/>
              </w:rPr>
              <w:t xml:space="preserve">confidence in industry increased after a brief downturn in the spring. </w:t>
            </w:r>
            <w:r>
              <w:rPr>
                <w:color w:val="0D0D0D" w:themeColor="text1" w:themeTint="F2"/>
                <w:spacing w:val="0"/>
              </w:rPr>
              <w:t xml:space="preserve">Still, </w:t>
            </w:r>
            <w:r w:rsidRPr="004C1E8B">
              <w:rPr>
                <w:color w:val="0D0D0D" w:themeColor="text1" w:themeTint="F2"/>
                <w:spacing w:val="0"/>
              </w:rPr>
              <w:t>it remained in a slightly negative range.</w:t>
            </w:r>
            <w:r w:rsidRPr="007232CB">
              <w:rPr>
                <w:color w:val="0D0D0D" w:themeColor="text1" w:themeTint="F2"/>
                <w:spacing w:val="0"/>
              </w:rPr>
              <w:t xml:space="preserve"> </w:t>
            </w:r>
          </w:p>
        </w:tc>
        <w:tc>
          <w:tcPr>
            <w:tcW w:w="142" w:type="dxa"/>
            <w:tcMar>
              <w:left w:w="0" w:type="dxa"/>
            </w:tcMar>
          </w:tcPr>
          <w:p w14:paraId="47276076"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4CAC5FDD" w14:textId="77777777" w:rsidR="00927BC1" w:rsidRDefault="00927BC1" w:rsidP="00D60677">
            <w:pPr>
              <w:spacing w:after="200"/>
              <w:rPr>
                <w:color w:val="0D0D0D" w:themeColor="text1" w:themeTint="F2"/>
                <w:spacing w:val="-2"/>
                <w:lang w:val="en"/>
              </w:rPr>
            </w:pPr>
            <w:r>
              <w:rPr>
                <w:color w:val="0D0D0D" w:themeColor="text1" w:themeTint="F2"/>
              </w:rPr>
              <w:t>Business con</w:t>
            </w:r>
            <w:r w:rsidRPr="004C1E8B">
              <w:rPr>
                <w:color w:val="0D0D0D" w:themeColor="text1" w:themeTint="F2"/>
              </w:rPr>
              <w:t xml:space="preserve">fidence in industry increased at the beginning of this year, also thanks to the favourable development of new orders, and reached a nearly three-year high in March. Subsequently, however, the negative effects of the escalation of the conflict in the Middle East became apparent. Short-term expectations of production and the assessment of current (especially </w:t>
            </w:r>
            <w:r>
              <w:rPr>
                <w:color w:val="0D0D0D" w:themeColor="text1" w:themeTint="F2"/>
              </w:rPr>
              <w:t>external</w:t>
            </w:r>
            <w:r w:rsidRPr="004C1E8B">
              <w:rPr>
                <w:color w:val="0D0D0D" w:themeColor="text1" w:themeTint="F2"/>
              </w:rPr>
              <w:t xml:space="preserve">) demand deteriorated, and </w:t>
            </w:r>
            <w:r>
              <w:rPr>
                <w:color w:val="0D0D0D" w:themeColor="text1" w:themeTint="F2"/>
              </w:rPr>
              <w:t xml:space="preserve">also </w:t>
            </w:r>
            <w:r w:rsidRPr="004C1E8B">
              <w:rPr>
                <w:color w:val="0D0D0D" w:themeColor="text1" w:themeTint="F2"/>
              </w:rPr>
              <w:t>inflation expectations strengthened. However, the spring dec</w:t>
            </w:r>
            <w:r>
              <w:rPr>
                <w:color w:val="0D0D0D" w:themeColor="text1" w:themeTint="F2"/>
              </w:rPr>
              <w:t xml:space="preserve">rease of total </w:t>
            </w:r>
            <w:r w:rsidRPr="004C1E8B">
              <w:rPr>
                <w:color w:val="0D0D0D" w:themeColor="text1" w:themeTint="F2"/>
              </w:rPr>
              <w:t xml:space="preserve">confidence in industry in the Czech Republic (as in most EU countries) was not drastic and its level returned to the </w:t>
            </w:r>
            <w:r>
              <w:rPr>
                <w:color w:val="0D0D0D" w:themeColor="text1" w:themeTint="F2"/>
              </w:rPr>
              <w:t>“</w:t>
            </w:r>
            <w:r w:rsidRPr="004C1E8B">
              <w:rPr>
                <w:color w:val="0D0D0D" w:themeColor="text1" w:themeTint="F2"/>
              </w:rPr>
              <w:t>pre-crisis</w:t>
            </w:r>
            <w:r>
              <w:rPr>
                <w:color w:val="0D0D0D" w:themeColor="text1" w:themeTint="F2"/>
              </w:rPr>
              <w:t>”</w:t>
            </w:r>
            <w:r w:rsidRPr="004C1E8B">
              <w:rPr>
                <w:color w:val="0D0D0D" w:themeColor="text1" w:themeTint="F2"/>
              </w:rPr>
              <w:t xml:space="preserve"> level </w:t>
            </w:r>
            <w:r>
              <w:rPr>
                <w:color w:val="0D0D0D" w:themeColor="text1" w:themeTint="F2"/>
              </w:rPr>
              <w:t xml:space="preserve">already </w:t>
            </w:r>
            <w:r w:rsidRPr="004C1E8B">
              <w:rPr>
                <w:color w:val="0D0D0D" w:themeColor="text1" w:themeTint="F2"/>
              </w:rPr>
              <w:t xml:space="preserve">at the beginning of the summer. </w:t>
            </w:r>
            <w:r>
              <w:rPr>
                <w:color w:val="0D0D0D" w:themeColor="text1" w:themeTint="F2"/>
              </w:rPr>
              <w:t>Nevertheless,</w:t>
            </w:r>
            <w:r w:rsidRPr="004C1E8B">
              <w:rPr>
                <w:color w:val="0D0D0D" w:themeColor="text1" w:themeTint="F2"/>
              </w:rPr>
              <w:t xml:space="preserve"> the situation in individual </w:t>
            </w:r>
            <w:r>
              <w:rPr>
                <w:color w:val="0D0D0D" w:themeColor="text1" w:themeTint="F2"/>
              </w:rPr>
              <w:t>activities na</w:t>
            </w:r>
            <w:r w:rsidRPr="004C1E8B">
              <w:rPr>
                <w:color w:val="0D0D0D" w:themeColor="text1" w:themeTint="F2"/>
              </w:rPr>
              <w:t>turally differed</w:t>
            </w:r>
            <w:r w:rsidRPr="00B131B0">
              <w:rPr>
                <w:rStyle w:val="Znakapoznpodarou"/>
                <w:color w:val="0D0D0D" w:themeColor="text1" w:themeTint="F2"/>
              </w:rPr>
              <w:footnoteReference w:id="15"/>
            </w:r>
            <w:r w:rsidRPr="000E45EF">
              <w:rPr>
                <w:color w:val="0D0D0D" w:themeColor="text1" w:themeTint="F2"/>
                <w:lang w:val="en-US"/>
              </w:rPr>
              <w:t>.</w:t>
            </w:r>
            <w:r>
              <w:rPr>
                <w:color w:val="0D0D0D" w:themeColor="text1" w:themeTint="F2"/>
                <w:lang w:val="en-US"/>
              </w:rPr>
              <w:t xml:space="preserve"> </w:t>
            </w:r>
            <w:r w:rsidRPr="004C1E8B">
              <w:rPr>
                <w:color w:val="0D0D0D" w:themeColor="text1" w:themeTint="F2"/>
              </w:rPr>
              <w:t xml:space="preserve">Only 6% of industrial </w:t>
            </w:r>
            <w:r>
              <w:rPr>
                <w:color w:val="0D0D0D" w:themeColor="text1" w:themeTint="F2"/>
              </w:rPr>
              <w:t xml:space="preserve">businesses </w:t>
            </w:r>
            <w:r w:rsidRPr="004C1E8B">
              <w:rPr>
                <w:color w:val="0D0D0D" w:themeColor="text1" w:themeTint="F2"/>
              </w:rPr>
              <w:t xml:space="preserve">expected their own economic situation to deteriorate in the six-month outlook (12% </w:t>
            </w:r>
            <w:r w:rsidRPr="00B553DA">
              <w:rPr>
                <w:color w:val="0D0D0D" w:themeColor="text1" w:themeTint="F2"/>
                <w:spacing w:val="-4"/>
              </w:rPr>
              <w:lastRenderedPageBreak/>
              <w:t>anticipated improvement). Although expectations of the development of own employment</w:t>
            </w:r>
            <w:r w:rsidRPr="004C1E8B">
              <w:rPr>
                <w:color w:val="0D0D0D" w:themeColor="text1" w:themeTint="F2"/>
              </w:rPr>
              <w:t xml:space="preserve"> remained slightly negative, the vast majority of companies (80%) expected stable development in the coming quarter.</w:t>
            </w:r>
            <w:r>
              <w:rPr>
                <w:color w:val="0D0D0D" w:themeColor="text1" w:themeTint="F2"/>
              </w:rPr>
              <w:t xml:space="preserve"> </w:t>
            </w:r>
          </w:p>
        </w:tc>
      </w:tr>
      <w:tr w:rsidR="00927BC1" w:rsidRPr="00B131B0" w14:paraId="36C0F99D" w14:textId="77777777" w:rsidTr="00D60677">
        <w:trPr>
          <w:trHeight w:val="145"/>
        </w:trPr>
        <w:tc>
          <w:tcPr>
            <w:tcW w:w="1863" w:type="dxa"/>
            <w:tcMar>
              <w:left w:w="0" w:type="dxa"/>
            </w:tcMar>
          </w:tcPr>
          <w:p w14:paraId="261694E4" w14:textId="77777777" w:rsidR="00927BC1" w:rsidRPr="00B131B0" w:rsidRDefault="00927BC1" w:rsidP="00D60677">
            <w:pPr>
              <w:pStyle w:val="Marginlie"/>
              <w:rPr>
                <w:color w:val="0D0D0D" w:themeColor="text1" w:themeTint="F2"/>
                <w:spacing w:val="0"/>
              </w:rPr>
            </w:pPr>
            <w:r w:rsidRPr="006A190E">
              <w:rPr>
                <w:color w:val="0D0D0D" w:themeColor="text1" w:themeTint="F2"/>
                <w:spacing w:val="0"/>
              </w:rPr>
              <w:lastRenderedPageBreak/>
              <w:t>Almost half of the companies were plagued by insufficient demand. However, the utilization of production capacities increased in the summer</w:t>
            </w:r>
            <w:r>
              <w:rPr>
                <w:color w:val="0D0D0D" w:themeColor="text1" w:themeTint="F2"/>
                <w:spacing w:val="0"/>
              </w:rPr>
              <w:t xml:space="preserve">.  </w:t>
            </w:r>
          </w:p>
        </w:tc>
        <w:tc>
          <w:tcPr>
            <w:tcW w:w="142" w:type="dxa"/>
            <w:tcMar>
              <w:left w:w="0" w:type="dxa"/>
            </w:tcMar>
          </w:tcPr>
          <w:p w14:paraId="4B5AB735"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723357EC" w14:textId="77777777" w:rsidR="00927BC1" w:rsidRPr="00B131B0" w:rsidRDefault="00927BC1" w:rsidP="00D60677">
            <w:pPr>
              <w:spacing w:after="200"/>
              <w:rPr>
                <w:color w:val="0D0D0D" w:themeColor="text1" w:themeTint="F2"/>
                <w:spacing w:val="-3"/>
              </w:rPr>
            </w:pPr>
            <w:r>
              <w:rPr>
                <w:color w:val="0D0D0D" w:themeColor="text1" w:themeTint="F2"/>
                <w:spacing w:val="-2"/>
                <w:lang w:val="en"/>
              </w:rPr>
              <w:t>I</w:t>
            </w:r>
            <w:r w:rsidRPr="00384A54">
              <w:rPr>
                <w:color w:val="0D0D0D" w:themeColor="text1" w:themeTint="F2"/>
                <w:spacing w:val="-2"/>
                <w:lang w:val="en"/>
              </w:rPr>
              <w:t>nsufficient demand</w:t>
            </w:r>
            <w:r w:rsidRPr="00B131B0">
              <w:rPr>
                <w:rStyle w:val="Znakapoznpodarou"/>
                <w:rFonts w:eastAsia="MS Gothic"/>
                <w:color w:val="0D0D0D" w:themeColor="text1" w:themeTint="F2"/>
                <w:spacing w:val="-2"/>
                <w:szCs w:val="20"/>
              </w:rPr>
              <w:footnoteReference w:id="16"/>
            </w:r>
            <w:r w:rsidRPr="00384A54">
              <w:rPr>
                <w:color w:val="0D0D0D" w:themeColor="text1" w:themeTint="F2"/>
                <w:spacing w:val="-2"/>
                <w:lang w:val="en"/>
              </w:rPr>
              <w:t xml:space="preserve"> remains the key growth barrier in industry</w:t>
            </w:r>
            <w:r>
              <w:rPr>
                <w:color w:val="0D0D0D" w:themeColor="text1" w:themeTint="F2"/>
                <w:spacing w:val="-2"/>
                <w:lang w:val="en"/>
              </w:rPr>
              <w:t xml:space="preserve"> for the fourth year in a row</w:t>
            </w:r>
            <w:r w:rsidRPr="00384A54">
              <w:rPr>
                <w:color w:val="0D0D0D" w:themeColor="text1" w:themeTint="F2"/>
                <w:spacing w:val="-2"/>
                <w:lang w:val="en"/>
              </w:rPr>
              <w:t xml:space="preserve">. This was reported by 48% of </w:t>
            </w:r>
            <w:r>
              <w:rPr>
                <w:color w:val="0D0D0D" w:themeColor="text1" w:themeTint="F2"/>
                <w:spacing w:val="-2"/>
                <w:lang w:val="en"/>
              </w:rPr>
              <w:t>businesses i</w:t>
            </w:r>
            <w:r w:rsidRPr="00384A54">
              <w:rPr>
                <w:color w:val="0D0D0D" w:themeColor="text1" w:themeTint="F2"/>
                <w:spacing w:val="-2"/>
                <w:lang w:val="en"/>
              </w:rPr>
              <w:t xml:space="preserve">n July this year (similar to the previous year). However, the share of </w:t>
            </w:r>
            <w:r>
              <w:rPr>
                <w:color w:val="0D0D0D" w:themeColor="text1" w:themeTint="F2"/>
                <w:spacing w:val="-2"/>
                <w:lang w:val="en"/>
              </w:rPr>
              <w:t xml:space="preserve">businesses </w:t>
            </w:r>
            <w:r w:rsidRPr="00384A54">
              <w:rPr>
                <w:color w:val="0D0D0D" w:themeColor="text1" w:themeTint="F2"/>
                <w:spacing w:val="-2"/>
                <w:lang w:val="en"/>
              </w:rPr>
              <w:t>limited by a shortage of workers increased slightly (to 13%), but there was a positive development in the area of the availability of materials or equipment</w:t>
            </w:r>
            <w:r w:rsidRPr="00B131B0">
              <w:rPr>
                <w:rStyle w:val="Znakapoznpodarou"/>
                <w:rFonts w:eastAsia="MS Gothic"/>
                <w:color w:val="0D0D0D" w:themeColor="text1" w:themeTint="F2"/>
                <w:spacing w:val="-2"/>
                <w:szCs w:val="20"/>
              </w:rPr>
              <w:footnoteReference w:id="17"/>
            </w:r>
            <w:r w:rsidRPr="00B131B0">
              <w:rPr>
                <w:rStyle w:val="normaltextrun"/>
                <w:rFonts w:eastAsia="MS Gothic" w:cs="Arial"/>
                <w:color w:val="0D0D0D" w:themeColor="text1" w:themeTint="F2"/>
                <w:spacing w:val="-2"/>
                <w:szCs w:val="20"/>
              </w:rPr>
              <w:t>.</w:t>
            </w:r>
            <w:r>
              <w:rPr>
                <w:rStyle w:val="normaltextrun"/>
                <w:rFonts w:eastAsia="MS Gothic" w:cs="Arial"/>
                <w:color w:val="0D0D0D" w:themeColor="text1" w:themeTint="F2"/>
                <w:spacing w:val="-2"/>
                <w:szCs w:val="20"/>
              </w:rPr>
              <w:t xml:space="preserve"> </w:t>
            </w:r>
            <w:r w:rsidRPr="00384A54">
              <w:rPr>
                <w:color w:val="0D0D0D" w:themeColor="text1" w:themeTint="F2"/>
                <w:spacing w:val="-2"/>
                <w:lang w:val="en"/>
              </w:rPr>
              <w:t>Although the utilization of production capacities in industry has been decreasing since the beginning of the year this year, there was a turnaround at the beginning of</w:t>
            </w:r>
            <w:r>
              <w:rPr>
                <w:color w:val="0D0D0D" w:themeColor="text1" w:themeTint="F2"/>
                <w:spacing w:val="-2"/>
                <w:lang w:val="en"/>
              </w:rPr>
              <w:t xml:space="preserve"> Q3</w:t>
            </w:r>
            <w:r w:rsidRPr="00384A54">
              <w:rPr>
                <w:color w:val="0D0D0D" w:themeColor="text1" w:themeTint="F2"/>
                <w:spacing w:val="-2"/>
                <w:lang w:val="en"/>
              </w:rPr>
              <w:t>, mainly related to the favorable development of demand in</w:t>
            </w:r>
            <w:r>
              <w:rPr>
                <w:color w:val="0D0D0D" w:themeColor="text1" w:themeTint="F2"/>
                <w:spacing w:val="-2"/>
                <w:lang w:val="en"/>
              </w:rPr>
              <w:t xml:space="preserve"> manufacturing of </w:t>
            </w:r>
            <w:r w:rsidRPr="00384A54">
              <w:rPr>
                <w:color w:val="0D0D0D" w:themeColor="text1" w:themeTint="F2"/>
                <w:spacing w:val="-2"/>
                <w:lang w:val="en"/>
              </w:rPr>
              <w:t>motor vehicles. Capacity utilization in t</w:t>
            </w:r>
            <w:r>
              <w:rPr>
                <w:color w:val="0D0D0D" w:themeColor="text1" w:themeTint="F2"/>
                <w:spacing w:val="-2"/>
                <w:lang w:val="en"/>
              </w:rPr>
              <w:t xml:space="preserve">otal </w:t>
            </w:r>
            <w:r w:rsidRPr="00384A54">
              <w:rPr>
                <w:color w:val="0D0D0D" w:themeColor="text1" w:themeTint="F2"/>
                <w:spacing w:val="-2"/>
                <w:lang w:val="en"/>
              </w:rPr>
              <w:t xml:space="preserve">industry now </w:t>
            </w:r>
            <w:r>
              <w:rPr>
                <w:color w:val="0D0D0D" w:themeColor="text1" w:themeTint="F2"/>
                <w:spacing w:val="-2"/>
                <w:lang w:val="en"/>
              </w:rPr>
              <w:t xml:space="preserve">approaches </w:t>
            </w:r>
            <w:r w:rsidRPr="00384A54">
              <w:rPr>
                <w:color w:val="0D0D0D" w:themeColor="text1" w:themeTint="F2"/>
                <w:spacing w:val="-2"/>
                <w:lang w:val="en"/>
              </w:rPr>
              <w:t>85% (</w:t>
            </w:r>
            <w:r>
              <w:rPr>
                <w:color w:val="0D0D0D" w:themeColor="text1" w:themeTint="F2"/>
                <w:spacing w:val="-2"/>
                <w:lang w:val="en"/>
              </w:rPr>
              <w:t xml:space="preserve">i.e. </w:t>
            </w:r>
            <w:r w:rsidRPr="00384A54">
              <w:rPr>
                <w:color w:val="0D0D0D" w:themeColor="text1" w:themeTint="F2"/>
                <w:spacing w:val="-2"/>
                <w:lang w:val="en"/>
              </w:rPr>
              <w:t>the level common in the boom period in the second half of the last decade).</w:t>
            </w:r>
            <w:r>
              <w:rPr>
                <w:color w:val="0D0D0D" w:themeColor="text1" w:themeTint="F2"/>
                <w:spacing w:val="-2"/>
                <w:lang w:val="en"/>
              </w:rPr>
              <w:t xml:space="preserve"> </w:t>
            </w:r>
          </w:p>
        </w:tc>
      </w:tr>
      <w:tr w:rsidR="00927BC1" w:rsidRPr="00B131B0" w14:paraId="16AAEA55" w14:textId="77777777" w:rsidTr="00D60677">
        <w:trPr>
          <w:trHeight w:val="145"/>
        </w:trPr>
        <w:tc>
          <w:tcPr>
            <w:tcW w:w="9658" w:type="dxa"/>
            <w:gridSpan w:val="4"/>
            <w:tcMar>
              <w:left w:w="0" w:type="dxa"/>
            </w:tcMar>
          </w:tcPr>
          <w:p w14:paraId="2434BFB3" w14:textId="77777777" w:rsidR="00927BC1" w:rsidRPr="00B131B0" w:rsidRDefault="00927BC1" w:rsidP="00D60677">
            <w:pPr>
              <w:pStyle w:val="Nadpis3"/>
              <w:rPr>
                <w:color w:val="0D0D0D" w:themeColor="text1" w:themeTint="F2"/>
                <w:spacing w:val="-2"/>
                <w:lang w:val="en-GB"/>
              </w:rPr>
            </w:pPr>
            <w:bookmarkStart w:id="6" w:name="_Toc242958685"/>
            <w:r w:rsidRPr="00B131B0">
              <w:rPr>
                <w:lang w:val="en-GB" w:eastAsia="en-US"/>
              </w:rPr>
              <w:t xml:space="preserve">3.2 </w:t>
            </w:r>
            <w:r>
              <w:rPr>
                <w:lang w:val="en-GB" w:eastAsia="en-US"/>
              </w:rPr>
              <w:t>Construction</w:t>
            </w:r>
            <w:bookmarkEnd w:id="6"/>
          </w:p>
        </w:tc>
      </w:tr>
      <w:tr w:rsidR="00927BC1" w:rsidRPr="00B131B0" w14:paraId="37591913" w14:textId="77777777" w:rsidTr="00D60677">
        <w:trPr>
          <w:trHeight w:val="145"/>
        </w:trPr>
        <w:tc>
          <w:tcPr>
            <w:tcW w:w="1863" w:type="dxa"/>
            <w:tcMar>
              <w:left w:w="0" w:type="dxa"/>
            </w:tcMar>
          </w:tcPr>
          <w:p w14:paraId="35EC6A1D" w14:textId="77777777" w:rsidR="00927BC1" w:rsidRPr="00B131B0" w:rsidRDefault="00927BC1" w:rsidP="00D60677">
            <w:pPr>
              <w:pStyle w:val="Marginlie"/>
              <w:rPr>
                <w:color w:val="0D0D0D" w:themeColor="text1" w:themeTint="F2"/>
                <w:spacing w:val="0"/>
              </w:rPr>
            </w:pPr>
            <w:r w:rsidRPr="002D0576">
              <w:rPr>
                <w:color w:val="0D0D0D" w:themeColor="text1" w:themeTint="F2"/>
                <w:spacing w:val="0"/>
              </w:rPr>
              <w:t xml:space="preserve">The year-on-year growth </w:t>
            </w:r>
            <w:r>
              <w:rPr>
                <w:color w:val="0D0D0D" w:themeColor="text1" w:themeTint="F2"/>
                <w:spacing w:val="0"/>
              </w:rPr>
              <w:t xml:space="preserve">of </w:t>
            </w:r>
            <w:r w:rsidRPr="002D0576">
              <w:rPr>
                <w:color w:val="0D0D0D" w:themeColor="text1" w:themeTint="F2"/>
                <w:spacing w:val="0"/>
              </w:rPr>
              <w:t>construction production slowed down noticeably. The effect of a high comparative base was most evident in civil engineering</w:t>
            </w:r>
            <w:r>
              <w:rPr>
                <w:color w:val="0D0D0D" w:themeColor="text1" w:themeTint="F2"/>
                <w:spacing w:val="0"/>
              </w:rPr>
              <w:t xml:space="preserve"> construction</w:t>
            </w:r>
            <w:r w:rsidRPr="002D0576">
              <w:rPr>
                <w:color w:val="0D0D0D" w:themeColor="text1" w:themeTint="F2"/>
                <w:spacing w:val="0"/>
              </w:rPr>
              <w:t>.</w:t>
            </w:r>
          </w:p>
        </w:tc>
        <w:tc>
          <w:tcPr>
            <w:tcW w:w="142" w:type="dxa"/>
            <w:tcMar>
              <w:left w:w="0" w:type="dxa"/>
            </w:tcMar>
          </w:tcPr>
          <w:p w14:paraId="49AFACF5"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738B0559" w14:textId="77777777" w:rsidR="00927BC1" w:rsidRPr="00B131B0" w:rsidRDefault="00927BC1" w:rsidP="00D60677">
            <w:pPr>
              <w:spacing w:after="220"/>
              <w:rPr>
                <w:color w:val="0D0D0D" w:themeColor="text1" w:themeTint="F2"/>
                <w:spacing w:val="-2"/>
              </w:rPr>
            </w:pPr>
            <w:r>
              <w:rPr>
                <w:color w:val="0D0D0D" w:themeColor="text1" w:themeTint="F2"/>
                <w:spacing w:val="-2"/>
              </w:rPr>
              <w:t>C</w:t>
            </w:r>
            <w:r w:rsidRPr="00AA0A71">
              <w:rPr>
                <w:color w:val="0D0D0D" w:themeColor="text1" w:themeTint="F2"/>
                <w:spacing w:val="-2"/>
              </w:rPr>
              <w:t xml:space="preserve">onstruction continued to perform well in </w:t>
            </w:r>
            <w:r>
              <w:rPr>
                <w:color w:val="0D0D0D" w:themeColor="text1" w:themeTint="F2"/>
                <w:spacing w:val="-2"/>
              </w:rPr>
              <w:t>H1 thi</w:t>
            </w:r>
            <w:r w:rsidRPr="00AA0A71">
              <w:rPr>
                <w:color w:val="0D0D0D" w:themeColor="text1" w:themeTint="F2"/>
                <w:spacing w:val="-2"/>
              </w:rPr>
              <w:t xml:space="preserve">s year. The </w:t>
            </w:r>
            <w:r>
              <w:rPr>
                <w:color w:val="0D0D0D" w:themeColor="text1" w:themeTint="F2"/>
                <w:spacing w:val="-2"/>
              </w:rPr>
              <w:t xml:space="preserve">ongoing </w:t>
            </w:r>
            <w:r w:rsidRPr="00AA0A71">
              <w:rPr>
                <w:color w:val="0D0D0D" w:themeColor="text1" w:themeTint="F2"/>
                <w:spacing w:val="-2"/>
              </w:rPr>
              <w:t xml:space="preserve">moderate growth </w:t>
            </w:r>
            <w:r>
              <w:rPr>
                <w:color w:val="0D0D0D" w:themeColor="text1" w:themeTint="F2"/>
                <w:spacing w:val="-2"/>
              </w:rPr>
              <w:t>of</w:t>
            </w:r>
            <w:r w:rsidRPr="00AA0A71">
              <w:rPr>
                <w:color w:val="0D0D0D" w:themeColor="text1" w:themeTint="F2"/>
                <w:spacing w:val="-2"/>
              </w:rPr>
              <w:t xml:space="preserve"> the output of the domestic economy in recent quarters was associated with a more significant recovery </w:t>
            </w:r>
            <w:r>
              <w:rPr>
                <w:color w:val="0D0D0D" w:themeColor="text1" w:themeTint="F2"/>
                <w:spacing w:val="-2"/>
              </w:rPr>
              <w:t>of</w:t>
            </w:r>
            <w:r w:rsidRPr="00AA0A71">
              <w:rPr>
                <w:color w:val="0D0D0D" w:themeColor="text1" w:themeTint="F2"/>
                <w:spacing w:val="-2"/>
              </w:rPr>
              <w:t xml:space="preserve"> investment activity by households, </w:t>
            </w:r>
            <w:r>
              <w:rPr>
                <w:color w:val="0D0D0D" w:themeColor="text1" w:themeTint="F2"/>
                <w:spacing w:val="-2"/>
              </w:rPr>
              <w:t>companies</w:t>
            </w:r>
            <w:r w:rsidRPr="00AA0A71">
              <w:rPr>
                <w:color w:val="0D0D0D" w:themeColor="text1" w:themeTint="F2"/>
                <w:spacing w:val="-2"/>
              </w:rPr>
              <w:t xml:space="preserve"> and the </w:t>
            </w:r>
            <w:r>
              <w:rPr>
                <w:color w:val="0D0D0D" w:themeColor="text1" w:themeTint="F2"/>
                <w:spacing w:val="-2"/>
              </w:rPr>
              <w:t>public sector</w:t>
            </w:r>
            <w:r w:rsidRPr="00AA0A71">
              <w:rPr>
                <w:color w:val="0D0D0D" w:themeColor="text1" w:themeTint="F2"/>
                <w:spacing w:val="-2"/>
              </w:rPr>
              <w:t>. At the same time, however, the faster development of the construction sector was hampered by long-term significant growth barriers (especially a shortage of workers across professions) as well as persistent cost pressures stemming from rising prices of construction materials and the continued elevated price levels of some energy. Construction production</w:t>
            </w:r>
            <w:r w:rsidRPr="00B131B0">
              <w:rPr>
                <w:rStyle w:val="Znakapoznpodarou"/>
                <w:color w:val="0D0D0D" w:themeColor="text1" w:themeTint="F2"/>
                <w:spacing w:val="-2"/>
              </w:rPr>
              <w:footnoteReference w:id="18"/>
            </w:r>
            <w:r w:rsidRPr="00B131B0">
              <w:rPr>
                <w:color w:val="0D0D0D" w:themeColor="text1" w:themeTint="F2"/>
                <w:spacing w:val="-2"/>
              </w:rPr>
              <w:t xml:space="preserve"> </w:t>
            </w:r>
            <w:r w:rsidRPr="00AA0A71">
              <w:rPr>
                <w:color w:val="0D0D0D" w:themeColor="text1" w:themeTint="F2"/>
                <w:spacing w:val="-2"/>
              </w:rPr>
              <w:t xml:space="preserve"> increased by 1.1%</w:t>
            </w:r>
            <w:r>
              <w:rPr>
                <w:color w:val="0D0D0D" w:themeColor="text1" w:themeTint="F2"/>
                <w:spacing w:val="-2"/>
              </w:rPr>
              <w:t>,</w:t>
            </w:r>
            <w:r w:rsidRPr="00AA0A71">
              <w:rPr>
                <w:color w:val="0D0D0D" w:themeColor="text1" w:themeTint="F2"/>
                <w:spacing w:val="-2"/>
              </w:rPr>
              <w:t xml:space="preserve"> quarter-on-quarter</w:t>
            </w:r>
            <w:r>
              <w:rPr>
                <w:color w:val="0D0D0D" w:themeColor="text1" w:themeTint="F2"/>
                <w:spacing w:val="-2"/>
              </w:rPr>
              <w:t>,</w:t>
            </w:r>
            <w:r w:rsidRPr="00AA0A71">
              <w:rPr>
                <w:color w:val="0D0D0D" w:themeColor="text1" w:themeTint="F2"/>
                <w:spacing w:val="-2"/>
              </w:rPr>
              <w:t xml:space="preserve"> in Q1 2026 and by 1.2% in the following period. In both cases, however, only building construction contributed to this</w:t>
            </w:r>
            <w:r>
              <w:rPr>
                <w:color w:val="0D0D0D" w:themeColor="text1" w:themeTint="F2"/>
                <w:spacing w:val="-2"/>
              </w:rPr>
              <w:t xml:space="preserve"> development</w:t>
            </w:r>
            <w:r w:rsidRPr="00AA0A71">
              <w:rPr>
                <w:color w:val="0D0D0D" w:themeColor="text1" w:themeTint="F2"/>
                <w:spacing w:val="-2"/>
              </w:rPr>
              <w:t xml:space="preserve">. In year-on-year terms, </w:t>
            </w:r>
            <w:r>
              <w:rPr>
                <w:color w:val="0D0D0D" w:themeColor="text1" w:themeTint="F2"/>
                <w:spacing w:val="-2"/>
              </w:rPr>
              <w:t>o</w:t>
            </w:r>
            <w:r w:rsidRPr="00AA0A71">
              <w:rPr>
                <w:color w:val="0D0D0D" w:themeColor="text1" w:themeTint="F2"/>
                <w:spacing w:val="-2"/>
              </w:rPr>
              <w:t xml:space="preserve">utput increased by 4.0% for the entire </w:t>
            </w:r>
            <w:r>
              <w:rPr>
                <w:color w:val="0D0D0D" w:themeColor="text1" w:themeTint="F2"/>
                <w:spacing w:val="-2"/>
              </w:rPr>
              <w:t>H</w:t>
            </w:r>
            <w:r w:rsidRPr="00AA0A71">
              <w:rPr>
                <w:color w:val="0D0D0D" w:themeColor="text1" w:themeTint="F2"/>
                <w:spacing w:val="-2"/>
              </w:rPr>
              <w:t>1</w:t>
            </w:r>
            <w:r>
              <w:rPr>
                <w:color w:val="0D0D0D" w:themeColor="text1" w:themeTint="F2"/>
                <w:spacing w:val="-2"/>
              </w:rPr>
              <w:t xml:space="preserve"> </w:t>
            </w:r>
            <w:r w:rsidRPr="00AA0A71">
              <w:rPr>
                <w:color w:val="0D0D0D" w:themeColor="text1" w:themeTint="F2"/>
                <w:spacing w:val="-2"/>
              </w:rPr>
              <w:t xml:space="preserve">2026, and although it slowed down by more than half compared to last year's rates, </w:t>
            </w:r>
            <w:r>
              <w:rPr>
                <w:color w:val="0D0D0D" w:themeColor="text1" w:themeTint="F2"/>
                <w:spacing w:val="-2"/>
              </w:rPr>
              <w:t xml:space="preserve">output </w:t>
            </w:r>
            <w:r w:rsidRPr="00AA0A71">
              <w:rPr>
                <w:color w:val="0D0D0D" w:themeColor="text1" w:themeTint="F2"/>
                <w:spacing w:val="-2"/>
              </w:rPr>
              <w:t xml:space="preserve">growth has persisted for two years in a row. The construction of buildings contributed the most to the current growth (where production increased by 8.3%), but the segment of specialized construction activities, which is usually the domain of smaller enterprises and small entrepreneurs, had a similar effect. On the </w:t>
            </w:r>
            <w:r>
              <w:rPr>
                <w:color w:val="0D0D0D" w:themeColor="text1" w:themeTint="F2"/>
                <w:spacing w:val="-2"/>
              </w:rPr>
              <w:t>contrary</w:t>
            </w:r>
            <w:r w:rsidRPr="00AA0A71">
              <w:rPr>
                <w:color w:val="0D0D0D" w:themeColor="text1" w:themeTint="F2"/>
                <w:spacing w:val="-2"/>
              </w:rPr>
              <w:t>, civil engineering construction did not follow up on last year's dynamic growth and its output decreased very slightly this year (</w:t>
            </w:r>
            <w:r w:rsidRPr="0006472D">
              <w:rPr>
                <w:color w:val="0D0D0D" w:themeColor="text1" w:themeTint="F2"/>
                <w:spacing w:val="-4"/>
              </w:rPr>
              <w:t>−</w:t>
            </w:r>
            <w:r w:rsidRPr="00AA0A71">
              <w:rPr>
                <w:color w:val="0D0D0D" w:themeColor="text1" w:themeTint="F2"/>
                <w:spacing w:val="-2"/>
              </w:rPr>
              <w:t>0.7%).</w:t>
            </w:r>
            <w:r>
              <w:rPr>
                <w:color w:val="0D0D0D" w:themeColor="text1" w:themeTint="F2"/>
                <w:spacing w:val="-2"/>
              </w:rPr>
              <w:t xml:space="preserve"> </w:t>
            </w:r>
          </w:p>
        </w:tc>
      </w:tr>
      <w:tr w:rsidR="00927BC1" w:rsidRPr="00B131B0" w14:paraId="4401B67A" w14:textId="77777777" w:rsidTr="00D60677">
        <w:trPr>
          <w:trHeight w:val="145"/>
        </w:trPr>
        <w:tc>
          <w:tcPr>
            <w:tcW w:w="1863" w:type="dxa"/>
            <w:tcMar>
              <w:left w:w="0" w:type="dxa"/>
            </w:tcMar>
          </w:tcPr>
          <w:p w14:paraId="7023BD8C" w14:textId="77777777" w:rsidR="00927BC1" w:rsidRPr="002D0576" w:rsidRDefault="00927BC1" w:rsidP="00D60677">
            <w:pPr>
              <w:pStyle w:val="Marginlie"/>
              <w:rPr>
                <w:color w:val="0D0D0D" w:themeColor="text1" w:themeTint="F2"/>
                <w:spacing w:val="0"/>
              </w:rPr>
            </w:pPr>
            <w:r w:rsidRPr="00A20B57">
              <w:rPr>
                <w:color w:val="0D0D0D" w:themeColor="text1" w:themeTint="F2"/>
                <w:spacing w:val="0"/>
              </w:rPr>
              <w:t xml:space="preserve">The scope of commenced </w:t>
            </w:r>
            <w:r>
              <w:rPr>
                <w:color w:val="0D0D0D" w:themeColor="text1" w:themeTint="F2"/>
                <w:spacing w:val="0"/>
              </w:rPr>
              <w:t xml:space="preserve">residential </w:t>
            </w:r>
            <w:r w:rsidRPr="00A20B57">
              <w:rPr>
                <w:color w:val="0D0D0D" w:themeColor="text1" w:themeTint="F2"/>
                <w:spacing w:val="0"/>
              </w:rPr>
              <w:t>construction increased across the board. However, the number of completed dwellings decreased slightly, as the finalization of family houses was still stalled.</w:t>
            </w:r>
            <w:r>
              <w:rPr>
                <w:color w:val="0D0D0D" w:themeColor="text1" w:themeTint="F2"/>
                <w:spacing w:val="0"/>
              </w:rPr>
              <w:t xml:space="preserve"> </w:t>
            </w:r>
          </w:p>
        </w:tc>
        <w:tc>
          <w:tcPr>
            <w:tcW w:w="142" w:type="dxa"/>
            <w:tcMar>
              <w:left w:w="0" w:type="dxa"/>
            </w:tcMar>
          </w:tcPr>
          <w:p w14:paraId="262BA749"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73BD6612" w14:textId="77777777" w:rsidR="00927BC1" w:rsidRDefault="00927BC1" w:rsidP="00D60677">
            <w:pPr>
              <w:spacing w:after="220"/>
              <w:rPr>
                <w:color w:val="0D0D0D" w:themeColor="text1" w:themeTint="F2"/>
                <w:spacing w:val="-2"/>
              </w:rPr>
            </w:pPr>
            <w:r w:rsidRPr="001E0542">
              <w:rPr>
                <w:rFonts w:eastAsiaTheme="majorEastAsia"/>
                <w:color w:val="0D0D0D" w:themeColor="text1" w:themeTint="F2"/>
                <w:spacing w:val="-3"/>
              </w:rPr>
              <w:t xml:space="preserve">The development of building construction was partly helped by the </w:t>
            </w:r>
            <w:r>
              <w:rPr>
                <w:rFonts w:eastAsiaTheme="majorEastAsia"/>
                <w:color w:val="0D0D0D" w:themeColor="text1" w:themeTint="F2"/>
                <w:spacing w:val="-3"/>
              </w:rPr>
              <w:t>residential con</w:t>
            </w:r>
            <w:r w:rsidRPr="001E0542">
              <w:rPr>
                <w:rFonts w:eastAsiaTheme="majorEastAsia"/>
                <w:color w:val="0D0D0D" w:themeColor="text1" w:themeTint="F2"/>
                <w:spacing w:val="-3"/>
              </w:rPr>
              <w:t xml:space="preserve">struction segment. However, trends in various </w:t>
            </w:r>
            <w:r>
              <w:rPr>
                <w:rFonts w:eastAsiaTheme="majorEastAsia"/>
                <w:color w:val="0D0D0D" w:themeColor="text1" w:themeTint="F2"/>
                <w:spacing w:val="-3"/>
              </w:rPr>
              <w:t xml:space="preserve">residential </w:t>
            </w:r>
            <w:r w:rsidRPr="001E0542">
              <w:rPr>
                <w:rFonts w:eastAsiaTheme="majorEastAsia"/>
                <w:color w:val="0D0D0D" w:themeColor="text1" w:themeTint="F2"/>
                <w:spacing w:val="-3"/>
              </w:rPr>
              <w:t>construction diverged this year. While the half-year number of dwellings started (22.7 thousand) rose the highest in the last four years and increased by 39%</w:t>
            </w:r>
            <w:r>
              <w:rPr>
                <w:rFonts w:eastAsiaTheme="majorEastAsia"/>
                <w:color w:val="0D0D0D" w:themeColor="text1" w:themeTint="F2"/>
                <w:spacing w:val="-3"/>
              </w:rPr>
              <w:t>,</w:t>
            </w:r>
            <w:r w:rsidRPr="001E0542">
              <w:rPr>
                <w:rFonts w:eastAsiaTheme="majorEastAsia"/>
                <w:color w:val="0D0D0D" w:themeColor="text1" w:themeTint="F2"/>
                <w:spacing w:val="-3"/>
              </w:rPr>
              <w:t xml:space="preserve"> year-on-year, the number of completed dwellings (16.3 thousand) was the lowest in the last six years when comparing the same periods of the year, and the volume of construction decreased by 4.4%</w:t>
            </w:r>
            <w:r>
              <w:rPr>
                <w:rFonts w:eastAsiaTheme="majorEastAsia"/>
                <w:color w:val="0D0D0D" w:themeColor="text1" w:themeTint="F2"/>
                <w:spacing w:val="-3"/>
              </w:rPr>
              <w:t>,</w:t>
            </w:r>
            <w:r w:rsidRPr="001E0542">
              <w:rPr>
                <w:rFonts w:eastAsiaTheme="majorEastAsia"/>
                <w:color w:val="0D0D0D" w:themeColor="text1" w:themeTint="F2"/>
                <w:spacing w:val="-3"/>
              </w:rPr>
              <w:t xml:space="preserve"> year-on-year. In particular, the completion of family houses was </w:t>
            </w:r>
            <w:r w:rsidRPr="00590017">
              <w:rPr>
                <w:rFonts w:eastAsiaTheme="majorEastAsia"/>
                <w:color w:val="0D0D0D" w:themeColor="text1" w:themeTint="F2"/>
                <w:spacing w:val="-3"/>
              </w:rPr>
              <w:t>stagnant – the fewest were built in the last two decades (5.9 thousand). On the contrary, there was a slight recovery for the residential</w:t>
            </w:r>
            <w:r>
              <w:rPr>
                <w:rFonts w:eastAsiaTheme="majorEastAsia"/>
                <w:color w:val="0D0D0D" w:themeColor="text1" w:themeTint="F2"/>
                <w:spacing w:val="-3"/>
              </w:rPr>
              <w:t xml:space="preserve"> </w:t>
            </w:r>
            <w:r w:rsidRPr="001E0542">
              <w:rPr>
                <w:rFonts w:eastAsiaTheme="majorEastAsia"/>
                <w:color w:val="0D0D0D" w:themeColor="text1" w:themeTint="F2"/>
                <w:spacing w:val="-3"/>
              </w:rPr>
              <w:t xml:space="preserve">buildings, mainly thanks to Prague. In the case of dwellings started, their year-on-year growth is basically </w:t>
            </w:r>
            <w:r>
              <w:rPr>
                <w:rFonts w:eastAsiaTheme="majorEastAsia"/>
                <w:color w:val="0D0D0D" w:themeColor="text1" w:themeTint="F2"/>
                <w:spacing w:val="-3"/>
              </w:rPr>
              <w:t xml:space="preserve">broad based in </w:t>
            </w:r>
            <w:r w:rsidRPr="001E0542">
              <w:rPr>
                <w:rFonts w:eastAsiaTheme="majorEastAsia"/>
                <w:color w:val="0D0D0D" w:themeColor="text1" w:themeTint="F2"/>
                <w:spacing w:val="-3"/>
              </w:rPr>
              <w:t>nature</w:t>
            </w:r>
            <w:r w:rsidRPr="00043819">
              <w:rPr>
                <w:rFonts w:eastAsiaTheme="majorEastAsia"/>
                <w:color w:val="0D0D0D" w:themeColor="text1" w:themeTint="F2"/>
                <w:spacing w:val="-3"/>
              </w:rPr>
              <w:t>, both in terms of forms of construction (dwellings in residential buildings had the greatest pro-growth effect) and regions (here analogously “</w:t>
            </w:r>
            <w:proofErr w:type="spellStart"/>
            <w:r w:rsidRPr="00043819">
              <w:rPr>
                <w:rFonts w:eastAsiaTheme="majorEastAsia"/>
                <w:i/>
                <w:iCs/>
                <w:color w:val="0D0D0D" w:themeColor="text1" w:themeTint="F2"/>
                <w:spacing w:val="-3"/>
              </w:rPr>
              <w:t>Jihomoravský</w:t>
            </w:r>
            <w:proofErr w:type="spellEnd"/>
            <w:r w:rsidRPr="00043819">
              <w:rPr>
                <w:rFonts w:eastAsiaTheme="majorEastAsia"/>
                <w:color w:val="0D0D0D" w:themeColor="text1" w:themeTint="F2"/>
                <w:spacing w:val="-3"/>
              </w:rPr>
              <w:t xml:space="preserve"> region” and </w:t>
            </w:r>
            <w:r>
              <w:rPr>
                <w:rFonts w:eastAsiaTheme="majorEastAsia"/>
                <w:color w:val="0D0D0D" w:themeColor="text1" w:themeTint="F2"/>
                <w:spacing w:val="-3"/>
              </w:rPr>
              <w:t>“</w:t>
            </w:r>
            <w:proofErr w:type="spellStart"/>
            <w:r w:rsidRPr="001C1F96">
              <w:rPr>
                <w:rFonts w:eastAsiaTheme="majorEastAsia"/>
                <w:i/>
                <w:iCs/>
                <w:color w:val="0D0D0D" w:themeColor="text1" w:themeTint="F2"/>
                <w:spacing w:val="-3"/>
              </w:rPr>
              <w:t>Středočeský</w:t>
            </w:r>
            <w:proofErr w:type="spellEnd"/>
            <w:r w:rsidRPr="001C1F96">
              <w:rPr>
                <w:rFonts w:eastAsiaTheme="majorEastAsia"/>
                <w:i/>
                <w:iCs/>
                <w:color w:val="0D0D0D" w:themeColor="text1" w:themeTint="F2"/>
                <w:spacing w:val="-3"/>
              </w:rPr>
              <w:t xml:space="preserve"> region</w:t>
            </w:r>
            <w:r>
              <w:rPr>
                <w:rFonts w:eastAsiaTheme="majorEastAsia"/>
                <w:color w:val="0D0D0D" w:themeColor="text1" w:themeTint="F2"/>
                <w:spacing w:val="-3"/>
              </w:rPr>
              <w:t>”</w:t>
            </w:r>
            <w:r w:rsidRPr="00043819">
              <w:rPr>
                <w:rFonts w:eastAsiaTheme="majorEastAsia"/>
                <w:color w:val="0D0D0D" w:themeColor="text1" w:themeTint="F2"/>
                <w:spacing w:val="-3"/>
              </w:rPr>
              <w:t>, while construction declined only in three regions – including Prague</w:t>
            </w:r>
            <w:r w:rsidRPr="00043819">
              <w:rPr>
                <w:rStyle w:val="Znakapoznpodarou"/>
                <w:rFonts w:eastAsiaTheme="majorEastAsia"/>
                <w:color w:val="0D0D0D" w:themeColor="text1" w:themeTint="F2"/>
                <w:spacing w:val="-3"/>
              </w:rPr>
              <w:footnoteReference w:id="19"/>
            </w:r>
            <w:r w:rsidRPr="00043819">
              <w:rPr>
                <w:rFonts w:eastAsiaTheme="majorEastAsia"/>
                <w:color w:val="0D0D0D" w:themeColor="text1" w:themeTint="F2"/>
                <w:spacing w:val="-3"/>
              </w:rPr>
              <w:t>). The number of dwellings started in the Czech Republic is currently growing mainly due to the revival of demand after the</w:t>
            </w:r>
            <w:r w:rsidRPr="001E0542">
              <w:rPr>
                <w:rFonts w:eastAsiaTheme="majorEastAsia"/>
                <w:color w:val="0D0D0D" w:themeColor="text1" w:themeTint="F2"/>
                <w:spacing w:val="-3"/>
              </w:rPr>
              <w:t xml:space="preserve"> stabilisation of the mortgage market, the </w:t>
            </w:r>
            <w:r>
              <w:rPr>
                <w:rFonts w:eastAsiaTheme="majorEastAsia"/>
                <w:color w:val="0D0D0D" w:themeColor="text1" w:themeTint="F2"/>
                <w:spacing w:val="-3"/>
              </w:rPr>
              <w:lastRenderedPageBreak/>
              <w:t>launch</w:t>
            </w:r>
            <w:r w:rsidRPr="001E0542">
              <w:rPr>
                <w:rFonts w:eastAsiaTheme="majorEastAsia"/>
                <w:color w:val="0D0D0D" w:themeColor="text1" w:themeTint="F2"/>
                <w:spacing w:val="-3"/>
              </w:rPr>
              <w:t xml:space="preserve"> of postponed </w:t>
            </w:r>
            <w:r>
              <w:rPr>
                <w:rFonts w:eastAsiaTheme="majorEastAsia"/>
                <w:color w:val="0D0D0D" w:themeColor="text1" w:themeTint="F2"/>
                <w:spacing w:val="-3"/>
              </w:rPr>
              <w:t xml:space="preserve">real estate </w:t>
            </w:r>
            <w:r w:rsidRPr="001E0542">
              <w:rPr>
                <w:rFonts w:eastAsiaTheme="majorEastAsia"/>
                <w:color w:val="0D0D0D" w:themeColor="text1" w:themeTint="F2"/>
                <w:spacing w:val="-3"/>
              </w:rPr>
              <w:t>projects and efforts to cover the long-term housing deficit. On the other hand, the volume of completed construction reflects the d</w:t>
            </w:r>
            <w:r>
              <w:rPr>
                <w:rFonts w:eastAsiaTheme="majorEastAsia"/>
                <w:color w:val="0D0D0D" w:themeColor="text1" w:themeTint="F2"/>
                <w:spacing w:val="-3"/>
              </w:rPr>
              <w:t>ownturn of</w:t>
            </w:r>
            <w:r w:rsidRPr="001E0542">
              <w:rPr>
                <w:rFonts w:eastAsiaTheme="majorEastAsia"/>
                <w:color w:val="0D0D0D" w:themeColor="text1" w:themeTint="F2"/>
                <w:spacing w:val="-3"/>
              </w:rPr>
              <w:t xml:space="preserve"> construction </w:t>
            </w:r>
            <w:r>
              <w:rPr>
                <w:rFonts w:eastAsiaTheme="majorEastAsia"/>
                <w:color w:val="0D0D0D" w:themeColor="text1" w:themeTint="F2"/>
                <w:spacing w:val="-3"/>
              </w:rPr>
              <w:t>commencements</w:t>
            </w:r>
            <w:r w:rsidRPr="001E0542">
              <w:rPr>
                <w:rFonts w:eastAsiaTheme="majorEastAsia"/>
                <w:color w:val="0D0D0D" w:themeColor="text1" w:themeTint="F2"/>
                <w:spacing w:val="-3"/>
              </w:rPr>
              <w:t xml:space="preserve"> from the previous three years, exacerbated by the extension of the construction period due to the increase </w:t>
            </w:r>
            <w:r>
              <w:rPr>
                <w:rFonts w:eastAsiaTheme="majorEastAsia"/>
                <w:color w:val="0D0D0D" w:themeColor="text1" w:themeTint="F2"/>
                <w:spacing w:val="-3"/>
              </w:rPr>
              <w:t xml:space="preserve">of </w:t>
            </w:r>
            <w:r w:rsidRPr="001E0542">
              <w:rPr>
                <w:rFonts w:eastAsiaTheme="majorEastAsia"/>
                <w:color w:val="0D0D0D" w:themeColor="text1" w:themeTint="F2"/>
                <w:spacing w:val="-3"/>
              </w:rPr>
              <w:t xml:space="preserve">the cost of building materials, the </w:t>
            </w:r>
            <w:r>
              <w:rPr>
                <w:rFonts w:eastAsiaTheme="majorEastAsia"/>
                <w:color w:val="0D0D0D" w:themeColor="text1" w:themeTint="F2"/>
                <w:spacing w:val="-3"/>
              </w:rPr>
              <w:t xml:space="preserve">total </w:t>
            </w:r>
            <w:r w:rsidRPr="001E0542">
              <w:rPr>
                <w:rFonts w:eastAsiaTheme="majorEastAsia"/>
                <w:color w:val="0D0D0D" w:themeColor="text1" w:themeTint="F2"/>
                <w:spacing w:val="-3"/>
              </w:rPr>
              <w:t>high workload of construction companies and the complex process of construction proceedings.</w:t>
            </w:r>
            <w:r w:rsidRPr="00B131B0">
              <w:rPr>
                <w:b/>
                <w:bCs/>
              </w:rPr>
              <w:t xml:space="preserve"> </w:t>
            </w:r>
          </w:p>
        </w:tc>
      </w:tr>
      <w:tr w:rsidR="00927BC1" w:rsidRPr="00B131B0" w14:paraId="1B947AAC" w14:textId="77777777" w:rsidTr="00D60677">
        <w:trPr>
          <w:trHeight w:val="145"/>
        </w:trPr>
        <w:tc>
          <w:tcPr>
            <w:tcW w:w="1863" w:type="dxa"/>
            <w:tcMar>
              <w:left w:w="0" w:type="dxa"/>
            </w:tcMar>
          </w:tcPr>
          <w:p w14:paraId="10C23C91" w14:textId="77777777" w:rsidR="00927BC1" w:rsidRPr="00B131B0" w:rsidRDefault="00927BC1" w:rsidP="00D60677">
            <w:pPr>
              <w:pStyle w:val="Marginlie"/>
              <w:spacing w:after="240"/>
              <w:rPr>
                <w:color w:val="0D0D0D" w:themeColor="text1" w:themeTint="F2"/>
                <w:spacing w:val="0"/>
              </w:rPr>
            </w:pPr>
          </w:p>
        </w:tc>
        <w:tc>
          <w:tcPr>
            <w:tcW w:w="142" w:type="dxa"/>
            <w:tcMar>
              <w:left w:w="0" w:type="dxa"/>
            </w:tcMar>
          </w:tcPr>
          <w:p w14:paraId="069A3CC7"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661A5750" w14:textId="77777777" w:rsidR="00927BC1" w:rsidRPr="00B131B0" w:rsidRDefault="00927BC1" w:rsidP="00D60677">
            <w:pPr>
              <w:spacing w:after="40"/>
              <w:jc w:val="left"/>
              <w:rPr>
                <w:color w:val="0D0D0D" w:themeColor="text1" w:themeTint="F2"/>
              </w:rPr>
            </w:pPr>
            <w:r>
              <w:rPr>
                <w:b/>
                <w:color w:val="0D0D0D" w:themeColor="text1" w:themeTint="F2"/>
              </w:rPr>
              <w:t xml:space="preserve">Chart </w:t>
            </w:r>
            <w:r w:rsidRPr="00B131B0">
              <w:rPr>
                <w:b/>
                <w:color w:val="0D0D0D" w:themeColor="text1" w:themeTint="F2"/>
              </w:rPr>
              <w:t xml:space="preserve">7 </w:t>
            </w:r>
            <w:r>
              <w:rPr>
                <w:b/>
                <w:color w:val="0D0D0D" w:themeColor="text1" w:themeTint="F2"/>
              </w:rPr>
              <w:t>Decomposition of year-on-year change of construction output</w:t>
            </w:r>
            <w:r w:rsidRPr="00B131B0">
              <w:rPr>
                <w:b/>
                <w:color w:val="0D0D0D" w:themeColor="text1" w:themeTint="F2"/>
              </w:rPr>
              <w:t xml:space="preserve"> </w:t>
            </w:r>
            <w:r w:rsidRPr="00B131B0">
              <w:rPr>
                <w:bCs/>
                <w:color w:val="0D0D0D" w:themeColor="text1" w:themeTint="F2"/>
              </w:rPr>
              <w:t>(</w:t>
            </w:r>
            <w:r>
              <w:rPr>
                <w:bCs/>
                <w:color w:val="0D0D0D" w:themeColor="text1" w:themeTint="F2"/>
              </w:rPr>
              <w:t>contributions to growth</w:t>
            </w:r>
            <w:r w:rsidRPr="00B131B0">
              <w:rPr>
                <w:rFonts w:cs="Arial"/>
                <w:bCs/>
                <w:color w:val="000000"/>
                <w:szCs w:val="20"/>
              </w:rPr>
              <w:t>,</w:t>
            </w:r>
            <w:r>
              <w:rPr>
                <w:rFonts w:cs="Arial"/>
                <w:bCs/>
                <w:color w:val="000000"/>
                <w:szCs w:val="20"/>
              </w:rPr>
              <w:t xml:space="preserve"> in p. p.</w:t>
            </w:r>
            <w:r w:rsidRPr="00B131B0">
              <w:rPr>
                <w:rFonts w:cs="Arial"/>
                <w:bCs/>
                <w:color w:val="000000"/>
                <w:szCs w:val="20"/>
              </w:rPr>
              <w:t>)</w:t>
            </w:r>
            <w:r w:rsidRPr="00B131B0">
              <w:rPr>
                <w:b/>
                <w:color w:val="0D0D0D" w:themeColor="text1" w:themeTint="F2"/>
              </w:rPr>
              <w:t>,</w:t>
            </w:r>
            <w:r>
              <w:rPr>
                <w:b/>
                <w:color w:val="0D0D0D" w:themeColor="text1" w:themeTint="F2"/>
              </w:rPr>
              <w:t xml:space="preserve"> new construction orders </w:t>
            </w:r>
            <w:r w:rsidRPr="00B131B0">
              <w:rPr>
                <w:color w:val="0D0D0D" w:themeColor="text1" w:themeTint="F2"/>
              </w:rPr>
              <w:t>(nomin</w:t>
            </w:r>
            <w:r>
              <w:rPr>
                <w:color w:val="0D0D0D" w:themeColor="text1" w:themeTint="F2"/>
              </w:rPr>
              <w:t>al</w:t>
            </w:r>
            <w:r w:rsidRPr="00B131B0">
              <w:rPr>
                <w:color w:val="0D0D0D" w:themeColor="text1" w:themeTint="F2"/>
              </w:rPr>
              <w:t xml:space="preserve">, </w:t>
            </w:r>
            <w:r>
              <w:rPr>
                <w:color w:val="0D0D0D" w:themeColor="text1" w:themeTint="F2"/>
              </w:rPr>
              <w:t>year-on-year</w:t>
            </w:r>
            <w:r w:rsidRPr="00B131B0">
              <w:rPr>
                <w:color w:val="0D0D0D" w:themeColor="text1" w:themeTint="F2"/>
              </w:rPr>
              <w:t xml:space="preserve">, </w:t>
            </w:r>
            <w:r>
              <w:rPr>
                <w:color w:val="0D0D0D" w:themeColor="text1" w:themeTint="F2"/>
              </w:rPr>
              <w:t>in</w:t>
            </w:r>
            <w:r w:rsidRPr="00B131B0">
              <w:rPr>
                <w:color w:val="0D0D0D" w:themeColor="text1" w:themeTint="F2"/>
              </w:rPr>
              <w:t> %)</w:t>
            </w:r>
            <w:r>
              <w:rPr>
                <w:color w:val="0D0D0D" w:themeColor="text1" w:themeTint="F2"/>
              </w:rPr>
              <w:t>,</w:t>
            </w:r>
            <w:r>
              <w:rPr>
                <w:b/>
                <w:bCs/>
                <w:color w:val="0D0D0D" w:themeColor="text1" w:themeTint="F2"/>
              </w:rPr>
              <w:t xml:space="preserve"> balance of business confidence indicator in construction</w:t>
            </w:r>
            <w:r w:rsidRPr="00B131B0">
              <w:rPr>
                <w:color w:val="0D0D0D" w:themeColor="text1" w:themeTint="F2"/>
              </w:rPr>
              <w:t xml:space="preserve"> (</w:t>
            </w:r>
            <w:r>
              <w:rPr>
                <w:color w:val="0D0D0D" w:themeColor="text1" w:themeTint="F2"/>
              </w:rPr>
              <w:t>in</w:t>
            </w:r>
            <w:r w:rsidRPr="00B131B0">
              <w:rPr>
                <w:color w:val="0D0D0D" w:themeColor="text1" w:themeTint="F2"/>
              </w:rPr>
              <w:t> p. </w:t>
            </w:r>
            <w:r>
              <w:rPr>
                <w:color w:val="0D0D0D" w:themeColor="text1" w:themeTint="F2"/>
              </w:rPr>
              <w:t>p</w:t>
            </w:r>
            <w:r w:rsidRPr="00B131B0">
              <w:rPr>
                <w:color w:val="0D0D0D" w:themeColor="text1" w:themeTint="F2"/>
              </w:rPr>
              <w:t>.)</w:t>
            </w:r>
          </w:p>
        </w:tc>
      </w:tr>
      <w:tr w:rsidR="00927BC1" w:rsidRPr="00B131B0" w14:paraId="3E3BAB89" w14:textId="77777777" w:rsidTr="00D60677">
        <w:tblPrEx>
          <w:tblCellMar>
            <w:left w:w="70" w:type="dxa"/>
            <w:right w:w="70" w:type="dxa"/>
          </w:tblCellMar>
        </w:tblPrEx>
        <w:trPr>
          <w:trHeight w:val="145"/>
        </w:trPr>
        <w:tc>
          <w:tcPr>
            <w:tcW w:w="1863" w:type="dxa"/>
          </w:tcPr>
          <w:p w14:paraId="2A32CD76" w14:textId="77777777" w:rsidR="00927BC1" w:rsidRPr="00B131B0" w:rsidRDefault="00927BC1" w:rsidP="00D60677">
            <w:pPr>
              <w:pStyle w:val="Marginlie"/>
              <w:spacing w:after="240"/>
              <w:rPr>
                <w:color w:val="0D0D0D" w:themeColor="text1" w:themeTint="F2"/>
                <w:spacing w:val="0"/>
              </w:rPr>
            </w:pPr>
          </w:p>
        </w:tc>
        <w:tc>
          <w:tcPr>
            <w:tcW w:w="160" w:type="dxa"/>
            <w:gridSpan w:val="2"/>
          </w:tcPr>
          <w:p w14:paraId="7A00EB73" w14:textId="77777777" w:rsidR="00927BC1" w:rsidRPr="00B131B0" w:rsidRDefault="00927BC1" w:rsidP="00D60677">
            <w:pPr>
              <w:pStyle w:val="Textpoznpodarou"/>
              <w:spacing w:after="240"/>
              <w:jc w:val="both"/>
              <w:rPr>
                <w:color w:val="0D0D0D" w:themeColor="text1" w:themeTint="F2"/>
              </w:rPr>
            </w:pPr>
          </w:p>
        </w:tc>
        <w:tc>
          <w:tcPr>
            <w:tcW w:w="7635" w:type="dxa"/>
          </w:tcPr>
          <w:p w14:paraId="105594D7" w14:textId="77777777" w:rsidR="00927BC1" w:rsidRPr="00B131B0" w:rsidRDefault="00927BC1" w:rsidP="00D60677">
            <w:pPr>
              <w:spacing w:before="40" w:after="20"/>
              <w:rPr>
                <w:color w:val="0D0D0D" w:themeColor="text1" w:themeTint="F2"/>
              </w:rPr>
            </w:pPr>
            <w:r>
              <w:rPr>
                <w:noProof/>
              </w:rPr>
              <w:drawing>
                <wp:inline distT="0" distB="0" distL="0" distR="0" wp14:anchorId="0BA1E3B4" wp14:editId="5CA91BB3">
                  <wp:extent cx="4730567" cy="3576955"/>
                  <wp:effectExtent l="0" t="0" r="0" b="4445"/>
                  <wp:docPr id="954175485" name="Graf 1">
                    <a:extLst xmlns:a="http://schemas.openxmlformats.org/drawingml/2006/main">
                      <a:ext uri="{FF2B5EF4-FFF2-40B4-BE49-F238E27FC236}">
                        <a16:creationId xmlns:a16="http://schemas.microsoft.com/office/drawing/2014/main" id="{0A385E31-84EC-4D57-940D-F972DCFF61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927BC1" w:rsidRPr="00B131B0" w14:paraId="3C58B575" w14:textId="77777777" w:rsidTr="00D60677">
        <w:trPr>
          <w:trHeight w:val="145"/>
        </w:trPr>
        <w:tc>
          <w:tcPr>
            <w:tcW w:w="1863" w:type="dxa"/>
            <w:tcMar>
              <w:left w:w="0" w:type="dxa"/>
            </w:tcMar>
          </w:tcPr>
          <w:p w14:paraId="12307FCA" w14:textId="77777777" w:rsidR="00927BC1" w:rsidRPr="00B131B0" w:rsidRDefault="00927BC1" w:rsidP="00D60677">
            <w:pPr>
              <w:pStyle w:val="Marginlie"/>
              <w:spacing w:after="240"/>
              <w:rPr>
                <w:color w:val="0D0D0D" w:themeColor="text1" w:themeTint="F2"/>
                <w:spacing w:val="0"/>
              </w:rPr>
            </w:pPr>
          </w:p>
        </w:tc>
        <w:tc>
          <w:tcPr>
            <w:tcW w:w="142" w:type="dxa"/>
            <w:tcMar>
              <w:left w:w="0" w:type="dxa"/>
            </w:tcMar>
          </w:tcPr>
          <w:p w14:paraId="69A313C4"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303A2690" w14:textId="77777777" w:rsidR="00927BC1" w:rsidRPr="00995C95" w:rsidRDefault="00927BC1" w:rsidP="00D60677">
            <w:pPr>
              <w:spacing w:after="0" w:line="240" w:lineRule="auto"/>
              <w:jc w:val="left"/>
              <w:rPr>
                <w:rFonts w:cs="Arial"/>
                <w:sz w:val="14"/>
                <w:szCs w:val="14"/>
              </w:rPr>
            </w:pPr>
            <w:r w:rsidRPr="00995C95">
              <w:rPr>
                <w:rFonts w:cs="Arial"/>
                <w:sz w:val="14"/>
                <w:szCs w:val="14"/>
              </w:rPr>
              <w:t>Note: Data related to construction output are adjusted for calendar effects.</w:t>
            </w:r>
          </w:p>
          <w:p w14:paraId="41E62C6B" w14:textId="77777777" w:rsidR="00927BC1" w:rsidRDefault="00927BC1" w:rsidP="00D60677">
            <w:pPr>
              <w:pStyle w:val="Textpoznpodarou"/>
              <w:rPr>
                <w:rFonts w:cs="Arial"/>
                <w:sz w:val="14"/>
                <w:szCs w:val="14"/>
              </w:rPr>
            </w:pPr>
            <w:r w:rsidRPr="006D592D">
              <w:rPr>
                <w:rFonts w:cs="Arial"/>
                <w:sz w:val="14"/>
                <w:szCs w:val="14"/>
              </w:rPr>
              <w:t>Data on construction production are presented in real terms and adjusted for calendar effects. The balance of business confidence is seasonally adjusted and expresses the monthly average for the whole quarter, and for the last period the average for the first two months.</w:t>
            </w:r>
          </w:p>
          <w:p w14:paraId="3642D100" w14:textId="77777777" w:rsidR="00927BC1" w:rsidRPr="00D24CCB" w:rsidRDefault="00927BC1" w:rsidP="00D60677">
            <w:pPr>
              <w:spacing w:after="200"/>
              <w:jc w:val="left"/>
              <w:rPr>
                <w:color w:val="0D0D0D" w:themeColor="text1" w:themeTint="F2"/>
                <w:sz w:val="14"/>
                <w:szCs w:val="14"/>
              </w:rPr>
            </w:pPr>
            <w:r>
              <w:rPr>
                <w:color w:val="0D0D0D" w:themeColor="text1" w:themeTint="F2"/>
                <w:sz w:val="14"/>
                <w:szCs w:val="14"/>
              </w:rPr>
              <w:t>Source</w:t>
            </w:r>
            <w:r w:rsidRPr="00B131B0">
              <w:rPr>
                <w:color w:val="0D0D0D" w:themeColor="text1" w:themeTint="F2"/>
                <w:sz w:val="14"/>
                <w:szCs w:val="14"/>
              </w:rPr>
              <w:t xml:space="preserve">: </w:t>
            </w:r>
            <w:r>
              <w:rPr>
                <w:color w:val="0D0D0D" w:themeColor="text1" w:themeTint="F2"/>
                <w:sz w:val="14"/>
                <w:szCs w:val="14"/>
              </w:rPr>
              <w:t>CZSO</w:t>
            </w:r>
            <w:r w:rsidRPr="00B131B0">
              <w:rPr>
                <w:color w:val="0D0D0D" w:themeColor="text1" w:themeTint="F2"/>
                <w:sz w:val="14"/>
                <w:szCs w:val="14"/>
              </w:rPr>
              <w:t>, Eurostat</w:t>
            </w:r>
          </w:p>
        </w:tc>
      </w:tr>
      <w:tr w:rsidR="00927BC1" w:rsidRPr="00B131B0" w14:paraId="5E4038A4" w14:textId="77777777" w:rsidTr="00D60677">
        <w:trPr>
          <w:trHeight w:val="170"/>
        </w:trPr>
        <w:tc>
          <w:tcPr>
            <w:tcW w:w="1863" w:type="dxa"/>
            <w:tcMar>
              <w:left w:w="0" w:type="dxa"/>
            </w:tcMar>
          </w:tcPr>
          <w:p w14:paraId="323615C8" w14:textId="77777777" w:rsidR="00927BC1" w:rsidRPr="00B131B0" w:rsidRDefault="00927BC1" w:rsidP="00D60677">
            <w:pPr>
              <w:pStyle w:val="Marginlie"/>
              <w:rPr>
                <w:spacing w:val="0"/>
              </w:rPr>
            </w:pPr>
            <w:r w:rsidRPr="00485B5A">
              <w:rPr>
                <w:color w:val="0D0D0D" w:themeColor="text1" w:themeTint="F2"/>
                <w:spacing w:val="0"/>
              </w:rPr>
              <w:t xml:space="preserve">Year-on-year growth </w:t>
            </w:r>
            <w:r>
              <w:rPr>
                <w:color w:val="0D0D0D" w:themeColor="text1" w:themeTint="F2"/>
                <w:spacing w:val="0"/>
              </w:rPr>
              <w:t>of</w:t>
            </w:r>
            <w:r w:rsidRPr="00485B5A">
              <w:rPr>
                <w:color w:val="0D0D0D" w:themeColor="text1" w:themeTint="F2"/>
                <w:spacing w:val="0"/>
              </w:rPr>
              <w:t xml:space="preserve"> the value of new construction contracts resumed in Q2</w:t>
            </w:r>
            <w:r>
              <w:rPr>
                <w:color w:val="0D0D0D" w:themeColor="text1" w:themeTint="F2"/>
                <w:spacing w:val="0"/>
              </w:rPr>
              <w:t xml:space="preserve"> 2026</w:t>
            </w:r>
            <w:r w:rsidRPr="00485B5A">
              <w:rPr>
                <w:color w:val="0D0D0D" w:themeColor="text1" w:themeTint="F2"/>
                <w:spacing w:val="0"/>
              </w:rPr>
              <w:t>.</w:t>
            </w:r>
            <w:r w:rsidRPr="00B131B0">
              <w:rPr>
                <w:spacing w:val="0"/>
              </w:rPr>
              <w:t xml:space="preserve"> </w:t>
            </w:r>
          </w:p>
          <w:p w14:paraId="5FEE700C" w14:textId="77777777" w:rsidR="00927BC1" w:rsidRPr="00B131B0" w:rsidRDefault="00927BC1" w:rsidP="00D60677">
            <w:pPr>
              <w:pStyle w:val="Marginlie"/>
              <w:rPr>
                <w:color w:val="0D0D0D" w:themeColor="text1" w:themeTint="F2"/>
                <w:spacing w:val="0"/>
              </w:rPr>
            </w:pPr>
          </w:p>
          <w:p w14:paraId="594D66C2" w14:textId="77777777" w:rsidR="00927BC1" w:rsidRPr="00B131B0" w:rsidRDefault="00927BC1" w:rsidP="00D60677">
            <w:pPr>
              <w:pStyle w:val="Marginlie"/>
              <w:rPr>
                <w:color w:val="0D0D0D" w:themeColor="text1" w:themeTint="F2"/>
                <w:spacing w:val="0"/>
              </w:rPr>
            </w:pPr>
          </w:p>
          <w:p w14:paraId="096BF79F" w14:textId="77777777" w:rsidR="00927BC1" w:rsidRDefault="00927BC1" w:rsidP="00D60677">
            <w:pPr>
              <w:pStyle w:val="Marginlie"/>
              <w:rPr>
                <w:color w:val="0D0D0D" w:themeColor="text1" w:themeTint="F2"/>
                <w:spacing w:val="0"/>
              </w:rPr>
            </w:pPr>
          </w:p>
          <w:p w14:paraId="0E074BC2" w14:textId="77777777" w:rsidR="00927BC1" w:rsidRPr="00B131B0" w:rsidRDefault="00927BC1" w:rsidP="00D60677">
            <w:pPr>
              <w:pStyle w:val="Marginlie"/>
              <w:rPr>
                <w:color w:val="0D0D0D" w:themeColor="text1" w:themeTint="F2"/>
                <w:spacing w:val="0"/>
              </w:rPr>
            </w:pPr>
          </w:p>
          <w:p w14:paraId="48F1FF68" w14:textId="77777777" w:rsidR="00927BC1" w:rsidRPr="0081565E" w:rsidRDefault="00927BC1" w:rsidP="00D60677">
            <w:pPr>
              <w:pStyle w:val="Marginlie"/>
              <w:rPr>
                <w:lang w:val="en"/>
              </w:rPr>
            </w:pPr>
            <w:r w:rsidRPr="0081565E">
              <w:rPr>
                <w:lang w:val="en"/>
              </w:rPr>
              <w:t>The total supply of work of domestic construction companies was still high. Both public and private contracts in the Czech Republic participate in this.</w:t>
            </w:r>
          </w:p>
          <w:p w14:paraId="06E01FE3" w14:textId="77777777" w:rsidR="00927BC1" w:rsidRPr="00B131B0" w:rsidRDefault="00927BC1" w:rsidP="00D60677">
            <w:pPr>
              <w:pStyle w:val="Marginlie"/>
            </w:pPr>
          </w:p>
          <w:p w14:paraId="5F33F88B" w14:textId="77777777" w:rsidR="00927BC1" w:rsidRPr="00B131B0" w:rsidRDefault="00927BC1" w:rsidP="00D60677">
            <w:pPr>
              <w:pStyle w:val="Marginlie"/>
            </w:pPr>
          </w:p>
          <w:p w14:paraId="67D2C55C" w14:textId="77777777" w:rsidR="00927BC1" w:rsidRPr="00B131B0" w:rsidRDefault="00927BC1" w:rsidP="00D60677">
            <w:pPr>
              <w:pStyle w:val="Marginlie"/>
              <w:rPr>
                <w:rFonts w:cs="Arial"/>
                <w:color w:val="0D0D0D" w:themeColor="text1" w:themeTint="F2"/>
                <w:spacing w:val="0"/>
              </w:rPr>
            </w:pPr>
          </w:p>
        </w:tc>
        <w:tc>
          <w:tcPr>
            <w:tcW w:w="142" w:type="dxa"/>
            <w:tcMar>
              <w:left w:w="0" w:type="dxa"/>
            </w:tcMar>
          </w:tcPr>
          <w:p w14:paraId="1BEA4499" w14:textId="77777777" w:rsidR="00927BC1" w:rsidRPr="00B131B0" w:rsidRDefault="00927BC1" w:rsidP="00D60677">
            <w:pPr>
              <w:pStyle w:val="Textpoznpodarou"/>
              <w:jc w:val="both"/>
              <w:rPr>
                <w:color w:val="0D0D0D" w:themeColor="text1" w:themeTint="F2"/>
              </w:rPr>
            </w:pPr>
          </w:p>
        </w:tc>
        <w:tc>
          <w:tcPr>
            <w:tcW w:w="7653" w:type="dxa"/>
            <w:gridSpan w:val="2"/>
            <w:tcMar>
              <w:left w:w="0" w:type="dxa"/>
            </w:tcMar>
          </w:tcPr>
          <w:p w14:paraId="055663D3" w14:textId="77777777" w:rsidR="00927BC1" w:rsidRPr="00B131B0" w:rsidRDefault="00927BC1" w:rsidP="00D60677">
            <w:pPr>
              <w:spacing w:after="200"/>
              <w:rPr>
                <w:rFonts w:cs="Arial"/>
                <w:color w:val="0D0D0D" w:themeColor="text1" w:themeTint="F2"/>
                <w:spacing w:val="-4"/>
                <w:szCs w:val="20"/>
              </w:rPr>
            </w:pPr>
            <w:r w:rsidRPr="008241CD">
              <w:rPr>
                <w:rFonts w:eastAsiaTheme="majorEastAsia" w:cs="Arial"/>
                <w:color w:val="0D0D0D" w:themeColor="text1" w:themeTint="F2"/>
                <w:spacing w:val="-6"/>
                <w:szCs w:val="20"/>
                <w:lang w:val="en"/>
              </w:rPr>
              <w:t>The number of new construction contracts in the Czech Republic (concluded by companies with 50 or more employees) increased by 7.8%</w:t>
            </w:r>
            <w:r>
              <w:rPr>
                <w:rFonts w:eastAsiaTheme="majorEastAsia" w:cs="Arial"/>
                <w:color w:val="0D0D0D" w:themeColor="text1" w:themeTint="F2"/>
                <w:spacing w:val="-6"/>
                <w:szCs w:val="20"/>
                <w:lang w:val="en"/>
              </w:rPr>
              <w:t>,</w:t>
            </w:r>
            <w:r w:rsidRPr="008241CD">
              <w:rPr>
                <w:rFonts w:eastAsiaTheme="majorEastAsia" w:cs="Arial"/>
                <w:color w:val="0D0D0D" w:themeColor="text1" w:themeTint="F2"/>
                <w:spacing w:val="-6"/>
                <w:szCs w:val="20"/>
                <w:lang w:val="en"/>
              </w:rPr>
              <w:t xml:space="preserve"> year-on-year in Q2 2026 (and returned to growth after a six-month pause). The recovery was largely a reflection of the high expected demand for building construction (+16.8%), while it </w:t>
            </w:r>
            <w:r>
              <w:rPr>
                <w:rFonts w:eastAsiaTheme="majorEastAsia" w:cs="Arial"/>
                <w:color w:val="0D0D0D" w:themeColor="text1" w:themeTint="F2"/>
                <w:spacing w:val="-6"/>
                <w:szCs w:val="20"/>
                <w:lang w:val="en"/>
              </w:rPr>
              <w:t xml:space="preserve">represented </w:t>
            </w:r>
            <w:r w:rsidRPr="008241CD">
              <w:rPr>
                <w:rFonts w:eastAsiaTheme="majorEastAsia" w:cs="Arial"/>
                <w:color w:val="0D0D0D" w:themeColor="text1" w:themeTint="F2"/>
                <w:spacing w:val="-6"/>
                <w:szCs w:val="20"/>
                <w:lang w:val="en"/>
              </w:rPr>
              <w:t xml:space="preserve">rather </w:t>
            </w:r>
            <w:r>
              <w:rPr>
                <w:rFonts w:eastAsiaTheme="majorEastAsia" w:cs="Arial"/>
                <w:color w:val="0D0D0D" w:themeColor="text1" w:themeTint="F2"/>
                <w:spacing w:val="-6"/>
                <w:szCs w:val="20"/>
                <w:lang w:val="en"/>
              </w:rPr>
              <w:t xml:space="preserve">a </w:t>
            </w:r>
            <w:r w:rsidRPr="008241CD">
              <w:rPr>
                <w:rFonts w:eastAsiaTheme="majorEastAsia" w:cs="Arial"/>
                <w:color w:val="0D0D0D" w:themeColor="text1" w:themeTint="F2"/>
                <w:spacing w:val="-6"/>
                <w:szCs w:val="20"/>
                <w:lang w:val="en"/>
              </w:rPr>
              <w:t xml:space="preserve">stagnation in </w:t>
            </w:r>
            <w:r>
              <w:rPr>
                <w:rFonts w:eastAsiaTheme="majorEastAsia" w:cs="Arial"/>
                <w:color w:val="0D0D0D" w:themeColor="text1" w:themeTint="F2"/>
                <w:spacing w:val="-6"/>
                <w:szCs w:val="20"/>
                <w:lang w:val="en"/>
              </w:rPr>
              <w:t xml:space="preserve">civil </w:t>
            </w:r>
            <w:r w:rsidRPr="008241CD">
              <w:rPr>
                <w:rFonts w:eastAsiaTheme="majorEastAsia" w:cs="Arial"/>
                <w:color w:val="0D0D0D" w:themeColor="text1" w:themeTint="F2"/>
                <w:spacing w:val="-6"/>
                <w:szCs w:val="20"/>
                <w:lang w:val="en"/>
              </w:rPr>
              <w:t xml:space="preserve">engineering at last year's high level (+1.9%). Despite shorter-term partial fluctuations in the volume of orders, it is still </w:t>
            </w:r>
            <w:r>
              <w:rPr>
                <w:rFonts w:eastAsiaTheme="majorEastAsia" w:cs="Arial"/>
                <w:color w:val="0D0D0D" w:themeColor="text1" w:themeTint="F2"/>
                <w:spacing w:val="-6"/>
                <w:szCs w:val="20"/>
                <w:lang w:val="en"/>
              </w:rPr>
              <w:t xml:space="preserve">valid </w:t>
            </w:r>
            <w:r w:rsidRPr="008241CD">
              <w:rPr>
                <w:rFonts w:eastAsiaTheme="majorEastAsia" w:cs="Arial"/>
                <w:color w:val="0D0D0D" w:themeColor="text1" w:themeTint="F2"/>
                <w:spacing w:val="-6"/>
                <w:szCs w:val="20"/>
                <w:lang w:val="en"/>
              </w:rPr>
              <w:t xml:space="preserve">that domestic construction companies have been relatively busy in the long term. The total </w:t>
            </w:r>
            <w:r>
              <w:rPr>
                <w:rFonts w:eastAsiaTheme="majorEastAsia" w:cs="Arial"/>
                <w:color w:val="0D0D0D" w:themeColor="text1" w:themeTint="F2"/>
                <w:spacing w:val="-6"/>
                <w:szCs w:val="20"/>
                <w:lang w:val="en"/>
              </w:rPr>
              <w:t xml:space="preserve">stock of work </w:t>
            </w:r>
            <w:r w:rsidRPr="008241CD">
              <w:rPr>
                <w:rFonts w:eastAsiaTheme="majorEastAsia" w:cs="Arial"/>
                <w:color w:val="0D0D0D" w:themeColor="text1" w:themeTint="F2"/>
                <w:spacing w:val="-6"/>
                <w:szCs w:val="20"/>
                <w:lang w:val="en"/>
              </w:rPr>
              <w:t xml:space="preserve">(in the form of the value of all </w:t>
            </w:r>
            <w:r>
              <w:rPr>
                <w:rFonts w:eastAsiaTheme="majorEastAsia" w:cs="Arial"/>
                <w:color w:val="0D0D0D" w:themeColor="text1" w:themeTint="F2"/>
                <w:spacing w:val="-6"/>
                <w:szCs w:val="20"/>
                <w:lang w:val="en"/>
              </w:rPr>
              <w:t xml:space="preserve">not yet realized </w:t>
            </w:r>
            <w:r w:rsidRPr="008241CD">
              <w:rPr>
                <w:rFonts w:eastAsiaTheme="majorEastAsia" w:cs="Arial"/>
                <w:color w:val="0D0D0D" w:themeColor="text1" w:themeTint="F2"/>
                <w:spacing w:val="-6"/>
                <w:szCs w:val="20"/>
                <w:lang w:val="en"/>
              </w:rPr>
              <w:t xml:space="preserve">orders </w:t>
            </w:r>
            <w:r>
              <w:rPr>
                <w:rFonts w:eastAsiaTheme="majorEastAsia" w:cs="Arial"/>
                <w:color w:val="0D0D0D" w:themeColor="text1" w:themeTint="F2"/>
                <w:spacing w:val="-6"/>
                <w:szCs w:val="20"/>
                <w:lang w:val="en"/>
              </w:rPr>
              <w:t xml:space="preserve">both </w:t>
            </w:r>
            <w:r w:rsidRPr="008241CD">
              <w:rPr>
                <w:rFonts w:eastAsiaTheme="majorEastAsia" w:cs="Arial"/>
                <w:color w:val="0D0D0D" w:themeColor="text1" w:themeTint="F2"/>
                <w:spacing w:val="-6"/>
                <w:szCs w:val="20"/>
                <w:lang w:val="en"/>
              </w:rPr>
              <w:t>in the Czech Republic and abroad) was 20.7% higher</w:t>
            </w:r>
            <w:r>
              <w:rPr>
                <w:rFonts w:eastAsiaTheme="majorEastAsia" w:cs="Arial"/>
                <w:color w:val="0D0D0D" w:themeColor="text1" w:themeTint="F2"/>
                <w:spacing w:val="-6"/>
                <w:szCs w:val="20"/>
                <w:lang w:val="en"/>
              </w:rPr>
              <w:t>,</w:t>
            </w:r>
            <w:r w:rsidRPr="008241CD">
              <w:rPr>
                <w:rFonts w:eastAsiaTheme="majorEastAsia" w:cs="Arial"/>
                <w:color w:val="0D0D0D" w:themeColor="text1" w:themeTint="F2"/>
                <w:spacing w:val="-6"/>
                <w:szCs w:val="20"/>
                <w:lang w:val="en"/>
              </w:rPr>
              <w:t xml:space="preserve"> year-on-year</w:t>
            </w:r>
            <w:r>
              <w:rPr>
                <w:rFonts w:eastAsiaTheme="majorEastAsia" w:cs="Arial"/>
                <w:color w:val="0D0D0D" w:themeColor="text1" w:themeTint="F2"/>
                <w:spacing w:val="-6"/>
                <w:szCs w:val="20"/>
                <w:lang w:val="en"/>
              </w:rPr>
              <w:t>,</w:t>
            </w:r>
            <w:r w:rsidRPr="008241CD">
              <w:rPr>
                <w:rFonts w:eastAsiaTheme="majorEastAsia" w:cs="Arial"/>
                <w:color w:val="0D0D0D" w:themeColor="text1" w:themeTint="F2"/>
                <w:spacing w:val="-6"/>
                <w:szCs w:val="20"/>
                <w:lang w:val="en"/>
              </w:rPr>
              <w:t xml:space="preserve"> at the end of June this year (and grew at a similarly brisk pace for the ninth quarter in a row). On the positive side, in addition to the dominant group of domestic public contracts (+20.9%), private domestic contracts (+23.8%)</w:t>
            </w:r>
            <w:r w:rsidRPr="00B131B0">
              <w:rPr>
                <w:rStyle w:val="Znakapoznpodarou"/>
                <w:rFonts w:eastAsiaTheme="majorEastAsia"/>
                <w:color w:val="0D0D0D" w:themeColor="text1" w:themeTint="F2"/>
                <w:spacing w:val="-3"/>
                <w:szCs w:val="20"/>
              </w:rPr>
              <w:footnoteReference w:id="20"/>
            </w:r>
            <w:r w:rsidRPr="008241CD">
              <w:rPr>
                <w:rFonts w:eastAsiaTheme="majorEastAsia" w:cs="Arial"/>
                <w:color w:val="0D0D0D" w:themeColor="text1" w:themeTint="F2"/>
                <w:spacing w:val="-6"/>
                <w:szCs w:val="20"/>
                <w:lang w:val="en"/>
              </w:rPr>
              <w:t xml:space="preserve"> are currently </w:t>
            </w:r>
            <w:r>
              <w:rPr>
                <w:rFonts w:eastAsiaTheme="majorEastAsia" w:cs="Arial"/>
                <w:color w:val="0D0D0D" w:themeColor="text1" w:themeTint="F2"/>
                <w:spacing w:val="-6"/>
                <w:szCs w:val="20"/>
                <w:lang w:val="en"/>
              </w:rPr>
              <w:t xml:space="preserve">also </w:t>
            </w:r>
            <w:r w:rsidRPr="008241CD">
              <w:rPr>
                <w:rFonts w:eastAsiaTheme="majorEastAsia" w:cs="Arial"/>
                <w:color w:val="0D0D0D" w:themeColor="text1" w:themeTint="F2"/>
                <w:spacing w:val="-6"/>
                <w:szCs w:val="20"/>
                <w:lang w:val="en"/>
              </w:rPr>
              <w:t>contributing to growth. According to another leading indicator, the prospects for the construction sector remain relatively favorable. The floor area for new construction of buildings for which building permits were issued from January to June this year increased by almost a third</w:t>
            </w:r>
            <w:r w:rsidRPr="00B131B0">
              <w:rPr>
                <w:rStyle w:val="Znakapoznpodarou"/>
                <w:rFonts w:eastAsiaTheme="majorEastAsia"/>
                <w:color w:val="0D0D0D" w:themeColor="text1" w:themeTint="F2"/>
                <w:spacing w:val="-2"/>
              </w:rPr>
              <w:footnoteReference w:id="21"/>
            </w:r>
            <w:r>
              <w:rPr>
                <w:rFonts w:eastAsiaTheme="majorEastAsia" w:cs="Arial"/>
                <w:color w:val="0D0D0D" w:themeColor="text1" w:themeTint="F2"/>
                <w:spacing w:val="-6"/>
                <w:szCs w:val="20"/>
                <w:lang w:val="en"/>
              </w:rPr>
              <w:t>, year-on-year</w:t>
            </w:r>
            <w:r w:rsidRPr="008241CD">
              <w:rPr>
                <w:rFonts w:eastAsiaTheme="majorEastAsia" w:cs="Arial"/>
                <w:color w:val="0D0D0D" w:themeColor="text1" w:themeTint="F2"/>
                <w:spacing w:val="-6"/>
                <w:szCs w:val="20"/>
                <w:lang w:val="en"/>
              </w:rPr>
              <w:t xml:space="preserve">, of which for residential buildings by 54% </w:t>
            </w:r>
            <w:r w:rsidRPr="008241CD">
              <w:rPr>
                <w:rFonts w:eastAsiaTheme="majorEastAsia" w:cs="Arial"/>
                <w:color w:val="0D0D0D" w:themeColor="text1" w:themeTint="F2"/>
                <w:spacing w:val="-6"/>
                <w:szCs w:val="20"/>
                <w:lang w:val="en"/>
              </w:rPr>
              <w:lastRenderedPageBreak/>
              <w:t xml:space="preserve">and for non-residential buildings </w:t>
            </w:r>
            <w:r>
              <w:rPr>
                <w:rFonts w:eastAsiaTheme="majorEastAsia" w:cs="Arial"/>
                <w:color w:val="0D0D0D" w:themeColor="text1" w:themeTint="F2"/>
                <w:spacing w:val="-6"/>
                <w:szCs w:val="20"/>
                <w:lang w:val="en"/>
              </w:rPr>
              <w:t xml:space="preserve">then </w:t>
            </w:r>
            <w:r w:rsidRPr="008241CD">
              <w:rPr>
                <w:rFonts w:eastAsiaTheme="majorEastAsia" w:cs="Arial"/>
                <w:color w:val="0D0D0D" w:themeColor="text1" w:themeTint="F2"/>
                <w:spacing w:val="-6"/>
                <w:szCs w:val="20"/>
                <w:lang w:val="en"/>
              </w:rPr>
              <w:t>by 10%. For most of last year, this area decreased in both categories.</w:t>
            </w:r>
            <w:r>
              <w:rPr>
                <w:rFonts w:eastAsiaTheme="majorEastAsia" w:cs="Arial"/>
                <w:color w:val="0D0D0D" w:themeColor="text1" w:themeTint="F2"/>
                <w:spacing w:val="-6"/>
                <w:szCs w:val="20"/>
                <w:lang w:val="en"/>
              </w:rPr>
              <w:t xml:space="preserve"> </w:t>
            </w:r>
          </w:p>
        </w:tc>
      </w:tr>
      <w:tr w:rsidR="00927BC1" w:rsidRPr="00B131B0" w14:paraId="5CE31F2B" w14:textId="77777777" w:rsidTr="00D60677">
        <w:trPr>
          <w:trHeight w:val="170"/>
        </w:trPr>
        <w:tc>
          <w:tcPr>
            <w:tcW w:w="1863" w:type="dxa"/>
            <w:tcMar>
              <w:left w:w="0" w:type="dxa"/>
            </w:tcMar>
          </w:tcPr>
          <w:p w14:paraId="60C9E51C" w14:textId="77777777" w:rsidR="00927BC1" w:rsidRPr="00B131B0" w:rsidRDefault="00927BC1" w:rsidP="00D60677">
            <w:pPr>
              <w:pStyle w:val="Marginlie"/>
              <w:rPr>
                <w:rFonts w:cs="Arial"/>
                <w:color w:val="0D0D0D" w:themeColor="text1" w:themeTint="F2"/>
                <w:spacing w:val="0"/>
              </w:rPr>
            </w:pPr>
            <w:r w:rsidRPr="0077762A">
              <w:rPr>
                <w:rFonts w:cs="Arial"/>
                <w:color w:val="0D0D0D" w:themeColor="text1" w:themeTint="F2"/>
                <w:spacing w:val="0"/>
              </w:rPr>
              <w:lastRenderedPageBreak/>
              <w:t>The balance of confidence in construction remained in a slightly negative band. Expectations of higher production were also reflected in employment growth.</w:t>
            </w:r>
            <w:r w:rsidRPr="00B131B0">
              <w:rPr>
                <w:rFonts w:cs="Arial"/>
                <w:color w:val="0D0D0D" w:themeColor="text1" w:themeTint="F2"/>
                <w:spacing w:val="0"/>
              </w:rPr>
              <w:t xml:space="preserve"> </w:t>
            </w:r>
          </w:p>
          <w:p w14:paraId="3C6754D7" w14:textId="77777777" w:rsidR="00927BC1" w:rsidRPr="00B131B0" w:rsidRDefault="00927BC1" w:rsidP="00D60677">
            <w:pPr>
              <w:pStyle w:val="Marginlie"/>
              <w:rPr>
                <w:rFonts w:cs="Arial"/>
                <w:color w:val="0D0D0D" w:themeColor="text1" w:themeTint="F2"/>
                <w:spacing w:val="0"/>
              </w:rPr>
            </w:pPr>
          </w:p>
          <w:p w14:paraId="632E84A2" w14:textId="77777777" w:rsidR="00927BC1" w:rsidRPr="00B131B0" w:rsidRDefault="00927BC1" w:rsidP="00D60677">
            <w:pPr>
              <w:pStyle w:val="Marginlie"/>
              <w:rPr>
                <w:rFonts w:cs="Arial"/>
                <w:color w:val="0D0D0D" w:themeColor="text1" w:themeTint="F2"/>
                <w:spacing w:val="0"/>
              </w:rPr>
            </w:pPr>
          </w:p>
          <w:p w14:paraId="0AA33477" w14:textId="77777777" w:rsidR="00927BC1" w:rsidRPr="00B131B0" w:rsidRDefault="00927BC1" w:rsidP="00D60677">
            <w:pPr>
              <w:pStyle w:val="Marginlie"/>
              <w:rPr>
                <w:rFonts w:cs="Arial"/>
                <w:color w:val="0D0D0D" w:themeColor="text1" w:themeTint="F2"/>
                <w:spacing w:val="0"/>
              </w:rPr>
            </w:pPr>
          </w:p>
          <w:p w14:paraId="32206524" w14:textId="77777777" w:rsidR="00927BC1" w:rsidRPr="00B131B0" w:rsidRDefault="00927BC1" w:rsidP="00D60677">
            <w:pPr>
              <w:pStyle w:val="Marginlie"/>
              <w:rPr>
                <w:rFonts w:cs="Arial"/>
                <w:color w:val="0D0D0D" w:themeColor="text1" w:themeTint="F2"/>
                <w:spacing w:val="0"/>
              </w:rPr>
            </w:pPr>
          </w:p>
          <w:p w14:paraId="1FD4DA7D" w14:textId="77777777" w:rsidR="00927BC1" w:rsidRPr="00B131B0" w:rsidRDefault="00927BC1" w:rsidP="00D60677">
            <w:pPr>
              <w:pStyle w:val="Marginlie"/>
              <w:rPr>
                <w:rFonts w:cs="Arial"/>
                <w:color w:val="0D0D0D" w:themeColor="text1" w:themeTint="F2"/>
                <w:spacing w:val="0"/>
              </w:rPr>
            </w:pPr>
            <w:r w:rsidRPr="00E914EF">
              <w:rPr>
                <w:rFonts w:cs="Arial"/>
                <w:color w:val="0D0D0D" w:themeColor="text1" w:themeTint="F2"/>
                <w:spacing w:val="0"/>
              </w:rPr>
              <w:t xml:space="preserve">The main growth barrier remains the </w:t>
            </w:r>
            <w:r>
              <w:rPr>
                <w:rFonts w:cs="Arial"/>
                <w:color w:val="0D0D0D" w:themeColor="text1" w:themeTint="F2"/>
                <w:spacing w:val="0"/>
              </w:rPr>
              <w:t>shortage of labour force</w:t>
            </w:r>
            <w:r w:rsidRPr="00E914EF">
              <w:rPr>
                <w:rFonts w:cs="Arial"/>
                <w:color w:val="0D0D0D" w:themeColor="text1" w:themeTint="F2"/>
                <w:spacing w:val="0"/>
              </w:rPr>
              <w:t>, and the role of other influences in relation to the conflict in the Middle East is growing.</w:t>
            </w:r>
            <w:r>
              <w:rPr>
                <w:rFonts w:cs="Arial"/>
                <w:color w:val="0D0D0D" w:themeColor="text1" w:themeTint="F2"/>
                <w:spacing w:val="0"/>
              </w:rPr>
              <w:t xml:space="preserve"> </w:t>
            </w:r>
          </w:p>
          <w:p w14:paraId="43CEC108" w14:textId="77777777" w:rsidR="00927BC1" w:rsidRPr="00B131B0" w:rsidRDefault="00927BC1" w:rsidP="00D60677">
            <w:pPr>
              <w:pStyle w:val="Marginlie"/>
              <w:rPr>
                <w:color w:val="0D0D0D" w:themeColor="text1" w:themeTint="F2"/>
                <w:spacing w:val="0"/>
              </w:rPr>
            </w:pPr>
          </w:p>
        </w:tc>
        <w:tc>
          <w:tcPr>
            <w:tcW w:w="142" w:type="dxa"/>
            <w:tcMar>
              <w:left w:w="0" w:type="dxa"/>
            </w:tcMar>
          </w:tcPr>
          <w:p w14:paraId="6DD01EA7" w14:textId="77777777" w:rsidR="00927BC1" w:rsidRPr="00B131B0" w:rsidRDefault="00927BC1" w:rsidP="00D60677">
            <w:pPr>
              <w:pStyle w:val="Textpoznpodarou"/>
              <w:jc w:val="both"/>
              <w:rPr>
                <w:color w:val="0D0D0D" w:themeColor="text1" w:themeTint="F2"/>
              </w:rPr>
            </w:pPr>
          </w:p>
        </w:tc>
        <w:tc>
          <w:tcPr>
            <w:tcW w:w="7653" w:type="dxa"/>
            <w:gridSpan w:val="2"/>
            <w:tcMar>
              <w:left w:w="0" w:type="dxa"/>
            </w:tcMar>
          </w:tcPr>
          <w:p w14:paraId="6434E932" w14:textId="77777777" w:rsidR="00927BC1" w:rsidRPr="00B131B0" w:rsidRDefault="00927BC1" w:rsidP="00D60677">
            <w:pPr>
              <w:spacing w:after="200"/>
              <w:rPr>
                <w:rStyle w:val="normaltextrun"/>
                <w:rFonts w:eastAsia="MS Gothic"/>
                <w:color w:val="0D0D0D" w:themeColor="text1" w:themeTint="F2"/>
              </w:rPr>
            </w:pPr>
            <w:r>
              <w:rPr>
                <w:rFonts w:cs="Arial"/>
                <w:color w:val="0D0D0D" w:themeColor="text1" w:themeTint="F2"/>
                <w:spacing w:val="-4"/>
                <w:szCs w:val="20"/>
              </w:rPr>
              <w:t xml:space="preserve">Business </w:t>
            </w:r>
            <w:r w:rsidRPr="00BF403B">
              <w:rPr>
                <w:rFonts w:cs="Arial"/>
                <w:color w:val="0D0D0D" w:themeColor="text1" w:themeTint="F2"/>
                <w:spacing w:val="-4"/>
                <w:szCs w:val="20"/>
              </w:rPr>
              <w:t xml:space="preserve">confidence in the construction sector has fluctuated slightly since the end of last year without a sign of a clear trend. </w:t>
            </w:r>
            <w:r>
              <w:rPr>
                <w:rFonts w:cs="Arial"/>
                <w:color w:val="0D0D0D" w:themeColor="text1" w:themeTint="F2"/>
                <w:spacing w:val="-4"/>
                <w:szCs w:val="20"/>
              </w:rPr>
              <w:t>I</w:t>
            </w:r>
            <w:r w:rsidRPr="00BF403B">
              <w:rPr>
                <w:rFonts w:cs="Arial"/>
                <w:color w:val="0D0D0D" w:themeColor="text1" w:themeTint="F2"/>
                <w:spacing w:val="-4"/>
                <w:szCs w:val="20"/>
              </w:rPr>
              <w:t>t was in a slightly negative range</w:t>
            </w:r>
            <w:r>
              <w:rPr>
                <w:rFonts w:cs="Arial"/>
                <w:color w:val="0D0D0D" w:themeColor="text1" w:themeTint="F2"/>
                <w:spacing w:val="-4"/>
                <w:szCs w:val="20"/>
              </w:rPr>
              <w:t xml:space="preserve"> i</w:t>
            </w:r>
            <w:r w:rsidRPr="00BF403B">
              <w:rPr>
                <w:rFonts w:cs="Arial"/>
                <w:color w:val="0D0D0D" w:themeColor="text1" w:themeTint="F2"/>
                <w:spacing w:val="-4"/>
                <w:szCs w:val="20"/>
              </w:rPr>
              <w:t>n August this year</w:t>
            </w:r>
            <w:r>
              <w:rPr>
                <w:rFonts w:cs="Arial"/>
                <w:color w:val="0D0D0D" w:themeColor="text1" w:themeTint="F2"/>
                <w:spacing w:val="-4"/>
                <w:szCs w:val="20"/>
              </w:rPr>
              <w:t xml:space="preserve"> </w:t>
            </w:r>
            <w:r w:rsidRPr="00BF403B">
              <w:rPr>
                <w:rFonts w:cs="Arial"/>
                <w:color w:val="0D0D0D" w:themeColor="text1" w:themeTint="F2"/>
                <w:spacing w:val="-4"/>
                <w:szCs w:val="20"/>
              </w:rPr>
              <w:t>(balance: -5 points) but compared to the long-term average (the period 2003 to 2025) it was significantly more favourable (+13%). Slightly positive expectations of the nearest development of construction activity (with a view to this autumn months) were reflected in the recruitment plans</w:t>
            </w:r>
            <w:r w:rsidRPr="00B131B0">
              <w:rPr>
                <w:rStyle w:val="Znakapoznpodarou"/>
                <w:rFonts w:eastAsia="MS Gothic" w:cs="Arial"/>
                <w:color w:val="0D0D0D" w:themeColor="text1" w:themeTint="F2"/>
                <w:spacing w:val="-4"/>
                <w:szCs w:val="20"/>
              </w:rPr>
              <w:footnoteReference w:id="22"/>
            </w:r>
            <w:r w:rsidRPr="00BF403B">
              <w:rPr>
                <w:rFonts w:cs="Arial"/>
                <w:color w:val="0D0D0D" w:themeColor="text1" w:themeTint="F2"/>
                <w:spacing w:val="-4"/>
                <w:szCs w:val="20"/>
              </w:rPr>
              <w:t>. A third of companies have currently assessed their financial situation favourably (only 3% unfavourably), and one in six companies expects an improvement in the six-month outlook (only one in twenty will deteriorate). However, almost a quarter of companies still perceive the current demand unfavourably.</w:t>
            </w:r>
            <w:r>
              <w:rPr>
                <w:rFonts w:cs="Arial"/>
                <w:color w:val="0D0D0D" w:themeColor="text1" w:themeTint="F2"/>
                <w:spacing w:val="-4"/>
                <w:szCs w:val="20"/>
              </w:rPr>
              <w:t xml:space="preserve"> </w:t>
            </w:r>
            <w:r w:rsidRPr="00BF403B">
              <w:rPr>
                <w:rFonts w:cs="Arial"/>
                <w:color w:val="0D0D0D" w:themeColor="text1" w:themeTint="F2"/>
                <w:spacing w:val="-4"/>
                <w:szCs w:val="20"/>
              </w:rPr>
              <w:t xml:space="preserve">The performance of the entire sector is limited by chronic growth barriers. In fact, for more than seven years in a row, the most significant </w:t>
            </w:r>
            <w:r>
              <w:rPr>
                <w:rFonts w:cs="Arial"/>
                <w:color w:val="0D0D0D" w:themeColor="text1" w:themeTint="F2"/>
                <w:spacing w:val="-4"/>
                <w:szCs w:val="20"/>
              </w:rPr>
              <w:t xml:space="preserve">barrier </w:t>
            </w:r>
            <w:r w:rsidRPr="00BF403B">
              <w:rPr>
                <w:rFonts w:cs="Arial"/>
                <w:color w:val="0D0D0D" w:themeColor="text1" w:themeTint="F2"/>
                <w:spacing w:val="-4"/>
                <w:szCs w:val="20"/>
              </w:rPr>
              <w:t xml:space="preserve">has been the shortage of (especially qualified) employees. </w:t>
            </w:r>
            <w:r>
              <w:rPr>
                <w:rFonts w:cs="Arial"/>
                <w:color w:val="0D0D0D" w:themeColor="text1" w:themeTint="F2"/>
                <w:spacing w:val="-4"/>
                <w:szCs w:val="20"/>
              </w:rPr>
              <w:t>A</w:t>
            </w:r>
            <w:r w:rsidRPr="00BF403B">
              <w:rPr>
                <w:rFonts w:cs="Arial"/>
                <w:color w:val="0D0D0D" w:themeColor="text1" w:themeTint="F2"/>
                <w:spacing w:val="-4"/>
                <w:szCs w:val="20"/>
              </w:rPr>
              <w:t>round 41% of firms cited it as one of the barriers</w:t>
            </w:r>
            <w:r>
              <w:rPr>
                <w:rFonts w:cs="Arial"/>
                <w:color w:val="0D0D0D" w:themeColor="text1" w:themeTint="F2"/>
                <w:spacing w:val="-4"/>
                <w:szCs w:val="20"/>
              </w:rPr>
              <w:t xml:space="preserve"> in July</w:t>
            </w:r>
            <w:r w:rsidRPr="00BF403B">
              <w:rPr>
                <w:rFonts w:cs="Arial"/>
                <w:color w:val="0D0D0D" w:themeColor="text1" w:themeTint="F2"/>
                <w:spacing w:val="-4"/>
                <w:szCs w:val="20"/>
              </w:rPr>
              <w:t xml:space="preserve"> (down 6 p</w:t>
            </w:r>
            <w:r>
              <w:rPr>
                <w:rFonts w:cs="Arial"/>
                <w:color w:val="0D0D0D" w:themeColor="text1" w:themeTint="F2"/>
                <w:spacing w:val="-4"/>
                <w:szCs w:val="20"/>
              </w:rPr>
              <w:t>. p., year-o</w:t>
            </w:r>
            <w:r w:rsidRPr="00BF403B">
              <w:rPr>
                <w:rFonts w:cs="Arial"/>
                <w:color w:val="0D0D0D" w:themeColor="text1" w:themeTint="F2"/>
                <w:spacing w:val="-4"/>
                <w:szCs w:val="20"/>
              </w:rPr>
              <w:t>n-year). Insufficient demand plagued 30% of firms</w:t>
            </w:r>
            <w:r w:rsidRPr="00B131B0">
              <w:rPr>
                <w:rStyle w:val="Znakapoznpodarou"/>
                <w:rFonts w:eastAsia="MS Gothic" w:cs="Arial"/>
                <w:color w:val="0D0D0D" w:themeColor="text1" w:themeTint="F2"/>
                <w:spacing w:val="-4"/>
                <w:szCs w:val="20"/>
              </w:rPr>
              <w:footnoteReference w:id="23"/>
            </w:r>
            <w:r w:rsidRPr="00BF403B">
              <w:rPr>
                <w:rFonts w:cs="Arial"/>
                <w:color w:val="0D0D0D" w:themeColor="text1" w:themeTint="F2"/>
                <w:spacing w:val="-4"/>
                <w:szCs w:val="20"/>
              </w:rPr>
              <w:t>, and this share also decreased slightly</w:t>
            </w:r>
            <w:r>
              <w:rPr>
                <w:rFonts w:cs="Arial"/>
                <w:color w:val="0D0D0D" w:themeColor="text1" w:themeTint="F2"/>
                <w:spacing w:val="-4"/>
                <w:szCs w:val="20"/>
              </w:rPr>
              <w:t>,</w:t>
            </w:r>
            <w:r w:rsidRPr="00BF403B">
              <w:rPr>
                <w:rFonts w:cs="Arial"/>
                <w:color w:val="0D0D0D" w:themeColor="text1" w:themeTint="F2"/>
                <w:spacing w:val="-4"/>
                <w:szCs w:val="20"/>
              </w:rPr>
              <w:t xml:space="preserve"> year-on-year. During the spring, the number of respondents citing other barriers increased significantly (up to 20% of all firms). These are mainly related to the current geopolitical situation leading to sharply rising input prices. </w:t>
            </w:r>
            <w:r w:rsidRPr="00B35F2C">
              <w:rPr>
                <w:rFonts w:cs="Arial"/>
                <w:color w:val="0D0D0D" w:themeColor="text1" w:themeTint="F2"/>
                <w:spacing w:val="-4"/>
                <w:szCs w:val="20"/>
              </w:rPr>
              <w:t xml:space="preserve">Shortages of materials or equipment do not pose a significant barrier to the construction sector this year (or for most of last year), but inflation risks stemming from the expected growth </w:t>
            </w:r>
            <w:r>
              <w:rPr>
                <w:rFonts w:cs="Arial"/>
                <w:color w:val="0D0D0D" w:themeColor="text1" w:themeTint="F2"/>
                <w:spacing w:val="-4"/>
                <w:szCs w:val="20"/>
              </w:rPr>
              <w:t>of</w:t>
            </w:r>
            <w:r w:rsidRPr="00B35F2C">
              <w:rPr>
                <w:rFonts w:cs="Arial"/>
                <w:color w:val="0D0D0D" w:themeColor="text1" w:themeTint="F2"/>
                <w:spacing w:val="-4"/>
                <w:szCs w:val="20"/>
              </w:rPr>
              <w:t xml:space="preserve"> construction production prices remain elevated</w:t>
            </w:r>
            <w:r w:rsidRPr="00B131B0">
              <w:rPr>
                <w:rStyle w:val="Znakapoznpodarou"/>
                <w:rFonts w:eastAsia="MS Gothic"/>
                <w:spacing w:val="-4"/>
                <w:szCs w:val="20"/>
              </w:rPr>
              <w:footnoteReference w:id="24"/>
            </w:r>
            <w:r w:rsidRPr="00B35F2C">
              <w:rPr>
                <w:rFonts w:cs="Arial"/>
                <w:color w:val="0D0D0D" w:themeColor="text1" w:themeTint="F2"/>
                <w:spacing w:val="-4"/>
                <w:szCs w:val="20"/>
              </w:rPr>
              <w:t>.</w:t>
            </w:r>
            <w:r w:rsidRPr="00B131B0">
              <w:rPr>
                <w:rFonts w:eastAsia="MS Gothic"/>
                <w:spacing w:val="-4"/>
                <w:szCs w:val="20"/>
              </w:rPr>
              <w:t xml:space="preserve"> </w:t>
            </w:r>
          </w:p>
        </w:tc>
      </w:tr>
      <w:tr w:rsidR="00927BC1" w:rsidRPr="00B131B0" w14:paraId="0F028DCE" w14:textId="77777777" w:rsidTr="00D60677">
        <w:trPr>
          <w:trHeight w:val="170"/>
        </w:trPr>
        <w:tc>
          <w:tcPr>
            <w:tcW w:w="9658" w:type="dxa"/>
            <w:gridSpan w:val="4"/>
            <w:tcMar>
              <w:left w:w="0" w:type="dxa"/>
            </w:tcMar>
          </w:tcPr>
          <w:p w14:paraId="102FA611" w14:textId="77777777" w:rsidR="00927BC1" w:rsidRPr="00B131B0" w:rsidRDefault="00927BC1" w:rsidP="00D60677">
            <w:pPr>
              <w:pStyle w:val="Nadpis3"/>
              <w:rPr>
                <w:rStyle w:val="normaltextrun"/>
                <w:rFonts w:eastAsiaTheme="majorEastAsia"/>
                <w:color w:val="0D0D0D" w:themeColor="text1" w:themeTint="F2"/>
                <w:spacing w:val="-2"/>
                <w:lang w:val="en-GB"/>
              </w:rPr>
            </w:pPr>
            <w:bookmarkStart w:id="7" w:name="_Toc242958686"/>
            <w:r w:rsidRPr="00B131B0">
              <w:rPr>
                <w:lang w:val="en-GB" w:eastAsia="en-US"/>
              </w:rPr>
              <w:t>3.3 S</w:t>
            </w:r>
            <w:r>
              <w:rPr>
                <w:lang w:val="en-GB" w:eastAsia="en-US"/>
              </w:rPr>
              <w:t>ervices, Tourism and Retail</w:t>
            </w:r>
            <w:bookmarkEnd w:id="7"/>
          </w:p>
        </w:tc>
      </w:tr>
      <w:tr w:rsidR="00927BC1" w:rsidRPr="00B131B0" w14:paraId="5054AC50" w14:textId="77777777" w:rsidTr="00D60677">
        <w:trPr>
          <w:trHeight w:val="170"/>
        </w:trPr>
        <w:tc>
          <w:tcPr>
            <w:tcW w:w="1863" w:type="dxa"/>
            <w:tcMar>
              <w:left w:w="0" w:type="dxa"/>
            </w:tcMar>
          </w:tcPr>
          <w:p w14:paraId="7006D114" w14:textId="77777777" w:rsidR="00927BC1" w:rsidRPr="006E6852" w:rsidRDefault="00927BC1" w:rsidP="00D60677">
            <w:pPr>
              <w:pStyle w:val="Marginlie"/>
              <w:rPr>
                <w:color w:val="0D0D0D" w:themeColor="text1" w:themeTint="F2"/>
                <w:lang w:val="cs-CZ"/>
              </w:rPr>
            </w:pPr>
            <w:r w:rsidRPr="00F83FCE">
              <w:rPr>
                <w:color w:val="0D0D0D" w:themeColor="text1" w:themeTint="F2"/>
                <w:spacing w:val="0"/>
              </w:rPr>
              <w:t xml:space="preserve">The development of services continued to be supported by higher demand from households and </w:t>
            </w:r>
            <w:r w:rsidRPr="006E6852">
              <w:rPr>
                <w:color w:val="0D0D0D" w:themeColor="text1" w:themeTint="F2"/>
                <w:lang w:val="en"/>
              </w:rPr>
              <w:t>businesses</w:t>
            </w:r>
            <w:r>
              <w:rPr>
                <w:color w:val="0D0D0D" w:themeColor="text1" w:themeTint="F2"/>
                <w:lang w:val="en"/>
              </w:rPr>
              <w:t>.</w:t>
            </w:r>
          </w:p>
          <w:p w14:paraId="508FE3C7" w14:textId="77777777" w:rsidR="00927BC1" w:rsidRPr="00B131B0" w:rsidRDefault="00927BC1" w:rsidP="00D60677">
            <w:pPr>
              <w:pStyle w:val="Marginlie"/>
              <w:rPr>
                <w:color w:val="0D0D0D" w:themeColor="text1" w:themeTint="F2"/>
                <w:spacing w:val="0"/>
              </w:rPr>
            </w:pPr>
          </w:p>
        </w:tc>
        <w:tc>
          <w:tcPr>
            <w:tcW w:w="142" w:type="dxa"/>
            <w:tcMar>
              <w:left w:w="0" w:type="dxa"/>
            </w:tcMar>
          </w:tcPr>
          <w:p w14:paraId="3B221858" w14:textId="77777777" w:rsidR="00927BC1" w:rsidRPr="00B131B0" w:rsidRDefault="00927BC1" w:rsidP="00D60677">
            <w:pPr>
              <w:pStyle w:val="Textpoznpodarou"/>
              <w:jc w:val="both"/>
              <w:rPr>
                <w:color w:val="0D0D0D" w:themeColor="text1" w:themeTint="F2"/>
              </w:rPr>
            </w:pPr>
          </w:p>
        </w:tc>
        <w:tc>
          <w:tcPr>
            <w:tcW w:w="7653" w:type="dxa"/>
            <w:gridSpan w:val="2"/>
            <w:tcMar>
              <w:left w:w="0" w:type="dxa"/>
            </w:tcMar>
          </w:tcPr>
          <w:p w14:paraId="260CB3A6" w14:textId="77777777" w:rsidR="00927BC1" w:rsidRPr="00B131B0" w:rsidRDefault="00927BC1" w:rsidP="00D60677">
            <w:pPr>
              <w:spacing w:after="200"/>
              <w:rPr>
                <w:rStyle w:val="normaltextrun"/>
                <w:rFonts w:cs="Arial"/>
                <w:color w:val="0D0D0D" w:themeColor="text1" w:themeTint="F2"/>
                <w:spacing w:val="-4"/>
              </w:rPr>
            </w:pPr>
            <w:r w:rsidRPr="00C16A6F">
              <w:rPr>
                <w:rFonts w:eastAsiaTheme="majorEastAsia"/>
                <w:color w:val="0D0D0D" w:themeColor="text1" w:themeTint="F2"/>
                <w:spacing w:val="-4"/>
              </w:rPr>
              <w:t xml:space="preserve">The development of services also continued at the beginning of this year. The improving financial condition of households was reflected in the continued growth </w:t>
            </w:r>
            <w:r>
              <w:rPr>
                <w:rFonts w:eastAsiaTheme="majorEastAsia"/>
                <w:color w:val="0D0D0D" w:themeColor="text1" w:themeTint="F2"/>
                <w:spacing w:val="-4"/>
              </w:rPr>
              <w:t>of</w:t>
            </w:r>
            <w:r w:rsidRPr="00C16A6F">
              <w:rPr>
                <w:rFonts w:eastAsiaTheme="majorEastAsia"/>
                <w:color w:val="0D0D0D" w:themeColor="text1" w:themeTint="F2"/>
                <w:spacing w:val="-4"/>
              </w:rPr>
              <w:t xml:space="preserve"> their cons</w:t>
            </w:r>
            <w:r>
              <w:rPr>
                <w:rFonts w:eastAsiaTheme="majorEastAsia"/>
                <w:color w:val="0D0D0D" w:themeColor="text1" w:themeTint="F2"/>
                <w:spacing w:val="-4"/>
              </w:rPr>
              <w:t>umption expenditure</w:t>
            </w:r>
            <w:r w:rsidRPr="00C16A6F">
              <w:rPr>
                <w:rFonts w:eastAsiaTheme="majorEastAsia"/>
                <w:color w:val="0D0D0D" w:themeColor="text1" w:themeTint="F2"/>
                <w:spacing w:val="-4"/>
              </w:rPr>
              <w:t>. Increasing corporate demand, especially for advanced services requiring the work of specialists, also played an important role. Slight quarter-on-quarter growth</w:t>
            </w:r>
            <w:r>
              <w:rPr>
                <w:rFonts w:eastAsiaTheme="majorEastAsia"/>
                <w:color w:val="0D0D0D" w:themeColor="text1" w:themeTint="F2"/>
                <w:spacing w:val="-4"/>
              </w:rPr>
              <w:t xml:space="preserve"> of</w:t>
            </w:r>
            <w:r w:rsidRPr="00C16A6F">
              <w:rPr>
                <w:rFonts w:eastAsiaTheme="majorEastAsia"/>
                <w:color w:val="0D0D0D" w:themeColor="text1" w:themeTint="F2"/>
                <w:spacing w:val="-4"/>
              </w:rPr>
              <w:t xml:space="preserve"> sales in services</w:t>
            </w:r>
            <w:r w:rsidRPr="00B131B0">
              <w:rPr>
                <w:color w:val="0D0D0D" w:themeColor="text1" w:themeTint="F2"/>
                <w:spacing w:val="-4"/>
                <w:vertAlign w:val="superscript"/>
              </w:rPr>
              <w:footnoteReference w:id="25"/>
            </w:r>
            <w:r w:rsidRPr="00C16A6F">
              <w:rPr>
                <w:rFonts w:eastAsiaTheme="majorEastAsia"/>
                <w:color w:val="0D0D0D" w:themeColor="text1" w:themeTint="F2"/>
                <w:spacing w:val="-4"/>
              </w:rPr>
              <w:t xml:space="preserve"> therefore continued.</w:t>
            </w:r>
            <w:r>
              <w:rPr>
                <w:rFonts w:eastAsiaTheme="majorEastAsia"/>
                <w:color w:val="0D0D0D" w:themeColor="text1" w:themeTint="F2"/>
                <w:spacing w:val="-4"/>
              </w:rPr>
              <w:t xml:space="preserve"> It </w:t>
            </w:r>
            <w:r w:rsidRPr="00C16A6F">
              <w:rPr>
                <w:rFonts w:eastAsiaTheme="majorEastAsia"/>
                <w:color w:val="0D0D0D" w:themeColor="text1" w:themeTint="F2"/>
                <w:spacing w:val="-4"/>
              </w:rPr>
              <w:t>reached 0.9% each</w:t>
            </w:r>
            <w:r>
              <w:rPr>
                <w:rFonts w:eastAsiaTheme="majorEastAsia"/>
                <w:color w:val="0D0D0D" w:themeColor="text1" w:themeTint="F2"/>
                <w:spacing w:val="-4"/>
              </w:rPr>
              <w:t xml:space="preserve"> in Q1 and Q2 2026. </w:t>
            </w:r>
            <w:r w:rsidRPr="00C16A6F">
              <w:rPr>
                <w:rFonts w:eastAsiaTheme="majorEastAsia"/>
                <w:color w:val="0D0D0D" w:themeColor="text1" w:themeTint="F2"/>
                <w:spacing w:val="-4"/>
              </w:rPr>
              <w:t xml:space="preserve">In both cases, transport and warehousing proved to be key here, benefiting from a recovery in </w:t>
            </w:r>
            <w:r>
              <w:rPr>
                <w:rFonts w:eastAsiaTheme="majorEastAsia"/>
                <w:color w:val="0D0D0D" w:themeColor="text1" w:themeTint="F2"/>
                <w:spacing w:val="-4"/>
              </w:rPr>
              <w:t xml:space="preserve">international </w:t>
            </w:r>
            <w:r w:rsidRPr="00C16A6F">
              <w:rPr>
                <w:rFonts w:eastAsiaTheme="majorEastAsia"/>
                <w:color w:val="0D0D0D" w:themeColor="text1" w:themeTint="F2"/>
                <w:spacing w:val="-4"/>
              </w:rPr>
              <w:t xml:space="preserve">trade </w:t>
            </w:r>
            <w:r>
              <w:rPr>
                <w:rFonts w:eastAsiaTheme="majorEastAsia"/>
                <w:color w:val="0D0D0D" w:themeColor="text1" w:themeTint="F2"/>
                <w:spacing w:val="-4"/>
              </w:rPr>
              <w:t>with</w:t>
            </w:r>
            <w:r w:rsidRPr="00C16A6F">
              <w:rPr>
                <w:rFonts w:eastAsiaTheme="majorEastAsia"/>
                <w:color w:val="0D0D0D" w:themeColor="text1" w:themeTint="F2"/>
                <w:spacing w:val="-4"/>
              </w:rPr>
              <w:t xml:space="preserve"> goods related to more favourable industrial developments. In Q2, the effect of frontloading may also have materialised, through which domestic industrial enterprises tried to mitigate the effects of the conflict in the Middle East on prices or the availability of some important inputs to production.</w:t>
            </w:r>
            <w:r>
              <w:rPr>
                <w:rFonts w:eastAsiaTheme="majorEastAsia"/>
                <w:color w:val="0D0D0D" w:themeColor="text1" w:themeTint="F2"/>
                <w:spacing w:val="-4"/>
              </w:rPr>
              <w:t xml:space="preserve"> </w:t>
            </w:r>
            <w:r w:rsidRPr="00B131B0">
              <w:rPr>
                <w:rFonts w:cs="Arial"/>
                <w:spacing w:val="-4"/>
              </w:rPr>
              <w:t xml:space="preserve"> </w:t>
            </w:r>
            <w:r w:rsidRPr="00B131B0">
              <w:rPr>
                <w:rFonts w:cs="Arial"/>
                <w:color w:val="0D0D0D" w:themeColor="text1" w:themeTint="F2"/>
                <w:spacing w:val="-4"/>
              </w:rPr>
              <w:t xml:space="preserve"> </w:t>
            </w:r>
          </w:p>
        </w:tc>
      </w:tr>
      <w:tr w:rsidR="00927BC1" w:rsidRPr="00B131B0" w14:paraId="4BB20053" w14:textId="77777777" w:rsidTr="00D60677">
        <w:trPr>
          <w:trHeight w:val="170"/>
        </w:trPr>
        <w:tc>
          <w:tcPr>
            <w:tcW w:w="1863" w:type="dxa"/>
            <w:tcMar>
              <w:left w:w="0" w:type="dxa"/>
            </w:tcMar>
          </w:tcPr>
          <w:p w14:paraId="5B635E11" w14:textId="77777777" w:rsidR="00927BC1" w:rsidRPr="00B131B0" w:rsidRDefault="00927BC1" w:rsidP="00D60677">
            <w:pPr>
              <w:pStyle w:val="Marginlie"/>
              <w:rPr>
                <w:color w:val="0D0D0D" w:themeColor="text1" w:themeTint="F2"/>
                <w:spacing w:val="0"/>
              </w:rPr>
            </w:pPr>
            <w:r w:rsidRPr="002D2069">
              <w:rPr>
                <w:color w:val="0D0D0D" w:themeColor="text1" w:themeTint="F2"/>
              </w:rPr>
              <w:t xml:space="preserve">The most advanced business services contributed to the year-on-year growth </w:t>
            </w:r>
            <w:r>
              <w:rPr>
                <w:color w:val="0D0D0D" w:themeColor="text1" w:themeTint="F2"/>
              </w:rPr>
              <w:t>of</w:t>
            </w:r>
            <w:r w:rsidRPr="002D2069">
              <w:rPr>
                <w:color w:val="0D0D0D" w:themeColor="text1" w:themeTint="F2"/>
              </w:rPr>
              <w:t xml:space="preserve"> sales in services, driven mainly by higher demand for architectural and engineering activities.</w:t>
            </w:r>
            <w:r w:rsidRPr="00B131B0">
              <w:rPr>
                <w:color w:val="0D0D0D" w:themeColor="text1" w:themeTint="F2"/>
              </w:rPr>
              <w:t xml:space="preserve"> </w:t>
            </w:r>
          </w:p>
        </w:tc>
        <w:tc>
          <w:tcPr>
            <w:tcW w:w="142" w:type="dxa"/>
            <w:tcMar>
              <w:left w:w="0" w:type="dxa"/>
            </w:tcMar>
          </w:tcPr>
          <w:p w14:paraId="0E1C8653" w14:textId="77777777" w:rsidR="00927BC1" w:rsidRPr="00B131B0" w:rsidRDefault="00927BC1" w:rsidP="00D60677">
            <w:pPr>
              <w:pStyle w:val="Textpoznpodarou"/>
              <w:jc w:val="both"/>
              <w:rPr>
                <w:color w:val="0D0D0D" w:themeColor="text1" w:themeTint="F2"/>
              </w:rPr>
            </w:pPr>
          </w:p>
        </w:tc>
        <w:tc>
          <w:tcPr>
            <w:tcW w:w="7653" w:type="dxa"/>
            <w:gridSpan w:val="2"/>
            <w:tcMar>
              <w:left w:w="0" w:type="dxa"/>
            </w:tcMar>
          </w:tcPr>
          <w:p w14:paraId="7759D0F3" w14:textId="77777777" w:rsidR="00927BC1" w:rsidRPr="00B131B0" w:rsidRDefault="00927BC1" w:rsidP="00D60677">
            <w:pPr>
              <w:spacing w:after="200"/>
              <w:rPr>
                <w:rStyle w:val="normaltextrun"/>
                <w:color w:val="0D0D0D" w:themeColor="text1" w:themeTint="F2"/>
                <w:spacing w:val="-2"/>
              </w:rPr>
            </w:pPr>
            <w:r w:rsidRPr="00F25D36">
              <w:rPr>
                <w:color w:val="0D0D0D" w:themeColor="text1" w:themeTint="F2"/>
                <w:spacing w:val="-2"/>
              </w:rPr>
              <w:t>Sales in services increased by 2.6%</w:t>
            </w:r>
            <w:r>
              <w:rPr>
                <w:color w:val="0D0D0D" w:themeColor="text1" w:themeTint="F2"/>
                <w:spacing w:val="-2"/>
              </w:rPr>
              <w:t>,</w:t>
            </w:r>
            <w:r w:rsidRPr="00F25D36">
              <w:rPr>
                <w:color w:val="0D0D0D" w:themeColor="text1" w:themeTint="F2"/>
                <w:spacing w:val="-2"/>
              </w:rPr>
              <w:t xml:space="preserve"> year-on-year</w:t>
            </w:r>
            <w:r>
              <w:rPr>
                <w:color w:val="0D0D0D" w:themeColor="text1" w:themeTint="F2"/>
                <w:spacing w:val="-2"/>
              </w:rPr>
              <w:t xml:space="preserve">, </w:t>
            </w:r>
            <w:r w:rsidRPr="00F25D36">
              <w:rPr>
                <w:color w:val="0D0D0D" w:themeColor="text1" w:themeTint="F2"/>
                <w:spacing w:val="-2"/>
              </w:rPr>
              <w:t xml:space="preserve">in </w:t>
            </w:r>
            <w:r>
              <w:rPr>
                <w:color w:val="0D0D0D" w:themeColor="text1" w:themeTint="F2"/>
                <w:spacing w:val="-2"/>
              </w:rPr>
              <w:t>H</w:t>
            </w:r>
            <w:r w:rsidRPr="00F25D36">
              <w:rPr>
                <w:color w:val="0D0D0D" w:themeColor="text1" w:themeTint="F2"/>
                <w:spacing w:val="-2"/>
              </w:rPr>
              <w:t>1</w:t>
            </w:r>
            <w:r>
              <w:rPr>
                <w:color w:val="0D0D0D" w:themeColor="text1" w:themeTint="F2"/>
                <w:spacing w:val="-2"/>
              </w:rPr>
              <w:t xml:space="preserve"> </w:t>
            </w:r>
            <w:r w:rsidRPr="00F25D36">
              <w:rPr>
                <w:color w:val="0D0D0D" w:themeColor="text1" w:themeTint="F2"/>
                <w:spacing w:val="-2"/>
              </w:rPr>
              <w:t>2026 (similar to the same period last year) and have been growing continuously since the beginning of 2024. As in the previous year, professional, scientific and technical activities contributed the most (+1.4 p.</w:t>
            </w:r>
            <w:r>
              <w:rPr>
                <w:color w:val="0D0D0D" w:themeColor="text1" w:themeTint="F2"/>
                <w:spacing w:val="-2"/>
              </w:rPr>
              <w:t xml:space="preserve"> </w:t>
            </w:r>
            <w:r w:rsidRPr="00F25D36">
              <w:rPr>
                <w:color w:val="0D0D0D" w:themeColor="text1" w:themeTint="F2"/>
                <w:spacing w:val="-2"/>
              </w:rPr>
              <w:t>p., with a growth of 6.1%</w:t>
            </w:r>
            <w:r w:rsidRPr="00B131B0">
              <w:rPr>
                <w:rStyle w:val="Znakapoznpodarou"/>
                <w:color w:val="0D0D0D" w:themeColor="text1" w:themeTint="F2"/>
                <w:spacing w:val="-2"/>
              </w:rPr>
              <w:footnoteReference w:id="26"/>
            </w:r>
            <w:r w:rsidRPr="00F25D36">
              <w:rPr>
                <w:color w:val="0D0D0D" w:themeColor="text1" w:themeTint="F2"/>
                <w:spacing w:val="-2"/>
              </w:rPr>
              <w:t xml:space="preserve"> in this </w:t>
            </w:r>
            <w:r>
              <w:rPr>
                <w:color w:val="0D0D0D" w:themeColor="text1" w:themeTint="F2"/>
                <w:spacing w:val="-2"/>
              </w:rPr>
              <w:t>branch</w:t>
            </w:r>
            <w:r w:rsidRPr="00F25D36">
              <w:rPr>
                <w:color w:val="0D0D0D" w:themeColor="text1" w:themeTint="F2"/>
                <w:spacing w:val="-2"/>
              </w:rPr>
              <w:t xml:space="preserve">), where, in addition to advertising and market research (−1.2%), all sub-sectors were clearly </w:t>
            </w:r>
            <w:r>
              <w:rPr>
                <w:color w:val="0D0D0D" w:themeColor="text1" w:themeTint="F2"/>
                <w:spacing w:val="-2"/>
              </w:rPr>
              <w:t>thriving</w:t>
            </w:r>
            <w:r w:rsidRPr="00F25D36">
              <w:rPr>
                <w:color w:val="0D0D0D" w:themeColor="text1" w:themeTint="F2"/>
                <w:spacing w:val="-2"/>
              </w:rPr>
              <w:t xml:space="preserve">. Sales increased the most in </w:t>
            </w:r>
            <w:r w:rsidRPr="00066A92">
              <w:rPr>
                <w:color w:val="0D0D0D" w:themeColor="text1" w:themeTint="F2"/>
                <w:spacing w:val="-2"/>
              </w:rPr>
              <w:t>activities of head offices and management consulting activities</w:t>
            </w:r>
            <w:r>
              <w:rPr>
                <w:color w:val="0D0D0D" w:themeColor="text1" w:themeTint="F2"/>
                <w:spacing w:val="-2"/>
              </w:rPr>
              <w:t xml:space="preserve"> </w:t>
            </w:r>
            <w:r w:rsidRPr="00F25D36">
              <w:rPr>
                <w:color w:val="0D0D0D" w:themeColor="text1" w:themeTint="F2"/>
                <w:spacing w:val="-2"/>
              </w:rPr>
              <w:t xml:space="preserve">(+10.6%). However, the growing demand for architectural and engineering activities, supported by the rapidly developing construction industry, was of the greatest importance for the development of the </w:t>
            </w:r>
            <w:r>
              <w:rPr>
                <w:color w:val="0D0D0D" w:themeColor="text1" w:themeTint="F2"/>
                <w:spacing w:val="-2"/>
              </w:rPr>
              <w:t>total branch</w:t>
            </w:r>
            <w:r w:rsidRPr="00F25D36">
              <w:rPr>
                <w:color w:val="0D0D0D" w:themeColor="text1" w:themeTint="F2"/>
                <w:spacing w:val="-2"/>
              </w:rPr>
              <w:t xml:space="preserve">. Growth </w:t>
            </w:r>
            <w:r>
              <w:rPr>
                <w:color w:val="0D0D0D" w:themeColor="text1" w:themeTint="F2"/>
                <w:spacing w:val="-2"/>
              </w:rPr>
              <w:t>of</w:t>
            </w:r>
            <w:r w:rsidRPr="00F25D36">
              <w:rPr>
                <w:color w:val="0D0D0D" w:themeColor="text1" w:themeTint="F2"/>
                <w:spacing w:val="-2"/>
              </w:rPr>
              <w:t xml:space="preserve"> sales in legal and accounting activities also accelerated (to </w:t>
            </w:r>
            <w:r w:rsidRPr="00F25D36">
              <w:rPr>
                <w:color w:val="0D0D0D" w:themeColor="text1" w:themeTint="F2"/>
                <w:spacing w:val="-2"/>
              </w:rPr>
              <w:lastRenderedPageBreak/>
              <w:t>7.8%). Slightly weaker but stable growth persisted in the diversified field of other professional, scientific and technical activities</w:t>
            </w:r>
            <w:r w:rsidRPr="00B131B0">
              <w:rPr>
                <w:rStyle w:val="Znakapoznpodarou"/>
                <w:color w:val="0D0D0D" w:themeColor="text1" w:themeTint="F2"/>
                <w:spacing w:val="-2"/>
              </w:rPr>
              <w:footnoteReference w:id="27"/>
            </w:r>
            <w:r w:rsidRPr="00F25D36">
              <w:rPr>
                <w:color w:val="0D0D0D" w:themeColor="text1" w:themeTint="F2"/>
                <w:spacing w:val="-2"/>
              </w:rPr>
              <w:t>.</w:t>
            </w:r>
            <w:r w:rsidRPr="00B131B0">
              <w:rPr>
                <w:rFonts w:cs="Arial"/>
                <w:color w:val="0D0D0D" w:themeColor="text1" w:themeTint="F2"/>
                <w:spacing w:val="-2"/>
                <w:szCs w:val="20"/>
              </w:rPr>
              <w:t xml:space="preserve"> </w:t>
            </w:r>
          </w:p>
        </w:tc>
      </w:tr>
      <w:tr w:rsidR="00927BC1" w:rsidRPr="00B131B0" w14:paraId="2597391A" w14:textId="77777777" w:rsidTr="00D60677">
        <w:trPr>
          <w:trHeight w:val="170"/>
        </w:trPr>
        <w:tc>
          <w:tcPr>
            <w:tcW w:w="1863" w:type="dxa"/>
            <w:tcMar>
              <w:left w:w="0" w:type="dxa"/>
            </w:tcMar>
          </w:tcPr>
          <w:p w14:paraId="06C34859" w14:textId="77777777" w:rsidR="00927BC1" w:rsidRPr="00B131B0" w:rsidRDefault="00927BC1" w:rsidP="00D60677">
            <w:pPr>
              <w:pStyle w:val="Marginlie"/>
              <w:rPr>
                <w:color w:val="0D0D0D" w:themeColor="text1" w:themeTint="F2"/>
                <w:spacing w:val="0"/>
              </w:rPr>
            </w:pPr>
            <w:r>
              <w:rPr>
                <w:color w:val="0D0D0D" w:themeColor="text1" w:themeTint="F2"/>
                <w:spacing w:val="0"/>
              </w:rPr>
              <w:lastRenderedPageBreak/>
              <w:t>D</w:t>
            </w:r>
            <w:r w:rsidRPr="00C253E5">
              <w:rPr>
                <w:color w:val="0D0D0D" w:themeColor="text1" w:themeTint="F2"/>
                <w:spacing w:val="0"/>
              </w:rPr>
              <w:t xml:space="preserve">emand growth accelerated in </w:t>
            </w:r>
            <w:r>
              <w:rPr>
                <w:color w:val="0D0D0D" w:themeColor="text1" w:themeTint="F2"/>
                <w:spacing w:val="0"/>
              </w:rPr>
              <w:t>Q</w:t>
            </w:r>
            <w:r w:rsidRPr="00C253E5">
              <w:rPr>
                <w:color w:val="0D0D0D" w:themeColor="text1" w:themeTint="F2"/>
                <w:spacing w:val="0"/>
              </w:rPr>
              <w:t>2</w:t>
            </w:r>
            <w:r>
              <w:rPr>
                <w:color w:val="0D0D0D" w:themeColor="text1" w:themeTint="F2"/>
                <w:spacing w:val="0"/>
              </w:rPr>
              <w:t xml:space="preserve"> in land transport and storage</w:t>
            </w:r>
            <w:r w:rsidRPr="00C253E5">
              <w:rPr>
                <w:color w:val="0D0D0D" w:themeColor="text1" w:themeTint="F2"/>
                <w:spacing w:val="0"/>
              </w:rPr>
              <w:t>. Growing transport performance in passenger and freight transport related to the development of industry and trade was evident.</w:t>
            </w:r>
            <w:r w:rsidRPr="00B131B0">
              <w:rPr>
                <w:color w:val="0D0D0D" w:themeColor="text1" w:themeTint="F2"/>
                <w:spacing w:val="0"/>
              </w:rPr>
              <w:t xml:space="preserve"> </w:t>
            </w:r>
          </w:p>
        </w:tc>
        <w:tc>
          <w:tcPr>
            <w:tcW w:w="142" w:type="dxa"/>
            <w:tcMar>
              <w:left w:w="0" w:type="dxa"/>
            </w:tcMar>
          </w:tcPr>
          <w:p w14:paraId="0CBB29CB" w14:textId="77777777" w:rsidR="00927BC1" w:rsidRPr="00B131B0" w:rsidRDefault="00927BC1" w:rsidP="00D60677">
            <w:pPr>
              <w:pStyle w:val="Textpoznpodarou"/>
              <w:jc w:val="both"/>
              <w:rPr>
                <w:color w:val="0D0D0D" w:themeColor="text1" w:themeTint="F2"/>
              </w:rPr>
            </w:pPr>
          </w:p>
        </w:tc>
        <w:tc>
          <w:tcPr>
            <w:tcW w:w="7653" w:type="dxa"/>
            <w:gridSpan w:val="2"/>
            <w:tcMar>
              <w:left w:w="0" w:type="dxa"/>
            </w:tcMar>
          </w:tcPr>
          <w:p w14:paraId="033F11B7" w14:textId="77777777" w:rsidR="00927BC1" w:rsidRPr="00B131B0" w:rsidRDefault="00927BC1" w:rsidP="00D60677">
            <w:pPr>
              <w:spacing w:after="200"/>
              <w:rPr>
                <w:color w:val="0D0D0D" w:themeColor="text1" w:themeTint="F2"/>
                <w:spacing w:val="-2"/>
              </w:rPr>
            </w:pPr>
            <w:r w:rsidRPr="00E82E50">
              <w:rPr>
                <w:rFonts w:cs="Arial"/>
                <w:color w:val="0D0D0D" w:themeColor="text1" w:themeTint="F2"/>
                <w:spacing w:val="-2"/>
                <w:szCs w:val="20"/>
              </w:rPr>
              <w:t>In the transport</w:t>
            </w:r>
            <w:r>
              <w:rPr>
                <w:rFonts w:cs="Arial"/>
                <w:color w:val="0D0D0D" w:themeColor="text1" w:themeTint="F2"/>
                <w:spacing w:val="-2"/>
                <w:szCs w:val="20"/>
              </w:rPr>
              <w:t>ation</w:t>
            </w:r>
            <w:r w:rsidRPr="00E82E50">
              <w:rPr>
                <w:rFonts w:cs="Arial"/>
                <w:color w:val="0D0D0D" w:themeColor="text1" w:themeTint="F2"/>
                <w:spacing w:val="-2"/>
                <w:szCs w:val="20"/>
              </w:rPr>
              <w:t xml:space="preserve"> and storage</w:t>
            </w:r>
            <w:r>
              <w:rPr>
                <w:rFonts w:cs="Arial"/>
                <w:color w:val="0D0D0D" w:themeColor="text1" w:themeTint="F2"/>
                <w:spacing w:val="-2"/>
                <w:szCs w:val="20"/>
              </w:rPr>
              <w:t xml:space="preserve"> activities</w:t>
            </w:r>
            <w:r w:rsidRPr="00E82E50">
              <w:rPr>
                <w:rFonts w:cs="Arial"/>
                <w:color w:val="0D0D0D" w:themeColor="text1" w:themeTint="F2"/>
                <w:spacing w:val="-2"/>
                <w:szCs w:val="20"/>
              </w:rPr>
              <w:t xml:space="preserve">, important in terms of weight, sales increased by 2.7% this year (by 4.3% in </w:t>
            </w:r>
            <w:r>
              <w:rPr>
                <w:rFonts w:cs="Arial"/>
                <w:color w:val="0D0D0D" w:themeColor="text1" w:themeTint="F2"/>
                <w:spacing w:val="-2"/>
                <w:szCs w:val="20"/>
              </w:rPr>
              <w:t>Q</w:t>
            </w:r>
            <w:r w:rsidRPr="00E82E50">
              <w:rPr>
                <w:rFonts w:cs="Arial"/>
                <w:color w:val="0D0D0D" w:themeColor="text1" w:themeTint="F2"/>
                <w:spacing w:val="-2"/>
                <w:szCs w:val="20"/>
              </w:rPr>
              <w:t>2</w:t>
            </w:r>
            <w:r>
              <w:rPr>
                <w:rFonts w:cs="Arial"/>
                <w:color w:val="0D0D0D" w:themeColor="text1" w:themeTint="F2"/>
                <w:spacing w:val="-2"/>
                <w:szCs w:val="20"/>
              </w:rPr>
              <w:t xml:space="preserve"> </w:t>
            </w:r>
            <w:r w:rsidRPr="00E82E50">
              <w:rPr>
                <w:rFonts w:cs="Arial"/>
                <w:color w:val="0D0D0D" w:themeColor="text1" w:themeTint="F2"/>
                <w:spacing w:val="-2"/>
                <w:szCs w:val="20"/>
              </w:rPr>
              <w:t xml:space="preserve">alone – the highest since the end of 2024) and the growth of the </w:t>
            </w:r>
            <w:r>
              <w:rPr>
                <w:rFonts w:cs="Arial"/>
                <w:color w:val="0D0D0D" w:themeColor="text1" w:themeTint="F2"/>
                <w:spacing w:val="-2"/>
                <w:szCs w:val="20"/>
              </w:rPr>
              <w:t xml:space="preserve">total </w:t>
            </w:r>
            <w:r w:rsidRPr="00E82E50">
              <w:rPr>
                <w:rFonts w:cs="Arial"/>
                <w:color w:val="0D0D0D" w:themeColor="text1" w:themeTint="F2"/>
                <w:spacing w:val="-2"/>
                <w:szCs w:val="20"/>
              </w:rPr>
              <w:t>services sector was supported by 0.7 p</w:t>
            </w:r>
            <w:r>
              <w:rPr>
                <w:rFonts w:cs="Arial"/>
                <w:color w:val="0D0D0D" w:themeColor="text1" w:themeTint="F2"/>
                <w:spacing w:val="-2"/>
                <w:szCs w:val="20"/>
              </w:rPr>
              <w:t>. p.</w:t>
            </w:r>
            <w:r w:rsidRPr="00E82E50">
              <w:rPr>
                <w:rFonts w:cs="Arial"/>
                <w:color w:val="0D0D0D" w:themeColor="text1" w:themeTint="F2"/>
                <w:spacing w:val="-2"/>
                <w:szCs w:val="20"/>
              </w:rPr>
              <w:t xml:space="preserve"> Land and pipeline transport performed particularly well (+3.7%), reflecting higher transport performance in passenger transport and road freight transport.</w:t>
            </w:r>
            <w:r>
              <w:rPr>
                <w:rFonts w:cs="Arial"/>
                <w:color w:val="0D0D0D" w:themeColor="text1" w:themeTint="F2"/>
                <w:spacing w:val="-2"/>
                <w:szCs w:val="20"/>
              </w:rPr>
              <w:t xml:space="preserve"> De</w:t>
            </w:r>
            <w:r w:rsidRPr="00E82E50">
              <w:rPr>
                <w:rFonts w:cs="Arial"/>
                <w:color w:val="0D0D0D" w:themeColor="text1" w:themeTint="F2"/>
                <w:spacing w:val="-2"/>
                <w:szCs w:val="20"/>
              </w:rPr>
              <w:t xml:space="preserve">mand growth in significantly procyclical warehousing (including </w:t>
            </w:r>
            <w:r>
              <w:rPr>
                <w:rFonts w:cs="Arial"/>
                <w:color w:val="0D0D0D" w:themeColor="text1" w:themeTint="F2"/>
                <w:spacing w:val="-2"/>
                <w:szCs w:val="20"/>
              </w:rPr>
              <w:t xml:space="preserve">other transportation support </w:t>
            </w:r>
            <w:r w:rsidRPr="00E82E50">
              <w:rPr>
                <w:rFonts w:cs="Arial"/>
                <w:color w:val="0D0D0D" w:themeColor="text1" w:themeTint="F2"/>
                <w:spacing w:val="-2"/>
                <w:szCs w:val="20"/>
              </w:rPr>
              <w:t>activities</w:t>
            </w:r>
            <w:r w:rsidRPr="00B131B0">
              <w:rPr>
                <w:rStyle w:val="Znakapoznpodarou"/>
                <w:color w:val="0D0D0D" w:themeColor="text1" w:themeTint="F2"/>
                <w:spacing w:val="-2"/>
                <w:szCs w:val="20"/>
              </w:rPr>
              <w:footnoteReference w:id="28"/>
            </w:r>
            <w:r w:rsidRPr="00E82E50">
              <w:rPr>
                <w:rFonts w:cs="Arial"/>
                <w:color w:val="0D0D0D" w:themeColor="text1" w:themeTint="F2"/>
                <w:spacing w:val="-2"/>
                <w:szCs w:val="20"/>
              </w:rPr>
              <w:t>) also accelerated</w:t>
            </w:r>
            <w:r>
              <w:rPr>
                <w:rFonts w:cs="Arial"/>
                <w:color w:val="0D0D0D" w:themeColor="text1" w:themeTint="F2"/>
                <w:spacing w:val="-2"/>
                <w:szCs w:val="20"/>
              </w:rPr>
              <w:t xml:space="preserve"> d</w:t>
            </w:r>
            <w:r w:rsidRPr="00E82E50">
              <w:rPr>
                <w:rFonts w:cs="Arial"/>
                <w:color w:val="0D0D0D" w:themeColor="text1" w:themeTint="F2"/>
                <w:spacing w:val="-2"/>
                <w:szCs w:val="20"/>
              </w:rPr>
              <w:t xml:space="preserve">uring </w:t>
            </w:r>
            <w:r>
              <w:rPr>
                <w:rFonts w:cs="Arial"/>
                <w:color w:val="0D0D0D" w:themeColor="text1" w:themeTint="F2"/>
                <w:spacing w:val="-2"/>
                <w:szCs w:val="20"/>
              </w:rPr>
              <w:t xml:space="preserve">H1 </w:t>
            </w:r>
            <w:r w:rsidRPr="00E82E50">
              <w:rPr>
                <w:rFonts w:cs="Arial"/>
                <w:color w:val="0D0D0D" w:themeColor="text1" w:themeTint="F2"/>
                <w:spacing w:val="-2"/>
                <w:szCs w:val="20"/>
              </w:rPr>
              <w:t xml:space="preserve">this year. Despite the continued rapid growth </w:t>
            </w:r>
            <w:r>
              <w:rPr>
                <w:rFonts w:cs="Arial"/>
                <w:color w:val="0D0D0D" w:themeColor="text1" w:themeTint="F2"/>
                <w:spacing w:val="-2"/>
                <w:szCs w:val="20"/>
              </w:rPr>
              <w:t>of sales via internet</w:t>
            </w:r>
            <w:r w:rsidRPr="00E82E50">
              <w:rPr>
                <w:rFonts w:cs="Arial"/>
                <w:color w:val="0D0D0D" w:themeColor="text1" w:themeTint="F2"/>
                <w:spacing w:val="-2"/>
                <w:szCs w:val="20"/>
              </w:rPr>
              <w:t>, sales in postal and courier activities decreased (</w:t>
            </w:r>
            <w:r w:rsidRPr="0006472D">
              <w:rPr>
                <w:color w:val="0D0D0D" w:themeColor="text1" w:themeTint="F2"/>
                <w:spacing w:val="-4"/>
              </w:rPr>
              <w:t>−</w:t>
            </w:r>
            <w:r w:rsidRPr="00E82E50">
              <w:rPr>
                <w:rFonts w:cs="Arial"/>
                <w:color w:val="0D0D0D" w:themeColor="text1" w:themeTint="F2"/>
                <w:spacing w:val="-2"/>
                <w:szCs w:val="20"/>
              </w:rPr>
              <w:t>0.9%). This represented the weakest result in this long-term relatively dynamic, but internally diverse sector in the last two and a half years.</w:t>
            </w:r>
            <w:r w:rsidRPr="00B131B0">
              <w:rPr>
                <w:rFonts w:cs="Arial"/>
                <w:color w:val="0D0D0D" w:themeColor="text1" w:themeTint="F2"/>
                <w:spacing w:val="-2"/>
                <w:szCs w:val="20"/>
              </w:rPr>
              <w:t xml:space="preserve"> </w:t>
            </w:r>
            <w:r>
              <w:rPr>
                <w:rFonts w:cs="Arial"/>
                <w:color w:val="0D0D0D" w:themeColor="text1" w:themeTint="F2"/>
                <w:spacing w:val="-2"/>
                <w:szCs w:val="20"/>
              </w:rPr>
              <w:t>C</w:t>
            </w:r>
            <w:r w:rsidRPr="00AE291E">
              <w:rPr>
                <w:rFonts w:cs="Arial"/>
                <w:color w:val="0D0D0D" w:themeColor="text1" w:themeTint="F2"/>
                <w:spacing w:val="-2"/>
                <w:szCs w:val="20"/>
              </w:rPr>
              <w:t>urrent demand has still not reached the level of pre-crisis 2019</w:t>
            </w:r>
            <w:r>
              <w:rPr>
                <w:rFonts w:cs="Arial"/>
                <w:color w:val="0D0D0D" w:themeColor="text1" w:themeTint="F2"/>
                <w:spacing w:val="-2"/>
                <w:szCs w:val="20"/>
              </w:rPr>
              <w:t xml:space="preserve"> i</w:t>
            </w:r>
            <w:r w:rsidRPr="00AE291E">
              <w:rPr>
                <w:rFonts w:cs="Arial"/>
                <w:color w:val="0D0D0D" w:themeColor="text1" w:themeTint="F2"/>
                <w:spacing w:val="-2"/>
                <w:szCs w:val="20"/>
              </w:rPr>
              <w:t xml:space="preserve">n the marginal sectors of water and air transport. Also, in a year-on-year comparison, the </w:t>
            </w:r>
            <w:r>
              <w:rPr>
                <w:rFonts w:cs="Arial"/>
                <w:color w:val="0D0D0D" w:themeColor="text1" w:themeTint="F2"/>
                <w:spacing w:val="-2"/>
                <w:szCs w:val="20"/>
              </w:rPr>
              <w:t xml:space="preserve">sales </w:t>
            </w:r>
            <w:r w:rsidRPr="00AE291E">
              <w:rPr>
                <w:rFonts w:cs="Arial"/>
                <w:color w:val="0D0D0D" w:themeColor="text1" w:themeTint="F2"/>
                <w:spacing w:val="-2"/>
                <w:szCs w:val="20"/>
              </w:rPr>
              <w:t xml:space="preserve">of domestic air carriers lagged behind this year (−6.3%), but entities operating in water transport registered a slight increase </w:t>
            </w:r>
            <w:r>
              <w:rPr>
                <w:rFonts w:cs="Arial"/>
                <w:color w:val="0D0D0D" w:themeColor="text1" w:themeTint="F2"/>
                <w:spacing w:val="-2"/>
                <w:szCs w:val="20"/>
              </w:rPr>
              <w:t>of</w:t>
            </w:r>
            <w:r w:rsidRPr="00AE291E">
              <w:rPr>
                <w:rFonts w:cs="Arial"/>
                <w:color w:val="0D0D0D" w:themeColor="text1" w:themeTint="F2"/>
                <w:spacing w:val="-2"/>
                <w:szCs w:val="20"/>
              </w:rPr>
              <w:t xml:space="preserve"> demand.</w:t>
            </w:r>
            <w:r>
              <w:rPr>
                <w:rFonts w:cs="Arial"/>
                <w:color w:val="0D0D0D" w:themeColor="text1" w:themeTint="F2"/>
                <w:spacing w:val="-2"/>
                <w:szCs w:val="20"/>
              </w:rPr>
              <w:t xml:space="preserve"> </w:t>
            </w:r>
          </w:p>
        </w:tc>
      </w:tr>
      <w:tr w:rsidR="00927BC1" w:rsidRPr="00B131B0" w14:paraId="23E2C15E" w14:textId="77777777" w:rsidTr="00D60677">
        <w:trPr>
          <w:trHeight w:val="170"/>
        </w:trPr>
        <w:tc>
          <w:tcPr>
            <w:tcW w:w="1863" w:type="dxa"/>
            <w:tcMar>
              <w:left w:w="0" w:type="dxa"/>
            </w:tcMar>
          </w:tcPr>
          <w:p w14:paraId="357666F3" w14:textId="77777777" w:rsidR="00927BC1" w:rsidRPr="00B131B0" w:rsidRDefault="00927BC1" w:rsidP="00D60677">
            <w:pPr>
              <w:pStyle w:val="Marginlie"/>
              <w:rPr>
                <w:color w:val="0D0D0D" w:themeColor="text1" w:themeTint="F2"/>
                <w:spacing w:val="0"/>
              </w:rPr>
            </w:pPr>
            <w:r w:rsidRPr="00F3571A">
              <w:rPr>
                <w:color w:val="0D0D0D" w:themeColor="text1" w:themeTint="F2"/>
                <w:spacing w:val="0"/>
              </w:rPr>
              <w:t xml:space="preserve">In the ICT area, demand growth </w:t>
            </w:r>
            <w:r>
              <w:rPr>
                <w:color w:val="0D0D0D" w:themeColor="text1" w:themeTint="F2"/>
                <w:spacing w:val="0"/>
              </w:rPr>
              <w:t xml:space="preserve">remained </w:t>
            </w:r>
            <w:r w:rsidRPr="00F3571A">
              <w:rPr>
                <w:color w:val="0D0D0D" w:themeColor="text1" w:themeTint="F2"/>
                <w:spacing w:val="0"/>
              </w:rPr>
              <w:t xml:space="preserve">rather moderate. Programming continued to thrive, and the </w:t>
            </w:r>
            <w:r>
              <w:rPr>
                <w:color w:val="0D0D0D" w:themeColor="text1" w:themeTint="F2"/>
                <w:spacing w:val="0"/>
              </w:rPr>
              <w:t xml:space="preserve">motion picture </w:t>
            </w:r>
            <w:r w:rsidRPr="00F3571A">
              <w:rPr>
                <w:color w:val="0D0D0D" w:themeColor="text1" w:themeTint="F2"/>
                <w:spacing w:val="0"/>
              </w:rPr>
              <w:t xml:space="preserve">and music </w:t>
            </w:r>
            <w:r>
              <w:rPr>
                <w:color w:val="0D0D0D" w:themeColor="text1" w:themeTint="F2"/>
                <w:spacing w:val="0"/>
              </w:rPr>
              <w:t xml:space="preserve">publishing activities </w:t>
            </w:r>
            <w:r w:rsidRPr="00F3571A">
              <w:rPr>
                <w:color w:val="0D0D0D" w:themeColor="text1" w:themeTint="F2"/>
                <w:spacing w:val="0"/>
              </w:rPr>
              <w:t>recovered.</w:t>
            </w:r>
          </w:p>
        </w:tc>
        <w:tc>
          <w:tcPr>
            <w:tcW w:w="142" w:type="dxa"/>
            <w:tcMar>
              <w:left w:w="0" w:type="dxa"/>
            </w:tcMar>
          </w:tcPr>
          <w:p w14:paraId="1A585438" w14:textId="77777777" w:rsidR="00927BC1" w:rsidRPr="00B131B0" w:rsidRDefault="00927BC1" w:rsidP="00D60677">
            <w:pPr>
              <w:pStyle w:val="Textpoznpodarou"/>
              <w:jc w:val="both"/>
              <w:rPr>
                <w:color w:val="0D0D0D" w:themeColor="text1" w:themeTint="F2"/>
              </w:rPr>
            </w:pPr>
          </w:p>
        </w:tc>
        <w:tc>
          <w:tcPr>
            <w:tcW w:w="7653" w:type="dxa"/>
            <w:gridSpan w:val="2"/>
            <w:tcMar>
              <w:left w:w="0" w:type="dxa"/>
            </w:tcMar>
          </w:tcPr>
          <w:p w14:paraId="49A396F3" w14:textId="77777777" w:rsidR="00927BC1" w:rsidRPr="00B131B0" w:rsidRDefault="00927BC1" w:rsidP="00D60677">
            <w:pPr>
              <w:spacing w:after="200"/>
              <w:rPr>
                <w:color w:val="0D0D0D" w:themeColor="text1" w:themeTint="F2"/>
                <w:spacing w:val="-4"/>
              </w:rPr>
            </w:pPr>
            <w:r w:rsidRPr="00F62F30">
              <w:rPr>
                <w:color w:val="0D0D0D" w:themeColor="text1" w:themeTint="F2"/>
                <w:spacing w:val="-4"/>
              </w:rPr>
              <w:t>Information and communication (ICT) were the last area that significantly supported the growth of the services sector this year (contribution +0.4 p.</w:t>
            </w:r>
            <w:r>
              <w:rPr>
                <w:color w:val="0D0D0D" w:themeColor="text1" w:themeTint="F2"/>
                <w:spacing w:val="-4"/>
              </w:rPr>
              <w:t xml:space="preserve"> </w:t>
            </w:r>
            <w:r w:rsidRPr="00F62F30">
              <w:rPr>
                <w:color w:val="0D0D0D" w:themeColor="text1" w:themeTint="F2"/>
                <w:spacing w:val="-4"/>
              </w:rPr>
              <w:t xml:space="preserve">p., compared to the sector's growth of 1.9%). This segment of the economy, which was still very dynamic in the last decade, has been copying the overall trends in services in recent years in terms of revenue development. </w:t>
            </w:r>
            <w:r>
              <w:rPr>
                <w:color w:val="0D0D0D" w:themeColor="text1" w:themeTint="F2"/>
                <w:spacing w:val="-4"/>
              </w:rPr>
              <w:t>The</w:t>
            </w:r>
            <w:r w:rsidRPr="00F62F30">
              <w:rPr>
                <w:color w:val="0D0D0D" w:themeColor="text1" w:themeTint="F2"/>
                <w:spacing w:val="-4"/>
              </w:rPr>
              <w:t xml:space="preserve"> ICT sector benefited mainly from long-term </w:t>
            </w:r>
            <w:r>
              <w:rPr>
                <w:color w:val="0D0D0D" w:themeColor="text1" w:themeTint="F2"/>
                <w:spacing w:val="-4"/>
              </w:rPr>
              <w:t xml:space="preserve">developing </w:t>
            </w:r>
            <w:r w:rsidRPr="00F62F30">
              <w:rPr>
                <w:color w:val="0D0D0D" w:themeColor="text1" w:themeTint="F2"/>
                <w:spacing w:val="-4"/>
              </w:rPr>
              <w:t>IT</w:t>
            </w:r>
            <w:r w:rsidRPr="00B131B0">
              <w:rPr>
                <w:rStyle w:val="Znakapoznpodarou"/>
                <w:color w:val="0D0D0D" w:themeColor="text1" w:themeTint="F2"/>
                <w:spacing w:val="-4"/>
              </w:rPr>
              <w:footnoteReference w:id="29"/>
            </w:r>
            <w:r w:rsidRPr="00F62F30">
              <w:rPr>
                <w:color w:val="0D0D0D" w:themeColor="text1" w:themeTint="F2"/>
                <w:spacing w:val="-4"/>
              </w:rPr>
              <w:t xml:space="preserve"> activities</w:t>
            </w:r>
            <w:r>
              <w:rPr>
                <w:color w:val="0D0D0D" w:themeColor="text1" w:themeTint="F2"/>
                <w:spacing w:val="-4"/>
              </w:rPr>
              <w:t xml:space="preserve"> this year</w:t>
            </w:r>
            <w:r w:rsidRPr="00F62F30">
              <w:rPr>
                <w:color w:val="0D0D0D" w:themeColor="text1" w:themeTint="F2"/>
                <w:spacing w:val="-4"/>
              </w:rPr>
              <w:t xml:space="preserve">, in which the sales pace slightly strengthened to 3.4%. On the </w:t>
            </w:r>
            <w:r>
              <w:rPr>
                <w:color w:val="0D0D0D" w:themeColor="text1" w:themeTint="F2"/>
                <w:spacing w:val="-4"/>
              </w:rPr>
              <w:t>contrary</w:t>
            </w:r>
            <w:r w:rsidRPr="00F62F30">
              <w:rPr>
                <w:color w:val="0D0D0D" w:themeColor="text1" w:themeTint="F2"/>
                <w:spacing w:val="-4"/>
              </w:rPr>
              <w:t>, sales in telecommunications did not follow up on last year's strong year (+0.6%), and the development of demand in the previously dynamic field of information activities</w:t>
            </w:r>
            <w:r w:rsidRPr="00B131B0">
              <w:rPr>
                <w:rStyle w:val="Znakapoznpodarou"/>
                <w:color w:val="0D0D0D" w:themeColor="text1" w:themeTint="F2"/>
                <w:spacing w:val="-4"/>
              </w:rPr>
              <w:footnoteReference w:id="30"/>
            </w:r>
            <w:r w:rsidRPr="00F62F30">
              <w:rPr>
                <w:color w:val="0D0D0D" w:themeColor="text1" w:themeTint="F2"/>
                <w:spacing w:val="-4"/>
              </w:rPr>
              <w:t xml:space="preserve"> has also been weak so far this year. In the area of radio and television broadcasting</w:t>
            </w:r>
            <w:r>
              <w:rPr>
                <w:color w:val="0D0D0D" w:themeColor="text1" w:themeTint="F2"/>
                <w:spacing w:val="-4"/>
              </w:rPr>
              <w:t xml:space="preserve"> activities</w:t>
            </w:r>
            <w:r w:rsidRPr="00F62F30">
              <w:rPr>
                <w:color w:val="0D0D0D" w:themeColor="text1" w:themeTint="F2"/>
                <w:spacing w:val="-4"/>
              </w:rPr>
              <w:t>, demand has recovered very slightly after last year's decline (+1.5%)</w:t>
            </w:r>
            <w:r w:rsidRPr="00B131B0">
              <w:rPr>
                <w:rStyle w:val="Znakapoznpodarou"/>
                <w:color w:val="0D0D0D" w:themeColor="text1" w:themeTint="F2"/>
                <w:spacing w:val="-4"/>
              </w:rPr>
              <w:footnoteReference w:id="31"/>
            </w:r>
            <w:r w:rsidRPr="00B131B0">
              <w:rPr>
                <w:rFonts w:cs="Arial"/>
                <w:color w:val="0D0D0D" w:themeColor="text1" w:themeTint="F2"/>
                <w:spacing w:val="-4"/>
              </w:rPr>
              <w:t>.</w:t>
            </w:r>
            <w:r>
              <w:rPr>
                <w:rFonts w:cs="Arial"/>
                <w:color w:val="0D0D0D" w:themeColor="text1" w:themeTint="F2"/>
                <w:spacing w:val="-4"/>
              </w:rPr>
              <w:t xml:space="preserve"> </w:t>
            </w:r>
            <w:r w:rsidRPr="00434970">
              <w:rPr>
                <w:rFonts w:cs="Arial"/>
                <w:color w:val="0D0D0D" w:themeColor="text1" w:themeTint="F2"/>
                <w:spacing w:val="-4"/>
              </w:rPr>
              <w:t>Sales in publishing activities decreased by 3.4%, as in contrast to the previous two years, when this sector was generally stagnant</w:t>
            </w:r>
            <w:r>
              <w:rPr>
                <w:rFonts w:cs="Arial"/>
                <w:color w:val="0D0D0D" w:themeColor="text1" w:themeTint="F2"/>
                <w:spacing w:val="-4"/>
              </w:rPr>
              <w:t xml:space="preserve">, </w:t>
            </w:r>
            <w:r w:rsidRPr="00434970">
              <w:rPr>
                <w:rFonts w:cs="Arial"/>
                <w:color w:val="0D0D0D" w:themeColor="text1" w:themeTint="F2"/>
                <w:spacing w:val="-4"/>
              </w:rPr>
              <w:t xml:space="preserve">there was also a decline in the software publishing segment. However, they had a weak impact on the result of the </w:t>
            </w:r>
            <w:r>
              <w:rPr>
                <w:rFonts w:cs="Arial"/>
                <w:color w:val="0D0D0D" w:themeColor="text1" w:themeTint="F2"/>
                <w:spacing w:val="-4"/>
              </w:rPr>
              <w:t xml:space="preserve">total </w:t>
            </w:r>
            <w:r w:rsidRPr="00434970">
              <w:rPr>
                <w:rFonts w:cs="Arial"/>
                <w:color w:val="0D0D0D" w:themeColor="text1" w:themeTint="F2"/>
                <w:spacing w:val="-4"/>
              </w:rPr>
              <w:t xml:space="preserve">ICT </w:t>
            </w:r>
            <w:r>
              <w:rPr>
                <w:rFonts w:cs="Arial"/>
                <w:color w:val="0D0D0D" w:themeColor="text1" w:themeTint="F2"/>
                <w:spacing w:val="-4"/>
              </w:rPr>
              <w:t>branch</w:t>
            </w:r>
            <w:r w:rsidRPr="00434970">
              <w:rPr>
                <w:rFonts w:cs="Arial"/>
                <w:color w:val="0D0D0D" w:themeColor="text1" w:themeTint="F2"/>
                <w:spacing w:val="-4"/>
              </w:rPr>
              <w:t xml:space="preserve">. This also applies to the </w:t>
            </w:r>
            <w:r>
              <w:rPr>
                <w:rFonts w:cs="Arial"/>
                <w:color w:val="0D0D0D" w:themeColor="text1" w:themeTint="F2"/>
                <w:spacing w:val="-4"/>
              </w:rPr>
              <w:t xml:space="preserve">motion picture </w:t>
            </w:r>
            <w:r w:rsidRPr="00434970">
              <w:rPr>
                <w:rFonts w:cs="Arial"/>
                <w:color w:val="0D0D0D" w:themeColor="text1" w:themeTint="F2"/>
                <w:spacing w:val="-4"/>
              </w:rPr>
              <w:t xml:space="preserve">and music industries, where demand growth accelerated significantly and sales increased by 14.1% this year, i.e. the most in the last four years (however, they were still about a quarter weaker compared to 2019). The impact of the growth </w:t>
            </w:r>
            <w:r>
              <w:rPr>
                <w:rFonts w:cs="Arial"/>
                <w:color w:val="0D0D0D" w:themeColor="text1" w:themeTint="F2"/>
                <w:spacing w:val="-4"/>
              </w:rPr>
              <w:t>of</w:t>
            </w:r>
            <w:r w:rsidRPr="00434970">
              <w:rPr>
                <w:rFonts w:cs="Arial"/>
                <w:color w:val="0D0D0D" w:themeColor="text1" w:themeTint="F2"/>
                <w:spacing w:val="-4"/>
              </w:rPr>
              <w:t xml:space="preserve"> the number of foreign projects implemented in the Czech Republic may have been reflected here. However, the development of this </w:t>
            </w:r>
            <w:r>
              <w:rPr>
                <w:rFonts w:cs="Arial"/>
                <w:color w:val="0D0D0D" w:themeColor="text1" w:themeTint="F2"/>
                <w:spacing w:val="-4"/>
              </w:rPr>
              <w:t>field</w:t>
            </w:r>
            <w:r w:rsidRPr="00434970">
              <w:rPr>
                <w:rFonts w:cs="Arial"/>
                <w:color w:val="0D0D0D" w:themeColor="text1" w:themeTint="F2"/>
                <w:spacing w:val="-4"/>
              </w:rPr>
              <w:t xml:space="preserve"> is generally quite volatile, which is closely related to irregular invoicing. The </w:t>
            </w:r>
            <w:r>
              <w:rPr>
                <w:rFonts w:cs="Arial"/>
                <w:color w:val="0D0D0D" w:themeColor="text1" w:themeTint="F2"/>
                <w:spacing w:val="-4"/>
              </w:rPr>
              <w:t xml:space="preserve">motion picture </w:t>
            </w:r>
            <w:r w:rsidRPr="00434970">
              <w:rPr>
                <w:rFonts w:cs="Arial"/>
                <w:color w:val="0D0D0D" w:themeColor="text1" w:themeTint="F2"/>
                <w:spacing w:val="-4"/>
              </w:rPr>
              <w:t>distribution segment itself has probably grown more slowly</w:t>
            </w:r>
            <w:r w:rsidRPr="00B131B0">
              <w:rPr>
                <w:rStyle w:val="Znakapoznpodarou"/>
                <w:color w:val="0D0D0D" w:themeColor="text1" w:themeTint="F2"/>
                <w:spacing w:val="-4"/>
              </w:rPr>
              <w:footnoteReference w:id="32"/>
            </w:r>
            <w:r w:rsidRPr="00B131B0">
              <w:rPr>
                <w:rFonts w:cs="Arial"/>
                <w:color w:val="0D0D0D" w:themeColor="text1" w:themeTint="F2"/>
                <w:spacing w:val="-4"/>
              </w:rPr>
              <w:t>.</w:t>
            </w:r>
          </w:p>
        </w:tc>
      </w:tr>
      <w:tr w:rsidR="00927BC1" w:rsidRPr="00D52CA1" w14:paraId="573D15CA" w14:textId="77777777" w:rsidTr="00D60677">
        <w:trPr>
          <w:trHeight w:val="170"/>
        </w:trPr>
        <w:tc>
          <w:tcPr>
            <w:tcW w:w="1863" w:type="dxa"/>
            <w:tcMar>
              <w:left w:w="0" w:type="dxa"/>
            </w:tcMar>
          </w:tcPr>
          <w:p w14:paraId="4D210BDD" w14:textId="77777777" w:rsidR="00927BC1" w:rsidRDefault="00927BC1" w:rsidP="00D60677">
            <w:pPr>
              <w:pStyle w:val="Marginlie"/>
              <w:rPr>
                <w:color w:val="0D0D0D" w:themeColor="text1" w:themeTint="F2"/>
                <w:spacing w:val="0"/>
              </w:rPr>
            </w:pPr>
            <w:r w:rsidRPr="00AB478F">
              <w:rPr>
                <w:color w:val="0D0D0D" w:themeColor="text1" w:themeTint="F2"/>
                <w:spacing w:val="0"/>
              </w:rPr>
              <w:t xml:space="preserve">Sales in </w:t>
            </w:r>
            <w:r>
              <w:rPr>
                <w:color w:val="0D0D0D" w:themeColor="text1" w:themeTint="F2"/>
                <w:spacing w:val="0"/>
              </w:rPr>
              <w:t>food service and restaurants c</w:t>
            </w:r>
            <w:r w:rsidRPr="00AB478F">
              <w:rPr>
                <w:color w:val="0D0D0D" w:themeColor="text1" w:themeTint="F2"/>
                <w:spacing w:val="0"/>
              </w:rPr>
              <w:t>ontinued to grow slightly.</w:t>
            </w:r>
            <w:r>
              <w:rPr>
                <w:color w:val="0D0D0D" w:themeColor="text1" w:themeTint="F2"/>
                <w:spacing w:val="0"/>
              </w:rPr>
              <w:t xml:space="preserve"> H</w:t>
            </w:r>
            <w:r w:rsidRPr="00AB478F">
              <w:rPr>
                <w:color w:val="0D0D0D" w:themeColor="text1" w:themeTint="F2"/>
                <w:spacing w:val="0"/>
              </w:rPr>
              <w:t>owever, the decline deepened</w:t>
            </w:r>
            <w:r>
              <w:rPr>
                <w:color w:val="0D0D0D" w:themeColor="text1" w:themeTint="F2"/>
                <w:spacing w:val="0"/>
              </w:rPr>
              <w:t xml:space="preserve"> i</w:t>
            </w:r>
            <w:r w:rsidRPr="00AB478F">
              <w:rPr>
                <w:color w:val="0D0D0D" w:themeColor="text1" w:themeTint="F2"/>
                <w:spacing w:val="0"/>
              </w:rPr>
              <w:t>n accommodation</w:t>
            </w:r>
            <w:r>
              <w:rPr>
                <w:color w:val="0D0D0D" w:themeColor="text1" w:themeTint="F2"/>
                <w:spacing w:val="0"/>
              </w:rPr>
              <w:t xml:space="preserve">. </w:t>
            </w:r>
          </w:p>
          <w:p w14:paraId="07D0F987" w14:textId="77777777" w:rsidR="00927BC1" w:rsidRPr="008C7F67" w:rsidRDefault="00927BC1" w:rsidP="00D60677">
            <w:pPr>
              <w:pStyle w:val="Marginlie"/>
              <w:rPr>
                <w:color w:val="0D0D0D" w:themeColor="text1" w:themeTint="F2"/>
                <w:spacing w:val="0"/>
                <w:lang w:val="it-IT"/>
              </w:rPr>
            </w:pPr>
          </w:p>
        </w:tc>
        <w:tc>
          <w:tcPr>
            <w:tcW w:w="142" w:type="dxa"/>
            <w:tcMar>
              <w:left w:w="0" w:type="dxa"/>
            </w:tcMar>
          </w:tcPr>
          <w:p w14:paraId="77015428" w14:textId="77777777" w:rsidR="00927BC1" w:rsidRPr="008C7F67" w:rsidRDefault="00927BC1" w:rsidP="00D60677">
            <w:pPr>
              <w:pStyle w:val="Textpoznpodarou"/>
              <w:jc w:val="both"/>
              <w:rPr>
                <w:color w:val="0D0D0D" w:themeColor="text1" w:themeTint="F2"/>
                <w:lang w:val="it-IT"/>
              </w:rPr>
            </w:pPr>
          </w:p>
        </w:tc>
        <w:tc>
          <w:tcPr>
            <w:tcW w:w="7653" w:type="dxa"/>
            <w:gridSpan w:val="2"/>
            <w:tcMar>
              <w:left w:w="0" w:type="dxa"/>
            </w:tcMar>
          </w:tcPr>
          <w:p w14:paraId="09067181" w14:textId="77777777" w:rsidR="00927BC1" w:rsidRPr="00F26B70" w:rsidRDefault="00927BC1" w:rsidP="00D60677">
            <w:pPr>
              <w:spacing w:after="200"/>
              <w:rPr>
                <w:rStyle w:val="normaltextrun"/>
                <w:rFonts w:cs="Arial"/>
                <w:color w:val="0D0D0D" w:themeColor="text1" w:themeTint="F2"/>
                <w:spacing w:val="-4"/>
              </w:rPr>
            </w:pPr>
            <w:r>
              <w:rPr>
                <w:rFonts w:cs="Arial"/>
                <w:color w:val="0D0D0D" w:themeColor="text1" w:themeTint="F2"/>
                <w:spacing w:val="-4"/>
              </w:rPr>
              <w:t>S</w:t>
            </w:r>
            <w:r w:rsidRPr="00323797">
              <w:rPr>
                <w:rFonts w:cs="Arial"/>
                <w:color w:val="0D0D0D" w:themeColor="text1" w:themeTint="F2"/>
                <w:spacing w:val="-4"/>
              </w:rPr>
              <w:t>ales increased by 0.6%</w:t>
            </w:r>
            <w:r>
              <w:rPr>
                <w:rFonts w:cs="Arial"/>
                <w:color w:val="0D0D0D" w:themeColor="text1" w:themeTint="F2"/>
                <w:spacing w:val="-4"/>
              </w:rPr>
              <w:t>,</w:t>
            </w:r>
            <w:r w:rsidRPr="00323797">
              <w:rPr>
                <w:rFonts w:cs="Arial"/>
                <w:color w:val="0D0D0D" w:themeColor="text1" w:themeTint="F2"/>
                <w:spacing w:val="-4"/>
              </w:rPr>
              <w:t xml:space="preserve"> year-on-year</w:t>
            </w:r>
            <w:r>
              <w:rPr>
                <w:rFonts w:cs="Arial"/>
                <w:color w:val="0D0D0D" w:themeColor="text1" w:themeTint="F2"/>
                <w:spacing w:val="-4"/>
              </w:rPr>
              <w:t>, i</w:t>
            </w:r>
            <w:r w:rsidRPr="00323797">
              <w:rPr>
                <w:rFonts w:cs="Arial"/>
                <w:color w:val="0D0D0D" w:themeColor="text1" w:themeTint="F2"/>
                <w:spacing w:val="-4"/>
              </w:rPr>
              <w:t xml:space="preserve">n accommodation, food </w:t>
            </w:r>
            <w:r>
              <w:rPr>
                <w:rFonts w:cs="Arial"/>
                <w:color w:val="0D0D0D" w:themeColor="text1" w:themeTint="F2"/>
                <w:spacing w:val="-4"/>
              </w:rPr>
              <w:t xml:space="preserve">service and restaurants </w:t>
            </w:r>
            <w:r w:rsidRPr="00323797">
              <w:rPr>
                <w:rFonts w:cs="Arial"/>
                <w:color w:val="0D0D0D" w:themeColor="text1" w:themeTint="F2"/>
                <w:spacing w:val="-4"/>
              </w:rPr>
              <w:t xml:space="preserve">this year, and their very moderate growth </w:t>
            </w:r>
            <w:r>
              <w:rPr>
                <w:rFonts w:cs="Arial"/>
                <w:color w:val="0D0D0D" w:themeColor="text1" w:themeTint="F2"/>
                <w:spacing w:val="-4"/>
              </w:rPr>
              <w:t xml:space="preserve">thus </w:t>
            </w:r>
            <w:r w:rsidRPr="00323797">
              <w:rPr>
                <w:rFonts w:cs="Arial"/>
                <w:color w:val="0D0D0D" w:themeColor="text1" w:themeTint="F2"/>
                <w:spacing w:val="-4"/>
              </w:rPr>
              <w:t xml:space="preserve">continued for the third half of the year in a row (at the same time, however, sales are still clearly lagging behind the pre-crisis year of 2019). </w:t>
            </w:r>
            <w:r>
              <w:rPr>
                <w:rFonts w:cs="Arial"/>
                <w:color w:val="0D0D0D" w:themeColor="text1" w:themeTint="F2"/>
                <w:spacing w:val="-4"/>
              </w:rPr>
              <w:t>T</w:t>
            </w:r>
            <w:r w:rsidRPr="00323797">
              <w:rPr>
                <w:rFonts w:cs="Arial"/>
                <w:color w:val="0D0D0D" w:themeColor="text1" w:themeTint="F2"/>
                <w:spacing w:val="-4"/>
              </w:rPr>
              <w:t xml:space="preserve">his </w:t>
            </w:r>
            <w:r>
              <w:rPr>
                <w:rFonts w:cs="Arial"/>
                <w:color w:val="0D0D0D" w:themeColor="text1" w:themeTint="F2"/>
                <w:spacing w:val="-4"/>
              </w:rPr>
              <w:t>resulted s</w:t>
            </w:r>
            <w:r w:rsidRPr="00323797">
              <w:rPr>
                <w:rFonts w:cs="Arial"/>
                <w:color w:val="0D0D0D" w:themeColor="text1" w:themeTint="F2"/>
                <w:spacing w:val="-4"/>
              </w:rPr>
              <w:t xml:space="preserve">olely </w:t>
            </w:r>
            <w:r>
              <w:rPr>
                <w:rFonts w:cs="Arial"/>
                <w:color w:val="0D0D0D" w:themeColor="text1" w:themeTint="F2"/>
                <w:spacing w:val="-4"/>
              </w:rPr>
              <w:t xml:space="preserve">from the </w:t>
            </w:r>
            <w:r w:rsidRPr="00323797">
              <w:rPr>
                <w:rFonts w:cs="Arial"/>
                <w:color w:val="0D0D0D" w:themeColor="text1" w:themeTint="F2"/>
                <w:spacing w:val="-4"/>
              </w:rPr>
              <w:t xml:space="preserve">slightly growing demand in </w:t>
            </w:r>
            <w:r>
              <w:rPr>
                <w:rFonts w:cs="Arial"/>
                <w:color w:val="0D0D0D" w:themeColor="text1" w:themeTint="F2"/>
                <w:spacing w:val="-4"/>
              </w:rPr>
              <w:t>food service and restaurants a</w:t>
            </w:r>
            <w:r w:rsidRPr="00323797">
              <w:rPr>
                <w:rFonts w:cs="Arial"/>
                <w:color w:val="0D0D0D" w:themeColor="text1" w:themeTint="F2"/>
                <w:spacing w:val="-4"/>
              </w:rPr>
              <w:t xml:space="preserve">s at the beginning of last year. Sales of entrepreneurs whose predominant economic activity is accommodation decreased by 3.3% (the highest since the peak of anti-pandemic restrictions at the beginning of 2021), mainly due to a deeper decline in </w:t>
            </w:r>
            <w:r>
              <w:rPr>
                <w:rFonts w:cs="Arial"/>
                <w:color w:val="0D0D0D" w:themeColor="text1" w:themeTint="F2"/>
                <w:spacing w:val="-4"/>
              </w:rPr>
              <w:t>Q</w:t>
            </w:r>
            <w:r w:rsidRPr="00323797">
              <w:rPr>
                <w:rFonts w:cs="Arial"/>
                <w:color w:val="0D0D0D" w:themeColor="text1" w:themeTint="F2"/>
                <w:spacing w:val="-4"/>
              </w:rPr>
              <w:t>2</w:t>
            </w:r>
            <w:r>
              <w:rPr>
                <w:rFonts w:cs="Arial"/>
                <w:color w:val="0D0D0D" w:themeColor="text1" w:themeTint="F2"/>
                <w:spacing w:val="-4"/>
              </w:rPr>
              <w:t xml:space="preserve"> </w:t>
            </w:r>
            <w:r w:rsidRPr="00323797">
              <w:rPr>
                <w:rFonts w:cs="Arial"/>
                <w:color w:val="0D0D0D" w:themeColor="text1" w:themeTint="F2"/>
                <w:spacing w:val="-4"/>
              </w:rPr>
              <w:t xml:space="preserve">alone. This </w:t>
            </w:r>
            <w:r>
              <w:rPr>
                <w:rFonts w:cs="Arial"/>
                <w:color w:val="0D0D0D" w:themeColor="text1" w:themeTint="F2"/>
                <w:spacing w:val="-4"/>
              </w:rPr>
              <w:lastRenderedPageBreak/>
              <w:t xml:space="preserve">manifested </w:t>
            </w:r>
            <w:r w:rsidRPr="00323797">
              <w:rPr>
                <w:rFonts w:cs="Arial"/>
                <w:color w:val="0D0D0D" w:themeColor="text1" w:themeTint="F2"/>
                <w:spacing w:val="-4"/>
              </w:rPr>
              <w:t xml:space="preserve">despite the relatively rapidly growing purchasing power of domestic households and the continued development of inbound tourism. The impact of the rapid growth </w:t>
            </w:r>
            <w:r>
              <w:rPr>
                <w:rFonts w:cs="Arial"/>
                <w:color w:val="0D0D0D" w:themeColor="text1" w:themeTint="F2"/>
                <w:spacing w:val="-4"/>
              </w:rPr>
              <w:t>of</w:t>
            </w:r>
            <w:r w:rsidRPr="00323797">
              <w:rPr>
                <w:rFonts w:cs="Arial"/>
                <w:color w:val="0D0D0D" w:themeColor="text1" w:themeTint="F2"/>
                <w:spacing w:val="-4"/>
              </w:rPr>
              <w:t xml:space="preserve"> prices of related services could be felt here</w:t>
            </w:r>
            <w:r w:rsidRPr="00B131B0">
              <w:rPr>
                <w:rStyle w:val="Znakapoznpodarou"/>
                <w:color w:val="0D0D0D" w:themeColor="text1" w:themeTint="F2"/>
                <w:spacing w:val="-2"/>
              </w:rPr>
              <w:footnoteReference w:id="33"/>
            </w:r>
            <w:r w:rsidRPr="00323797">
              <w:rPr>
                <w:rFonts w:cs="Arial"/>
                <w:color w:val="0D0D0D" w:themeColor="text1" w:themeTint="F2"/>
                <w:spacing w:val="-4"/>
              </w:rPr>
              <w:t>. In-kind indicators in the area of inbound tourism indicate slightly better results than real sales.</w:t>
            </w:r>
          </w:p>
        </w:tc>
      </w:tr>
      <w:tr w:rsidR="00927BC1" w:rsidRPr="00D52CA1" w14:paraId="471C2BFD" w14:textId="77777777" w:rsidTr="00D60677">
        <w:trPr>
          <w:trHeight w:val="170"/>
        </w:trPr>
        <w:tc>
          <w:tcPr>
            <w:tcW w:w="1863" w:type="dxa"/>
            <w:tcMar>
              <w:left w:w="0" w:type="dxa"/>
            </w:tcMar>
          </w:tcPr>
          <w:p w14:paraId="5D79BB80" w14:textId="77777777" w:rsidR="00927BC1" w:rsidRPr="00F26B70" w:rsidRDefault="00927BC1" w:rsidP="00D60677">
            <w:pPr>
              <w:pStyle w:val="Marginlie"/>
              <w:rPr>
                <w:color w:val="0D0D0D" w:themeColor="text1" w:themeTint="F2"/>
              </w:rPr>
            </w:pPr>
            <w:r w:rsidRPr="007129B5">
              <w:rPr>
                <w:color w:val="0D0D0D" w:themeColor="text1" w:themeTint="F2"/>
              </w:rPr>
              <w:lastRenderedPageBreak/>
              <w:t>However, the number of accommodated guests continued to grow slightly, but only thanks to domestic</w:t>
            </w:r>
            <w:r>
              <w:rPr>
                <w:color w:val="0D0D0D" w:themeColor="text1" w:themeTint="F2"/>
              </w:rPr>
              <w:t xml:space="preserve"> guests in Q2</w:t>
            </w:r>
            <w:r w:rsidRPr="007129B5">
              <w:rPr>
                <w:color w:val="0D0D0D" w:themeColor="text1" w:themeTint="F2"/>
              </w:rPr>
              <w:t>.</w:t>
            </w:r>
            <w:r>
              <w:rPr>
                <w:color w:val="0D0D0D" w:themeColor="text1" w:themeTint="F2"/>
              </w:rPr>
              <w:t xml:space="preserve"> </w:t>
            </w:r>
          </w:p>
          <w:p w14:paraId="221B0487" w14:textId="77777777" w:rsidR="00927BC1" w:rsidRPr="00F26B70" w:rsidRDefault="00927BC1" w:rsidP="00D60677">
            <w:pPr>
              <w:pStyle w:val="Marginlie"/>
              <w:rPr>
                <w:color w:val="0D0D0D" w:themeColor="text1" w:themeTint="F2"/>
                <w:spacing w:val="0"/>
              </w:rPr>
            </w:pPr>
          </w:p>
        </w:tc>
        <w:tc>
          <w:tcPr>
            <w:tcW w:w="142" w:type="dxa"/>
            <w:tcMar>
              <w:left w:w="0" w:type="dxa"/>
            </w:tcMar>
          </w:tcPr>
          <w:p w14:paraId="01897F85" w14:textId="77777777" w:rsidR="00927BC1" w:rsidRPr="00F26B70" w:rsidRDefault="00927BC1" w:rsidP="00D60677">
            <w:pPr>
              <w:pStyle w:val="Textpoznpodarou"/>
              <w:jc w:val="both"/>
              <w:rPr>
                <w:color w:val="0D0D0D" w:themeColor="text1" w:themeTint="F2"/>
              </w:rPr>
            </w:pPr>
          </w:p>
        </w:tc>
        <w:tc>
          <w:tcPr>
            <w:tcW w:w="7653" w:type="dxa"/>
            <w:gridSpan w:val="2"/>
            <w:tcMar>
              <w:left w:w="0" w:type="dxa"/>
            </w:tcMar>
          </w:tcPr>
          <w:p w14:paraId="12EDC7F1" w14:textId="77777777" w:rsidR="00927BC1" w:rsidRPr="00F26B70" w:rsidRDefault="00927BC1" w:rsidP="00D60677">
            <w:pPr>
              <w:spacing w:after="200"/>
              <w:rPr>
                <w:rStyle w:val="normaltextrun"/>
                <w:rFonts w:eastAsiaTheme="majorEastAsia"/>
                <w:color w:val="0D0D0D" w:themeColor="text1" w:themeTint="F2"/>
                <w:spacing w:val="-4"/>
              </w:rPr>
            </w:pPr>
            <w:r w:rsidRPr="006E2B04">
              <w:rPr>
                <w:rFonts w:eastAsia="Arial" w:cs="Arial"/>
                <w:color w:val="0D0D0D" w:themeColor="text1" w:themeTint="F2"/>
                <w:spacing w:val="-4"/>
                <w:szCs w:val="20"/>
              </w:rPr>
              <w:t xml:space="preserve">Domestic providers of </w:t>
            </w:r>
            <w:r>
              <w:rPr>
                <w:rFonts w:eastAsia="Arial" w:cs="Arial"/>
                <w:color w:val="0D0D0D" w:themeColor="text1" w:themeTint="F2"/>
                <w:spacing w:val="-4"/>
                <w:szCs w:val="20"/>
              </w:rPr>
              <w:t>collective accommodation facilities</w:t>
            </w:r>
            <w:r w:rsidRPr="006E2B04">
              <w:rPr>
                <w:rFonts w:eastAsia="Arial" w:cs="Arial"/>
                <w:color w:val="0D0D0D" w:themeColor="text1" w:themeTint="F2"/>
                <w:spacing w:val="-4"/>
                <w:szCs w:val="20"/>
              </w:rPr>
              <w:t xml:space="preserve"> registered a slight year-on-year growth </w:t>
            </w:r>
            <w:r>
              <w:rPr>
                <w:rFonts w:eastAsia="Arial" w:cs="Arial"/>
                <w:color w:val="0D0D0D" w:themeColor="text1" w:themeTint="F2"/>
                <w:spacing w:val="-4"/>
                <w:szCs w:val="20"/>
              </w:rPr>
              <w:t xml:space="preserve">of </w:t>
            </w:r>
            <w:r w:rsidRPr="006E2B04">
              <w:rPr>
                <w:rFonts w:eastAsia="Arial" w:cs="Arial"/>
                <w:color w:val="0D0D0D" w:themeColor="text1" w:themeTint="F2"/>
                <w:spacing w:val="-4"/>
                <w:szCs w:val="20"/>
              </w:rPr>
              <w:t xml:space="preserve">both guests (+0.5%) and overnight stays (0.3%) in Q2. However, this was the weakest pace in the last seven and five quarters, respectively. The slowdown is particularly noticeable compared to the pace achieved in Q1 2026 (+5.2%, +5.6%), when mountain resorts were also doing well. The slight year-on-year growth </w:t>
            </w:r>
            <w:r>
              <w:rPr>
                <w:rFonts w:eastAsia="Arial" w:cs="Arial"/>
                <w:color w:val="0D0D0D" w:themeColor="text1" w:themeTint="F2"/>
                <w:spacing w:val="-4"/>
                <w:szCs w:val="20"/>
              </w:rPr>
              <w:t>of</w:t>
            </w:r>
            <w:r w:rsidRPr="006E2B04">
              <w:rPr>
                <w:rFonts w:eastAsia="Arial" w:cs="Arial"/>
                <w:color w:val="0D0D0D" w:themeColor="text1" w:themeTint="F2"/>
                <w:spacing w:val="-4"/>
                <w:szCs w:val="20"/>
              </w:rPr>
              <w:t xml:space="preserve"> the number of accommodated guests in Q2 was supported only by domestic clients.</w:t>
            </w:r>
            <w:r>
              <w:rPr>
                <w:rFonts w:eastAsia="Arial" w:cs="Arial"/>
                <w:color w:val="0D0D0D" w:themeColor="text1" w:themeTint="F2"/>
                <w:spacing w:val="-4"/>
                <w:szCs w:val="20"/>
              </w:rPr>
              <w:t xml:space="preserve"> </w:t>
            </w:r>
            <w:r w:rsidRPr="009F7509">
              <w:rPr>
                <w:rFonts w:eastAsia="Arial" w:cs="Arial"/>
                <w:color w:val="0D0D0D" w:themeColor="text1" w:themeTint="F2"/>
                <w:spacing w:val="-4"/>
                <w:szCs w:val="20"/>
              </w:rPr>
              <w:t>The number of foreign guests decreased slightly (</w:t>
            </w:r>
            <w:r w:rsidRPr="0006472D">
              <w:rPr>
                <w:color w:val="0D0D0D" w:themeColor="text1" w:themeTint="F2"/>
                <w:spacing w:val="-4"/>
              </w:rPr>
              <w:t>−</w:t>
            </w:r>
            <w:r w:rsidRPr="009F7509">
              <w:rPr>
                <w:rFonts w:eastAsia="Arial" w:cs="Arial"/>
                <w:color w:val="0D0D0D" w:themeColor="text1" w:themeTint="F2"/>
                <w:spacing w:val="-4"/>
                <w:szCs w:val="20"/>
              </w:rPr>
              <w:t xml:space="preserve">0.1%) for the first time since the peak of the pandemic (Q1 2021). The current slowdown </w:t>
            </w:r>
            <w:r>
              <w:rPr>
                <w:rFonts w:eastAsia="Arial" w:cs="Arial"/>
                <w:color w:val="0D0D0D" w:themeColor="text1" w:themeTint="F2"/>
                <w:spacing w:val="-4"/>
                <w:szCs w:val="20"/>
              </w:rPr>
              <w:t>of</w:t>
            </w:r>
            <w:r w:rsidRPr="009F7509">
              <w:rPr>
                <w:rFonts w:eastAsia="Arial" w:cs="Arial"/>
                <w:color w:val="0D0D0D" w:themeColor="text1" w:themeTint="F2"/>
                <w:spacing w:val="-4"/>
                <w:szCs w:val="20"/>
              </w:rPr>
              <w:t xml:space="preserve"> visitor growth may also be related to a partial change in clientele (growth in the number of overnight stays by guests from most countries neighbouring the Czech Republic, as well as from the USA and Canada, but also from the Balkan states, and at the same time a decline </w:t>
            </w:r>
            <w:r>
              <w:rPr>
                <w:rFonts w:eastAsia="Arial" w:cs="Arial"/>
                <w:color w:val="0D0D0D" w:themeColor="text1" w:themeTint="F2"/>
                <w:spacing w:val="-4"/>
                <w:szCs w:val="20"/>
              </w:rPr>
              <w:t xml:space="preserve">for guests from </w:t>
            </w:r>
            <w:r w:rsidRPr="009F7509">
              <w:rPr>
                <w:rFonts w:eastAsia="Arial" w:cs="Arial"/>
                <w:color w:val="0D0D0D" w:themeColor="text1" w:themeTint="F2"/>
                <w:spacing w:val="-4"/>
                <w:szCs w:val="20"/>
              </w:rPr>
              <w:t xml:space="preserve">e.g. the United Kingdom, France or the Middle East) and their financial behaviour (a possible greater tendency to save in connection with the long-term rising prices of accommodation and </w:t>
            </w:r>
            <w:r>
              <w:rPr>
                <w:rFonts w:eastAsia="Arial" w:cs="Arial"/>
                <w:color w:val="0D0D0D" w:themeColor="text1" w:themeTint="F2"/>
                <w:spacing w:val="-4"/>
                <w:szCs w:val="20"/>
              </w:rPr>
              <w:t xml:space="preserve">restaurants </w:t>
            </w:r>
            <w:r w:rsidRPr="009F7509">
              <w:rPr>
                <w:rFonts w:eastAsia="Arial" w:cs="Arial"/>
                <w:color w:val="0D0D0D" w:themeColor="text1" w:themeTint="F2"/>
                <w:spacing w:val="-4"/>
                <w:szCs w:val="20"/>
              </w:rPr>
              <w:t>in the Czech Republic).</w:t>
            </w:r>
            <w:r w:rsidRPr="00F26B70">
              <w:rPr>
                <w:rStyle w:val="normaltextrun"/>
                <w:rFonts w:eastAsiaTheme="majorEastAsia" w:cs="Arial"/>
                <w:spacing w:val="-4"/>
                <w:szCs w:val="20"/>
              </w:rPr>
              <w:t xml:space="preserve"> </w:t>
            </w:r>
          </w:p>
        </w:tc>
      </w:tr>
      <w:tr w:rsidR="00927BC1" w:rsidRPr="00D52CA1" w14:paraId="1F267F15" w14:textId="77777777" w:rsidTr="00D60677">
        <w:trPr>
          <w:trHeight w:val="170"/>
        </w:trPr>
        <w:tc>
          <w:tcPr>
            <w:tcW w:w="1863" w:type="dxa"/>
            <w:tcMar>
              <w:left w:w="0" w:type="dxa"/>
            </w:tcMar>
          </w:tcPr>
          <w:p w14:paraId="1ED05A2C" w14:textId="77777777" w:rsidR="00927BC1" w:rsidRPr="00F26B70" w:rsidRDefault="00927BC1" w:rsidP="00D60677">
            <w:pPr>
              <w:pStyle w:val="Marginlie"/>
              <w:rPr>
                <w:color w:val="0D0D0D" w:themeColor="text1" w:themeTint="F2"/>
                <w:spacing w:val="0"/>
              </w:rPr>
            </w:pPr>
          </w:p>
        </w:tc>
        <w:tc>
          <w:tcPr>
            <w:tcW w:w="142" w:type="dxa"/>
            <w:tcMar>
              <w:left w:w="0" w:type="dxa"/>
            </w:tcMar>
          </w:tcPr>
          <w:p w14:paraId="3A201045" w14:textId="77777777" w:rsidR="00927BC1" w:rsidRPr="00F26B70" w:rsidRDefault="00927BC1" w:rsidP="00D60677">
            <w:pPr>
              <w:pStyle w:val="Textpoznpodarou"/>
              <w:jc w:val="both"/>
              <w:rPr>
                <w:color w:val="0D0D0D" w:themeColor="text1" w:themeTint="F2"/>
              </w:rPr>
            </w:pPr>
          </w:p>
        </w:tc>
        <w:tc>
          <w:tcPr>
            <w:tcW w:w="7653" w:type="dxa"/>
            <w:gridSpan w:val="2"/>
            <w:tcMar>
              <w:left w:w="0" w:type="dxa"/>
            </w:tcMar>
          </w:tcPr>
          <w:p w14:paraId="7B1CE913" w14:textId="77777777" w:rsidR="00927BC1" w:rsidRPr="00F26B70" w:rsidRDefault="00927BC1" w:rsidP="00D60677">
            <w:pPr>
              <w:spacing w:after="0"/>
              <w:jc w:val="left"/>
              <w:rPr>
                <w:bCs/>
                <w:color w:val="0D0D0D" w:themeColor="text1" w:themeTint="F2"/>
                <w:spacing w:val="-2"/>
              </w:rPr>
            </w:pPr>
            <w:r>
              <w:rPr>
                <w:b/>
                <w:color w:val="0D0D0D" w:themeColor="text1" w:themeTint="F2"/>
                <w:spacing w:val="-4"/>
              </w:rPr>
              <w:t xml:space="preserve">Chart </w:t>
            </w:r>
            <w:r w:rsidRPr="00F26B70">
              <w:rPr>
                <w:b/>
                <w:color w:val="0D0D0D" w:themeColor="text1" w:themeTint="F2"/>
                <w:spacing w:val="-4"/>
              </w:rPr>
              <w:t xml:space="preserve">8 </w:t>
            </w:r>
            <w:r w:rsidRPr="0064287A">
              <w:rPr>
                <w:b/>
                <w:color w:val="0D0D0D" w:themeColor="text1" w:themeTint="F2"/>
                <w:spacing w:val="-4"/>
              </w:rPr>
              <w:t xml:space="preserve">Decomposition of year-on-year change </w:t>
            </w:r>
            <w:r>
              <w:rPr>
                <w:b/>
                <w:color w:val="0D0D0D" w:themeColor="text1" w:themeTint="F2"/>
                <w:spacing w:val="-4"/>
              </w:rPr>
              <w:t>of</w:t>
            </w:r>
            <w:r w:rsidRPr="0064287A">
              <w:rPr>
                <w:b/>
                <w:color w:val="0D0D0D" w:themeColor="text1" w:themeTint="F2"/>
                <w:spacing w:val="-4"/>
              </w:rPr>
              <w:t xml:space="preserve"> sales in services</w:t>
            </w:r>
            <w:r w:rsidRPr="00122AD9">
              <w:rPr>
                <w:bCs/>
                <w:color w:val="0D0D0D" w:themeColor="text1" w:themeTint="F2"/>
                <w:spacing w:val="-4"/>
              </w:rPr>
              <w:t>* (contributions to growth, in p. p.)</w:t>
            </w:r>
            <w:r w:rsidRPr="0064287A">
              <w:rPr>
                <w:b/>
                <w:color w:val="0D0D0D" w:themeColor="text1" w:themeTint="F2"/>
                <w:spacing w:val="-4"/>
              </w:rPr>
              <w:t xml:space="preserve">, balance of business confidence in services** </w:t>
            </w:r>
            <w:r w:rsidRPr="00122AD9">
              <w:rPr>
                <w:bCs/>
                <w:color w:val="0D0D0D" w:themeColor="text1" w:themeTint="F2"/>
                <w:spacing w:val="-4"/>
              </w:rPr>
              <w:t>(in p. p.)</w:t>
            </w:r>
          </w:p>
        </w:tc>
      </w:tr>
      <w:tr w:rsidR="00927BC1" w:rsidRPr="00B131B0" w14:paraId="3A890F9D" w14:textId="77777777" w:rsidTr="00D60677">
        <w:tblPrEx>
          <w:tblCellMar>
            <w:left w:w="70" w:type="dxa"/>
            <w:right w:w="70" w:type="dxa"/>
          </w:tblCellMar>
        </w:tblPrEx>
        <w:trPr>
          <w:trHeight w:val="170"/>
        </w:trPr>
        <w:tc>
          <w:tcPr>
            <w:tcW w:w="1863" w:type="dxa"/>
          </w:tcPr>
          <w:p w14:paraId="22E601CD" w14:textId="77777777" w:rsidR="00927BC1" w:rsidRPr="00F26B70" w:rsidRDefault="00927BC1" w:rsidP="00D60677">
            <w:pPr>
              <w:pStyle w:val="Marginlie"/>
              <w:rPr>
                <w:color w:val="0D0D0D" w:themeColor="text1" w:themeTint="F2"/>
              </w:rPr>
            </w:pPr>
          </w:p>
        </w:tc>
        <w:tc>
          <w:tcPr>
            <w:tcW w:w="160" w:type="dxa"/>
            <w:gridSpan w:val="2"/>
          </w:tcPr>
          <w:p w14:paraId="6CDFDFA6" w14:textId="77777777" w:rsidR="00927BC1" w:rsidRPr="00F26B70" w:rsidRDefault="00927BC1" w:rsidP="00D60677">
            <w:pPr>
              <w:pStyle w:val="Textpoznpodarou"/>
              <w:jc w:val="both"/>
              <w:rPr>
                <w:color w:val="0D0D0D" w:themeColor="text1" w:themeTint="F2"/>
                <w:spacing w:val="-4"/>
              </w:rPr>
            </w:pPr>
          </w:p>
        </w:tc>
        <w:tc>
          <w:tcPr>
            <w:tcW w:w="7635" w:type="dxa"/>
          </w:tcPr>
          <w:p w14:paraId="6393DCC3" w14:textId="77777777" w:rsidR="00927BC1" w:rsidRPr="00B131B0" w:rsidRDefault="00927BC1" w:rsidP="00D60677">
            <w:pPr>
              <w:spacing w:before="40" w:after="20"/>
              <w:rPr>
                <w:b/>
                <w:color w:val="0D0D0D" w:themeColor="text1" w:themeTint="F2"/>
                <w:spacing w:val="-4"/>
              </w:rPr>
            </w:pPr>
            <w:r>
              <w:rPr>
                <w:noProof/>
              </w:rPr>
              <w:drawing>
                <wp:inline distT="0" distB="0" distL="0" distR="0" wp14:anchorId="5E987B6A" wp14:editId="1AC38619">
                  <wp:extent cx="4732934" cy="3585845"/>
                  <wp:effectExtent l="0" t="0" r="0" b="0"/>
                  <wp:docPr id="2125656452" name="Graf 1">
                    <a:extLst xmlns:a="http://schemas.openxmlformats.org/drawingml/2006/main">
                      <a:ext uri="{FF2B5EF4-FFF2-40B4-BE49-F238E27FC236}">
                        <a16:creationId xmlns:a16="http://schemas.microsoft.com/office/drawing/2014/main" id="{D78E6081-4916-4CA6-AD3E-49A13EA039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927BC1" w:rsidRPr="00B131B0" w14:paraId="54E1D631" w14:textId="77777777" w:rsidTr="00D60677">
        <w:tblPrEx>
          <w:tblCellMar>
            <w:left w:w="70" w:type="dxa"/>
            <w:right w:w="70" w:type="dxa"/>
          </w:tblCellMar>
        </w:tblPrEx>
        <w:trPr>
          <w:trHeight w:val="170"/>
        </w:trPr>
        <w:tc>
          <w:tcPr>
            <w:tcW w:w="1863" w:type="dxa"/>
          </w:tcPr>
          <w:p w14:paraId="3728CDA8" w14:textId="77777777" w:rsidR="00927BC1" w:rsidRPr="00B131B0" w:rsidRDefault="00927BC1" w:rsidP="00D60677">
            <w:pPr>
              <w:pStyle w:val="Marginlie"/>
              <w:rPr>
                <w:color w:val="0D0D0D" w:themeColor="text1" w:themeTint="F2"/>
              </w:rPr>
            </w:pPr>
          </w:p>
        </w:tc>
        <w:tc>
          <w:tcPr>
            <w:tcW w:w="160" w:type="dxa"/>
            <w:gridSpan w:val="2"/>
          </w:tcPr>
          <w:p w14:paraId="336674C8" w14:textId="77777777" w:rsidR="00927BC1" w:rsidRPr="00B131B0" w:rsidRDefault="00927BC1" w:rsidP="00D60677">
            <w:pPr>
              <w:pStyle w:val="Textpoznpodarou"/>
              <w:jc w:val="both"/>
              <w:rPr>
                <w:color w:val="0D0D0D" w:themeColor="text1" w:themeTint="F2"/>
                <w:spacing w:val="-4"/>
              </w:rPr>
            </w:pPr>
          </w:p>
        </w:tc>
        <w:tc>
          <w:tcPr>
            <w:tcW w:w="7635" w:type="dxa"/>
          </w:tcPr>
          <w:p w14:paraId="7C9AF2D2" w14:textId="77777777" w:rsidR="00927BC1" w:rsidRDefault="00927BC1" w:rsidP="00D60677">
            <w:pPr>
              <w:spacing w:after="0" w:line="240" w:lineRule="auto"/>
              <w:jc w:val="left"/>
              <w:rPr>
                <w:rFonts w:cs="Arial"/>
                <w:color w:val="0D0D0D" w:themeColor="text1" w:themeTint="F2"/>
                <w:spacing w:val="-4"/>
                <w:sz w:val="14"/>
                <w:szCs w:val="14"/>
              </w:rPr>
            </w:pPr>
            <w:r w:rsidRPr="00D10007">
              <w:rPr>
                <w:rFonts w:cs="Arial"/>
                <w:color w:val="0D0D0D" w:themeColor="text1" w:themeTint="F2"/>
                <w:spacing w:val="-4"/>
                <w:sz w:val="14"/>
                <w:szCs w:val="14"/>
              </w:rPr>
              <w:t xml:space="preserve">Note: Sales are </w:t>
            </w:r>
            <w:r>
              <w:rPr>
                <w:rFonts w:cs="Arial"/>
                <w:color w:val="0D0D0D" w:themeColor="text1" w:themeTint="F2"/>
                <w:spacing w:val="-4"/>
                <w:sz w:val="14"/>
                <w:szCs w:val="14"/>
              </w:rPr>
              <w:t xml:space="preserve">given </w:t>
            </w:r>
            <w:r w:rsidRPr="00D10007">
              <w:rPr>
                <w:rFonts w:cs="Arial"/>
                <w:color w:val="0D0D0D" w:themeColor="text1" w:themeTint="F2"/>
                <w:spacing w:val="-4"/>
                <w:sz w:val="14"/>
                <w:szCs w:val="14"/>
              </w:rPr>
              <w:t>in real terms and adjusted for calendar effects. The balance of business confidence is seasonally adjusted. *</w:t>
            </w:r>
            <w:r>
              <w:rPr>
                <w:rFonts w:cs="Arial"/>
                <w:color w:val="0D0D0D" w:themeColor="text1" w:themeTint="F2"/>
                <w:spacing w:val="-4"/>
                <w:sz w:val="14"/>
                <w:szCs w:val="14"/>
              </w:rPr>
              <w:t xml:space="preserve"> S</w:t>
            </w:r>
            <w:r w:rsidRPr="00D10007">
              <w:rPr>
                <w:rFonts w:cs="Arial"/>
                <w:color w:val="0D0D0D" w:themeColor="text1" w:themeTint="F2"/>
                <w:spacing w:val="-4"/>
                <w:sz w:val="14"/>
                <w:szCs w:val="14"/>
              </w:rPr>
              <w:t xml:space="preserve">ales in services do not include the </w:t>
            </w:r>
            <w:r>
              <w:rPr>
                <w:rFonts w:cs="Arial"/>
                <w:color w:val="0D0D0D" w:themeColor="text1" w:themeTint="F2"/>
                <w:spacing w:val="-4"/>
                <w:sz w:val="14"/>
                <w:szCs w:val="14"/>
              </w:rPr>
              <w:t xml:space="preserve">branch </w:t>
            </w:r>
            <w:r w:rsidRPr="00D10007">
              <w:rPr>
                <w:rFonts w:cs="Arial"/>
                <w:color w:val="0D0D0D" w:themeColor="text1" w:themeTint="F2"/>
                <w:spacing w:val="-4"/>
                <w:sz w:val="14"/>
                <w:szCs w:val="14"/>
              </w:rPr>
              <w:t>trade, financial, insurance</w:t>
            </w:r>
            <w:r>
              <w:rPr>
                <w:rFonts w:cs="Arial"/>
                <w:color w:val="0D0D0D" w:themeColor="text1" w:themeTint="F2"/>
                <w:spacing w:val="-4"/>
                <w:sz w:val="14"/>
                <w:szCs w:val="14"/>
              </w:rPr>
              <w:t xml:space="preserve"> activities</w:t>
            </w:r>
            <w:r w:rsidRPr="00D10007">
              <w:rPr>
                <w:rFonts w:cs="Arial"/>
                <w:color w:val="0D0D0D" w:themeColor="text1" w:themeTint="F2"/>
                <w:spacing w:val="-4"/>
                <w:sz w:val="14"/>
                <w:szCs w:val="14"/>
              </w:rPr>
              <w:t xml:space="preserve">, science, research and </w:t>
            </w:r>
            <w:r>
              <w:rPr>
                <w:rFonts w:cs="Arial"/>
                <w:color w:val="0D0D0D" w:themeColor="text1" w:themeTint="F2"/>
                <w:spacing w:val="-4"/>
                <w:sz w:val="14"/>
                <w:szCs w:val="14"/>
              </w:rPr>
              <w:t>public services</w:t>
            </w:r>
            <w:r w:rsidRPr="00D10007">
              <w:rPr>
                <w:rFonts w:cs="Arial"/>
                <w:color w:val="0D0D0D" w:themeColor="text1" w:themeTint="F2"/>
                <w:spacing w:val="-4"/>
                <w:sz w:val="14"/>
                <w:szCs w:val="14"/>
              </w:rPr>
              <w:t>.</w:t>
            </w:r>
          </w:p>
          <w:p w14:paraId="5F625E25" w14:textId="77777777" w:rsidR="00927BC1" w:rsidRDefault="00927BC1" w:rsidP="00D60677">
            <w:pPr>
              <w:spacing w:after="0" w:line="240" w:lineRule="auto"/>
              <w:jc w:val="left"/>
              <w:rPr>
                <w:rFonts w:cs="Arial"/>
                <w:color w:val="0D0D0D" w:themeColor="text1" w:themeTint="F2"/>
                <w:spacing w:val="-4"/>
                <w:sz w:val="14"/>
                <w:szCs w:val="14"/>
              </w:rPr>
            </w:pPr>
            <w:r w:rsidRPr="00D10007">
              <w:rPr>
                <w:rFonts w:cs="Arial"/>
                <w:color w:val="0D0D0D" w:themeColor="text1" w:themeTint="F2"/>
                <w:spacing w:val="-4"/>
                <w:sz w:val="14"/>
                <w:szCs w:val="14"/>
              </w:rPr>
              <w:t>**</w:t>
            </w:r>
            <w:r>
              <w:rPr>
                <w:rFonts w:cs="Arial"/>
                <w:color w:val="0D0D0D" w:themeColor="text1" w:themeTint="F2"/>
                <w:spacing w:val="-4"/>
                <w:sz w:val="14"/>
                <w:szCs w:val="14"/>
              </w:rPr>
              <w:t xml:space="preserve"> T</w:t>
            </w:r>
            <w:r w:rsidRPr="00D10007">
              <w:rPr>
                <w:rFonts w:cs="Arial"/>
                <w:color w:val="0D0D0D" w:themeColor="text1" w:themeTint="F2"/>
                <w:spacing w:val="-4"/>
                <w:sz w:val="14"/>
                <w:szCs w:val="14"/>
              </w:rPr>
              <w:t>he balance of business confidence also includes the financial sector and expresses the monthly average for the entire quarter, and for the last period, the average for the first two months.</w:t>
            </w:r>
          </w:p>
          <w:p w14:paraId="5BC29505" w14:textId="77777777" w:rsidR="00927BC1" w:rsidRDefault="00927BC1" w:rsidP="00D60677">
            <w:pPr>
              <w:spacing w:after="0" w:line="240" w:lineRule="auto"/>
              <w:jc w:val="left"/>
              <w:rPr>
                <w:rFonts w:cs="Arial"/>
                <w:color w:val="0D0D0D" w:themeColor="text1" w:themeTint="F2"/>
                <w:spacing w:val="-4"/>
                <w:sz w:val="14"/>
                <w:szCs w:val="14"/>
                <w:lang w:val="cs-CZ"/>
              </w:rPr>
            </w:pPr>
            <w:r w:rsidRPr="005A5A30">
              <w:rPr>
                <w:rFonts w:cs="Arial"/>
                <w:color w:val="0D0D0D" w:themeColor="text1" w:themeTint="F2"/>
                <w:spacing w:val="-4"/>
                <w:sz w:val="14"/>
                <w:szCs w:val="14"/>
                <w:lang w:val="cs-CZ"/>
              </w:rPr>
              <w:t>Source: CZSO, Eurosta</w:t>
            </w:r>
            <w:r>
              <w:rPr>
                <w:rFonts w:cs="Arial"/>
                <w:color w:val="0D0D0D" w:themeColor="text1" w:themeTint="F2"/>
                <w:spacing w:val="-4"/>
                <w:sz w:val="14"/>
                <w:szCs w:val="14"/>
                <w:lang w:val="cs-CZ"/>
              </w:rPr>
              <w:t>t</w:t>
            </w:r>
          </w:p>
          <w:p w14:paraId="52DBCA04" w14:textId="77777777" w:rsidR="00927BC1" w:rsidRPr="00D24CCB" w:rsidRDefault="00927BC1" w:rsidP="00D60677">
            <w:pPr>
              <w:spacing w:after="0" w:line="240" w:lineRule="auto"/>
              <w:rPr>
                <w:rFonts w:cs="Arial"/>
                <w:color w:val="0D0D0D" w:themeColor="text1" w:themeTint="F2"/>
                <w:spacing w:val="-4"/>
                <w:sz w:val="14"/>
                <w:szCs w:val="14"/>
                <w:lang w:val="cs-CZ"/>
              </w:rPr>
            </w:pPr>
          </w:p>
        </w:tc>
      </w:tr>
      <w:tr w:rsidR="00927BC1" w:rsidRPr="00B131B0" w14:paraId="6FF1964D" w14:textId="77777777" w:rsidTr="00D60677">
        <w:trPr>
          <w:trHeight w:val="155"/>
        </w:trPr>
        <w:tc>
          <w:tcPr>
            <w:tcW w:w="1863" w:type="dxa"/>
            <w:tcMar>
              <w:left w:w="0" w:type="dxa"/>
            </w:tcMar>
          </w:tcPr>
          <w:p w14:paraId="76E2EE5D" w14:textId="77777777" w:rsidR="00927BC1" w:rsidRPr="00DD5E62" w:rsidRDefault="00927BC1" w:rsidP="00D60677">
            <w:pPr>
              <w:pStyle w:val="Marginlie"/>
              <w:rPr>
                <w:color w:val="0D0D0D" w:themeColor="text1" w:themeTint="F2"/>
              </w:rPr>
            </w:pPr>
            <w:r w:rsidRPr="0094731A">
              <w:rPr>
                <w:color w:val="0D0D0D" w:themeColor="text1" w:themeTint="F2"/>
              </w:rPr>
              <w:t xml:space="preserve">The development in the individual </w:t>
            </w:r>
            <w:r>
              <w:rPr>
                <w:color w:val="0D0D0D" w:themeColor="text1" w:themeTint="F2"/>
              </w:rPr>
              <w:t xml:space="preserve">fields </w:t>
            </w:r>
            <w:r w:rsidRPr="0094731A">
              <w:rPr>
                <w:color w:val="0D0D0D" w:themeColor="text1" w:themeTint="F2"/>
              </w:rPr>
              <w:t xml:space="preserve">of administrative and support </w:t>
            </w:r>
            <w:r>
              <w:rPr>
                <w:color w:val="0D0D0D" w:themeColor="text1" w:themeTint="F2"/>
              </w:rPr>
              <w:t xml:space="preserve">service </w:t>
            </w:r>
            <w:r w:rsidRPr="0094731A">
              <w:rPr>
                <w:color w:val="0D0D0D" w:themeColor="text1" w:themeTint="F2"/>
              </w:rPr>
              <w:t xml:space="preserve">activities was contradictory. In some of </w:t>
            </w:r>
            <w:r w:rsidRPr="0094731A">
              <w:rPr>
                <w:color w:val="0D0D0D" w:themeColor="text1" w:themeTint="F2"/>
              </w:rPr>
              <w:lastRenderedPageBreak/>
              <w:t>them, corporate demand grew due to the procyclical recovery, while in others there was a slowdown caused by advancing digitalisation.</w:t>
            </w:r>
            <w:r w:rsidRPr="00F26B70">
              <w:rPr>
                <w:color w:val="0D0D0D" w:themeColor="text1" w:themeTint="F2"/>
              </w:rPr>
              <w:t xml:space="preserve"> </w:t>
            </w:r>
          </w:p>
        </w:tc>
        <w:tc>
          <w:tcPr>
            <w:tcW w:w="142" w:type="dxa"/>
            <w:tcMar>
              <w:left w:w="0" w:type="dxa"/>
            </w:tcMar>
          </w:tcPr>
          <w:p w14:paraId="7ADF5A72" w14:textId="77777777" w:rsidR="00927BC1" w:rsidRPr="00B131B0" w:rsidRDefault="00927BC1" w:rsidP="00D60677">
            <w:pPr>
              <w:pStyle w:val="Textpoznpodarou"/>
              <w:jc w:val="both"/>
              <w:rPr>
                <w:bCs/>
                <w:color w:val="0D0D0D" w:themeColor="text1" w:themeTint="F2"/>
                <w:spacing w:val="-4"/>
              </w:rPr>
            </w:pPr>
          </w:p>
        </w:tc>
        <w:tc>
          <w:tcPr>
            <w:tcW w:w="7653" w:type="dxa"/>
            <w:gridSpan w:val="2"/>
            <w:tcMar>
              <w:left w:w="0" w:type="dxa"/>
            </w:tcMar>
          </w:tcPr>
          <w:p w14:paraId="659DC092" w14:textId="77777777" w:rsidR="00927BC1" w:rsidRPr="00F05A59" w:rsidRDefault="00927BC1" w:rsidP="00D60677">
            <w:pPr>
              <w:spacing w:after="200"/>
              <w:rPr>
                <w:rFonts w:cs="Arial"/>
                <w:color w:val="0D0D0D" w:themeColor="text1" w:themeTint="F2"/>
                <w:spacing w:val="-4"/>
                <w:szCs w:val="20"/>
                <w:lang w:val="en"/>
              </w:rPr>
            </w:pPr>
            <w:r w:rsidRPr="001C2DF4">
              <w:rPr>
                <w:rFonts w:eastAsia="Arial" w:cs="Arial"/>
                <w:color w:val="0D0D0D" w:themeColor="text1" w:themeTint="F2"/>
                <w:spacing w:val="-6"/>
                <w:szCs w:val="20"/>
              </w:rPr>
              <w:t xml:space="preserve">Sales in real estate activities effectively stagnated for the third year in a row. In the administrative and support </w:t>
            </w:r>
            <w:r>
              <w:rPr>
                <w:rFonts w:eastAsia="Arial" w:cs="Arial"/>
                <w:color w:val="0D0D0D" w:themeColor="text1" w:themeTint="F2"/>
                <w:spacing w:val="-6"/>
                <w:szCs w:val="20"/>
              </w:rPr>
              <w:t xml:space="preserve">service </w:t>
            </w:r>
            <w:r w:rsidRPr="001C2DF4">
              <w:rPr>
                <w:rFonts w:eastAsia="Arial" w:cs="Arial"/>
                <w:color w:val="0D0D0D" w:themeColor="text1" w:themeTint="F2"/>
                <w:spacing w:val="-6"/>
                <w:szCs w:val="20"/>
              </w:rPr>
              <w:t xml:space="preserve">activities, which generally provide lower value-added services mainly to enterprises, their pace continued to be subdued (+0.6%). </w:t>
            </w:r>
            <w:r>
              <w:rPr>
                <w:rFonts w:eastAsia="Arial" w:cs="Arial"/>
                <w:color w:val="0D0D0D" w:themeColor="text1" w:themeTint="F2"/>
                <w:spacing w:val="-6"/>
                <w:szCs w:val="20"/>
              </w:rPr>
              <w:t>T</w:t>
            </w:r>
            <w:r w:rsidRPr="001C2DF4">
              <w:rPr>
                <w:rFonts w:eastAsia="Arial" w:cs="Arial"/>
                <w:color w:val="0D0D0D" w:themeColor="text1" w:themeTint="F2"/>
                <w:spacing w:val="-6"/>
                <w:szCs w:val="20"/>
              </w:rPr>
              <w:t xml:space="preserve">he diverse field of </w:t>
            </w:r>
            <w:r>
              <w:rPr>
                <w:rFonts w:eastAsia="Arial" w:cs="Arial"/>
                <w:color w:val="0D0D0D" w:themeColor="text1" w:themeTint="F2"/>
                <w:spacing w:val="-6"/>
                <w:szCs w:val="20"/>
              </w:rPr>
              <w:t xml:space="preserve">office </w:t>
            </w:r>
            <w:r w:rsidRPr="001C2DF4">
              <w:rPr>
                <w:rFonts w:eastAsia="Arial" w:cs="Arial"/>
                <w:color w:val="0D0D0D" w:themeColor="text1" w:themeTint="F2"/>
                <w:spacing w:val="-6"/>
                <w:szCs w:val="20"/>
              </w:rPr>
              <w:t>administrative, office</w:t>
            </w:r>
            <w:r>
              <w:rPr>
                <w:rFonts w:eastAsia="Arial" w:cs="Arial"/>
                <w:color w:val="0D0D0D" w:themeColor="text1" w:themeTint="F2"/>
                <w:spacing w:val="-6"/>
                <w:szCs w:val="20"/>
              </w:rPr>
              <w:t xml:space="preserve"> support </w:t>
            </w:r>
            <w:r w:rsidRPr="001C2DF4">
              <w:rPr>
                <w:rFonts w:eastAsia="Arial" w:cs="Arial"/>
                <w:color w:val="0D0D0D" w:themeColor="text1" w:themeTint="F2"/>
                <w:spacing w:val="-6"/>
                <w:szCs w:val="20"/>
              </w:rPr>
              <w:t xml:space="preserve">and other business support activities contributed the </w:t>
            </w:r>
            <w:r w:rsidRPr="001C2DF4">
              <w:rPr>
                <w:rFonts w:eastAsia="Arial" w:cs="Arial"/>
                <w:color w:val="0D0D0D" w:themeColor="text1" w:themeTint="F2"/>
                <w:spacing w:val="-6"/>
                <w:szCs w:val="20"/>
              </w:rPr>
              <w:lastRenderedPageBreak/>
              <w:t>most to growth (+4.3%)</w:t>
            </w:r>
            <w:r w:rsidRPr="00B131B0">
              <w:rPr>
                <w:rStyle w:val="Znakapoznpodarou"/>
                <w:color w:val="0D0D0D" w:themeColor="text1" w:themeTint="F2"/>
                <w:spacing w:val="4"/>
              </w:rPr>
              <w:footnoteReference w:id="34"/>
            </w:r>
            <w:r>
              <w:rPr>
                <w:rFonts w:eastAsia="Arial" w:cs="Arial"/>
                <w:color w:val="0D0D0D" w:themeColor="text1" w:themeTint="F2"/>
                <w:spacing w:val="-6"/>
                <w:szCs w:val="20"/>
              </w:rPr>
              <w:t xml:space="preserve"> a</w:t>
            </w:r>
            <w:r w:rsidRPr="001C2DF4">
              <w:rPr>
                <w:rFonts w:eastAsia="Arial" w:cs="Arial"/>
                <w:color w:val="0D0D0D" w:themeColor="text1" w:themeTint="F2"/>
                <w:spacing w:val="-6"/>
                <w:szCs w:val="20"/>
              </w:rPr>
              <w:t xml:space="preserve">s for most of last year. Corporate demand was primarily reflected in the ongoing growth </w:t>
            </w:r>
            <w:r>
              <w:rPr>
                <w:rFonts w:eastAsia="Arial" w:cs="Arial"/>
                <w:color w:val="0D0D0D" w:themeColor="text1" w:themeTint="F2"/>
                <w:spacing w:val="-6"/>
                <w:szCs w:val="20"/>
              </w:rPr>
              <w:t xml:space="preserve">of </w:t>
            </w:r>
            <w:r w:rsidRPr="001C2DF4">
              <w:rPr>
                <w:rFonts w:eastAsia="Arial" w:cs="Arial"/>
                <w:color w:val="0D0D0D" w:themeColor="text1" w:themeTint="F2"/>
                <w:spacing w:val="-6"/>
                <w:szCs w:val="20"/>
              </w:rPr>
              <w:t>rental and operating leasing</w:t>
            </w:r>
            <w:r>
              <w:rPr>
                <w:rFonts w:eastAsia="Arial" w:cs="Arial"/>
                <w:color w:val="0D0D0D" w:themeColor="text1" w:themeTint="F2"/>
                <w:spacing w:val="-6"/>
                <w:szCs w:val="20"/>
              </w:rPr>
              <w:t xml:space="preserve"> sales</w:t>
            </w:r>
            <w:r w:rsidRPr="001C2DF4">
              <w:rPr>
                <w:rFonts w:eastAsia="Arial" w:cs="Arial"/>
                <w:color w:val="0D0D0D" w:themeColor="text1" w:themeTint="F2"/>
                <w:spacing w:val="-6"/>
                <w:szCs w:val="20"/>
              </w:rPr>
              <w:t xml:space="preserve">, </w:t>
            </w:r>
            <w:r>
              <w:rPr>
                <w:rFonts w:eastAsia="Arial" w:cs="Arial"/>
                <w:color w:val="0D0D0D" w:themeColor="text1" w:themeTint="F2"/>
                <w:spacing w:val="-6"/>
                <w:szCs w:val="20"/>
              </w:rPr>
              <w:t xml:space="preserve">which </w:t>
            </w:r>
            <w:r w:rsidRPr="001C2DF4">
              <w:rPr>
                <w:rFonts w:eastAsia="Arial" w:cs="Arial"/>
                <w:color w:val="0D0D0D" w:themeColor="text1" w:themeTint="F2"/>
                <w:spacing w:val="-6"/>
                <w:szCs w:val="20"/>
              </w:rPr>
              <w:t xml:space="preserve">increased (+3.0%), as demand for cars (and other light motor vehicles) recovered significantly this spring, as it also performed well for other machinery (e.g. construction or agricultural) and trucks. By contrast, growth </w:t>
            </w:r>
            <w:r>
              <w:rPr>
                <w:rFonts w:eastAsia="Arial" w:cs="Arial"/>
                <w:color w:val="0D0D0D" w:themeColor="text1" w:themeTint="F2"/>
                <w:spacing w:val="-6"/>
                <w:szCs w:val="20"/>
              </w:rPr>
              <w:t>of</w:t>
            </w:r>
            <w:r w:rsidRPr="001C2DF4">
              <w:rPr>
                <w:rFonts w:eastAsia="Arial" w:cs="Arial"/>
                <w:color w:val="0D0D0D" w:themeColor="text1" w:themeTint="F2"/>
                <w:spacing w:val="-6"/>
                <w:szCs w:val="20"/>
              </w:rPr>
              <w:t xml:space="preserve"> sales for rental and leasing of products for personal use and mainly for households has basically stopped. A very slight recovery </w:t>
            </w:r>
            <w:r>
              <w:rPr>
                <w:rFonts w:eastAsia="Arial" w:cs="Arial"/>
                <w:color w:val="0D0D0D" w:themeColor="text1" w:themeTint="F2"/>
                <w:spacing w:val="-6"/>
                <w:szCs w:val="20"/>
              </w:rPr>
              <w:t>of</w:t>
            </w:r>
            <w:r w:rsidRPr="001C2DF4">
              <w:rPr>
                <w:rFonts w:eastAsia="Arial" w:cs="Arial"/>
                <w:color w:val="0D0D0D" w:themeColor="text1" w:themeTint="F2"/>
                <w:spacing w:val="-6"/>
                <w:szCs w:val="20"/>
              </w:rPr>
              <w:t xml:space="preserve"> demand occurred </w:t>
            </w:r>
            <w:r>
              <w:rPr>
                <w:rFonts w:eastAsia="Arial" w:cs="Arial"/>
                <w:color w:val="0D0D0D" w:themeColor="text1" w:themeTint="F2"/>
                <w:spacing w:val="-6"/>
                <w:szCs w:val="20"/>
              </w:rPr>
              <w:t>in s</w:t>
            </w:r>
            <w:r w:rsidRPr="00B663D7">
              <w:rPr>
                <w:rFonts w:eastAsia="Arial" w:cs="Arial"/>
                <w:color w:val="0D0D0D" w:themeColor="text1" w:themeTint="F2"/>
                <w:spacing w:val="-6"/>
                <w:szCs w:val="20"/>
              </w:rPr>
              <w:t>ervices to buildings and landscape activities</w:t>
            </w:r>
            <w:r>
              <w:rPr>
                <w:rFonts w:eastAsia="Arial" w:cs="Arial"/>
                <w:color w:val="0D0D0D" w:themeColor="text1" w:themeTint="F2"/>
                <w:spacing w:val="-6"/>
                <w:szCs w:val="20"/>
              </w:rPr>
              <w:t xml:space="preserve"> </w:t>
            </w:r>
            <w:r w:rsidRPr="001C2DF4">
              <w:rPr>
                <w:rFonts w:eastAsia="Arial" w:cs="Arial"/>
                <w:color w:val="0D0D0D" w:themeColor="text1" w:themeTint="F2"/>
                <w:spacing w:val="-6"/>
                <w:szCs w:val="20"/>
              </w:rPr>
              <w:t>(+2.6%)</w:t>
            </w:r>
            <w:r w:rsidRPr="00B131B0">
              <w:rPr>
                <w:rStyle w:val="Znakapoznpodarou"/>
                <w:color w:val="0D0D0D" w:themeColor="text1" w:themeTint="F2"/>
                <w:spacing w:val="4"/>
              </w:rPr>
              <w:footnoteReference w:id="35"/>
            </w:r>
            <w:r w:rsidRPr="001C2DF4">
              <w:rPr>
                <w:rFonts w:eastAsia="Arial" w:cs="Arial"/>
                <w:color w:val="0D0D0D" w:themeColor="text1" w:themeTint="F2"/>
                <w:spacing w:val="-6"/>
                <w:szCs w:val="20"/>
              </w:rPr>
              <w:t xml:space="preserve">. The decline </w:t>
            </w:r>
            <w:r>
              <w:rPr>
                <w:rFonts w:eastAsia="Arial" w:cs="Arial"/>
                <w:color w:val="0D0D0D" w:themeColor="text1" w:themeTint="F2"/>
                <w:spacing w:val="-6"/>
                <w:szCs w:val="20"/>
              </w:rPr>
              <w:t>of</w:t>
            </w:r>
            <w:r w:rsidRPr="001C2DF4">
              <w:rPr>
                <w:rFonts w:eastAsia="Arial" w:cs="Arial"/>
                <w:color w:val="0D0D0D" w:themeColor="text1" w:themeTint="F2"/>
                <w:spacing w:val="-6"/>
                <w:szCs w:val="20"/>
              </w:rPr>
              <w:t xml:space="preserve"> sales of employment </w:t>
            </w:r>
            <w:r>
              <w:rPr>
                <w:rFonts w:eastAsia="Arial" w:cs="Arial"/>
                <w:color w:val="0D0D0D" w:themeColor="text1" w:themeTint="F2"/>
                <w:spacing w:val="-6"/>
                <w:szCs w:val="20"/>
              </w:rPr>
              <w:t xml:space="preserve">placement </w:t>
            </w:r>
            <w:r w:rsidRPr="001C2DF4">
              <w:rPr>
                <w:rFonts w:eastAsia="Arial" w:cs="Arial"/>
                <w:color w:val="0D0D0D" w:themeColor="text1" w:themeTint="F2"/>
                <w:spacing w:val="-6"/>
                <w:szCs w:val="20"/>
              </w:rPr>
              <w:t>agencies continued for the fifth year in a row, but moderated this year (to 1.0%)</w:t>
            </w:r>
            <w:r w:rsidRPr="00B131B0">
              <w:rPr>
                <w:rStyle w:val="Znakapoznpodarou"/>
                <w:color w:val="0D0D0D" w:themeColor="text1" w:themeTint="F2"/>
                <w:spacing w:val="4"/>
              </w:rPr>
              <w:footnoteReference w:id="36"/>
            </w:r>
            <w:r w:rsidRPr="001C2DF4">
              <w:rPr>
                <w:rFonts w:eastAsia="Arial" w:cs="Arial"/>
                <w:color w:val="0D0D0D" w:themeColor="text1" w:themeTint="F2"/>
                <w:spacing w:val="-6"/>
                <w:szCs w:val="20"/>
              </w:rPr>
              <w:t xml:space="preserve">, which may be related to the improvement </w:t>
            </w:r>
            <w:r>
              <w:rPr>
                <w:rFonts w:eastAsia="Arial" w:cs="Arial"/>
                <w:color w:val="0D0D0D" w:themeColor="text1" w:themeTint="F2"/>
                <w:spacing w:val="-6"/>
                <w:szCs w:val="20"/>
              </w:rPr>
              <w:t>of</w:t>
            </w:r>
            <w:r w:rsidRPr="001C2DF4">
              <w:rPr>
                <w:rFonts w:eastAsia="Arial" w:cs="Arial"/>
                <w:color w:val="0D0D0D" w:themeColor="text1" w:themeTint="F2"/>
                <w:spacing w:val="-6"/>
                <w:szCs w:val="20"/>
              </w:rPr>
              <w:t xml:space="preserve"> the situation in industry. Similarly, demand for security and </w:t>
            </w:r>
            <w:r>
              <w:rPr>
                <w:rFonts w:eastAsia="Arial" w:cs="Arial"/>
                <w:color w:val="0D0D0D" w:themeColor="text1" w:themeTint="F2"/>
                <w:spacing w:val="-6"/>
                <w:szCs w:val="20"/>
              </w:rPr>
              <w:t xml:space="preserve">investigation services decreased </w:t>
            </w:r>
            <w:r w:rsidRPr="001C2DF4">
              <w:rPr>
                <w:rFonts w:eastAsia="Arial" w:cs="Arial"/>
                <w:color w:val="0D0D0D" w:themeColor="text1" w:themeTint="F2"/>
                <w:spacing w:val="-6"/>
                <w:szCs w:val="20"/>
              </w:rPr>
              <w:t>slightly, the unfavourable development of which (related to the development of digitalisation) is also of a longer-term nature</w:t>
            </w:r>
            <w:r w:rsidRPr="00B131B0">
              <w:rPr>
                <w:rStyle w:val="Znakapoznpodarou"/>
                <w:color w:val="0D0D0D" w:themeColor="text1" w:themeTint="F2"/>
                <w:spacing w:val="4"/>
              </w:rPr>
              <w:footnoteReference w:id="37"/>
            </w:r>
            <w:r w:rsidRPr="001C2DF4">
              <w:rPr>
                <w:rFonts w:eastAsia="Arial" w:cs="Arial"/>
                <w:color w:val="0D0D0D" w:themeColor="text1" w:themeTint="F2"/>
                <w:spacing w:val="-6"/>
                <w:szCs w:val="20"/>
              </w:rPr>
              <w:t xml:space="preserve">. Sales of travel agencies decreased by 3.0%, confirming the change </w:t>
            </w:r>
            <w:r>
              <w:rPr>
                <w:rFonts w:eastAsia="Arial" w:cs="Arial"/>
                <w:color w:val="0D0D0D" w:themeColor="text1" w:themeTint="F2"/>
                <w:spacing w:val="-6"/>
                <w:szCs w:val="20"/>
              </w:rPr>
              <w:t>of</w:t>
            </w:r>
            <w:r w:rsidRPr="001C2DF4">
              <w:rPr>
                <w:rFonts w:eastAsia="Arial" w:cs="Arial"/>
                <w:color w:val="0D0D0D" w:themeColor="text1" w:themeTint="F2"/>
                <w:spacing w:val="-6"/>
                <w:szCs w:val="20"/>
              </w:rPr>
              <w:t xml:space="preserve"> the trend from last year (until the beginning of the year, demand in this area had been increasing, continuously since the end of the </w:t>
            </w:r>
            <w:r>
              <w:rPr>
                <w:rFonts w:eastAsia="Arial" w:cs="Arial"/>
                <w:color w:val="0D0D0D" w:themeColor="text1" w:themeTint="F2"/>
                <w:spacing w:val="-6"/>
                <w:szCs w:val="20"/>
              </w:rPr>
              <w:t>“</w:t>
            </w:r>
            <w:r w:rsidRPr="001C2DF4">
              <w:rPr>
                <w:rFonts w:eastAsia="Arial" w:cs="Arial"/>
                <w:color w:val="0D0D0D" w:themeColor="text1" w:themeTint="F2"/>
                <w:spacing w:val="-6"/>
                <w:szCs w:val="20"/>
              </w:rPr>
              <w:t>pandemic period</w:t>
            </w:r>
            <w:r>
              <w:rPr>
                <w:color w:val="0D0D0D" w:themeColor="text1" w:themeTint="F2"/>
                <w:spacing w:val="4"/>
              </w:rPr>
              <w:t>”</w:t>
            </w:r>
            <w:r w:rsidRPr="00F26B70">
              <w:rPr>
                <w:color w:val="0D0D0D" w:themeColor="text1" w:themeTint="F2"/>
                <w:spacing w:val="4"/>
              </w:rPr>
              <w:t xml:space="preserve">). </w:t>
            </w:r>
          </w:p>
        </w:tc>
      </w:tr>
      <w:tr w:rsidR="00927BC1" w:rsidRPr="00B131B0" w14:paraId="0B7E1072" w14:textId="77777777" w:rsidTr="00D60677">
        <w:trPr>
          <w:trHeight w:val="155"/>
        </w:trPr>
        <w:tc>
          <w:tcPr>
            <w:tcW w:w="1863" w:type="dxa"/>
            <w:tcMar>
              <w:left w:w="0" w:type="dxa"/>
            </w:tcMar>
          </w:tcPr>
          <w:p w14:paraId="221FEC14" w14:textId="77777777" w:rsidR="00927BC1" w:rsidRPr="00B131B0" w:rsidRDefault="00927BC1" w:rsidP="00D60677">
            <w:pPr>
              <w:pStyle w:val="Marginlie"/>
              <w:rPr>
                <w:color w:val="0D0D0D" w:themeColor="text1" w:themeTint="F2"/>
              </w:rPr>
            </w:pPr>
            <w:r w:rsidRPr="00DD5E62">
              <w:rPr>
                <w:color w:val="0D0D0D" w:themeColor="text1" w:themeTint="F2"/>
              </w:rPr>
              <w:lastRenderedPageBreak/>
              <w:t>Retail benefited from stable household confidence in the economy, supported by rapid wage growth.</w:t>
            </w:r>
            <w:r w:rsidRPr="00B131B0">
              <w:rPr>
                <w:color w:val="0D0D0D" w:themeColor="text1" w:themeTint="F2"/>
              </w:rPr>
              <w:t xml:space="preserve"> </w:t>
            </w:r>
          </w:p>
        </w:tc>
        <w:tc>
          <w:tcPr>
            <w:tcW w:w="142" w:type="dxa"/>
            <w:tcMar>
              <w:left w:w="0" w:type="dxa"/>
            </w:tcMar>
          </w:tcPr>
          <w:p w14:paraId="3DB08884" w14:textId="77777777" w:rsidR="00927BC1" w:rsidRPr="00B131B0" w:rsidRDefault="00927BC1" w:rsidP="00D60677">
            <w:pPr>
              <w:pStyle w:val="Textpoznpodarou"/>
              <w:jc w:val="both"/>
              <w:rPr>
                <w:bCs/>
                <w:color w:val="0D0D0D" w:themeColor="text1" w:themeTint="F2"/>
                <w:spacing w:val="-4"/>
              </w:rPr>
            </w:pPr>
          </w:p>
        </w:tc>
        <w:tc>
          <w:tcPr>
            <w:tcW w:w="7653" w:type="dxa"/>
            <w:gridSpan w:val="2"/>
            <w:tcMar>
              <w:left w:w="0" w:type="dxa"/>
            </w:tcMar>
          </w:tcPr>
          <w:p w14:paraId="38721435" w14:textId="77777777" w:rsidR="00927BC1" w:rsidRPr="00B131B0" w:rsidRDefault="00927BC1" w:rsidP="00D60677">
            <w:pPr>
              <w:spacing w:after="200"/>
              <w:rPr>
                <w:rFonts w:cs="Arial"/>
                <w:color w:val="0D0D0D" w:themeColor="text1" w:themeTint="F2"/>
                <w:spacing w:val="-4"/>
                <w:szCs w:val="20"/>
              </w:rPr>
            </w:pPr>
            <w:r w:rsidRPr="00F05A59">
              <w:rPr>
                <w:rFonts w:cs="Arial"/>
                <w:color w:val="0D0D0D" w:themeColor="text1" w:themeTint="F2"/>
                <w:spacing w:val="-4"/>
                <w:szCs w:val="20"/>
                <w:lang w:val="en"/>
              </w:rPr>
              <w:t xml:space="preserve">Retail has also performed well so far this year, benefiting from relatively stable household confidence in the economy (significantly unaffected by the deteriorated geopolitical situation), supported by favorable developments </w:t>
            </w:r>
            <w:r>
              <w:rPr>
                <w:rFonts w:cs="Arial"/>
                <w:color w:val="0D0D0D" w:themeColor="text1" w:themeTint="F2"/>
                <w:spacing w:val="-4"/>
                <w:szCs w:val="20"/>
                <w:lang w:val="en"/>
              </w:rPr>
              <w:t>o</w:t>
            </w:r>
            <w:r w:rsidRPr="00F05A59">
              <w:rPr>
                <w:rFonts w:cs="Arial"/>
                <w:color w:val="0D0D0D" w:themeColor="text1" w:themeTint="F2"/>
                <w:spacing w:val="-4"/>
                <w:szCs w:val="20"/>
                <w:lang w:val="en"/>
              </w:rPr>
              <w:t xml:space="preserve">n the labor market, reflected in steadily rising employment and rapid growth </w:t>
            </w:r>
            <w:r>
              <w:rPr>
                <w:rFonts w:cs="Arial"/>
                <w:color w:val="0D0D0D" w:themeColor="text1" w:themeTint="F2"/>
                <w:spacing w:val="-4"/>
                <w:szCs w:val="20"/>
                <w:lang w:val="en"/>
              </w:rPr>
              <w:t>of</w:t>
            </w:r>
            <w:r w:rsidRPr="00F05A59">
              <w:rPr>
                <w:rFonts w:cs="Arial"/>
                <w:color w:val="0D0D0D" w:themeColor="text1" w:themeTint="F2"/>
                <w:spacing w:val="-4"/>
                <w:szCs w:val="20"/>
                <w:lang w:val="en"/>
              </w:rPr>
              <w:t xml:space="preserve"> real wages. The financial situation of households has also improved slightly through the lens of self-assessment questions in regular business </w:t>
            </w:r>
            <w:r>
              <w:rPr>
                <w:rFonts w:cs="Arial"/>
                <w:color w:val="0D0D0D" w:themeColor="text1" w:themeTint="F2"/>
                <w:spacing w:val="-4"/>
                <w:szCs w:val="20"/>
                <w:lang w:val="en"/>
              </w:rPr>
              <w:t xml:space="preserve">cycle </w:t>
            </w:r>
            <w:r w:rsidRPr="00F05A59">
              <w:rPr>
                <w:rFonts w:cs="Arial"/>
                <w:color w:val="0D0D0D" w:themeColor="text1" w:themeTint="F2"/>
                <w:spacing w:val="-4"/>
                <w:szCs w:val="20"/>
                <w:lang w:val="en"/>
              </w:rPr>
              <w:t xml:space="preserve">surveys, while on the </w:t>
            </w:r>
            <w:r>
              <w:rPr>
                <w:rFonts w:cs="Arial"/>
                <w:color w:val="0D0D0D" w:themeColor="text1" w:themeTint="F2"/>
                <w:spacing w:val="-4"/>
                <w:szCs w:val="20"/>
                <w:lang w:val="en"/>
              </w:rPr>
              <w:t>contrary</w:t>
            </w:r>
            <w:r w:rsidRPr="00F05A59">
              <w:rPr>
                <w:rFonts w:cs="Arial"/>
                <w:color w:val="0D0D0D" w:themeColor="text1" w:themeTint="F2"/>
                <w:spacing w:val="-4"/>
                <w:szCs w:val="20"/>
                <w:lang w:val="en"/>
              </w:rPr>
              <w:t xml:space="preserve">, some concerns </w:t>
            </w:r>
            <w:r>
              <w:rPr>
                <w:rFonts w:cs="Arial"/>
                <w:color w:val="0D0D0D" w:themeColor="text1" w:themeTint="F2"/>
                <w:spacing w:val="-4"/>
                <w:szCs w:val="20"/>
                <w:lang w:val="en"/>
              </w:rPr>
              <w:t xml:space="preserve">remained regarding </w:t>
            </w:r>
            <w:r w:rsidRPr="00F05A59">
              <w:rPr>
                <w:rFonts w:cs="Arial"/>
                <w:color w:val="0D0D0D" w:themeColor="text1" w:themeTint="F2"/>
                <w:spacing w:val="-4"/>
                <w:szCs w:val="20"/>
                <w:lang w:val="en"/>
              </w:rPr>
              <w:t>the economic development of the Czech Republic in the coming year</w:t>
            </w:r>
            <w:r>
              <w:rPr>
                <w:rFonts w:cs="Arial"/>
                <w:color w:val="0D0D0D" w:themeColor="text1" w:themeTint="F2"/>
                <w:spacing w:val="-4"/>
                <w:szCs w:val="20"/>
                <w:lang w:val="en"/>
              </w:rPr>
              <w:t xml:space="preserve">. </w:t>
            </w:r>
            <w:r w:rsidRPr="00F05A59">
              <w:rPr>
                <w:rFonts w:cs="Arial"/>
                <w:color w:val="0D0D0D" w:themeColor="text1" w:themeTint="F2"/>
                <w:spacing w:val="-4"/>
                <w:szCs w:val="20"/>
                <w:lang w:val="en"/>
              </w:rPr>
              <w:t xml:space="preserve">This was also reflected in consumers' persistently more reserved attitude towards large, anticipated purchases (especially </w:t>
            </w:r>
            <w:r>
              <w:rPr>
                <w:rFonts w:cs="Arial"/>
                <w:color w:val="0D0D0D" w:themeColor="text1" w:themeTint="F2"/>
                <w:spacing w:val="-4"/>
                <w:szCs w:val="20"/>
                <w:lang w:val="en"/>
              </w:rPr>
              <w:t xml:space="preserve">durable </w:t>
            </w:r>
            <w:r w:rsidRPr="00F05A59">
              <w:rPr>
                <w:rFonts w:cs="Arial"/>
                <w:color w:val="0D0D0D" w:themeColor="text1" w:themeTint="F2"/>
                <w:spacing w:val="-4"/>
                <w:szCs w:val="20"/>
                <w:lang w:val="en"/>
              </w:rPr>
              <w:t xml:space="preserve">goods </w:t>
            </w:r>
            <w:r>
              <w:rPr>
                <w:rFonts w:cs="Arial"/>
                <w:color w:val="0D0D0D" w:themeColor="text1" w:themeTint="F2"/>
                <w:spacing w:val="-4"/>
                <w:szCs w:val="20"/>
                <w:lang w:val="en"/>
              </w:rPr>
              <w:t xml:space="preserve">and </w:t>
            </w:r>
            <w:r w:rsidRPr="00F05A59">
              <w:rPr>
                <w:rFonts w:cs="Arial"/>
                <w:color w:val="0D0D0D" w:themeColor="text1" w:themeTint="F2"/>
                <w:spacing w:val="-4"/>
                <w:szCs w:val="20"/>
                <w:lang w:val="en"/>
              </w:rPr>
              <w:t xml:space="preserve">investments). The trend of a higher propensity of households to save (which started at the beginning of the current decade) also continued. Quarter-on-quarter </w:t>
            </w:r>
            <w:r>
              <w:rPr>
                <w:rFonts w:cs="Arial"/>
                <w:color w:val="0D0D0D" w:themeColor="text1" w:themeTint="F2"/>
                <w:spacing w:val="-4"/>
                <w:szCs w:val="20"/>
                <w:lang w:val="en"/>
              </w:rPr>
              <w:t xml:space="preserve">retail </w:t>
            </w:r>
            <w:r w:rsidRPr="00F05A59">
              <w:rPr>
                <w:rFonts w:cs="Arial"/>
                <w:color w:val="0D0D0D" w:themeColor="text1" w:themeTint="F2"/>
                <w:spacing w:val="-4"/>
                <w:szCs w:val="20"/>
                <w:lang w:val="en"/>
              </w:rPr>
              <w:t>sales</w:t>
            </w:r>
            <w:r w:rsidRPr="00B131B0">
              <w:rPr>
                <w:rStyle w:val="Znakapoznpodarou"/>
                <w:color w:val="0D0D0D" w:themeColor="text1" w:themeTint="F2"/>
                <w:spacing w:val="-4"/>
              </w:rPr>
              <w:footnoteReference w:id="38"/>
            </w:r>
            <w:r w:rsidRPr="00F05A59">
              <w:rPr>
                <w:rFonts w:cs="Arial"/>
                <w:color w:val="0D0D0D" w:themeColor="text1" w:themeTint="F2"/>
                <w:spacing w:val="-4"/>
                <w:szCs w:val="20"/>
                <w:lang w:val="en"/>
              </w:rPr>
              <w:t xml:space="preserve"> thus accelerated to 1.7% in Q1 (the highest in the last two years).</w:t>
            </w:r>
            <w:r>
              <w:rPr>
                <w:rFonts w:cs="Arial"/>
                <w:color w:val="0D0D0D" w:themeColor="text1" w:themeTint="F2"/>
                <w:spacing w:val="-4"/>
                <w:szCs w:val="20"/>
                <w:lang w:val="en"/>
              </w:rPr>
              <w:t xml:space="preserve"> </w:t>
            </w:r>
          </w:p>
        </w:tc>
      </w:tr>
      <w:tr w:rsidR="00927BC1" w:rsidRPr="00B131B0" w14:paraId="6C65DAFA" w14:textId="77777777" w:rsidTr="00D60677">
        <w:trPr>
          <w:trHeight w:val="155"/>
        </w:trPr>
        <w:tc>
          <w:tcPr>
            <w:tcW w:w="1863" w:type="dxa"/>
            <w:tcMar>
              <w:left w:w="0" w:type="dxa"/>
            </w:tcMar>
          </w:tcPr>
          <w:p w14:paraId="7E499B0F" w14:textId="77777777" w:rsidR="00927BC1" w:rsidRPr="00B131B0" w:rsidRDefault="00927BC1" w:rsidP="00D60677">
            <w:pPr>
              <w:pStyle w:val="Marginlie"/>
              <w:rPr>
                <w:color w:val="0D0D0D" w:themeColor="text1" w:themeTint="F2"/>
              </w:rPr>
            </w:pPr>
            <w:r w:rsidRPr="00002724">
              <w:rPr>
                <w:color w:val="0D0D0D" w:themeColor="text1" w:themeTint="F2"/>
              </w:rPr>
              <w:t xml:space="preserve">Sales via the Internet and mail order </w:t>
            </w:r>
            <w:r>
              <w:rPr>
                <w:color w:val="0D0D0D" w:themeColor="text1" w:themeTint="F2"/>
              </w:rPr>
              <w:t xml:space="preserve">houses </w:t>
            </w:r>
            <w:r w:rsidRPr="00002724">
              <w:rPr>
                <w:color w:val="0D0D0D" w:themeColor="text1" w:themeTint="F2"/>
              </w:rPr>
              <w:t>continued to contribute dominantly to the year-on-year growth in retail.</w:t>
            </w:r>
            <w:r w:rsidRPr="00B131B0">
              <w:rPr>
                <w:color w:val="0D0D0D" w:themeColor="text1" w:themeTint="F2"/>
              </w:rPr>
              <w:t xml:space="preserve"> </w:t>
            </w:r>
          </w:p>
          <w:p w14:paraId="68CE90BF" w14:textId="77777777" w:rsidR="00927BC1" w:rsidRDefault="00927BC1" w:rsidP="00D60677">
            <w:pPr>
              <w:pStyle w:val="Marginlie"/>
              <w:rPr>
                <w:color w:val="0D0D0D" w:themeColor="text1" w:themeTint="F2"/>
              </w:rPr>
            </w:pPr>
          </w:p>
          <w:p w14:paraId="5793EACB" w14:textId="77777777" w:rsidR="00927BC1" w:rsidRDefault="00927BC1" w:rsidP="00D60677">
            <w:pPr>
              <w:pStyle w:val="Marginlie"/>
              <w:rPr>
                <w:color w:val="0D0D0D" w:themeColor="text1" w:themeTint="F2"/>
              </w:rPr>
            </w:pPr>
          </w:p>
          <w:p w14:paraId="60A34DCD" w14:textId="77777777" w:rsidR="00927BC1" w:rsidRDefault="00927BC1" w:rsidP="00D60677">
            <w:pPr>
              <w:pStyle w:val="Marginlie"/>
              <w:rPr>
                <w:color w:val="0D0D0D" w:themeColor="text1" w:themeTint="F2"/>
              </w:rPr>
            </w:pPr>
          </w:p>
          <w:p w14:paraId="73ECAC6D" w14:textId="77777777" w:rsidR="00927BC1" w:rsidRDefault="00927BC1" w:rsidP="00D60677">
            <w:pPr>
              <w:pStyle w:val="Marginlie"/>
              <w:rPr>
                <w:color w:val="0D0D0D" w:themeColor="text1" w:themeTint="F2"/>
              </w:rPr>
            </w:pPr>
          </w:p>
          <w:p w14:paraId="599FD492" w14:textId="77777777" w:rsidR="00927BC1" w:rsidRDefault="00927BC1" w:rsidP="00D60677">
            <w:pPr>
              <w:pStyle w:val="Marginlie"/>
              <w:rPr>
                <w:color w:val="0D0D0D" w:themeColor="text1" w:themeTint="F2"/>
              </w:rPr>
            </w:pPr>
          </w:p>
          <w:p w14:paraId="63AAD25C" w14:textId="77777777" w:rsidR="00927BC1" w:rsidRDefault="00927BC1" w:rsidP="00D60677">
            <w:pPr>
              <w:pStyle w:val="Marginlie"/>
              <w:rPr>
                <w:color w:val="0D0D0D" w:themeColor="text1" w:themeTint="F2"/>
              </w:rPr>
            </w:pPr>
          </w:p>
          <w:p w14:paraId="2B54EDC9" w14:textId="77777777" w:rsidR="00927BC1" w:rsidRPr="00B131B0" w:rsidRDefault="00927BC1" w:rsidP="00D60677">
            <w:pPr>
              <w:pStyle w:val="Marginlie"/>
              <w:rPr>
                <w:color w:val="0D0D0D" w:themeColor="text1" w:themeTint="F2"/>
              </w:rPr>
            </w:pPr>
          </w:p>
          <w:p w14:paraId="7433141B" w14:textId="77777777" w:rsidR="00927BC1" w:rsidRPr="00B131B0" w:rsidRDefault="00927BC1" w:rsidP="00D60677">
            <w:pPr>
              <w:pStyle w:val="Marginlie"/>
              <w:rPr>
                <w:color w:val="0D0D0D" w:themeColor="text1" w:themeTint="F2"/>
              </w:rPr>
            </w:pPr>
            <w:r w:rsidRPr="007C2E6E">
              <w:rPr>
                <w:color w:val="0D0D0D" w:themeColor="text1" w:themeTint="F2"/>
              </w:rPr>
              <w:t>Specialized stores with computer and communication equipment continued to struggle with weaker demand.</w:t>
            </w:r>
          </w:p>
        </w:tc>
        <w:tc>
          <w:tcPr>
            <w:tcW w:w="142" w:type="dxa"/>
            <w:tcMar>
              <w:left w:w="0" w:type="dxa"/>
            </w:tcMar>
          </w:tcPr>
          <w:p w14:paraId="669732B6" w14:textId="77777777" w:rsidR="00927BC1" w:rsidRPr="00B131B0" w:rsidRDefault="00927BC1" w:rsidP="00D60677">
            <w:pPr>
              <w:pStyle w:val="Textpoznpodarou"/>
              <w:jc w:val="both"/>
              <w:rPr>
                <w:bCs/>
                <w:color w:val="0D0D0D" w:themeColor="text1" w:themeTint="F2"/>
                <w:spacing w:val="-4"/>
              </w:rPr>
            </w:pPr>
          </w:p>
        </w:tc>
        <w:tc>
          <w:tcPr>
            <w:tcW w:w="7653" w:type="dxa"/>
            <w:gridSpan w:val="2"/>
            <w:tcMar>
              <w:left w:w="0" w:type="dxa"/>
            </w:tcMar>
          </w:tcPr>
          <w:p w14:paraId="51816754" w14:textId="77777777" w:rsidR="00927BC1" w:rsidRPr="00B131B0" w:rsidRDefault="00927BC1" w:rsidP="00D60677">
            <w:pPr>
              <w:spacing w:after="200"/>
              <w:rPr>
                <w:rFonts w:cs="Arial"/>
                <w:color w:val="0D0D0D" w:themeColor="text1" w:themeTint="F2"/>
                <w:spacing w:val="-3"/>
                <w:szCs w:val="20"/>
              </w:rPr>
            </w:pPr>
            <w:r>
              <w:rPr>
                <w:rFonts w:cs="Arial"/>
                <w:color w:val="0D0D0D" w:themeColor="text1" w:themeTint="F2"/>
                <w:spacing w:val="-3"/>
                <w:szCs w:val="20"/>
              </w:rPr>
              <w:t>Total r</w:t>
            </w:r>
            <w:r w:rsidRPr="00AB0284">
              <w:rPr>
                <w:rFonts w:cs="Arial"/>
                <w:color w:val="0D0D0D" w:themeColor="text1" w:themeTint="F2"/>
                <w:spacing w:val="-3"/>
                <w:szCs w:val="20"/>
              </w:rPr>
              <w:t>etail sales increased by 4.0%</w:t>
            </w:r>
            <w:r>
              <w:rPr>
                <w:rFonts w:cs="Arial"/>
                <w:color w:val="0D0D0D" w:themeColor="text1" w:themeTint="F2"/>
                <w:spacing w:val="-3"/>
                <w:szCs w:val="20"/>
              </w:rPr>
              <w:t>,</w:t>
            </w:r>
            <w:r w:rsidRPr="00AB0284">
              <w:rPr>
                <w:rFonts w:cs="Arial"/>
                <w:color w:val="0D0D0D" w:themeColor="text1" w:themeTint="F2"/>
                <w:spacing w:val="-3"/>
                <w:szCs w:val="20"/>
              </w:rPr>
              <w:t xml:space="preserve"> year-on-year</w:t>
            </w:r>
            <w:r>
              <w:rPr>
                <w:rFonts w:cs="Arial"/>
                <w:color w:val="0D0D0D" w:themeColor="text1" w:themeTint="F2"/>
                <w:spacing w:val="-3"/>
                <w:szCs w:val="20"/>
              </w:rPr>
              <w:t>,</w:t>
            </w:r>
            <w:r w:rsidRPr="00AB0284">
              <w:rPr>
                <w:rFonts w:cs="Arial"/>
                <w:color w:val="0D0D0D" w:themeColor="text1" w:themeTint="F2"/>
                <w:spacing w:val="-3"/>
                <w:szCs w:val="20"/>
              </w:rPr>
              <w:t xml:space="preserve"> for the entire </w:t>
            </w:r>
            <w:r>
              <w:rPr>
                <w:rFonts w:cs="Arial"/>
                <w:color w:val="0D0D0D" w:themeColor="text1" w:themeTint="F2"/>
                <w:spacing w:val="-3"/>
                <w:szCs w:val="20"/>
              </w:rPr>
              <w:t xml:space="preserve">H1 </w:t>
            </w:r>
            <w:r w:rsidRPr="00AB0284">
              <w:rPr>
                <w:rFonts w:cs="Arial"/>
                <w:color w:val="0D0D0D" w:themeColor="text1" w:themeTint="F2"/>
                <w:spacing w:val="-3"/>
                <w:szCs w:val="20"/>
              </w:rPr>
              <w:t xml:space="preserve">(at a similar pace as in the same period in 2024 and 2025). The focus of their growth was on dynamically developing trade via the Internet or mail order </w:t>
            </w:r>
            <w:r>
              <w:rPr>
                <w:rFonts w:cs="Arial"/>
                <w:color w:val="0D0D0D" w:themeColor="text1" w:themeTint="F2"/>
                <w:spacing w:val="-3"/>
                <w:szCs w:val="20"/>
              </w:rPr>
              <w:t>houses</w:t>
            </w:r>
            <w:r w:rsidRPr="00AB0284">
              <w:rPr>
                <w:rFonts w:cs="Arial"/>
                <w:color w:val="0D0D0D" w:themeColor="text1" w:themeTint="F2"/>
                <w:spacing w:val="-3"/>
                <w:szCs w:val="20"/>
              </w:rPr>
              <w:t>, in which sales increased by 14.5% and contributed 2.1 p</w:t>
            </w:r>
            <w:r>
              <w:rPr>
                <w:rFonts w:cs="Arial"/>
                <w:color w:val="0D0D0D" w:themeColor="text1" w:themeTint="F2"/>
                <w:spacing w:val="-3"/>
                <w:szCs w:val="20"/>
              </w:rPr>
              <w:t xml:space="preserve">. p. </w:t>
            </w:r>
            <w:r w:rsidRPr="00AB0284">
              <w:rPr>
                <w:rFonts w:cs="Arial"/>
                <w:color w:val="0D0D0D" w:themeColor="text1" w:themeTint="F2"/>
                <w:spacing w:val="-3"/>
                <w:szCs w:val="20"/>
              </w:rPr>
              <w:t xml:space="preserve">to the growth of the </w:t>
            </w:r>
            <w:r>
              <w:rPr>
                <w:rFonts w:cs="Arial"/>
                <w:color w:val="0D0D0D" w:themeColor="text1" w:themeTint="F2"/>
                <w:spacing w:val="-3"/>
                <w:szCs w:val="20"/>
              </w:rPr>
              <w:t xml:space="preserve">total </w:t>
            </w:r>
            <w:r w:rsidRPr="00AB0284">
              <w:rPr>
                <w:rFonts w:cs="Arial"/>
                <w:color w:val="0D0D0D" w:themeColor="text1" w:themeTint="F2"/>
                <w:spacing w:val="-3"/>
                <w:szCs w:val="20"/>
              </w:rPr>
              <w:t xml:space="preserve">retail sector. The long-term rapid growth of this segment, which has been the most dynamic segment of the </w:t>
            </w:r>
            <w:r>
              <w:rPr>
                <w:rFonts w:cs="Arial"/>
                <w:color w:val="0D0D0D" w:themeColor="text1" w:themeTint="F2"/>
                <w:spacing w:val="-3"/>
                <w:szCs w:val="20"/>
              </w:rPr>
              <w:t xml:space="preserve">total </w:t>
            </w:r>
            <w:r w:rsidRPr="00AB0284">
              <w:rPr>
                <w:rFonts w:cs="Arial"/>
                <w:color w:val="0D0D0D" w:themeColor="text1" w:themeTint="F2"/>
                <w:spacing w:val="-3"/>
                <w:szCs w:val="20"/>
              </w:rPr>
              <w:t xml:space="preserve">retail sector in the last two years, is related to the gradual change </w:t>
            </w:r>
            <w:r>
              <w:rPr>
                <w:rFonts w:cs="Arial"/>
                <w:color w:val="0D0D0D" w:themeColor="text1" w:themeTint="F2"/>
                <w:spacing w:val="-3"/>
                <w:szCs w:val="20"/>
              </w:rPr>
              <w:t>of</w:t>
            </w:r>
            <w:r w:rsidRPr="00AB0284">
              <w:rPr>
                <w:rFonts w:cs="Arial"/>
                <w:color w:val="0D0D0D" w:themeColor="text1" w:themeTint="F2"/>
                <w:spacing w:val="-3"/>
                <w:szCs w:val="20"/>
              </w:rPr>
              <w:t xml:space="preserve"> household </w:t>
            </w:r>
            <w:r>
              <w:rPr>
                <w:rFonts w:cs="Arial"/>
                <w:color w:val="0D0D0D" w:themeColor="text1" w:themeTint="F2"/>
                <w:spacing w:val="-3"/>
                <w:szCs w:val="20"/>
              </w:rPr>
              <w:t xml:space="preserve">purchasing </w:t>
            </w:r>
            <w:r w:rsidRPr="00AB0284">
              <w:rPr>
                <w:rFonts w:cs="Arial"/>
                <w:color w:val="0D0D0D" w:themeColor="text1" w:themeTint="F2"/>
                <w:spacing w:val="-3"/>
                <w:szCs w:val="20"/>
              </w:rPr>
              <w:t>behaviour, technological progress, innovations in marketing and logistics, as well as the global reach of a number of major retailers in the Czech Republic. The growth of most specialised stores with non-food goods</w:t>
            </w:r>
            <w:r w:rsidRPr="00B131B0">
              <w:rPr>
                <w:rStyle w:val="Znakapoznpodarou"/>
                <w:color w:val="0D0D0D" w:themeColor="text1" w:themeTint="F2"/>
                <w:spacing w:val="-3"/>
                <w:szCs w:val="20"/>
              </w:rPr>
              <w:footnoteReference w:id="39"/>
            </w:r>
            <w:r w:rsidRPr="00AB0284">
              <w:rPr>
                <w:rFonts w:cs="Arial"/>
                <w:color w:val="0D0D0D" w:themeColor="text1" w:themeTint="F2"/>
                <w:spacing w:val="-3"/>
                <w:szCs w:val="20"/>
              </w:rPr>
              <w:t xml:space="preserve"> continued at a weaker but stable pace. Sales of cosmetics and toilet</w:t>
            </w:r>
            <w:r>
              <w:rPr>
                <w:rFonts w:cs="Arial"/>
                <w:color w:val="0D0D0D" w:themeColor="text1" w:themeTint="F2"/>
                <w:spacing w:val="-3"/>
                <w:szCs w:val="20"/>
              </w:rPr>
              <w:t xml:space="preserve"> products </w:t>
            </w:r>
            <w:r w:rsidRPr="00AB0284">
              <w:rPr>
                <w:rFonts w:cs="Arial"/>
                <w:color w:val="0D0D0D" w:themeColor="text1" w:themeTint="F2"/>
                <w:spacing w:val="-3"/>
                <w:szCs w:val="20"/>
              </w:rPr>
              <w:t>(+8.3%), pharmaceutical and medical goods (+5.6%) and cultural and recreational products</w:t>
            </w:r>
            <w:r w:rsidRPr="00B131B0">
              <w:rPr>
                <w:rStyle w:val="Znakapoznpodarou"/>
                <w:color w:val="0D0D0D" w:themeColor="text1" w:themeTint="F2"/>
                <w:spacing w:val="-3"/>
                <w:szCs w:val="20"/>
              </w:rPr>
              <w:footnoteReference w:id="40"/>
            </w:r>
            <w:r w:rsidRPr="00AB0284">
              <w:rPr>
                <w:rFonts w:cs="Arial"/>
                <w:color w:val="0D0D0D" w:themeColor="text1" w:themeTint="F2"/>
                <w:spacing w:val="-3"/>
                <w:szCs w:val="20"/>
              </w:rPr>
              <w:t xml:space="preserve"> (+3.1%) performed particularly well. Demand for clothing, footwear and leather goods recovered, mainly due to developments in Q2 2026. </w:t>
            </w:r>
            <w:r>
              <w:rPr>
                <w:rFonts w:cs="Arial"/>
                <w:color w:val="0D0D0D" w:themeColor="text1" w:themeTint="F2"/>
                <w:spacing w:val="-3"/>
                <w:szCs w:val="20"/>
              </w:rPr>
              <w:t>By contrast</w:t>
            </w:r>
            <w:r w:rsidRPr="00AB0284">
              <w:rPr>
                <w:rFonts w:cs="Arial"/>
                <w:color w:val="0D0D0D" w:themeColor="text1" w:themeTint="F2"/>
                <w:spacing w:val="-3"/>
                <w:szCs w:val="20"/>
              </w:rPr>
              <w:t>, sales of products mainly for households</w:t>
            </w:r>
            <w:r w:rsidRPr="00B131B0">
              <w:rPr>
                <w:rStyle w:val="Znakapoznpodarou"/>
                <w:color w:val="0D0D0D" w:themeColor="text1" w:themeTint="F2"/>
                <w:spacing w:val="-3"/>
                <w:szCs w:val="20"/>
              </w:rPr>
              <w:footnoteReference w:id="41"/>
            </w:r>
            <w:r w:rsidRPr="00AB0284">
              <w:rPr>
                <w:rFonts w:cs="Arial"/>
                <w:color w:val="0D0D0D" w:themeColor="text1" w:themeTint="F2"/>
                <w:spacing w:val="-3"/>
                <w:szCs w:val="20"/>
              </w:rPr>
              <w:t xml:space="preserve"> increased only slightly (+0.9%), </w:t>
            </w:r>
            <w:r>
              <w:rPr>
                <w:rFonts w:cs="Arial"/>
                <w:color w:val="0D0D0D" w:themeColor="text1" w:themeTint="F2"/>
                <w:spacing w:val="-3"/>
                <w:szCs w:val="20"/>
              </w:rPr>
              <w:t xml:space="preserve">nevertheless </w:t>
            </w:r>
            <w:r w:rsidRPr="00AB0284">
              <w:rPr>
                <w:rFonts w:cs="Arial"/>
                <w:color w:val="0D0D0D" w:themeColor="text1" w:themeTint="F2"/>
                <w:spacing w:val="-3"/>
                <w:szCs w:val="20"/>
              </w:rPr>
              <w:t xml:space="preserve">this also </w:t>
            </w:r>
            <w:r>
              <w:rPr>
                <w:rFonts w:cs="Arial"/>
                <w:color w:val="0D0D0D" w:themeColor="text1" w:themeTint="F2"/>
                <w:spacing w:val="-3"/>
                <w:szCs w:val="20"/>
              </w:rPr>
              <w:t xml:space="preserve">represented </w:t>
            </w:r>
            <w:r w:rsidRPr="00AB0284">
              <w:rPr>
                <w:rFonts w:cs="Arial"/>
                <w:color w:val="0D0D0D" w:themeColor="text1" w:themeTint="F2"/>
                <w:spacing w:val="-3"/>
                <w:szCs w:val="20"/>
              </w:rPr>
              <w:t xml:space="preserve">the best result since </w:t>
            </w:r>
            <w:r>
              <w:rPr>
                <w:rFonts w:cs="Arial"/>
                <w:color w:val="0D0D0D" w:themeColor="text1" w:themeTint="F2"/>
                <w:spacing w:val="-3"/>
                <w:szCs w:val="20"/>
              </w:rPr>
              <w:t xml:space="preserve">H1 </w:t>
            </w:r>
            <w:r w:rsidRPr="00AB0284">
              <w:rPr>
                <w:rFonts w:cs="Arial"/>
                <w:color w:val="0D0D0D" w:themeColor="text1" w:themeTint="F2"/>
                <w:spacing w:val="-3"/>
                <w:szCs w:val="20"/>
              </w:rPr>
              <w:t xml:space="preserve">2022. Sales in the rather marginal segment of stores </w:t>
            </w:r>
            <w:r w:rsidRPr="00AB0284">
              <w:rPr>
                <w:rFonts w:cs="Arial"/>
                <w:color w:val="0D0D0D" w:themeColor="text1" w:themeTint="F2"/>
                <w:spacing w:val="-3"/>
                <w:szCs w:val="20"/>
              </w:rPr>
              <w:lastRenderedPageBreak/>
              <w:t xml:space="preserve">with computer and communication equipment also </w:t>
            </w:r>
            <w:r>
              <w:rPr>
                <w:rFonts w:cs="Arial"/>
                <w:color w:val="0D0D0D" w:themeColor="text1" w:themeTint="F2"/>
                <w:spacing w:val="-3"/>
                <w:szCs w:val="20"/>
              </w:rPr>
              <w:t xml:space="preserve">feature </w:t>
            </w:r>
            <w:r w:rsidRPr="00AB0284">
              <w:rPr>
                <w:rFonts w:cs="Arial"/>
                <w:color w:val="0D0D0D" w:themeColor="text1" w:themeTint="F2"/>
                <w:spacing w:val="-3"/>
                <w:szCs w:val="20"/>
              </w:rPr>
              <w:t xml:space="preserve">a downward trend in the period after the COVID-19 pandemic has subsided, which was also confirmed by this year's result </w:t>
            </w:r>
            <w:r>
              <w:rPr>
                <w:rFonts w:cs="Arial"/>
                <w:color w:val="0D0D0D" w:themeColor="text1" w:themeTint="F2"/>
                <w:spacing w:val="-3"/>
                <w:szCs w:val="20"/>
              </w:rPr>
              <w:t>(</w:t>
            </w:r>
            <w:r w:rsidRPr="00AB0284">
              <w:rPr>
                <w:rFonts w:cs="Arial"/>
                <w:color w:val="0D0D0D" w:themeColor="text1" w:themeTint="F2"/>
                <w:spacing w:val="-3"/>
                <w:szCs w:val="20"/>
              </w:rPr>
              <w:t>-0.8%)</w:t>
            </w:r>
            <w:r w:rsidRPr="00B131B0">
              <w:rPr>
                <w:rStyle w:val="Znakapoznpodarou"/>
                <w:color w:val="0D0D0D" w:themeColor="text1" w:themeTint="F2"/>
                <w:spacing w:val="-4"/>
                <w:szCs w:val="20"/>
              </w:rPr>
              <w:footnoteReference w:id="42"/>
            </w:r>
            <w:r>
              <w:rPr>
                <w:rFonts w:cs="Arial"/>
                <w:color w:val="0D0D0D" w:themeColor="text1" w:themeTint="F2"/>
                <w:spacing w:val="-3"/>
                <w:szCs w:val="20"/>
              </w:rPr>
              <w:t xml:space="preserve">. </w:t>
            </w:r>
            <w:r w:rsidRPr="00B131B0">
              <w:rPr>
                <w:rFonts w:cs="Arial"/>
                <w:color w:val="0D0D0D" w:themeColor="text1" w:themeTint="F2"/>
                <w:spacing w:val="-3"/>
                <w:szCs w:val="20"/>
              </w:rPr>
              <w:t xml:space="preserve"> </w:t>
            </w:r>
          </w:p>
        </w:tc>
      </w:tr>
      <w:tr w:rsidR="00927BC1" w:rsidRPr="00B131B0" w14:paraId="08C0360A" w14:textId="77777777" w:rsidTr="00D60677">
        <w:trPr>
          <w:trHeight w:val="155"/>
        </w:trPr>
        <w:tc>
          <w:tcPr>
            <w:tcW w:w="1863" w:type="dxa"/>
            <w:tcMar>
              <w:left w:w="0" w:type="dxa"/>
            </w:tcMar>
          </w:tcPr>
          <w:p w14:paraId="1A8EA461" w14:textId="77777777" w:rsidR="00927BC1" w:rsidRPr="00B131B0" w:rsidRDefault="00927BC1" w:rsidP="00D60677">
            <w:pPr>
              <w:pStyle w:val="Marginlie"/>
              <w:rPr>
                <w:color w:val="0D0D0D" w:themeColor="text1" w:themeTint="F2"/>
                <w:spacing w:val="-4"/>
              </w:rPr>
            </w:pPr>
          </w:p>
        </w:tc>
        <w:tc>
          <w:tcPr>
            <w:tcW w:w="142" w:type="dxa"/>
            <w:tcMar>
              <w:left w:w="0" w:type="dxa"/>
            </w:tcMar>
          </w:tcPr>
          <w:p w14:paraId="6D44E4F1" w14:textId="77777777" w:rsidR="00927BC1" w:rsidRPr="00B131B0" w:rsidRDefault="00927BC1" w:rsidP="00D60677">
            <w:pPr>
              <w:pStyle w:val="Textpoznpodarou"/>
              <w:jc w:val="both"/>
              <w:rPr>
                <w:color w:val="0D0D0D" w:themeColor="text1" w:themeTint="F2"/>
                <w:spacing w:val="-4"/>
              </w:rPr>
            </w:pPr>
          </w:p>
        </w:tc>
        <w:tc>
          <w:tcPr>
            <w:tcW w:w="7653" w:type="dxa"/>
            <w:gridSpan w:val="2"/>
            <w:tcMar>
              <w:left w:w="0" w:type="dxa"/>
            </w:tcMar>
          </w:tcPr>
          <w:p w14:paraId="070FEB3D" w14:textId="77777777" w:rsidR="00927BC1" w:rsidRPr="00B131B0" w:rsidRDefault="00927BC1" w:rsidP="00D60677">
            <w:pPr>
              <w:spacing w:after="0"/>
              <w:jc w:val="left"/>
              <w:rPr>
                <w:rFonts w:cs="Arial"/>
                <w:color w:val="0D0D0D" w:themeColor="text1" w:themeTint="F2"/>
                <w:spacing w:val="-4"/>
                <w:szCs w:val="20"/>
              </w:rPr>
            </w:pPr>
            <w:r>
              <w:rPr>
                <w:b/>
                <w:color w:val="0D0D0D" w:themeColor="text1" w:themeTint="F2"/>
                <w:spacing w:val="-2"/>
              </w:rPr>
              <w:t xml:space="preserve">Chart </w:t>
            </w:r>
            <w:r w:rsidRPr="00B131B0">
              <w:rPr>
                <w:b/>
                <w:color w:val="0D0D0D" w:themeColor="text1" w:themeTint="F2"/>
                <w:spacing w:val="-2"/>
              </w:rPr>
              <w:t xml:space="preserve">9 </w:t>
            </w:r>
            <w:r w:rsidRPr="00782F4F">
              <w:rPr>
                <w:b/>
                <w:color w:val="0D0D0D" w:themeColor="text1" w:themeTint="F2"/>
                <w:spacing w:val="-2"/>
              </w:rPr>
              <w:t xml:space="preserve">Decomposition of year-on-year change in retail sales </w:t>
            </w:r>
            <w:r w:rsidRPr="002855BD">
              <w:rPr>
                <w:bCs/>
                <w:color w:val="0D0D0D" w:themeColor="text1" w:themeTint="F2"/>
                <w:spacing w:val="-2"/>
              </w:rPr>
              <w:t>(contributions to growth, p. p.),</w:t>
            </w:r>
            <w:r w:rsidRPr="00782F4F">
              <w:rPr>
                <w:b/>
                <w:color w:val="0D0D0D" w:themeColor="text1" w:themeTint="F2"/>
                <w:spacing w:val="-2"/>
              </w:rPr>
              <w:t xml:space="preserve"> balance of consumer and retail confidence </w:t>
            </w:r>
            <w:r w:rsidRPr="002855BD">
              <w:rPr>
                <w:bCs/>
                <w:color w:val="0D0D0D" w:themeColor="text1" w:themeTint="F2"/>
                <w:spacing w:val="-2"/>
              </w:rPr>
              <w:t>(p. p.)</w:t>
            </w:r>
          </w:p>
        </w:tc>
      </w:tr>
      <w:tr w:rsidR="00927BC1" w:rsidRPr="00B131B0" w14:paraId="5415C3D2" w14:textId="77777777" w:rsidTr="00D60677">
        <w:tblPrEx>
          <w:tblCellMar>
            <w:left w:w="70" w:type="dxa"/>
            <w:right w:w="70" w:type="dxa"/>
          </w:tblCellMar>
        </w:tblPrEx>
        <w:trPr>
          <w:trHeight w:val="155"/>
        </w:trPr>
        <w:tc>
          <w:tcPr>
            <w:tcW w:w="1863" w:type="dxa"/>
          </w:tcPr>
          <w:p w14:paraId="50E5DDEC" w14:textId="77777777" w:rsidR="00927BC1" w:rsidRPr="00B131B0" w:rsidRDefault="00927BC1" w:rsidP="00D60677">
            <w:pPr>
              <w:pStyle w:val="Marginlie"/>
              <w:rPr>
                <w:color w:val="0D0D0D" w:themeColor="text1" w:themeTint="F2"/>
              </w:rPr>
            </w:pPr>
          </w:p>
        </w:tc>
        <w:tc>
          <w:tcPr>
            <w:tcW w:w="160" w:type="dxa"/>
            <w:gridSpan w:val="2"/>
          </w:tcPr>
          <w:p w14:paraId="1D7F7ABB" w14:textId="77777777" w:rsidR="00927BC1" w:rsidRPr="00B131B0" w:rsidRDefault="00927BC1" w:rsidP="00D60677">
            <w:pPr>
              <w:pStyle w:val="Textpoznpodarou"/>
              <w:jc w:val="both"/>
              <w:rPr>
                <w:color w:val="0D0D0D" w:themeColor="text1" w:themeTint="F2"/>
                <w:spacing w:val="-4"/>
              </w:rPr>
            </w:pPr>
          </w:p>
        </w:tc>
        <w:tc>
          <w:tcPr>
            <w:tcW w:w="7635" w:type="dxa"/>
          </w:tcPr>
          <w:p w14:paraId="3E942329" w14:textId="77777777" w:rsidR="00927BC1" w:rsidRPr="00B131B0" w:rsidRDefault="00927BC1" w:rsidP="00D60677">
            <w:pPr>
              <w:spacing w:before="40" w:after="20"/>
              <w:rPr>
                <w:rFonts w:cs="Arial"/>
                <w:color w:val="0D0D0D" w:themeColor="text1" w:themeTint="F2"/>
                <w:spacing w:val="-2"/>
                <w:szCs w:val="20"/>
              </w:rPr>
            </w:pPr>
            <w:r>
              <w:rPr>
                <w:noProof/>
              </w:rPr>
              <w:drawing>
                <wp:inline distT="0" distB="0" distL="0" distR="0" wp14:anchorId="59FC38D5" wp14:editId="3C1D35B8">
                  <wp:extent cx="4756785" cy="3704912"/>
                  <wp:effectExtent l="0" t="0" r="5715" b="0"/>
                  <wp:docPr id="1789110094" name="Graf 1">
                    <a:extLst xmlns:a="http://schemas.openxmlformats.org/drawingml/2006/main">
                      <a:ext uri="{FF2B5EF4-FFF2-40B4-BE49-F238E27FC236}">
                        <a16:creationId xmlns:a16="http://schemas.microsoft.com/office/drawing/2014/main" id="{6AB129D2-6E6D-4B43-A66E-5E62FE5EA9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927BC1" w:rsidRPr="00B131B0" w14:paraId="7A968142" w14:textId="77777777" w:rsidTr="00D60677">
        <w:trPr>
          <w:trHeight w:val="155"/>
        </w:trPr>
        <w:tc>
          <w:tcPr>
            <w:tcW w:w="1863" w:type="dxa"/>
            <w:tcMar>
              <w:left w:w="0" w:type="dxa"/>
            </w:tcMar>
          </w:tcPr>
          <w:p w14:paraId="620626A7" w14:textId="77777777" w:rsidR="00927BC1" w:rsidRPr="00B131B0" w:rsidRDefault="00927BC1" w:rsidP="00D60677">
            <w:pPr>
              <w:pStyle w:val="Marginlie"/>
              <w:rPr>
                <w:color w:val="0D0D0D" w:themeColor="text1" w:themeTint="F2"/>
              </w:rPr>
            </w:pPr>
          </w:p>
        </w:tc>
        <w:tc>
          <w:tcPr>
            <w:tcW w:w="142" w:type="dxa"/>
            <w:tcMar>
              <w:left w:w="0" w:type="dxa"/>
            </w:tcMar>
          </w:tcPr>
          <w:p w14:paraId="2105CCEE" w14:textId="77777777" w:rsidR="00927BC1" w:rsidRPr="00B131B0" w:rsidRDefault="00927BC1" w:rsidP="00D60677">
            <w:pPr>
              <w:pStyle w:val="Textpoznpodarou"/>
              <w:jc w:val="both"/>
              <w:rPr>
                <w:color w:val="0D0D0D" w:themeColor="text1" w:themeTint="F2"/>
                <w:spacing w:val="-4"/>
                <w:sz w:val="16"/>
                <w:szCs w:val="16"/>
              </w:rPr>
            </w:pPr>
          </w:p>
        </w:tc>
        <w:tc>
          <w:tcPr>
            <w:tcW w:w="7653" w:type="dxa"/>
            <w:gridSpan w:val="2"/>
            <w:tcMar>
              <w:left w:w="0" w:type="dxa"/>
            </w:tcMar>
          </w:tcPr>
          <w:p w14:paraId="76938E64" w14:textId="77777777" w:rsidR="00927BC1" w:rsidRPr="00B335CE" w:rsidRDefault="00927BC1" w:rsidP="00D60677">
            <w:pPr>
              <w:pStyle w:val="Normalodrka"/>
              <w:numPr>
                <w:ilvl w:val="0"/>
                <w:numId w:val="0"/>
              </w:numPr>
              <w:spacing w:after="0" w:line="240" w:lineRule="auto"/>
              <w:ind w:left="357" w:hanging="357"/>
              <w:jc w:val="left"/>
              <w:rPr>
                <w:sz w:val="14"/>
                <w:szCs w:val="14"/>
              </w:rPr>
            </w:pPr>
            <w:r w:rsidRPr="00B335CE">
              <w:rPr>
                <w:sz w:val="14"/>
                <w:szCs w:val="14"/>
              </w:rPr>
              <w:t xml:space="preserve">* Sales via Internet and mail </w:t>
            </w:r>
            <w:proofErr w:type="spellStart"/>
            <w:r w:rsidRPr="00B335CE">
              <w:rPr>
                <w:sz w:val="14"/>
                <w:szCs w:val="14"/>
              </w:rPr>
              <w:t>order</w:t>
            </w:r>
            <w:proofErr w:type="spellEnd"/>
            <w:r w:rsidRPr="00B335CE">
              <w:rPr>
                <w:sz w:val="14"/>
                <w:szCs w:val="14"/>
              </w:rPr>
              <w:t xml:space="preserve"> </w:t>
            </w:r>
            <w:proofErr w:type="spellStart"/>
            <w:r w:rsidRPr="00B335CE">
              <w:rPr>
                <w:sz w:val="14"/>
                <w:szCs w:val="14"/>
              </w:rPr>
              <w:t>houses</w:t>
            </w:r>
            <w:proofErr w:type="spellEnd"/>
            <w:r w:rsidRPr="00B335CE">
              <w:rPr>
                <w:sz w:val="14"/>
                <w:szCs w:val="14"/>
              </w:rPr>
              <w:t xml:space="preserve"> are not </w:t>
            </w:r>
            <w:proofErr w:type="spellStart"/>
            <w:r w:rsidRPr="00B335CE">
              <w:rPr>
                <w:sz w:val="14"/>
                <w:szCs w:val="14"/>
              </w:rPr>
              <w:t>included</w:t>
            </w:r>
            <w:proofErr w:type="spellEnd"/>
          </w:p>
          <w:p w14:paraId="15CA7A8E" w14:textId="77777777" w:rsidR="00927BC1" w:rsidRPr="00B335CE" w:rsidRDefault="00927BC1" w:rsidP="00D60677">
            <w:pPr>
              <w:spacing w:after="0" w:line="240" w:lineRule="auto"/>
              <w:jc w:val="left"/>
              <w:rPr>
                <w:rFonts w:cs="Arial"/>
                <w:color w:val="0D0D0D" w:themeColor="text1" w:themeTint="F2"/>
                <w:sz w:val="14"/>
                <w:szCs w:val="14"/>
              </w:rPr>
            </w:pPr>
            <w:r w:rsidRPr="00B335CE">
              <w:rPr>
                <w:rFonts w:cs="Arial"/>
                <w:color w:val="0D0D0D" w:themeColor="text1" w:themeTint="F2"/>
                <w:sz w:val="14"/>
                <w:szCs w:val="14"/>
              </w:rPr>
              <w:t xml:space="preserve">Note: Sales are presented in real terms and adjusted for calendar effects. Confidence balances are seasonally adjusted and reflect the monthly average for the entire quarter, and for the most recent period, the average for the first two months. </w:t>
            </w:r>
          </w:p>
          <w:p w14:paraId="13CC668A" w14:textId="77777777" w:rsidR="00927BC1" w:rsidRPr="00B335CE" w:rsidRDefault="00927BC1" w:rsidP="00D60677">
            <w:pPr>
              <w:spacing w:after="0" w:line="240" w:lineRule="auto"/>
              <w:jc w:val="left"/>
              <w:rPr>
                <w:rFonts w:cs="Arial"/>
                <w:color w:val="0D0D0D" w:themeColor="text1" w:themeTint="F2"/>
                <w:sz w:val="14"/>
                <w:szCs w:val="14"/>
              </w:rPr>
            </w:pPr>
            <w:r w:rsidRPr="00B335CE">
              <w:rPr>
                <w:rFonts w:cs="Arial"/>
                <w:color w:val="0D0D0D" w:themeColor="text1" w:themeTint="F2"/>
                <w:sz w:val="14"/>
                <w:szCs w:val="14"/>
              </w:rPr>
              <w:t>Source: CZSO</w:t>
            </w:r>
          </w:p>
          <w:p w14:paraId="23868484" w14:textId="77777777" w:rsidR="00927BC1" w:rsidRPr="002855BD" w:rsidRDefault="00927BC1" w:rsidP="00D60677">
            <w:pPr>
              <w:spacing w:after="0" w:line="240" w:lineRule="auto"/>
              <w:rPr>
                <w:rFonts w:cs="Arial"/>
                <w:color w:val="0D0D0D" w:themeColor="text1" w:themeTint="F2"/>
                <w:sz w:val="16"/>
                <w:szCs w:val="16"/>
              </w:rPr>
            </w:pPr>
          </w:p>
        </w:tc>
      </w:tr>
      <w:tr w:rsidR="00927BC1" w:rsidRPr="00B131B0" w14:paraId="73507570" w14:textId="77777777" w:rsidTr="00D60677">
        <w:trPr>
          <w:trHeight w:val="155"/>
        </w:trPr>
        <w:tc>
          <w:tcPr>
            <w:tcW w:w="1863" w:type="dxa"/>
            <w:tcMar>
              <w:left w:w="0" w:type="dxa"/>
            </w:tcMar>
          </w:tcPr>
          <w:p w14:paraId="7AE9C1DA" w14:textId="77777777" w:rsidR="00927BC1" w:rsidRPr="00B131B0" w:rsidRDefault="00927BC1" w:rsidP="00D60677">
            <w:pPr>
              <w:pStyle w:val="Marginlie"/>
              <w:rPr>
                <w:color w:val="0D0D0D" w:themeColor="text1" w:themeTint="F2"/>
              </w:rPr>
            </w:pPr>
            <w:r w:rsidRPr="00F2764F">
              <w:rPr>
                <w:color w:val="0D0D0D" w:themeColor="text1" w:themeTint="F2"/>
              </w:rPr>
              <w:t xml:space="preserve">Growth </w:t>
            </w:r>
            <w:r>
              <w:rPr>
                <w:color w:val="0D0D0D" w:themeColor="text1" w:themeTint="F2"/>
              </w:rPr>
              <w:t>of</w:t>
            </w:r>
            <w:r w:rsidRPr="00F2764F">
              <w:rPr>
                <w:color w:val="0D0D0D" w:themeColor="text1" w:themeTint="F2"/>
              </w:rPr>
              <w:t xml:space="preserve"> sales of food</w:t>
            </w:r>
            <w:r>
              <w:rPr>
                <w:color w:val="0D0D0D" w:themeColor="text1" w:themeTint="F2"/>
              </w:rPr>
              <w:t xml:space="preserve"> </w:t>
            </w:r>
            <w:r w:rsidRPr="00F2764F">
              <w:rPr>
                <w:color w:val="0D0D0D" w:themeColor="text1" w:themeTint="F2"/>
              </w:rPr>
              <w:t xml:space="preserve">accelerated slightly, but it mainly concerned only large </w:t>
            </w:r>
            <w:r w:rsidRPr="00147F51">
              <w:t>establishments</w:t>
            </w:r>
            <w:r w:rsidRPr="00F2764F">
              <w:rPr>
                <w:color w:val="0D0D0D" w:themeColor="text1" w:themeTint="F2"/>
              </w:rPr>
              <w:t xml:space="preserve"> </w:t>
            </w:r>
            <w:r>
              <w:rPr>
                <w:color w:val="0D0D0D" w:themeColor="text1" w:themeTint="F2"/>
              </w:rPr>
              <w:t xml:space="preserve">(i.e. </w:t>
            </w:r>
            <w:r w:rsidRPr="00F2764F">
              <w:rPr>
                <w:color w:val="0D0D0D" w:themeColor="text1" w:themeTint="F2"/>
              </w:rPr>
              <w:t>chains</w:t>
            </w:r>
            <w:r>
              <w:rPr>
                <w:color w:val="0D0D0D" w:themeColor="text1" w:themeTint="F2"/>
              </w:rPr>
              <w:t xml:space="preserve">). </w:t>
            </w:r>
          </w:p>
          <w:p w14:paraId="74BEB237" w14:textId="77777777" w:rsidR="00927BC1" w:rsidRPr="00B131B0" w:rsidRDefault="00927BC1" w:rsidP="00D60677">
            <w:pPr>
              <w:pStyle w:val="Marginlie"/>
              <w:rPr>
                <w:color w:val="0D0D0D" w:themeColor="text1" w:themeTint="F2"/>
              </w:rPr>
            </w:pPr>
          </w:p>
          <w:p w14:paraId="52C7E915" w14:textId="77777777" w:rsidR="00927BC1" w:rsidRPr="00B131B0" w:rsidRDefault="00927BC1" w:rsidP="00D60677">
            <w:pPr>
              <w:pStyle w:val="Marginlie"/>
              <w:rPr>
                <w:color w:val="0D0D0D" w:themeColor="text1" w:themeTint="F2"/>
              </w:rPr>
            </w:pPr>
          </w:p>
          <w:p w14:paraId="5A45A345" w14:textId="77777777" w:rsidR="00927BC1" w:rsidRPr="00B131B0" w:rsidRDefault="00927BC1" w:rsidP="00D60677">
            <w:pPr>
              <w:pStyle w:val="Marginlie"/>
              <w:rPr>
                <w:color w:val="0D0D0D" w:themeColor="text1" w:themeTint="F2"/>
              </w:rPr>
            </w:pPr>
          </w:p>
          <w:p w14:paraId="3C956356" w14:textId="77777777" w:rsidR="00927BC1" w:rsidRPr="00B131B0" w:rsidRDefault="00927BC1" w:rsidP="00D60677">
            <w:pPr>
              <w:pStyle w:val="Marginlie"/>
              <w:rPr>
                <w:color w:val="0D0D0D" w:themeColor="text1" w:themeTint="F2"/>
              </w:rPr>
            </w:pPr>
          </w:p>
          <w:p w14:paraId="4A10A8D7" w14:textId="77777777" w:rsidR="00927BC1" w:rsidRPr="00B131B0" w:rsidRDefault="00927BC1" w:rsidP="00D60677">
            <w:pPr>
              <w:pStyle w:val="Marginlie"/>
              <w:rPr>
                <w:color w:val="0D0D0D" w:themeColor="text1" w:themeTint="F2"/>
              </w:rPr>
            </w:pPr>
          </w:p>
          <w:p w14:paraId="7C2A2EB2" w14:textId="77777777" w:rsidR="00927BC1" w:rsidRPr="00B131B0" w:rsidRDefault="00927BC1" w:rsidP="00D60677">
            <w:pPr>
              <w:pStyle w:val="Marginlie"/>
              <w:rPr>
                <w:color w:val="0D0D0D" w:themeColor="text1" w:themeTint="F2"/>
                <w:sz w:val="20"/>
                <w:szCs w:val="20"/>
              </w:rPr>
            </w:pPr>
            <w:r w:rsidRPr="00F2764F">
              <w:rPr>
                <w:color w:val="0D0D0D" w:themeColor="text1" w:themeTint="F2"/>
              </w:rPr>
              <w:t>Demand for fuel has fluctuated significantly due to the price shock</w:t>
            </w:r>
            <w:r>
              <w:rPr>
                <w:color w:val="0D0D0D" w:themeColor="text1" w:themeTint="F2"/>
              </w:rPr>
              <w:t xml:space="preserve"> </w:t>
            </w:r>
            <w:r w:rsidRPr="00F2764F">
              <w:rPr>
                <w:color w:val="0D0D0D" w:themeColor="text1" w:themeTint="F2"/>
              </w:rPr>
              <w:t>since the beginning of the year.</w:t>
            </w:r>
          </w:p>
        </w:tc>
        <w:tc>
          <w:tcPr>
            <w:tcW w:w="142" w:type="dxa"/>
            <w:tcMar>
              <w:left w:w="0" w:type="dxa"/>
            </w:tcMar>
          </w:tcPr>
          <w:p w14:paraId="794E66C2" w14:textId="77777777" w:rsidR="00927BC1" w:rsidRPr="00B131B0" w:rsidRDefault="00927BC1" w:rsidP="00D60677">
            <w:pPr>
              <w:pStyle w:val="Textpoznpodarou"/>
              <w:jc w:val="both"/>
              <w:rPr>
                <w:color w:val="0D0D0D" w:themeColor="text1" w:themeTint="F2"/>
                <w:spacing w:val="-4"/>
              </w:rPr>
            </w:pPr>
          </w:p>
        </w:tc>
        <w:tc>
          <w:tcPr>
            <w:tcW w:w="7653" w:type="dxa"/>
            <w:gridSpan w:val="2"/>
            <w:tcMar>
              <w:left w:w="0" w:type="dxa"/>
            </w:tcMar>
          </w:tcPr>
          <w:p w14:paraId="4FC929AB" w14:textId="77777777" w:rsidR="00927BC1" w:rsidRPr="00B131B0" w:rsidRDefault="00927BC1" w:rsidP="00D60677">
            <w:pPr>
              <w:spacing w:after="0"/>
              <w:rPr>
                <w:rFonts w:cs="Arial"/>
                <w:color w:val="0D0D0D" w:themeColor="text1" w:themeTint="F2"/>
                <w:szCs w:val="20"/>
              </w:rPr>
            </w:pPr>
            <w:r>
              <w:rPr>
                <w:rFonts w:cs="Arial"/>
                <w:color w:val="0D0D0D" w:themeColor="text1" w:themeTint="F2"/>
                <w:spacing w:val="-2"/>
                <w:szCs w:val="20"/>
              </w:rPr>
              <w:t>Retail food s</w:t>
            </w:r>
            <w:r w:rsidRPr="00F2764F">
              <w:rPr>
                <w:rFonts w:cs="Arial"/>
                <w:color w:val="0D0D0D" w:themeColor="text1" w:themeTint="F2"/>
                <w:spacing w:val="-2"/>
                <w:szCs w:val="20"/>
              </w:rPr>
              <w:t xml:space="preserve">ales </w:t>
            </w:r>
            <w:r>
              <w:rPr>
                <w:rFonts w:cs="Arial"/>
                <w:color w:val="0D0D0D" w:themeColor="text1" w:themeTint="F2"/>
                <w:spacing w:val="-2"/>
                <w:szCs w:val="20"/>
              </w:rPr>
              <w:t>increa</w:t>
            </w:r>
            <w:r w:rsidRPr="00F2764F">
              <w:rPr>
                <w:rFonts w:cs="Arial"/>
                <w:color w:val="0D0D0D" w:themeColor="text1" w:themeTint="F2"/>
                <w:spacing w:val="-2"/>
                <w:szCs w:val="20"/>
              </w:rPr>
              <w:t>sed by 1.7%</w:t>
            </w:r>
            <w:r>
              <w:rPr>
                <w:rFonts w:cs="Arial"/>
                <w:color w:val="0D0D0D" w:themeColor="text1" w:themeTint="F2"/>
                <w:spacing w:val="-2"/>
                <w:szCs w:val="20"/>
              </w:rPr>
              <w:t>,</w:t>
            </w:r>
            <w:r w:rsidRPr="00F2764F">
              <w:rPr>
                <w:rFonts w:cs="Arial"/>
                <w:color w:val="0D0D0D" w:themeColor="text1" w:themeTint="F2"/>
                <w:spacing w:val="-2"/>
                <w:szCs w:val="20"/>
              </w:rPr>
              <w:t xml:space="preserve"> year-on-year</w:t>
            </w:r>
            <w:r>
              <w:rPr>
                <w:rFonts w:cs="Arial"/>
                <w:color w:val="0D0D0D" w:themeColor="text1" w:themeTint="F2"/>
                <w:spacing w:val="-2"/>
                <w:szCs w:val="20"/>
              </w:rPr>
              <w:t>,</w:t>
            </w:r>
            <w:r w:rsidRPr="00F2764F">
              <w:rPr>
                <w:rFonts w:cs="Arial"/>
                <w:color w:val="0D0D0D" w:themeColor="text1" w:themeTint="F2"/>
                <w:spacing w:val="-2"/>
                <w:szCs w:val="20"/>
              </w:rPr>
              <w:t xml:space="preserve"> this year (the highest since the end of 2024) and contributed 0.6 p</w:t>
            </w:r>
            <w:r>
              <w:rPr>
                <w:rFonts w:cs="Arial"/>
                <w:color w:val="0D0D0D" w:themeColor="text1" w:themeTint="F2"/>
                <w:spacing w:val="-2"/>
                <w:szCs w:val="20"/>
              </w:rPr>
              <w:t xml:space="preserve">. p. </w:t>
            </w:r>
            <w:r w:rsidRPr="00F2764F">
              <w:rPr>
                <w:rFonts w:cs="Arial"/>
                <w:color w:val="0D0D0D" w:themeColor="text1" w:themeTint="F2"/>
                <w:spacing w:val="-2"/>
                <w:szCs w:val="20"/>
              </w:rPr>
              <w:t xml:space="preserve">to the growth of the </w:t>
            </w:r>
            <w:r>
              <w:rPr>
                <w:rFonts w:cs="Arial"/>
                <w:color w:val="0D0D0D" w:themeColor="text1" w:themeTint="F2"/>
                <w:spacing w:val="-2"/>
                <w:szCs w:val="20"/>
              </w:rPr>
              <w:t xml:space="preserve">total retail. </w:t>
            </w:r>
            <w:r w:rsidRPr="00F2764F">
              <w:rPr>
                <w:rFonts w:cs="Arial"/>
                <w:color w:val="0D0D0D" w:themeColor="text1" w:themeTint="F2"/>
                <w:spacing w:val="-2"/>
                <w:szCs w:val="20"/>
              </w:rPr>
              <w:t xml:space="preserve">Despite this recovery, which could also have been contributed </w:t>
            </w:r>
            <w:r>
              <w:rPr>
                <w:rFonts w:cs="Arial"/>
                <w:color w:val="0D0D0D" w:themeColor="text1" w:themeTint="F2"/>
                <w:spacing w:val="-2"/>
                <w:szCs w:val="20"/>
              </w:rPr>
              <w:t xml:space="preserve">to </w:t>
            </w:r>
            <w:r w:rsidRPr="00F2764F">
              <w:rPr>
                <w:rFonts w:cs="Arial"/>
                <w:color w:val="0D0D0D" w:themeColor="text1" w:themeTint="F2"/>
                <w:spacing w:val="-2"/>
                <w:szCs w:val="20"/>
              </w:rPr>
              <w:t xml:space="preserve">by the </w:t>
            </w:r>
            <w:r>
              <w:rPr>
                <w:rFonts w:cs="Arial"/>
                <w:color w:val="0D0D0D" w:themeColor="text1" w:themeTint="F2"/>
                <w:spacing w:val="-2"/>
                <w:szCs w:val="20"/>
              </w:rPr>
              <w:t xml:space="preserve">drop of </w:t>
            </w:r>
            <w:r w:rsidRPr="00F2764F">
              <w:rPr>
                <w:rFonts w:cs="Arial"/>
                <w:color w:val="0D0D0D" w:themeColor="text1" w:themeTint="F2"/>
                <w:spacing w:val="-2"/>
                <w:szCs w:val="20"/>
              </w:rPr>
              <w:t>the prices of some basic foodstuffs, demand growth was basically supported only by the dominant segment of large chains, as sales in small, specialised stores</w:t>
            </w:r>
            <w:r w:rsidRPr="00B131B0">
              <w:rPr>
                <w:rStyle w:val="Znakapoznpodarou"/>
                <w:color w:val="0D0D0D" w:themeColor="text1" w:themeTint="F2"/>
                <w:spacing w:val="-2"/>
                <w:szCs w:val="20"/>
              </w:rPr>
              <w:footnoteReference w:id="43"/>
            </w:r>
            <w:r w:rsidRPr="00F2764F">
              <w:rPr>
                <w:rFonts w:cs="Arial"/>
                <w:color w:val="0D0D0D" w:themeColor="text1" w:themeTint="F2"/>
                <w:spacing w:val="-2"/>
                <w:szCs w:val="20"/>
              </w:rPr>
              <w:t xml:space="preserve"> were effectively stagnating. Year-on-year growth </w:t>
            </w:r>
            <w:r>
              <w:rPr>
                <w:rFonts w:cs="Arial"/>
                <w:color w:val="0D0D0D" w:themeColor="text1" w:themeTint="F2"/>
                <w:spacing w:val="-2"/>
                <w:szCs w:val="20"/>
              </w:rPr>
              <w:t>of</w:t>
            </w:r>
            <w:r w:rsidRPr="00F2764F">
              <w:rPr>
                <w:rFonts w:cs="Arial"/>
                <w:color w:val="0D0D0D" w:themeColor="text1" w:themeTint="F2"/>
                <w:spacing w:val="-2"/>
                <w:szCs w:val="20"/>
              </w:rPr>
              <w:t xml:space="preserve"> sales of fuels increased by 1.4% for the whole </w:t>
            </w:r>
            <w:r>
              <w:rPr>
                <w:rFonts w:cs="Arial"/>
                <w:color w:val="0D0D0D" w:themeColor="text1" w:themeTint="F2"/>
                <w:spacing w:val="-2"/>
                <w:szCs w:val="20"/>
              </w:rPr>
              <w:t xml:space="preserve">H1 and </w:t>
            </w:r>
            <w:r w:rsidRPr="00F2764F">
              <w:rPr>
                <w:rFonts w:cs="Arial"/>
                <w:color w:val="0D0D0D" w:themeColor="text1" w:themeTint="F2"/>
                <w:spacing w:val="-2"/>
                <w:szCs w:val="20"/>
              </w:rPr>
              <w:t xml:space="preserve">its contribution to the growth of the </w:t>
            </w:r>
            <w:r>
              <w:rPr>
                <w:rFonts w:cs="Arial"/>
                <w:color w:val="0D0D0D" w:themeColor="text1" w:themeTint="F2"/>
                <w:spacing w:val="-2"/>
                <w:szCs w:val="20"/>
              </w:rPr>
              <w:t xml:space="preserve">total </w:t>
            </w:r>
            <w:r w:rsidRPr="00F2764F">
              <w:rPr>
                <w:rFonts w:cs="Arial"/>
                <w:color w:val="0D0D0D" w:themeColor="text1" w:themeTint="F2"/>
                <w:spacing w:val="-2"/>
                <w:szCs w:val="20"/>
              </w:rPr>
              <w:t>retail was low (+0.2 p</w:t>
            </w:r>
            <w:r>
              <w:rPr>
                <w:rFonts w:cs="Arial"/>
                <w:color w:val="0D0D0D" w:themeColor="text1" w:themeTint="F2"/>
                <w:spacing w:val="-2"/>
                <w:szCs w:val="20"/>
              </w:rPr>
              <w:t>. p.</w:t>
            </w:r>
            <w:r w:rsidRPr="00F2764F">
              <w:rPr>
                <w:rFonts w:cs="Arial"/>
                <w:color w:val="0D0D0D" w:themeColor="text1" w:themeTint="F2"/>
                <w:spacing w:val="-2"/>
                <w:szCs w:val="20"/>
              </w:rPr>
              <w:t xml:space="preserve">). Strong demand for fuels continued </w:t>
            </w:r>
            <w:r>
              <w:rPr>
                <w:rFonts w:cs="Arial"/>
                <w:color w:val="0D0D0D" w:themeColor="text1" w:themeTint="F2"/>
                <w:spacing w:val="-2"/>
                <w:szCs w:val="20"/>
              </w:rPr>
              <w:t xml:space="preserve">still </w:t>
            </w:r>
            <w:r w:rsidRPr="00F2764F">
              <w:rPr>
                <w:rFonts w:cs="Arial"/>
                <w:color w:val="0D0D0D" w:themeColor="text1" w:themeTint="F2"/>
                <w:spacing w:val="-2"/>
                <w:szCs w:val="20"/>
              </w:rPr>
              <w:t xml:space="preserve">in Q1, stemming mainly from favourable fuel price developments for most of this period and partly also from the effect of </w:t>
            </w:r>
            <w:r>
              <w:rPr>
                <w:rFonts w:cs="Arial"/>
                <w:color w:val="0D0D0D" w:themeColor="text1" w:themeTint="F2"/>
                <w:spacing w:val="-2"/>
                <w:szCs w:val="20"/>
              </w:rPr>
              <w:t>pre-s</w:t>
            </w:r>
            <w:r w:rsidRPr="00F2764F">
              <w:rPr>
                <w:rFonts w:cs="Arial"/>
                <w:color w:val="0D0D0D" w:themeColor="text1" w:themeTint="F2"/>
                <w:spacing w:val="-2"/>
                <w:szCs w:val="20"/>
              </w:rPr>
              <w:t xml:space="preserve">tocking due to the expected sharp rise </w:t>
            </w:r>
            <w:r>
              <w:rPr>
                <w:rFonts w:cs="Arial"/>
                <w:color w:val="0D0D0D" w:themeColor="text1" w:themeTint="F2"/>
                <w:spacing w:val="-2"/>
                <w:szCs w:val="20"/>
              </w:rPr>
              <w:t>of</w:t>
            </w:r>
            <w:r w:rsidRPr="00F2764F">
              <w:rPr>
                <w:rFonts w:cs="Arial"/>
                <w:color w:val="0D0D0D" w:themeColor="text1" w:themeTint="F2"/>
                <w:spacing w:val="-2"/>
                <w:szCs w:val="20"/>
              </w:rPr>
              <w:t xml:space="preserve"> world fuel prices following the escalation of the Gulf conflict. In April, however, the year-on-year growth </w:t>
            </w:r>
            <w:r>
              <w:rPr>
                <w:rFonts w:cs="Arial"/>
                <w:color w:val="0D0D0D" w:themeColor="text1" w:themeTint="F2"/>
                <w:spacing w:val="-2"/>
                <w:szCs w:val="20"/>
              </w:rPr>
              <w:t>of</w:t>
            </w:r>
            <w:r w:rsidRPr="00F2764F">
              <w:rPr>
                <w:rFonts w:cs="Arial"/>
                <w:color w:val="0D0D0D" w:themeColor="text1" w:themeTint="F2"/>
                <w:spacing w:val="-2"/>
                <w:szCs w:val="20"/>
              </w:rPr>
              <w:t xml:space="preserve"> demand for fuel, which had lasted continuously for the previous twenty-two months, stalled (</w:t>
            </w:r>
            <w:r w:rsidRPr="0006472D">
              <w:rPr>
                <w:color w:val="0D0D0D" w:themeColor="text1" w:themeTint="F2"/>
                <w:spacing w:val="-4"/>
              </w:rPr>
              <w:t>−</w:t>
            </w:r>
            <w:r w:rsidRPr="00F2764F">
              <w:rPr>
                <w:rFonts w:cs="Arial"/>
                <w:color w:val="0D0D0D" w:themeColor="text1" w:themeTint="F2"/>
                <w:spacing w:val="-2"/>
                <w:szCs w:val="20"/>
              </w:rPr>
              <w:t>7.8%). The price shock was partly dampened by government measures</w:t>
            </w:r>
            <w:r w:rsidRPr="00B131B0">
              <w:rPr>
                <w:rStyle w:val="Znakapoznpodarou"/>
                <w:color w:val="0D0D0D" w:themeColor="text1" w:themeTint="F2"/>
                <w:spacing w:val="-2"/>
                <w:szCs w:val="20"/>
              </w:rPr>
              <w:footnoteReference w:id="44"/>
            </w:r>
            <w:r w:rsidRPr="00F2764F">
              <w:rPr>
                <w:rFonts w:cs="Arial"/>
                <w:color w:val="0D0D0D" w:themeColor="text1" w:themeTint="F2"/>
                <w:spacing w:val="-2"/>
                <w:szCs w:val="20"/>
              </w:rPr>
              <w:t xml:space="preserve">, but sales did not recover until July (as a result of a temporary stabilisation </w:t>
            </w:r>
            <w:r>
              <w:rPr>
                <w:rFonts w:cs="Arial"/>
                <w:color w:val="0D0D0D" w:themeColor="text1" w:themeTint="F2"/>
                <w:spacing w:val="-2"/>
                <w:szCs w:val="20"/>
              </w:rPr>
              <w:t>of</w:t>
            </w:r>
            <w:r w:rsidRPr="00F2764F">
              <w:rPr>
                <w:rFonts w:cs="Arial"/>
                <w:color w:val="0D0D0D" w:themeColor="text1" w:themeTint="F2"/>
                <w:spacing w:val="-2"/>
                <w:szCs w:val="20"/>
              </w:rPr>
              <w:t xml:space="preserve"> global oil prices and regular growth </w:t>
            </w:r>
            <w:r>
              <w:rPr>
                <w:rFonts w:cs="Arial"/>
                <w:color w:val="0D0D0D" w:themeColor="text1" w:themeTint="F2"/>
                <w:spacing w:val="-2"/>
                <w:szCs w:val="20"/>
              </w:rPr>
              <w:t>of</w:t>
            </w:r>
            <w:r w:rsidRPr="00F2764F">
              <w:rPr>
                <w:rFonts w:cs="Arial"/>
                <w:color w:val="0D0D0D" w:themeColor="text1" w:themeTint="F2"/>
                <w:spacing w:val="-2"/>
                <w:szCs w:val="20"/>
              </w:rPr>
              <w:t xml:space="preserve"> demand in the main motoring season).</w:t>
            </w:r>
            <w:r w:rsidRPr="00B131B0">
              <w:rPr>
                <w:rFonts w:cs="Arial"/>
                <w:color w:val="0D0D0D" w:themeColor="text1" w:themeTint="F2"/>
                <w:spacing w:val="-2"/>
                <w:szCs w:val="20"/>
              </w:rPr>
              <w:t xml:space="preserve"> </w:t>
            </w:r>
          </w:p>
        </w:tc>
      </w:tr>
    </w:tbl>
    <w:p w14:paraId="70B62E3D" w14:textId="77777777" w:rsidR="00927BC1" w:rsidRPr="00B131B0" w:rsidRDefault="00927BC1" w:rsidP="00927BC1">
      <w:pPr>
        <w:spacing w:after="0" w:line="240" w:lineRule="auto"/>
        <w:jc w:val="left"/>
        <w:rPr>
          <w:rFonts w:eastAsia="MS Gothic"/>
          <w:b/>
          <w:bCs/>
          <w:color w:val="0D0D0D" w:themeColor="text1" w:themeTint="F2"/>
          <w:sz w:val="6"/>
          <w:szCs w:val="6"/>
        </w:rPr>
      </w:pPr>
    </w:p>
    <w:p w14:paraId="1818D160" w14:textId="77777777" w:rsidR="00927BC1" w:rsidRPr="00B131B0" w:rsidRDefault="00927BC1" w:rsidP="00927BC1">
      <w:pPr>
        <w:spacing w:after="0" w:line="240" w:lineRule="auto"/>
        <w:jc w:val="left"/>
        <w:rPr>
          <w:rFonts w:eastAsia="MS Gothic"/>
          <w:b/>
          <w:bCs/>
          <w:color w:val="86BF5E"/>
          <w:sz w:val="32"/>
          <w:szCs w:val="28"/>
        </w:rPr>
      </w:pPr>
      <w:r w:rsidRPr="00B131B0">
        <w:br w:type="page"/>
      </w:r>
      <w:bookmarkEnd w:id="0"/>
      <w:bookmarkEnd w:id="2"/>
    </w:p>
    <w:sectPr w:rsidR="00927BC1" w:rsidRPr="00B131B0" w:rsidSect="003E1AA5">
      <w:headerReference w:type="even" r:id="rId16"/>
      <w:headerReference w:type="default" r:id="rId17"/>
      <w:footerReference w:type="even" r:id="rId18"/>
      <w:footerReference w:type="default" r:id="rId19"/>
      <w:pgSz w:w="11906" w:h="16838" w:code="9"/>
      <w:pgMar w:top="1134" w:right="1134" w:bottom="1418" w:left="1134" w:header="680" w:footer="680"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77696" w14:textId="77777777" w:rsidR="00712939" w:rsidRPr="00B131B0" w:rsidRDefault="00712939" w:rsidP="00E71A58">
      <w:r w:rsidRPr="00B131B0">
        <w:separator/>
      </w:r>
    </w:p>
  </w:endnote>
  <w:endnote w:type="continuationSeparator" w:id="0">
    <w:p w14:paraId="2F6DCA07" w14:textId="77777777" w:rsidR="00712939" w:rsidRPr="00B131B0" w:rsidRDefault="00712939" w:rsidP="00E71A58">
      <w:r w:rsidRPr="00B131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36754" w14:textId="600D31C7" w:rsidR="00763B85" w:rsidRPr="00B131B0" w:rsidRDefault="00763B85" w:rsidP="00A418BC">
    <w:pPr>
      <w:pStyle w:val="Zpat"/>
      <w:rPr>
        <w:noProof w:val="0"/>
        <w:szCs w:val="16"/>
        <w:lang w:val="en-GB"/>
      </w:rPr>
    </w:pPr>
    <w:r w:rsidRPr="00B131B0">
      <w:rPr>
        <w:noProof w:val="0"/>
        <w:szCs w:val="16"/>
        <w:lang w:val="en-GB"/>
      </w:rPr>
      <w:fldChar w:fldCharType="begin"/>
    </w:r>
    <w:r w:rsidRPr="00B131B0">
      <w:rPr>
        <w:noProof w:val="0"/>
        <w:szCs w:val="16"/>
        <w:lang w:val="en-GB"/>
      </w:rPr>
      <w:instrText>PAGE   \* MERGEFORMAT</w:instrText>
    </w:r>
    <w:r w:rsidRPr="00B131B0">
      <w:rPr>
        <w:noProof w:val="0"/>
        <w:szCs w:val="16"/>
        <w:lang w:val="en-GB"/>
      </w:rPr>
      <w:fldChar w:fldCharType="separate"/>
    </w:r>
    <w:r w:rsidR="00C35666" w:rsidRPr="00B131B0">
      <w:rPr>
        <w:noProof w:val="0"/>
        <w:szCs w:val="16"/>
        <w:lang w:val="en-GB"/>
      </w:rPr>
      <w:t>8</w:t>
    </w:r>
    <w:r w:rsidRPr="00B131B0">
      <w:rPr>
        <w:noProof w:val="0"/>
        <w:szCs w:val="16"/>
        <w:lang w:val="en-GB"/>
      </w:rPr>
      <w:fldChar w:fldCharType="end"/>
    </w:r>
    <w:r w:rsidRPr="00B131B0">
      <w:rPr>
        <w:noProof w:val="0"/>
        <w:szCs w:val="16"/>
        <w:lang w:val="en-GB"/>
      </w:rPr>
      <w:tab/>
    </w:r>
    <w:r w:rsidR="00E92DFE" w:rsidRPr="00B131B0">
      <w:rPr>
        <w:noProof w:val="0"/>
        <w:szCs w:val="16"/>
        <w:lang w:val="en-GB"/>
      </w:rPr>
      <w:t xml:space="preserve">First half of </w:t>
    </w:r>
    <w:r w:rsidR="009203C8" w:rsidRPr="00B131B0">
      <w:rPr>
        <w:noProof w:val="0"/>
        <w:szCs w:val="16"/>
        <w:lang w:val="en-GB"/>
      </w:rPr>
      <w:t>2026</w:t>
    </w:r>
    <w:r w:rsidR="002B4121" w:rsidRPr="00B131B0">
      <w:rPr>
        <w:noProof w:val="0"/>
        <w:szCs w:val="16"/>
        <w:lang w:val="en-GB"/>
      </w:rPr>
      <w:tab/>
    </w:r>
    <w:r w:rsidR="00966AEE" w:rsidRPr="00B131B0">
      <w:rPr>
        <w:noProof w:val="0"/>
        <w:szCs w:val="16"/>
        <w:lang w:val="en-GB"/>
      </w:rPr>
      <w:t>CZSO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FA4F" w14:textId="23B79C87" w:rsidR="00763B85" w:rsidRPr="00B131B0" w:rsidRDefault="00964F1A" w:rsidP="00A418BC">
    <w:pPr>
      <w:pStyle w:val="Zpat"/>
      <w:rPr>
        <w:noProof w:val="0"/>
        <w:szCs w:val="16"/>
        <w:lang w:val="en-GB"/>
      </w:rPr>
    </w:pPr>
    <w:r w:rsidRPr="00B131B0">
      <w:rPr>
        <w:noProof w:val="0"/>
        <w:szCs w:val="16"/>
        <w:lang w:val="en-GB"/>
      </w:rPr>
      <w:t>CZSO</w:t>
    </w:r>
    <w:r w:rsidR="00763B85" w:rsidRPr="00B131B0">
      <w:rPr>
        <w:noProof w:val="0"/>
        <w:szCs w:val="16"/>
        <w:lang w:val="en-GB"/>
      </w:rPr>
      <w:tab/>
    </w:r>
    <w:r w:rsidRPr="00B131B0">
      <w:rPr>
        <w:noProof w:val="0"/>
        <w:szCs w:val="16"/>
        <w:lang w:val="en-GB"/>
      </w:rPr>
      <w:t xml:space="preserve">First half of </w:t>
    </w:r>
    <w:r w:rsidR="009203C8" w:rsidRPr="00B131B0">
      <w:rPr>
        <w:noProof w:val="0"/>
        <w:szCs w:val="16"/>
        <w:lang w:val="en-GB"/>
      </w:rPr>
      <w:t>2026</w:t>
    </w:r>
    <w:r w:rsidR="00763B85" w:rsidRPr="00B131B0">
      <w:rPr>
        <w:noProof w:val="0"/>
        <w:szCs w:val="16"/>
        <w:lang w:val="en-GB"/>
      </w:rPr>
      <w:tab/>
    </w:r>
    <w:r w:rsidR="00763B85" w:rsidRPr="00B131B0">
      <w:rPr>
        <w:rStyle w:val="ZpatChar"/>
        <w:noProof w:val="0"/>
        <w:szCs w:val="16"/>
        <w:lang w:val="en-GB"/>
      </w:rPr>
      <w:fldChar w:fldCharType="begin"/>
    </w:r>
    <w:r w:rsidR="00763B85" w:rsidRPr="00B131B0">
      <w:rPr>
        <w:rStyle w:val="ZpatChar"/>
        <w:noProof w:val="0"/>
        <w:szCs w:val="16"/>
        <w:lang w:val="en-GB"/>
      </w:rPr>
      <w:instrText>PAGE   \* MERGEFORMAT</w:instrText>
    </w:r>
    <w:r w:rsidR="00763B85" w:rsidRPr="00B131B0">
      <w:rPr>
        <w:rStyle w:val="ZpatChar"/>
        <w:noProof w:val="0"/>
        <w:szCs w:val="16"/>
        <w:lang w:val="en-GB"/>
      </w:rPr>
      <w:fldChar w:fldCharType="separate"/>
    </w:r>
    <w:r w:rsidR="00C35666" w:rsidRPr="00B131B0">
      <w:rPr>
        <w:rStyle w:val="ZpatChar"/>
        <w:noProof w:val="0"/>
        <w:szCs w:val="16"/>
        <w:lang w:val="en-GB"/>
      </w:rPr>
      <w:t>3</w:t>
    </w:r>
    <w:r w:rsidR="00763B85" w:rsidRPr="00B131B0">
      <w:rPr>
        <w:rStyle w:val="ZpatChar"/>
        <w:noProof w:val="0"/>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091BA" w14:textId="77777777" w:rsidR="00712939" w:rsidRPr="00B131B0" w:rsidRDefault="00712939" w:rsidP="00BB2F43">
      <w:pPr>
        <w:pStyle w:val="Zpat"/>
        <w:rPr>
          <w:noProof w:val="0"/>
          <w:lang w:val="en-GB"/>
        </w:rPr>
      </w:pPr>
      <w:r w:rsidRPr="00B131B0">
        <w:rPr>
          <w:noProof w:val="0"/>
          <w:lang w:val="en-GB"/>
        </w:rPr>
        <w:separator/>
      </w:r>
    </w:p>
  </w:footnote>
  <w:footnote w:type="continuationSeparator" w:id="0">
    <w:p w14:paraId="2405372E" w14:textId="77777777" w:rsidR="00712939" w:rsidRPr="00B131B0" w:rsidRDefault="00712939" w:rsidP="00E71A58">
      <w:r w:rsidRPr="00B131B0">
        <w:continuationSeparator/>
      </w:r>
    </w:p>
  </w:footnote>
  <w:footnote w:id="1">
    <w:p w14:paraId="47A2B4BA" w14:textId="77777777" w:rsidR="00927BC1" w:rsidRPr="00B131B0" w:rsidRDefault="00927BC1" w:rsidP="00927BC1">
      <w:pPr>
        <w:pStyle w:val="Textpoznpodarou"/>
        <w:rPr>
          <w:sz w:val="16"/>
          <w:szCs w:val="16"/>
        </w:rPr>
      </w:pPr>
      <w:r w:rsidRPr="00B131B0">
        <w:rPr>
          <w:rStyle w:val="Znakapoznpodarou"/>
          <w:sz w:val="16"/>
          <w:szCs w:val="16"/>
        </w:rPr>
        <w:footnoteRef/>
      </w:r>
      <w:r w:rsidRPr="00B131B0">
        <w:rPr>
          <w:sz w:val="16"/>
          <w:szCs w:val="16"/>
        </w:rPr>
        <w:t xml:space="preserve"> </w:t>
      </w:r>
      <w:r w:rsidRPr="00BA43A6">
        <w:rPr>
          <w:sz w:val="16"/>
          <w:szCs w:val="16"/>
        </w:rPr>
        <w:t xml:space="preserve">Its importance is growing in a longer-term context. Compared to the period 2016 to 2025, </w:t>
      </w:r>
      <w:r>
        <w:rPr>
          <w:sz w:val="16"/>
          <w:szCs w:val="16"/>
        </w:rPr>
        <w:t>this year</w:t>
      </w:r>
      <w:r w:rsidRPr="00E21A82">
        <w:rPr>
          <w:sz w:val="16"/>
          <w:szCs w:val="16"/>
        </w:rPr>
        <w:t>'</w:t>
      </w:r>
      <w:r>
        <w:rPr>
          <w:sz w:val="16"/>
          <w:szCs w:val="16"/>
        </w:rPr>
        <w:t>s crop slump</w:t>
      </w:r>
      <w:r w:rsidRPr="00BA43A6">
        <w:rPr>
          <w:sz w:val="16"/>
          <w:szCs w:val="16"/>
        </w:rPr>
        <w:t xml:space="preserve"> </w:t>
      </w:r>
      <w:r>
        <w:rPr>
          <w:sz w:val="16"/>
          <w:szCs w:val="16"/>
        </w:rPr>
        <w:t xml:space="preserve">was </w:t>
      </w:r>
      <w:r w:rsidRPr="00BA43A6">
        <w:rPr>
          <w:sz w:val="16"/>
          <w:szCs w:val="16"/>
        </w:rPr>
        <w:t>affected</w:t>
      </w:r>
      <w:r>
        <w:rPr>
          <w:sz w:val="16"/>
          <w:szCs w:val="16"/>
        </w:rPr>
        <w:t xml:space="preserve"> with the similar </w:t>
      </w:r>
      <w:r w:rsidRPr="00BA43A6">
        <w:rPr>
          <w:sz w:val="16"/>
          <w:szCs w:val="16"/>
        </w:rPr>
        <w:t xml:space="preserve">extent </w:t>
      </w:r>
      <w:r>
        <w:rPr>
          <w:sz w:val="16"/>
          <w:szCs w:val="16"/>
        </w:rPr>
        <w:t xml:space="preserve">both by </w:t>
      </w:r>
      <w:r w:rsidRPr="00E21A82">
        <w:rPr>
          <w:sz w:val="16"/>
          <w:szCs w:val="16"/>
        </w:rPr>
        <w:t xml:space="preserve">sowing area </w:t>
      </w:r>
      <w:r w:rsidRPr="00BA43A6">
        <w:rPr>
          <w:sz w:val="16"/>
          <w:szCs w:val="16"/>
        </w:rPr>
        <w:t xml:space="preserve">decline </w:t>
      </w:r>
      <w:r>
        <w:rPr>
          <w:sz w:val="16"/>
          <w:szCs w:val="16"/>
        </w:rPr>
        <w:t>and</w:t>
      </w:r>
      <w:r w:rsidRPr="00BA43A6">
        <w:rPr>
          <w:sz w:val="16"/>
          <w:szCs w:val="16"/>
        </w:rPr>
        <w:t xml:space="preserve"> average yields per hectare</w:t>
      </w:r>
      <w:r>
        <w:rPr>
          <w:sz w:val="16"/>
          <w:szCs w:val="16"/>
        </w:rPr>
        <w:t xml:space="preserve"> decline</w:t>
      </w:r>
      <w:r w:rsidRPr="00BA43A6">
        <w:rPr>
          <w:sz w:val="16"/>
          <w:szCs w:val="16"/>
        </w:rPr>
        <w:t xml:space="preserve"> – both for cereals and rapeseed.</w:t>
      </w:r>
      <w:r>
        <w:rPr>
          <w:sz w:val="16"/>
          <w:szCs w:val="16"/>
        </w:rPr>
        <w:t xml:space="preserve"> </w:t>
      </w:r>
    </w:p>
  </w:footnote>
  <w:footnote w:id="2">
    <w:p w14:paraId="47FC1817" w14:textId="77777777" w:rsidR="00927BC1" w:rsidRPr="00B131B0" w:rsidRDefault="00927BC1" w:rsidP="00927BC1">
      <w:pPr>
        <w:pStyle w:val="Textpoznpodarou"/>
        <w:rPr>
          <w:sz w:val="16"/>
          <w:szCs w:val="16"/>
        </w:rPr>
      </w:pPr>
      <w:r w:rsidRPr="00B131B0">
        <w:rPr>
          <w:rStyle w:val="Znakapoznpodarou"/>
          <w:sz w:val="16"/>
          <w:szCs w:val="16"/>
        </w:rPr>
        <w:footnoteRef/>
      </w:r>
      <w:r w:rsidRPr="00B131B0">
        <w:rPr>
          <w:sz w:val="16"/>
          <w:szCs w:val="16"/>
        </w:rPr>
        <w:t xml:space="preserve"> </w:t>
      </w:r>
      <w:r w:rsidRPr="00C15D65">
        <w:rPr>
          <w:sz w:val="16"/>
          <w:szCs w:val="16"/>
        </w:rPr>
        <w:t xml:space="preserve">These include, for example, a higher average bulk weight or protein content and a lower incidence of </w:t>
      </w:r>
      <w:proofErr w:type="spellStart"/>
      <w:r>
        <w:rPr>
          <w:sz w:val="16"/>
          <w:szCs w:val="16"/>
        </w:rPr>
        <w:t>m</w:t>
      </w:r>
      <w:r w:rsidRPr="00C15D65">
        <w:rPr>
          <w:sz w:val="16"/>
          <w:szCs w:val="16"/>
        </w:rPr>
        <w:t>old</w:t>
      </w:r>
      <w:proofErr w:type="spellEnd"/>
      <w:r>
        <w:rPr>
          <w:sz w:val="16"/>
          <w:szCs w:val="16"/>
        </w:rPr>
        <w:t xml:space="preserve">. </w:t>
      </w:r>
    </w:p>
  </w:footnote>
  <w:footnote w:id="3">
    <w:p w14:paraId="2D350000" w14:textId="77777777" w:rsidR="00927BC1" w:rsidRPr="00B131B0" w:rsidRDefault="00927BC1" w:rsidP="00927BC1">
      <w:pPr>
        <w:spacing w:after="0" w:line="240" w:lineRule="auto"/>
        <w:jc w:val="left"/>
        <w:rPr>
          <w:rFonts w:cs="Arial"/>
          <w:color w:val="0D0D0D" w:themeColor="text1" w:themeTint="F2"/>
          <w:spacing w:val="-2"/>
          <w:sz w:val="16"/>
          <w:szCs w:val="16"/>
        </w:rPr>
      </w:pPr>
      <w:r w:rsidRPr="00B131B0">
        <w:rPr>
          <w:rStyle w:val="Znakapoznpodarou"/>
          <w:spacing w:val="-2"/>
          <w:sz w:val="16"/>
          <w:szCs w:val="16"/>
        </w:rPr>
        <w:footnoteRef/>
      </w:r>
      <w:r w:rsidRPr="00B131B0">
        <w:rPr>
          <w:spacing w:val="-2"/>
          <w:sz w:val="16"/>
          <w:szCs w:val="16"/>
        </w:rPr>
        <w:t xml:space="preserve"> </w:t>
      </w:r>
      <w:r w:rsidRPr="00ED5A87">
        <w:rPr>
          <w:spacing w:val="-4"/>
          <w:sz w:val="16"/>
          <w:szCs w:val="16"/>
        </w:rPr>
        <w:t xml:space="preserve">Includes branches of mining and quarrying, manufacturing and also energy industry (here as activities of production and distribution of electricity, gas, heat and air conditioning supply). All year-on-year rates of growth of output are adjusted for calendar effects, quarter-on-quarter rates as well for the seasonal effects. </w:t>
      </w:r>
    </w:p>
  </w:footnote>
  <w:footnote w:id="4">
    <w:p w14:paraId="654DCB14" w14:textId="77777777" w:rsidR="00927BC1" w:rsidRPr="00FD4ACC" w:rsidRDefault="00927BC1" w:rsidP="00927BC1">
      <w:pPr>
        <w:pStyle w:val="Textpoznpodarou"/>
        <w:rPr>
          <w:sz w:val="16"/>
          <w:szCs w:val="16"/>
        </w:rPr>
      </w:pPr>
      <w:r w:rsidRPr="00B131B0">
        <w:rPr>
          <w:rStyle w:val="Znakapoznpodarou"/>
          <w:color w:val="0D0D0D" w:themeColor="text1" w:themeTint="F2"/>
          <w:spacing w:val="-2"/>
          <w:sz w:val="16"/>
          <w:szCs w:val="16"/>
        </w:rPr>
        <w:footnoteRef/>
      </w:r>
      <w:r w:rsidRPr="00B131B0">
        <w:rPr>
          <w:color w:val="0D0D0D" w:themeColor="text1" w:themeTint="F2"/>
          <w:spacing w:val="-2"/>
          <w:sz w:val="16"/>
          <w:szCs w:val="16"/>
        </w:rPr>
        <w:t xml:space="preserve"> </w:t>
      </w:r>
      <w:r w:rsidRPr="00ED5A87">
        <w:rPr>
          <w:sz w:val="16"/>
          <w:szCs w:val="16"/>
        </w:rPr>
        <w:t>T</w:t>
      </w:r>
      <w:r>
        <w:rPr>
          <w:sz w:val="16"/>
          <w:szCs w:val="16"/>
        </w:rPr>
        <w:t xml:space="preserve">hree fifths </w:t>
      </w:r>
      <w:r w:rsidRPr="00ED5A87">
        <w:rPr>
          <w:sz w:val="16"/>
          <w:szCs w:val="16"/>
        </w:rPr>
        <w:t xml:space="preserve">of the main industrial sectors </w:t>
      </w:r>
      <w:r>
        <w:rPr>
          <w:sz w:val="16"/>
          <w:szCs w:val="16"/>
        </w:rPr>
        <w:t xml:space="preserve">still </w:t>
      </w:r>
      <w:r w:rsidRPr="00ED5A87">
        <w:rPr>
          <w:sz w:val="16"/>
          <w:szCs w:val="16"/>
        </w:rPr>
        <w:t>fell behind their peak from years 2015 to 2019 in Q2 this year</w:t>
      </w:r>
      <w:r>
        <w:rPr>
          <w:sz w:val="16"/>
          <w:szCs w:val="16"/>
        </w:rPr>
        <w:t xml:space="preserve">. It comprised primarily of coal mining (by 59%), </w:t>
      </w:r>
      <w:r w:rsidRPr="00ED5A87">
        <w:rPr>
          <w:sz w:val="16"/>
          <w:szCs w:val="16"/>
        </w:rPr>
        <w:t>mining of building materials (−2</w:t>
      </w:r>
      <w:r>
        <w:rPr>
          <w:sz w:val="16"/>
          <w:szCs w:val="16"/>
        </w:rPr>
        <w:t>7</w:t>
      </w:r>
      <w:r w:rsidRPr="00ED5A87">
        <w:rPr>
          <w:sz w:val="16"/>
          <w:szCs w:val="16"/>
        </w:rPr>
        <w:t>%),</w:t>
      </w:r>
      <w:r>
        <w:rPr>
          <w:sz w:val="16"/>
          <w:szCs w:val="16"/>
        </w:rPr>
        <w:t xml:space="preserve"> printing </w:t>
      </w:r>
      <w:r w:rsidRPr="00B131B0">
        <w:rPr>
          <w:color w:val="0D0D0D" w:themeColor="text1" w:themeTint="F2"/>
          <w:spacing w:val="-3"/>
          <w:sz w:val="16"/>
          <w:szCs w:val="16"/>
        </w:rPr>
        <w:t xml:space="preserve">(−24 %), </w:t>
      </w:r>
      <w:r>
        <w:rPr>
          <w:color w:val="0D0D0D" w:themeColor="text1" w:themeTint="F2"/>
          <w:spacing w:val="-3"/>
          <w:sz w:val="16"/>
          <w:szCs w:val="16"/>
        </w:rPr>
        <w:t xml:space="preserve">textile industry </w:t>
      </w:r>
      <w:r w:rsidRPr="00ED5A87">
        <w:rPr>
          <w:sz w:val="16"/>
          <w:szCs w:val="16"/>
        </w:rPr>
        <w:t>(−2</w:t>
      </w:r>
      <w:r>
        <w:rPr>
          <w:sz w:val="16"/>
          <w:szCs w:val="16"/>
        </w:rPr>
        <w:t>4</w:t>
      </w:r>
      <w:r w:rsidRPr="00ED5A87">
        <w:rPr>
          <w:sz w:val="16"/>
          <w:szCs w:val="16"/>
        </w:rPr>
        <w:t>%), metallurgy and foundry (−2</w:t>
      </w:r>
      <w:r>
        <w:rPr>
          <w:sz w:val="16"/>
          <w:szCs w:val="16"/>
        </w:rPr>
        <w:t>3</w:t>
      </w:r>
      <w:r w:rsidRPr="00ED5A87">
        <w:rPr>
          <w:sz w:val="16"/>
          <w:szCs w:val="16"/>
        </w:rPr>
        <w:t>%)</w:t>
      </w:r>
      <w:r>
        <w:rPr>
          <w:sz w:val="16"/>
          <w:szCs w:val="16"/>
        </w:rPr>
        <w:t xml:space="preserve"> </w:t>
      </w:r>
      <w:r w:rsidRPr="00ED5A87">
        <w:rPr>
          <w:sz w:val="16"/>
          <w:szCs w:val="16"/>
        </w:rPr>
        <w:t>and</w:t>
      </w:r>
      <w:r>
        <w:rPr>
          <w:sz w:val="16"/>
          <w:szCs w:val="16"/>
        </w:rPr>
        <w:t xml:space="preserve"> among the larger branches e.g. m</w:t>
      </w:r>
      <w:r w:rsidRPr="00FD4ACC">
        <w:rPr>
          <w:sz w:val="16"/>
          <w:szCs w:val="16"/>
        </w:rPr>
        <w:t>anufacture of machinery and equipment</w:t>
      </w:r>
      <w:r>
        <w:rPr>
          <w:sz w:val="16"/>
          <w:szCs w:val="16"/>
        </w:rPr>
        <w:t xml:space="preserve"> </w:t>
      </w:r>
      <w:r w:rsidRPr="00ED5A87">
        <w:rPr>
          <w:sz w:val="16"/>
          <w:szCs w:val="16"/>
        </w:rPr>
        <w:t>(−1</w:t>
      </w:r>
      <w:r>
        <w:rPr>
          <w:sz w:val="16"/>
          <w:szCs w:val="16"/>
        </w:rPr>
        <w:t>4</w:t>
      </w:r>
      <w:r w:rsidRPr="00ED5A87">
        <w:rPr>
          <w:sz w:val="16"/>
          <w:szCs w:val="16"/>
        </w:rPr>
        <w:t>%),</w:t>
      </w:r>
      <w:r>
        <w:rPr>
          <w:sz w:val="16"/>
          <w:szCs w:val="16"/>
        </w:rPr>
        <w:t xml:space="preserve"> energy </w:t>
      </w:r>
      <w:r w:rsidRPr="00ED5A87">
        <w:rPr>
          <w:sz w:val="16"/>
          <w:szCs w:val="16"/>
        </w:rPr>
        <w:t>(−1</w:t>
      </w:r>
      <w:r>
        <w:rPr>
          <w:sz w:val="16"/>
          <w:szCs w:val="16"/>
        </w:rPr>
        <w:t>1</w:t>
      </w:r>
      <w:r w:rsidRPr="00ED5A87">
        <w:rPr>
          <w:sz w:val="16"/>
          <w:szCs w:val="16"/>
        </w:rPr>
        <w:t>%),</w:t>
      </w:r>
      <w:r>
        <w:rPr>
          <w:sz w:val="16"/>
          <w:szCs w:val="16"/>
        </w:rPr>
        <w:t xml:space="preserve"> chemical industry </w:t>
      </w:r>
      <w:r w:rsidRPr="00ED5A87">
        <w:rPr>
          <w:sz w:val="16"/>
          <w:szCs w:val="16"/>
        </w:rPr>
        <w:t>(−1</w:t>
      </w:r>
      <w:r>
        <w:rPr>
          <w:sz w:val="16"/>
          <w:szCs w:val="16"/>
        </w:rPr>
        <w:t>0</w:t>
      </w:r>
      <w:r w:rsidRPr="00ED5A87">
        <w:rPr>
          <w:sz w:val="16"/>
          <w:szCs w:val="16"/>
        </w:rPr>
        <w:t>%)</w:t>
      </w:r>
      <w:r>
        <w:rPr>
          <w:sz w:val="16"/>
          <w:szCs w:val="16"/>
        </w:rPr>
        <w:t xml:space="preserve"> and manufacturing of building materials </w:t>
      </w:r>
      <w:r w:rsidRPr="00ED5A87">
        <w:rPr>
          <w:sz w:val="16"/>
          <w:szCs w:val="16"/>
        </w:rPr>
        <w:t>(−</w:t>
      </w:r>
      <w:r>
        <w:rPr>
          <w:sz w:val="16"/>
          <w:szCs w:val="16"/>
        </w:rPr>
        <w:t>8</w:t>
      </w:r>
      <w:r w:rsidRPr="00ED5A87">
        <w:rPr>
          <w:sz w:val="16"/>
          <w:szCs w:val="16"/>
        </w:rPr>
        <w:t>%)</w:t>
      </w:r>
      <w:r>
        <w:rPr>
          <w:sz w:val="16"/>
          <w:szCs w:val="16"/>
        </w:rPr>
        <w:t xml:space="preserve">. On the contrary, </w:t>
      </w:r>
      <w:r w:rsidRPr="00ED5A87">
        <w:rPr>
          <w:sz w:val="16"/>
          <w:szCs w:val="16"/>
        </w:rPr>
        <w:t>the sectors producing capital goods</w:t>
      </w:r>
      <w:r>
        <w:rPr>
          <w:sz w:val="16"/>
          <w:szCs w:val="16"/>
        </w:rPr>
        <w:t xml:space="preserve"> </w:t>
      </w:r>
      <w:r w:rsidRPr="00B131B0">
        <w:rPr>
          <w:color w:val="0D0D0D" w:themeColor="text1" w:themeTint="F2"/>
          <w:spacing w:val="-3"/>
          <w:sz w:val="16"/>
          <w:szCs w:val="16"/>
        </w:rPr>
        <w:t xml:space="preserve">(+12 %) </w:t>
      </w:r>
      <w:r w:rsidRPr="00ED5A87">
        <w:rPr>
          <w:sz w:val="16"/>
          <w:szCs w:val="16"/>
        </w:rPr>
        <w:t xml:space="preserve">and also those with non-durable goods </w:t>
      </w:r>
      <w:r w:rsidRPr="00B131B0">
        <w:rPr>
          <w:color w:val="0D0D0D" w:themeColor="text1" w:themeTint="F2"/>
          <w:spacing w:val="-3"/>
          <w:sz w:val="16"/>
          <w:szCs w:val="16"/>
        </w:rPr>
        <w:t>(+6</w:t>
      </w:r>
      <w:r w:rsidRPr="00B131B0">
        <w:rPr>
          <w:rFonts w:eastAsia="Arial" w:cs="Arial"/>
          <w:spacing w:val="-3"/>
          <w:sz w:val="16"/>
          <w:szCs w:val="16"/>
        </w:rPr>
        <w:t> </w:t>
      </w:r>
      <w:r w:rsidRPr="00B131B0">
        <w:rPr>
          <w:color w:val="0D0D0D" w:themeColor="text1" w:themeTint="F2"/>
          <w:spacing w:val="-3"/>
          <w:sz w:val="16"/>
          <w:szCs w:val="16"/>
        </w:rPr>
        <w:t>%)</w:t>
      </w:r>
      <w:r>
        <w:rPr>
          <w:color w:val="0D0D0D" w:themeColor="text1" w:themeTint="F2"/>
          <w:spacing w:val="-3"/>
          <w:sz w:val="16"/>
          <w:szCs w:val="16"/>
        </w:rPr>
        <w:t xml:space="preserve"> </w:t>
      </w:r>
      <w:r w:rsidRPr="00ED5A87">
        <w:rPr>
          <w:sz w:val="16"/>
          <w:szCs w:val="16"/>
        </w:rPr>
        <w:t xml:space="preserve">were currently above the pre-crisis level of </w:t>
      </w:r>
      <w:r>
        <w:rPr>
          <w:sz w:val="16"/>
          <w:szCs w:val="16"/>
        </w:rPr>
        <w:t xml:space="preserve">production. </w:t>
      </w:r>
      <w:r w:rsidRPr="00ED5A87">
        <w:rPr>
          <w:sz w:val="16"/>
          <w:szCs w:val="16"/>
        </w:rPr>
        <w:t>Among individual activities</w:t>
      </w:r>
      <w:r>
        <w:rPr>
          <w:sz w:val="16"/>
          <w:szCs w:val="16"/>
        </w:rPr>
        <w:t xml:space="preserve"> specifically </w:t>
      </w:r>
      <w:r w:rsidRPr="00ED5A87">
        <w:rPr>
          <w:sz w:val="16"/>
          <w:szCs w:val="16"/>
        </w:rPr>
        <w:t>manufacturing of other transport equipment (+</w:t>
      </w:r>
      <w:r>
        <w:rPr>
          <w:sz w:val="16"/>
          <w:szCs w:val="16"/>
        </w:rPr>
        <w:t>44</w:t>
      </w:r>
      <w:r w:rsidRPr="00ED5A87">
        <w:rPr>
          <w:sz w:val="16"/>
          <w:szCs w:val="16"/>
        </w:rPr>
        <w:t xml:space="preserve">%), </w:t>
      </w:r>
      <w:r>
        <w:rPr>
          <w:sz w:val="16"/>
          <w:szCs w:val="16"/>
        </w:rPr>
        <w:t xml:space="preserve">other manufacturing </w:t>
      </w:r>
      <w:r w:rsidRPr="00ED5A87">
        <w:rPr>
          <w:sz w:val="16"/>
          <w:szCs w:val="16"/>
        </w:rPr>
        <w:t>(+2</w:t>
      </w:r>
      <w:r>
        <w:rPr>
          <w:sz w:val="16"/>
          <w:szCs w:val="16"/>
        </w:rPr>
        <w:t>1</w:t>
      </w:r>
      <w:r w:rsidRPr="00ED5A87">
        <w:rPr>
          <w:sz w:val="16"/>
          <w:szCs w:val="16"/>
        </w:rPr>
        <w:t xml:space="preserve">%), </w:t>
      </w:r>
      <w:r>
        <w:rPr>
          <w:sz w:val="16"/>
          <w:szCs w:val="16"/>
        </w:rPr>
        <w:t>ma</w:t>
      </w:r>
      <w:r w:rsidRPr="00ED5A87">
        <w:rPr>
          <w:sz w:val="16"/>
          <w:szCs w:val="16"/>
        </w:rPr>
        <w:t>nufacturing of motor vehicles (+1</w:t>
      </w:r>
      <w:r>
        <w:rPr>
          <w:sz w:val="16"/>
          <w:szCs w:val="16"/>
        </w:rPr>
        <w:t>9</w:t>
      </w:r>
      <w:r w:rsidRPr="00ED5A87">
        <w:rPr>
          <w:sz w:val="16"/>
          <w:szCs w:val="16"/>
        </w:rPr>
        <w:t>%), paper industry</w:t>
      </w:r>
      <w:r>
        <w:rPr>
          <w:sz w:val="16"/>
          <w:szCs w:val="16"/>
        </w:rPr>
        <w:t xml:space="preserve"> </w:t>
      </w:r>
      <w:r w:rsidRPr="00B131B0">
        <w:rPr>
          <w:color w:val="0D0D0D" w:themeColor="text1" w:themeTint="F2"/>
          <w:spacing w:val="-3"/>
          <w:sz w:val="16"/>
          <w:szCs w:val="16"/>
        </w:rPr>
        <w:t>(+17%),</w:t>
      </w:r>
      <w:r>
        <w:rPr>
          <w:color w:val="0D0D0D" w:themeColor="text1" w:themeTint="F2"/>
          <w:spacing w:val="-3"/>
          <w:sz w:val="16"/>
          <w:szCs w:val="16"/>
        </w:rPr>
        <w:t xml:space="preserve"> pharmacy </w:t>
      </w:r>
      <w:r w:rsidRPr="00B131B0">
        <w:rPr>
          <w:color w:val="0D0D0D" w:themeColor="text1" w:themeTint="F2"/>
          <w:spacing w:val="-3"/>
          <w:sz w:val="16"/>
          <w:szCs w:val="16"/>
        </w:rPr>
        <w:t>(+15%),</w:t>
      </w:r>
      <w:r>
        <w:rPr>
          <w:color w:val="0D0D0D" w:themeColor="text1" w:themeTint="F2"/>
          <w:spacing w:val="-3"/>
          <w:sz w:val="16"/>
          <w:szCs w:val="16"/>
        </w:rPr>
        <w:t xml:space="preserve"> </w:t>
      </w:r>
      <w:r w:rsidRPr="00ED5A87">
        <w:rPr>
          <w:sz w:val="16"/>
          <w:szCs w:val="16"/>
        </w:rPr>
        <w:t>electrical engineering (+1</w:t>
      </w:r>
      <w:r>
        <w:rPr>
          <w:sz w:val="16"/>
          <w:szCs w:val="16"/>
        </w:rPr>
        <w:t>4</w:t>
      </w:r>
      <w:r w:rsidRPr="00ED5A87">
        <w:rPr>
          <w:sz w:val="16"/>
          <w:szCs w:val="16"/>
        </w:rPr>
        <w:t>%)</w:t>
      </w:r>
      <w:r>
        <w:rPr>
          <w:sz w:val="16"/>
          <w:szCs w:val="16"/>
        </w:rPr>
        <w:t xml:space="preserve">, </w:t>
      </w:r>
      <w:r w:rsidRPr="00ED5A87">
        <w:rPr>
          <w:sz w:val="16"/>
          <w:szCs w:val="16"/>
        </w:rPr>
        <w:t>food industry (+</w:t>
      </w:r>
      <w:r>
        <w:rPr>
          <w:sz w:val="16"/>
          <w:szCs w:val="16"/>
        </w:rPr>
        <w:t>10</w:t>
      </w:r>
      <w:r w:rsidRPr="00ED5A87">
        <w:rPr>
          <w:sz w:val="16"/>
          <w:szCs w:val="16"/>
        </w:rPr>
        <w:t>%)</w:t>
      </w:r>
      <w:r>
        <w:rPr>
          <w:sz w:val="16"/>
          <w:szCs w:val="16"/>
        </w:rPr>
        <w:t xml:space="preserve">, metalworking </w:t>
      </w:r>
      <w:r w:rsidRPr="00B131B0">
        <w:rPr>
          <w:color w:val="0D0D0D" w:themeColor="text1" w:themeTint="F2"/>
          <w:spacing w:val="-3"/>
          <w:sz w:val="16"/>
          <w:szCs w:val="16"/>
        </w:rPr>
        <w:t>(+5%)</w:t>
      </w:r>
      <w:r>
        <w:rPr>
          <w:color w:val="0D0D0D" w:themeColor="text1" w:themeTint="F2"/>
          <w:spacing w:val="-3"/>
          <w:sz w:val="16"/>
          <w:szCs w:val="16"/>
        </w:rPr>
        <w:t xml:space="preserve"> and electronic industry </w:t>
      </w:r>
      <w:r w:rsidRPr="00B131B0">
        <w:rPr>
          <w:color w:val="0D0D0D" w:themeColor="text1" w:themeTint="F2"/>
          <w:spacing w:val="-3"/>
          <w:sz w:val="16"/>
          <w:szCs w:val="16"/>
        </w:rPr>
        <w:t>(+4%).</w:t>
      </w:r>
    </w:p>
  </w:footnote>
  <w:footnote w:id="5">
    <w:p w14:paraId="74749840" w14:textId="77777777" w:rsidR="00927BC1" w:rsidRPr="00B131B0" w:rsidRDefault="00927BC1" w:rsidP="00927BC1">
      <w:pPr>
        <w:pStyle w:val="Textpoznpodarou"/>
        <w:jc w:val="both"/>
        <w:rPr>
          <w:color w:val="0D0D0D" w:themeColor="text1" w:themeTint="F2"/>
          <w:sz w:val="16"/>
          <w:szCs w:val="16"/>
        </w:rPr>
      </w:pPr>
      <w:r w:rsidRPr="00B131B0">
        <w:rPr>
          <w:rStyle w:val="Znakapoznpodarou"/>
          <w:sz w:val="16"/>
          <w:szCs w:val="16"/>
        </w:rPr>
        <w:footnoteRef/>
      </w:r>
      <w:r w:rsidRPr="00B131B0">
        <w:rPr>
          <w:sz w:val="16"/>
          <w:szCs w:val="16"/>
        </w:rPr>
        <w:t xml:space="preserve"> </w:t>
      </w:r>
      <w:bookmarkStart w:id="4" w:name="_Hlk209981245"/>
      <w:r w:rsidRPr="00ED5A87">
        <w:rPr>
          <w:sz w:val="16"/>
          <w:szCs w:val="16"/>
        </w:rPr>
        <w:t>According to data from the Automotive Industry Association, 7</w:t>
      </w:r>
      <w:r>
        <w:rPr>
          <w:sz w:val="16"/>
          <w:szCs w:val="16"/>
        </w:rPr>
        <w:t>80</w:t>
      </w:r>
      <w:r w:rsidRPr="00ED5A87">
        <w:rPr>
          <w:sz w:val="16"/>
          <w:szCs w:val="16"/>
        </w:rPr>
        <w:t xml:space="preserve"> thousand personal vehicles were manufactured in the Czech Republic in H1 202</w:t>
      </w:r>
      <w:r>
        <w:rPr>
          <w:sz w:val="16"/>
          <w:szCs w:val="16"/>
        </w:rPr>
        <w:t>6</w:t>
      </w:r>
      <w:r w:rsidRPr="00ED5A87">
        <w:rPr>
          <w:sz w:val="16"/>
          <w:szCs w:val="16"/>
        </w:rPr>
        <w:t xml:space="preserve">, </w:t>
      </w:r>
      <w:r>
        <w:rPr>
          <w:sz w:val="16"/>
          <w:szCs w:val="16"/>
        </w:rPr>
        <w:t>by 4</w:t>
      </w:r>
      <w:r w:rsidRPr="00ED5A87">
        <w:rPr>
          <w:sz w:val="16"/>
          <w:szCs w:val="16"/>
        </w:rPr>
        <w:t>.</w:t>
      </w:r>
      <w:r>
        <w:rPr>
          <w:sz w:val="16"/>
          <w:szCs w:val="16"/>
        </w:rPr>
        <w:t>4</w:t>
      </w:r>
      <w:r w:rsidRPr="00ED5A87">
        <w:rPr>
          <w:sz w:val="16"/>
          <w:szCs w:val="16"/>
        </w:rPr>
        <w:t xml:space="preserve">% </w:t>
      </w:r>
      <w:r>
        <w:rPr>
          <w:sz w:val="16"/>
          <w:szCs w:val="16"/>
        </w:rPr>
        <w:t xml:space="preserve">more, year-on-year. </w:t>
      </w:r>
      <w:r w:rsidRPr="006B4100">
        <w:rPr>
          <w:sz w:val="16"/>
          <w:szCs w:val="16"/>
        </w:rPr>
        <w:t xml:space="preserve">Despite occasional planned production shutdowns of some manufacturers, </w:t>
      </w:r>
      <w:r>
        <w:rPr>
          <w:sz w:val="16"/>
          <w:szCs w:val="16"/>
        </w:rPr>
        <w:t xml:space="preserve">output </w:t>
      </w:r>
      <w:r w:rsidRPr="006B4100">
        <w:rPr>
          <w:sz w:val="16"/>
          <w:szCs w:val="16"/>
        </w:rPr>
        <w:t>has increased (except for May) in all previous months</w:t>
      </w:r>
      <w:r>
        <w:rPr>
          <w:sz w:val="16"/>
          <w:szCs w:val="16"/>
        </w:rPr>
        <w:t xml:space="preserve"> in 2026</w:t>
      </w:r>
      <w:r w:rsidRPr="006B4100">
        <w:rPr>
          <w:sz w:val="16"/>
          <w:szCs w:val="16"/>
        </w:rPr>
        <w:t xml:space="preserve">. As last year, production was driven mainly by the rapidly developing segment of </w:t>
      </w:r>
      <w:r>
        <w:rPr>
          <w:sz w:val="16"/>
          <w:szCs w:val="16"/>
        </w:rPr>
        <w:t xml:space="preserve">manufacturing of </w:t>
      </w:r>
      <w:r w:rsidRPr="006B4100">
        <w:rPr>
          <w:sz w:val="16"/>
          <w:szCs w:val="16"/>
        </w:rPr>
        <w:t>electri</w:t>
      </w:r>
      <w:r>
        <w:rPr>
          <w:sz w:val="16"/>
          <w:szCs w:val="16"/>
        </w:rPr>
        <w:t xml:space="preserve">c </w:t>
      </w:r>
      <w:r w:rsidRPr="006B4100">
        <w:rPr>
          <w:sz w:val="16"/>
          <w:szCs w:val="16"/>
        </w:rPr>
        <w:t xml:space="preserve">vehicles (including hybrid vehicles). A total of 319 thousand units has been completed so far this year (including 130 thousand </w:t>
      </w:r>
      <w:r>
        <w:rPr>
          <w:sz w:val="16"/>
          <w:szCs w:val="16"/>
        </w:rPr>
        <w:t>battery electric vehicles</w:t>
      </w:r>
      <w:r w:rsidRPr="006B4100">
        <w:rPr>
          <w:sz w:val="16"/>
          <w:szCs w:val="16"/>
        </w:rPr>
        <w:t xml:space="preserve">, 27 thousand plug-in hybrid </w:t>
      </w:r>
      <w:r>
        <w:rPr>
          <w:sz w:val="16"/>
          <w:szCs w:val="16"/>
        </w:rPr>
        <w:t xml:space="preserve">electric vehicles </w:t>
      </w:r>
      <w:r w:rsidRPr="006B4100">
        <w:rPr>
          <w:sz w:val="16"/>
          <w:szCs w:val="16"/>
        </w:rPr>
        <w:t xml:space="preserve">and 162 thousand hybrid vehicles) and their share </w:t>
      </w:r>
      <w:r>
        <w:rPr>
          <w:sz w:val="16"/>
          <w:szCs w:val="16"/>
        </w:rPr>
        <w:t>in</w:t>
      </w:r>
      <w:r w:rsidRPr="006B4100">
        <w:rPr>
          <w:sz w:val="16"/>
          <w:szCs w:val="16"/>
        </w:rPr>
        <w:t xml:space="preserve"> domestic </w:t>
      </w:r>
      <w:r>
        <w:rPr>
          <w:sz w:val="16"/>
          <w:szCs w:val="16"/>
        </w:rPr>
        <w:t xml:space="preserve">motor vehicle </w:t>
      </w:r>
      <w:r w:rsidRPr="006B4100">
        <w:rPr>
          <w:sz w:val="16"/>
          <w:szCs w:val="16"/>
        </w:rPr>
        <w:t xml:space="preserve">production has reached a record 40%. In addition to passenger </w:t>
      </w:r>
      <w:r>
        <w:rPr>
          <w:sz w:val="16"/>
          <w:szCs w:val="16"/>
        </w:rPr>
        <w:t>motor vehicles</w:t>
      </w:r>
      <w:r w:rsidRPr="006B4100">
        <w:rPr>
          <w:sz w:val="16"/>
          <w:szCs w:val="16"/>
        </w:rPr>
        <w:t xml:space="preserve">, a significant majority of manufacturers of other types of motor vehicles also recorded an increase </w:t>
      </w:r>
      <w:r>
        <w:rPr>
          <w:sz w:val="16"/>
          <w:szCs w:val="16"/>
        </w:rPr>
        <w:t xml:space="preserve">of output </w:t>
      </w:r>
      <w:r w:rsidRPr="006B4100">
        <w:rPr>
          <w:sz w:val="16"/>
          <w:szCs w:val="16"/>
        </w:rPr>
        <w:t xml:space="preserve">this year, unlike </w:t>
      </w:r>
      <w:r>
        <w:rPr>
          <w:sz w:val="16"/>
          <w:szCs w:val="16"/>
        </w:rPr>
        <w:t xml:space="preserve">the total </w:t>
      </w:r>
      <w:r w:rsidRPr="006B4100">
        <w:rPr>
          <w:sz w:val="16"/>
          <w:szCs w:val="16"/>
        </w:rPr>
        <w:t>last year.</w:t>
      </w:r>
      <w:r>
        <w:rPr>
          <w:sz w:val="16"/>
          <w:szCs w:val="16"/>
        </w:rPr>
        <w:t xml:space="preserve"> </w:t>
      </w:r>
      <w:bookmarkEnd w:id="4"/>
      <w:r w:rsidRPr="00B131B0">
        <w:rPr>
          <w:color w:val="0D0D0D" w:themeColor="text1" w:themeTint="F2"/>
          <w:spacing w:val="-3"/>
          <w:sz w:val="16"/>
          <w:szCs w:val="16"/>
        </w:rPr>
        <w:t xml:space="preserve"> </w:t>
      </w:r>
    </w:p>
  </w:footnote>
  <w:footnote w:id="6">
    <w:p w14:paraId="3801D539" w14:textId="77777777" w:rsidR="00927BC1" w:rsidRPr="00B131B0" w:rsidRDefault="00927BC1" w:rsidP="00927BC1">
      <w:pPr>
        <w:pStyle w:val="Textpoznpodarou"/>
        <w:rPr>
          <w:sz w:val="16"/>
          <w:szCs w:val="16"/>
        </w:rPr>
      </w:pPr>
      <w:r w:rsidRPr="00B131B0">
        <w:rPr>
          <w:rStyle w:val="Znakapoznpodarou"/>
          <w:sz w:val="16"/>
          <w:szCs w:val="16"/>
        </w:rPr>
        <w:footnoteRef/>
      </w:r>
      <w:r w:rsidRPr="00B131B0">
        <w:rPr>
          <w:sz w:val="16"/>
          <w:szCs w:val="16"/>
        </w:rPr>
        <w:t xml:space="preserve"> </w:t>
      </w:r>
      <w:r w:rsidRPr="007316A3">
        <w:rPr>
          <w:sz w:val="16"/>
          <w:szCs w:val="16"/>
        </w:rPr>
        <w:t xml:space="preserve">Sales from industrial activities </w:t>
      </w:r>
      <w:r>
        <w:rPr>
          <w:sz w:val="16"/>
          <w:szCs w:val="16"/>
        </w:rPr>
        <w:t xml:space="preserve">realised in H1 2026 </w:t>
      </w:r>
      <w:r w:rsidRPr="007316A3">
        <w:rPr>
          <w:sz w:val="16"/>
          <w:szCs w:val="16"/>
        </w:rPr>
        <w:t>in the Czech Republic increased by 17.6%, y</w:t>
      </w:r>
      <w:r>
        <w:rPr>
          <w:sz w:val="16"/>
          <w:szCs w:val="16"/>
        </w:rPr>
        <w:t>ear-on-year, in nominal terms here.</w:t>
      </w:r>
    </w:p>
  </w:footnote>
  <w:footnote w:id="7">
    <w:p w14:paraId="395DBCDB" w14:textId="77777777" w:rsidR="00927BC1" w:rsidRPr="00B131B0" w:rsidRDefault="00927BC1" w:rsidP="00927BC1">
      <w:pPr>
        <w:pStyle w:val="Textpoznpodarou"/>
        <w:rPr>
          <w:sz w:val="16"/>
          <w:szCs w:val="16"/>
        </w:rPr>
      </w:pPr>
      <w:r w:rsidRPr="00B131B0">
        <w:rPr>
          <w:rStyle w:val="Znakapoznpodarou"/>
          <w:sz w:val="16"/>
          <w:szCs w:val="16"/>
        </w:rPr>
        <w:footnoteRef/>
      </w:r>
      <w:r w:rsidRPr="00B131B0">
        <w:rPr>
          <w:sz w:val="16"/>
          <w:szCs w:val="16"/>
        </w:rPr>
        <w:t xml:space="preserve"> </w:t>
      </w:r>
      <w:r w:rsidRPr="00283497">
        <w:rPr>
          <w:sz w:val="16"/>
          <w:szCs w:val="16"/>
          <w:lang w:val="en"/>
        </w:rPr>
        <w:t xml:space="preserve">In this three-year period, influenced by a sharp rise </w:t>
      </w:r>
      <w:proofErr w:type="gramStart"/>
      <w:r>
        <w:rPr>
          <w:sz w:val="16"/>
          <w:szCs w:val="16"/>
          <w:lang w:val="en"/>
        </w:rPr>
        <w:t>of</w:t>
      </w:r>
      <w:proofErr w:type="gramEnd"/>
      <w:r>
        <w:rPr>
          <w:sz w:val="16"/>
          <w:szCs w:val="16"/>
          <w:lang w:val="en"/>
        </w:rPr>
        <w:t xml:space="preserve"> </w:t>
      </w:r>
      <w:r w:rsidRPr="00283497">
        <w:rPr>
          <w:sz w:val="16"/>
          <w:szCs w:val="16"/>
          <w:lang w:val="en"/>
        </w:rPr>
        <w:t xml:space="preserve">input prices, production in metallurgy and foundry fell by 27% and the </w:t>
      </w:r>
      <w:r>
        <w:rPr>
          <w:sz w:val="16"/>
          <w:szCs w:val="16"/>
          <w:lang w:val="en"/>
        </w:rPr>
        <w:t xml:space="preserve">employment simultaneously </w:t>
      </w:r>
      <w:r w:rsidRPr="00283497">
        <w:rPr>
          <w:sz w:val="16"/>
          <w:szCs w:val="16"/>
          <w:lang w:val="en"/>
        </w:rPr>
        <w:t xml:space="preserve">decreased by 7.7% </w:t>
      </w:r>
      <w:r>
        <w:rPr>
          <w:sz w:val="16"/>
          <w:szCs w:val="16"/>
          <w:lang w:val="en"/>
        </w:rPr>
        <w:t xml:space="preserve">here </w:t>
      </w:r>
      <w:r w:rsidRPr="00283497">
        <w:rPr>
          <w:sz w:val="16"/>
          <w:szCs w:val="16"/>
          <w:lang w:val="en"/>
        </w:rPr>
        <w:t xml:space="preserve">(three times more than in </w:t>
      </w:r>
      <w:r>
        <w:rPr>
          <w:sz w:val="16"/>
          <w:szCs w:val="16"/>
          <w:lang w:val="en"/>
        </w:rPr>
        <w:t xml:space="preserve">total </w:t>
      </w:r>
      <w:r w:rsidRPr="00283497">
        <w:rPr>
          <w:sz w:val="16"/>
          <w:szCs w:val="16"/>
          <w:lang w:val="en"/>
        </w:rPr>
        <w:t>industry).</w:t>
      </w:r>
      <w:r>
        <w:rPr>
          <w:sz w:val="16"/>
          <w:szCs w:val="16"/>
          <w:lang w:val="en"/>
        </w:rPr>
        <w:t xml:space="preserve"> </w:t>
      </w:r>
    </w:p>
  </w:footnote>
  <w:footnote w:id="8">
    <w:p w14:paraId="5C22EC88" w14:textId="77777777" w:rsidR="00927BC1" w:rsidRPr="00AF55E0" w:rsidRDefault="00927BC1" w:rsidP="00927BC1">
      <w:pPr>
        <w:pStyle w:val="Textpoznpodarou"/>
        <w:rPr>
          <w:sz w:val="16"/>
          <w:szCs w:val="16"/>
        </w:rPr>
      </w:pPr>
      <w:r w:rsidRPr="00AF55E0">
        <w:rPr>
          <w:rStyle w:val="Znakapoznpodarou"/>
          <w:sz w:val="16"/>
          <w:szCs w:val="16"/>
        </w:rPr>
        <w:footnoteRef/>
      </w:r>
      <w:r w:rsidRPr="00AF55E0">
        <w:rPr>
          <w:sz w:val="16"/>
          <w:szCs w:val="16"/>
        </w:rPr>
        <w:t xml:space="preserve"> </w:t>
      </w:r>
      <w:r w:rsidRPr="0025314E">
        <w:rPr>
          <w:sz w:val="16"/>
          <w:szCs w:val="16"/>
        </w:rPr>
        <w:t>According to preliminary data from the Energy Regulatory Office, domestic net electricity consumption, i.e. excluding intermediate consumption, including production losses, amounted to 31.0 TWh in</w:t>
      </w:r>
      <w:r>
        <w:rPr>
          <w:sz w:val="16"/>
          <w:szCs w:val="16"/>
        </w:rPr>
        <w:t xml:space="preserve"> H</w:t>
      </w:r>
      <w:r w:rsidRPr="0025314E">
        <w:rPr>
          <w:sz w:val="16"/>
          <w:szCs w:val="16"/>
        </w:rPr>
        <w:t>1</w:t>
      </w:r>
      <w:r>
        <w:rPr>
          <w:sz w:val="16"/>
          <w:szCs w:val="16"/>
        </w:rPr>
        <w:t xml:space="preserve"> t</w:t>
      </w:r>
      <w:r w:rsidRPr="0025314E">
        <w:rPr>
          <w:sz w:val="16"/>
          <w:szCs w:val="16"/>
        </w:rPr>
        <w:t>his year (+2.8%</w:t>
      </w:r>
      <w:r>
        <w:rPr>
          <w:sz w:val="16"/>
          <w:szCs w:val="16"/>
        </w:rPr>
        <w:t>,</w:t>
      </w:r>
      <w:r w:rsidRPr="0025314E">
        <w:rPr>
          <w:sz w:val="16"/>
          <w:szCs w:val="16"/>
        </w:rPr>
        <w:t xml:space="preserve"> year-on-year, it grew in all months). As in the whole of last year, consumption </w:t>
      </w:r>
      <w:r>
        <w:rPr>
          <w:sz w:val="16"/>
          <w:szCs w:val="16"/>
        </w:rPr>
        <w:t xml:space="preserve">of households </w:t>
      </w:r>
      <w:r w:rsidRPr="0025314E">
        <w:rPr>
          <w:sz w:val="16"/>
          <w:szCs w:val="16"/>
        </w:rPr>
        <w:t xml:space="preserve">increased the most this year (+5.3%), while it increased by 2.3% for small entrepreneurs, and by 1.5% for wholesale customers overall. The Czech Republic remained a net exporter, with electricity exports outweighing imports by 3.8 TWh in </w:t>
      </w:r>
      <w:r>
        <w:rPr>
          <w:sz w:val="16"/>
          <w:szCs w:val="16"/>
        </w:rPr>
        <w:t>H1 2026</w:t>
      </w:r>
      <w:r w:rsidRPr="0025314E">
        <w:rPr>
          <w:sz w:val="16"/>
          <w:szCs w:val="16"/>
        </w:rPr>
        <w:t>.</w:t>
      </w:r>
      <w:r>
        <w:rPr>
          <w:sz w:val="16"/>
          <w:szCs w:val="16"/>
        </w:rPr>
        <w:t xml:space="preserve"> </w:t>
      </w:r>
    </w:p>
  </w:footnote>
  <w:footnote w:id="9">
    <w:p w14:paraId="42D9087B" w14:textId="77777777" w:rsidR="00927BC1" w:rsidRPr="00B131B0" w:rsidRDefault="00927BC1" w:rsidP="00927BC1">
      <w:pPr>
        <w:pStyle w:val="Bezmezer"/>
        <w:jc w:val="left"/>
        <w:rPr>
          <w:color w:val="0D0D0D" w:themeColor="text1" w:themeTint="F2"/>
          <w:spacing w:val="-4"/>
          <w:sz w:val="16"/>
          <w:szCs w:val="16"/>
          <w:lang w:val="en-GB"/>
        </w:rPr>
      </w:pPr>
      <w:r w:rsidRPr="00B131B0">
        <w:rPr>
          <w:rStyle w:val="Znakapoznpodarou"/>
          <w:color w:val="0D0D0D" w:themeColor="text1" w:themeTint="F2"/>
          <w:spacing w:val="-4"/>
          <w:sz w:val="16"/>
          <w:szCs w:val="16"/>
          <w:lang w:val="en-GB"/>
        </w:rPr>
        <w:footnoteRef/>
      </w:r>
      <w:r w:rsidRPr="00B131B0">
        <w:rPr>
          <w:rStyle w:val="Znakapoznpodarou"/>
          <w:color w:val="0D0D0D" w:themeColor="text1" w:themeTint="F2"/>
          <w:spacing w:val="-4"/>
          <w:sz w:val="16"/>
          <w:szCs w:val="16"/>
          <w:lang w:val="en-GB"/>
        </w:rPr>
        <w:t xml:space="preserve"> </w:t>
      </w:r>
      <w:r>
        <w:rPr>
          <w:color w:val="0D0D0D" w:themeColor="text1" w:themeTint="F2"/>
          <w:spacing w:val="-4"/>
          <w:sz w:val="16"/>
          <w:szCs w:val="16"/>
          <w:lang w:val="en-GB"/>
        </w:rPr>
        <w:t>I</w:t>
      </w:r>
      <w:r w:rsidRPr="00832105">
        <w:rPr>
          <w:color w:val="0D0D0D" w:themeColor="text1" w:themeTint="F2"/>
          <w:spacing w:val="-4"/>
          <w:sz w:val="16"/>
          <w:szCs w:val="16"/>
          <w:lang w:val="en-GB"/>
        </w:rPr>
        <w:t>t increased by 3.3%</w:t>
      </w:r>
      <w:r>
        <w:rPr>
          <w:color w:val="0D0D0D" w:themeColor="text1" w:themeTint="F2"/>
          <w:spacing w:val="-4"/>
          <w:sz w:val="16"/>
          <w:szCs w:val="16"/>
          <w:lang w:val="en-GB"/>
        </w:rPr>
        <w:t>,</w:t>
      </w:r>
      <w:r w:rsidRPr="00832105">
        <w:rPr>
          <w:color w:val="0D0D0D" w:themeColor="text1" w:themeTint="F2"/>
          <w:spacing w:val="-4"/>
          <w:sz w:val="16"/>
          <w:szCs w:val="16"/>
          <w:lang w:val="en-GB"/>
        </w:rPr>
        <w:t xml:space="preserve"> year-on-year</w:t>
      </w:r>
      <w:r>
        <w:rPr>
          <w:color w:val="0D0D0D" w:themeColor="text1" w:themeTint="F2"/>
          <w:spacing w:val="-4"/>
          <w:sz w:val="16"/>
          <w:szCs w:val="16"/>
          <w:lang w:val="en-GB"/>
        </w:rPr>
        <w:t>, i</w:t>
      </w:r>
      <w:r w:rsidRPr="00832105">
        <w:rPr>
          <w:color w:val="0D0D0D" w:themeColor="text1" w:themeTint="F2"/>
          <w:spacing w:val="-4"/>
          <w:sz w:val="16"/>
          <w:szCs w:val="16"/>
          <w:lang w:val="en-GB"/>
        </w:rPr>
        <w:t xml:space="preserve">n </w:t>
      </w:r>
      <w:r>
        <w:rPr>
          <w:color w:val="0D0D0D" w:themeColor="text1" w:themeTint="F2"/>
          <w:spacing w:val="-4"/>
          <w:sz w:val="16"/>
          <w:szCs w:val="16"/>
          <w:lang w:val="en-GB"/>
        </w:rPr>
        <w:t xml:space="preserve">H1 </w:t>
      </w:r>
      <w:r w:rsidRPr="00832105">
        <w:rPr>
          <w:color w:val="0D0D0D" w:themeColor="text1" w:themeTint="F2"/>
          <w:spacing w:val="-4"/>
          <w:sz w:val="16"/>
          <w:szCs w:val="16"/>
          <w:lang w:val="en-GB"/>
        </w:rPr>
        <w:t xml:space="preserve">(by 1.4% </w:t>
      </w:r>
      <w:r>
        <w:rPr>
          <w:color w:val="0D0D0D" w:themeColor="text1" w:themeTint="F2"/>
          <w:spacing w:val="-4"/>
          <w:sz w:val="16"/>
          <w:szCs w:val="16"/>
          <w:lang w:val="en-GB"/>
        </w:rPr>
        <w:t xml:space="preserve">then </w:t>
      </w:r>
      <w:r w:rsidRPr="00832105">
        <w:rPr>
          <w:color w:val="0D0D0D" w:themeColor="text1" w:themeTint="F2"/>
          <w:spacing w:val="-4"/>
          <w:sz w:val="16"/>
          <w:szCs w:val="16"/>
          <w:lang w:val="en-GB"/>
        </w:rPr>
        <w:t>after conversion to the long-term t</w:t>
      </w:r>
      <w:r>
        <w:rPr>
          <w:color w:val="0D0D0D" w:themeColor="text1" w:themeTint="F2"/>
          <w:spacing w:val="-4"/>
          <w:sz w:val="16"/>
          <w:szCs w:val="16"/>
          <w:lang w:val="en-GB"/>
        </w:rPr>
        <w:t>hermal standard</w:t>
      </w:r>
      <w:r w:rsidRPr="00832105">
        <w:rPr>
          <w:color w:val="0D0D0D" w:themeColor="text1" w:themeTint="F2"/>
          <w:spacing w:val="-4"/>
          <w:sz w:val="16"/>
          <w:szCs w:val="16"/>
          <w:lang w:val="en-GB"/>
        </w:rPr>
        <w:t>). Actual consumption increased in all key market segments – the difference in consumption growth between the main customer groups was relatively small</w:t>
      </w:r>
      <w:r>
        <w:rPr>
          <w:color w:val="0D0D0D" w:themeColor="text1" w:themeTint="F2"/>
          <w:spacing w:val="-4"/>
          <w:sz w:val="16"/>
          <w:szCs w:val="16"/>
          <w:lang w:val="en-GB"/>
        </w:rPr>
        <w:t>.</w:t>
      </w:r>
    </w:p>
  </w:footnote>
  <w:footnote w:id="10">
    <w:p w14:paraId="1B271FD1" w14:textId="77777777" w:rsidR="00927BC1" w:rsidRPr="00B7741A" w:rsidRDefault="00927BC1" w:rsidP="00927BC1">
      <w:pPr>
        <w:pStyle w:val="Textpoznpodarou"/>
        <w:rPr>
          <w:spacing w:val="-4"/>
          <w:sz w:val="16"/>
          <w:szCs w:val="16"/>
          <w:lang w:val="en-US"/>
        </w:rPr>
      </w:pPr>
      <w:r w:rsidRPr="00B131B0">
        <w:rPr>
          <w:rStyle w:val="Znakapoznpodarou"/>
          <w:spacing w:val="-4"/>
          <w:sz w:val="16"/>
          <w:szCs w:val="16"/>
        </w:rPr>
        <w:footnoteRef/>
      </w:r>
      <w:r w:rsidRPr="00B131B0">
        <w:rPr>
          <w:spacing w:val="-4"/>
          <w:sz w:val="16"/>
          <w:szCs w:val="16"/>
        </w:rPr>
        <w:t xml:space="preserve"> </w:t>
      </w:r>
      <w:r w:rsidRPr="0078132B">
        <w:rPr>
          <w:spacing w:val="-4"/>
          <w:sz w:val="16"/>
          <w:szCs w:val="16"/>
        </w:rPr>
        <w:t xml:space="preserve">The average air temperature was −2.8 degrees Celsius in January 2026, </w:t>
      </w:r>
      <w:r>
        <w:rPr>
          <w:spacing w:val="-4"/>
          <w:sz w:val="16"/>
          <w:szCs w:val="16"/>
        </w:rPr>
        <w:t xml:space="preserve">while </w:t>
      </w:r>
      <w:r w:rsidRPr="0078132B">
        <w:rPr>
          <w:spacing w:val="-4"/>
          <w:sz w:val="16"/>
          <w:szCs w:val="16"/>
        </w:rPr>
        <w:t>+0.5 degrees a year earlier (the long-term January t</w:t>
      </w:r>
      <w:r>
        <w:rPr>
          <w:spacing w:val="-4"/>
          <w:sz w:val="16"/>
          <w:szCs w:val="16"/>
        </w:rPr>
        <w:t>hermal standard then</w:t>
      </w:r>
      <w:r w:rsidRPr="0078132B">
        <w:rPr>
          <w:spacing w:val="-4"/>
          <w:sz w:val="16"/>
          <w:szCs w:val="16"/>
        </w:rPr>
        <w:t xml:space="preserve"> −1.2 degrees). In April this year, the temperature reached </w:t>
      </w:r>
      <w:r>
        <w:rPr>
          <w:spacing w:val="-4"/>
          <w:sz w:val="16"/>
          <w:szCs w:val="16"/>
        </w:rPr>
        <w:t>+</w:t>
      </w:r>
      <w:r w:rsidRPr="0078132B">
        <w:rPr>
          <w:spacing w:val="-4"/>
          <w:sz w:val="16"/>
          <w:szCs w:val="16"/>
        </w:rPr>
        <w:t xml:space="preserve">8.3 degrees, </w:t>
      </w:r>
      <w:r>
        <w:rPr>
          <w:spacing w:val="-4"/>
          <w:sz w:val="16"/>
          <w:szCs w:val="16"/>
        </w:rPr>
        <w:t xml:space="preserve">nevertheless </w:t>
      </w:r>
      <w:r w:rsidRPr="0078132B">
        <w:rPr>
          <w:spacing w:val="-4"/>
          <w:sz w:val="16"/>
          <w:szCs w:val="16"/>
        </w:rPr>
        <w:t xml:space="preserve">it was </w:t>
      </w:r>
      <w:r>
        <w:rPr>
          <w:spacing w:val="-4"/>
          <w:sz w:val="16"/>
          <w:szCs w:val="16"/>
        </w:rPr>
        <w:t>+</w:t>
      </w:r>
      <w:r w:rsidRPr="0078132B">
        <w:rPr>
          <w:spacing w:val="-4"/>
          <w:sz w:val="16"/>
          <w:szCs w:val="16"/>
        </w:rPr>
        <w:t>10.5 degrees</w:t>
      </w:r>
      <w:r>
        <w:rPr>
          <w:spacing w:val="-4"/>
          <w:sz w:val="16"/>
          <w:szCs w:val="16"/>
        </w:rPr>
        <w:t xml:space="preserve"> a year earlier</w:t>
      </w:r>
      <w:r w:rsidRPr="0078132B">
        <w:rPr>
          <w:spacing w:val="-4"/>
          <w:sz w:val="16"/>
          <w:szCs w:val="16"/>
        </w:rPr>
        <w:t>.</w:t>
      </w:r>
    </w:p>
  </w:footnote>
  <w:footnote w:id="11">
    <w:p w14:paraId="46FC5331" w14:textId="77777777" w:rsidR="00927BC1" w:rsidRPr="00A97A8A" w:rsidRDefault="00927BC1" w:rsidP="00927BC1">
      <w:pPr>
        <w:pStyle w:val="Textpoznpodarou"/>
        <w:rPr>
          <w:sz w:val="16"/>
          <w:szCs w:val="16"/>
          <w:lang w:val="en-US"/>
        </w:rPr>
      </w:pPr>
      <w:r w:rsidRPr="00B131B0">
        <w:rPr>
          <w:rStyle w:val="Znakapoznpodarou"/>
          <w:sz w:val="16"/>
          <w:szCs w:val="16"/>
        </w:rPr>
        <w:footnoteRef/>
      </w:r>
      <w:r w:rsidRPr="00174334">
        <w:rPr>
          <w:spacing w:val="-2"/>
          <w:sz w:val="16"/>
          <w:szCs w:val="16"/>
          <w:lang w:val="en-US"/>
        </w:rPr>
        <w:t xml:space="preserve"> </w:t>
      </w:r>
      <w:r w:rsidRPr="00A97A8A">
        <w:rPr>
          <w:spacing w:val="-2"/>
          <w:sz w:val="16"/>
          <w:szCs w:val="16"/>
        </w:rPr>
        <w:t xml:space="preserve">This sector is currently also experiencing difficulties with demand in a number of European countries. In </w:t>
      </w:r>
      <w:r>
        <w:rPr>
          <w:spacing w:val="-2"/>
          <w:sz w:val="16"/>
          <w:szCs w:val="16"/>
        </w:rPr>
        <w:t>H</w:t>
      </w:r>
      <w:r w:rsidRPr="00A97A8A">
        <w:rPr>
          <w:spacing w:val="-2"/>
          <w:sz w:val="16"/>
          <w:szCs w:val="16"/>
        </w:rPr>
        <w:t>1</w:t>
      </w:r>
      <w:r>
        <w:rPr>
          <w:spacing w:val="-2"/>
          <w:sz w:val="16"/>
          <w:szCs w:val="16"/>
        </w:rPr>
        <w:t xml:space="preserve"> </w:t>
      </w:r>
      <w:r w:rsidRPr="00A97A8A">
        <w:rPr>
          <w:spacing w:val="-2"/>
          <w:sz w:val="16"/>
          <w:szCs w:val="16"/>
        </w:rPr>
        <w:t>2026, its production</w:t>
      </w:r>
      <w:r>
        <w:rPr>
          <w:spacing w:val="-2"/>
          <w:sz w:val="16"/>
          <w:szCs w:val="16"/>
        </w:rPr>
        <w:t xml:space="preserve"> </w:t>
      </w:r>
      <w:r w:rsidRPr="00A97A8A">
        <w:rPr>
          <w:spacing w:val="-2"/>
          <w:sz w:val="16"/>
          <w:szCs w:val="16"/>
        </w:rPr>
        <w:t>decreased by 10%</w:t>
      </w:r>
      <w:r>
        <w:rPr>
          <w:spacing w:val="-2"/>
          <w:sz w:val="16"/>
          <w:szCs w:val="16"/>
        </w:rPr>
        <w:t>,</w:t>
      </w:r>
      <w:r w:rsidRPr="00A97A8A">
        <w:rPr>
          <w:spacing w:val="-2"/>
          <w:sz w:val="16"/>
          <w:szCs w:val="16"/>
        </w:rPr>
        <w:t xml:space="preserve"> year-on-year</w:t>
      </w:r>
      <w:r>
        <w:rPr>
          <w:spacing w:val="-2"/>
          <w:sz w:val="16"/>
          <w:szCs w:val="16"/>
        </w:rPr>
        <w:t>, in the EU</w:t>
      </w:r>
      <w:r w:rsidRPr="00A97A8A">
        <w:rPr>
          <w:spacing w:val="-2"/>
          <w:sz w:val="16"/>
          <w:szCs w:val="16"/>
        </w:rPr>
        <w:t xml:space="preserve">. On the </w:t>
      </w:r>
      <w:r>
        <w:rPr>
          <w:spacing w:val="-2"/>
          <w:sz w:val="16"/>
          <w:szCs w:val="16"/>
        </w:rPr>
        <w:t>contrary</w:t>
      </w:r>
      <w:r w:rsidRPr="00A97A8A">
        <w:rPr>
          <w:spacing w:val="-2"/>
          <w:sz w:val="16"/>
          <w:szCs w:val="16"/>
        </w:rPr>
        <w:t xml:space="preserve">, employment continued to </w:t>
      </w:r>
      <w:r>
        <w:rPr>
          <w:spacing w:val="-2"/>
          <w:sz w:val="16"/>
          <w:szCs w:val="16"/>
        </w:rPr>
        <w:t xml:space="preserve">further </w:t>
      </w:r>
      <w:r w:rsidRPr="00A97A8A">
        <w:rPr>
          <w:spacing w:val="-2"/>
          <w:sz w:val="16"/>
          <w:szCs w:val="16"/>
        </w:rPr>
        <w:t>increase</w:t>
      </w:r>
      <w:r>
        <w:rPr>
          <w:spacing w:val="-2"/>
          <w:sz w:val="16"/>
          <w:szCs w:val="16"/>
        </w:rPr>
        <w:t xml:space="preserve"> here in the EU</w:t>
      </w:r>
      <w:r w:rsidRPr="00A97A8A">
        <w:rPr>
          <w:spacing w:val="-2"/>
          <w:sz w:val="16"/>
          <w:szCs w:val="16"/>
        </w:rPr>
        <w:t xml:space="preserve"> and most of the business</w:t>
      </w:r>
      <w:r>
        <w:rPr>
          <w:spacing w:val="-2"/>
          <w:sz w:val="16"/>
          <w:szCs w:val="16"/>
        </w:rPr>
        <w:t xml:space="preserve"> cycle</w:t>
      </w:r>
      <w:r w:rsidRPr="00A97A8A">
        <w:rPr>
          <w:spacing w:val="-2"/>
          <w:sz w:val="16"/>
          <w:szCs w:val="16"/>
        </w:rPr>
        <w:t xml:space="preserve"> indicators at the </w:t>
      </w:r>
      <w:r>
        <w:rPr>
          <w:spacing w:val="-2"/>
          <w:sz w:val="16"/>
          <w:szCs w:val="16"/>
        </w:rPr>
        <w:t>“</w:t>
      </w:r>
      <w:r w:rsidRPr="00A97A8A">
        <w:rPr>
          <w:spacing w:val="-2"/>
          <w:sz w:val="16"/>
          <w:szCs w:val="16"/>
        </w:rPr>
        <w:t>EU</w:t>
      </w:r>
      <w:r>
        <w:rPr>
          <w:spacing w:val="-2"/>
          <w:sz w:val="16"/>
          <w:szCs w:val="16"/>
        </w:rPr>
        <w:t>”</w:t>
      </w:r>
      <w:r w:rsidRPr="00A97A8A">
        <w:rPr>
          <w:spacing w:val="-2"/>
          <w:sz w:val="16"/>
          <w:szCs w:val="16"/>
        </w:rPr>
        <w:t xml:space="preserve"> level did not deteriorate significantly.</w:t>
      </w:r>
      <w:r w:rsidRPr="00174334">
        <w:rPr>
          <w:spacing w:val="-3"/>
          <w:sz w:val="16"/>
          <w:szCs w:val="16"/>
          <w:lang w:val="en-US"/>
        </w:rPr>
        <w:t xml:space="preserve"> </w:t>
      </w:r>
    </w:p>
  </w:footnote>
  <w:footnote w:id="12">
    <w:p w14:paraId="59105677" w14:textId="77777777" w:rsidR="00927BC1" w:rsidRPr="00A97A8A" w:rsidRDefault="00927BC1" w:rsidP="00927BC1">
      <w:pPr>
        <w:pStyle w:val="Textpoznpodarou"/>
        <w:rPr>
          <w:rFonts w:cs="Arial"/>
          <w:color w:val="0D0D0D" w:themeColor="text1" w:themeTint="F2"/>
          <w:spacing w:val="-2"/>
          <w:sz w:val="16"/>
          <w:szCs w:val="16"/>
          <w:lang w:val="en-US"/>
        </w:rPr>
      </w:pPr>
      <w:r w:rsidRPr="00B131B0">
        <w:rPr>
          <w:rStyle w:val="Znakapoznpodarou"/>
          <w:rFonts w:cs="Arial"/>
          <w:color w:val="0D0D0D" w:themeColor="text1" w:themeTint="F2"/>
          <w:spacing w:val="-2"/>
          <w:sz w:val="16"/>
          <w:szCs w:val="16"/>
        </w:rPr>
        <w:footnoteRef/>
      </w:r>
      <w:r w:rsidRPr="00A97A8A">
        <w:rPr>
          <w:rFonts w:cs="Arial"/>
          <w:color w:val="0D0D0D" w:themeColor="text1" w:themeTint="F2"/>
          <w:spacing w:val="-2"/>
          <w:sz w:val="16"/>
          <w:szCs w:val="16"/>
          <w:lang w:val="en-US"/>
        </w:rPr>
        <w:t xml:space="preserve"> </w:t>
      </w:r>
      <w:r w:rsidRPr="00995C95">
        <w:rPr>
          <w:rFonts w:cs="Arial"/>
          <w:color w:val="0D0D0D" w:themeColor="text1" w:themeTint="F2"/>
          <w:spacing w:val="-2"/>
          <w:sz w:val="16"/>
          <w:szCs w:val="16"/>
        </w:rPr>
        <w:t>S</w:t>
      </w:r>
      <w:r w:rsidRPr="00995C95">
        <w:rPr>
          <w:rFonts w:cs="Arial"/>
          <w:color w:val="0D0D0D" w:themeColor="text1" w:themeTint="F2"/>
          <w:spacing w:val="-4"/>
          <w:sz w:val="16"/>
          <w:szCs w:val="16"/>
        </w:rPr>
        <w:t xml:space="preserve">urvey of orders is performed </w:t>
      </w:r>
      <w:r>
        <w:rPr>
          <w:rFonts w:cs="Arial"/>
          <w:color w:val="0D0D0D" w:themeColor="text1" w:themeTint="F2"/>
          <w:spacing w:val="-4"/>
          <w:sz w:val="16"/>
          <w:szCs w:val="16"/>
        </w:rPr>
        <w:t xml:space="preserve">only </w:t>
      </w:r>
      <w:r w:rsidRPr="00995C95">
        <w:rPr>
          <w:rFonts w:cs="Arial"/>
          <w:color w:val="0D0D0D" w:themeColor="text1" w:themeTint="F2"/>
          <w:spacing w:val="-4"/>
          <w:sz w:val="16"/>
          <w:szCs w:val="16"/>
        </w:rPr>
        <w:t xml:space="preserve">in twelve manufacturing </w:t>
      </w:r>
      <w:r>
        <w:rPr>
          <w:rFonts w:cs="Arial"/>
          <w:color w:val="0D0D0D" w:themeColor="text1" w:themeTint="F2"/>
          <w:spacing w:val="-4"/>
          <w:sz w:val="16"/>
          <w:szCs w:val="16"/>
        </w:rPr>
        <w:t>branches</w:t>
      </w:r>
      <w:r w:rsidRPr="00995C95">
        <w:rPr>
          <w:rFonts w:cs="Arial"/>
          <w:color w:val="0D0D0D" w:themeColor="text1" w:themeTint="F2"/>
          <w:spacing w:val="-4"/>
          <w:sz w:val="16"/>
          <w:szCs w:val="16"/>
        </w:rPr>
        <w:t xml:space="preserve"> producing mostly custom-made products, with longer production cycle and larger order stocks. Year-on-year growth rates of orders are adjusted for calendar effects</w:t>
      </w:r>
      <w:r w:rsidRPr="00A97A8A">
        <w:rPr>
          <w:rFonts w:cs="Arial"/>
          <w:color w:val="0D0D0D" w:themeColor="text1" w:themeTint="F2"/>
          <w:spacing w:val="-2"/>
          <w:sz w:val="16"/>
          <w:szCs w:val="16"/>
          <w:lang w:val="en-US"/>
        </w:rPr>
        <w:t>.</w:t>
      </w:r>
    </w:p>
  </w:footnote>
  <w:footnote w:id="13">
    <w:p w14:paraId="62D20100" w14:textId="77777777" w:rsidR="00927BC1" w:rsidRPr="00A97A8A" w:rsidRDefault="00927BC1" w:rsidP="00927BC1">
      <w:pPr>
        <w:spacing w:after="0" w:line="240" w:lineRule="auto"/>
        <w:rPr>
          <w:color w:val="000000" w:themeColor="text1"/>
          <w:spacing w:val="-4"/>
          <w:sz w:val="16"/>
          <w:szCs w:val="16"/>
          <w:lang w:val="en-US"/>
        </w:rPr>
      </w:pPr>
      <w:r w:rsidRPr="00B131B0">
        <w:rPr>
          <w:rStyle w:val="Znakapoznpodarou"/>
          <w:sz w:val="16"/>
          <w:szCs w:val="16"/>
        </w:rPr>
        <w:footnoteRef/>
      </w:r>
      <w:r w:rsidRPr="00A97A8A">
        <w:rPr>
          <w:sz w:val="16"/>
          <w:szCs w:val="16"/>
          <w:lang w:val="en-US"/>
        </w:rPr>
        <w:t xml:space="preserve"> </w:t>
      </w:r>
      <w:r>
        <w:rPr>
          <w:sz w:val="16"/>
          <w:szCs w:val="16"/>
          <w:lang w:val="en-US"/>
        </w:rPr>
        <w:t>The v</w:t>
      </w:r>
      <w:proofErr w:type="spellStart"/>
      <w:r>
        <w:rPr>
          <w:sz w:val="16"/>
          <w:szCs w:val="16"/>
        </w:rPr>
        <w:t>alue</w:t>
      </w:r>
      <w:proofErr w:type="spellEnd"/>
      <w:r w:rsidRPr="00463661">
        <w:rPr>
          <w:sz w:val="16"/>
          <w:szCs w:val="16"/>
        </w:rPr>
        <w:t xml:space="preserve"> of orders increased by a tenth (the highest in the last three years) in Q4 2025. However, only external demand contributed to this and </w:t>
      </w:r>
      <w:r>
        <w:rPr>
          <w:sz w:val="16"/>
          <w:szCs w:val="16"/>
        </w:rPr>
        <w:t>predominantly</w:t>
      </w:r>
      <w:r w:rsidRPr="00463661">
        <w:rPr>
          <w:sz w:val="16"/>
          <w:szCs w:val="16"/>
        </w:rPr>
        <w:t xml:space="preserve"> in manufacturing of other transport equipment (the strong growth impulse was mainly related to the modernization of public transport and the army) and</w:t>
      </w:r>
      <w:r w:rsidRPr="00E44B44">
        <w:rPr>
          <w:sz w:val="16"/>
          <w:szCs w:val="16"/>
          <w:lang w:val="en"/>
        </w:rPr>
        <w:t xml:space="preserve"> also in electrical engineering and the metal</w:t>
      </w:r>
      <w:r>
        <w:rPr>
          <w:sz w:val="16"/>
          <w:szCs w:val="16"/>
          <w:lang w:val="en"/>
        </w:rPr>
        <w:t>working</w:t>
      </w:r>
      <w:r w:rsidRPr="00E44B44">
        <w:rPr>
          <w:sz w:val="16"/>
          <w:szCs w:val="16"/>
          <w:lang w:val="en"/>
        </w:rPr>
        <w:t xml:space="preserve"> industry.</w:t>
      </w:r>
    </w:p>
  </w:footnote>
  <w:footnote w:id="14">
    <w:p w14:paraId="2D7D3AD0" w14:textId="77777777" w:rsidR="00927BC1" w:rsidRPr="00B74213" w:rsidRDefault="00927BC1" w:rsidP="00927BC1">
      <w:pPr>
        <w:pStyle w:val="Textpoznpodarou"/>
        <w:rPr>
          <w:sz w:val="16"/>
          <w:szCs w:val="16"/>
        </w:rPr>
      </w:pPr>
      <w:r w:rsidRPr="00B131B0">
        <w:rPr>
          <w:rStyle w:val="Znakapoznpodarou"/>
          <w:sz w:val="16"/>
          <w:szCs w:val="16"/>
        </w:rPr>
        <w:footnoteRef/>
      </w:r>
      <w:r w:rsidRPr="00A97A8A">
        <w:rPr>
          <w:sz w:val="16"/>
          <w:szCs w:val="16"/>
          <w:lang w:val="en-US"/>
        </w:rPr>
        <w:t xml:space="preserve"> </w:t>
      </w:r>
      <w:r w:rsidRPr="00B74213">
        <w:rPr>
          <w:sz w:val="16"/>
          <w:szCs w:val="16"/>
        </w:rPr>
        <w:t xml:space="preserve">For example, the value of new orders increased by a tenth in Q2 2026 in the chemical industry. However, when assessing the real outlook for this industry, it is necessary to take into account the ongoing </w:t>
      </w:r>
      <w:r>
        <w:rPr>
          <w:sz w:val="16"/>
          <w:szCs w:val="16"/>
        </w:rPr>
        <w:t xml:space="preserve">growth </w:t>
      </w:r>
      <w:r w:rsidRPr="00B74213">
        <w:rPr>
          <w:sz w:val="16"/>
          <w:szCs w:val="16"/>
        </w:rPr>
        <w:t xml:space="preserve">acceleration </w:t>
      </w:r>
      <w:r>
        <w:rPr>
          <w:sz w:val="16"/>
          <w:szCs w:val="16"/>
        </w:rPr>
        <w:t xml:space="preserve">of </w:t>
      </w:r>
      <w:r w:rsidRPr="00B74213">
        <w:rPr>
          <w:sz w:val="16"/>
          <w:szCs w:val="16"/>
        </w:rPr>
        <w:t>prices of manufacturers of chemicals and</w:t>
      </w:r>
      <w:r>
        <w:rPr>
          <w:sz w:val="16"/>
          <w:szCs w:val="16"/>
        </w:rPr>
        <w:t xml:space="preserve"> chemical</w:t>
      </w:r>
      <w:r w:rsidRPr="00B74213">
        <w:rPr>
          <w:sz w:val="16"/>
          <w:szCs w:val="16"/>
        </w:rPr>
        <w:t xml:space="preserve"> pr</w:t>
      </w:r>
      <w:r>
        <w:rPr>
          <w:sz w:val="16"/>
          <w:szCs w:val="16"/>
        </w:rPr>
        <w:t xml:space="preserve">oducts </w:t>
      </w:r>
      <w:r w:rsidRPr="00B74213">
        <w:rPr>
          <w:sz w:val="16"/>
          <w:szCs w:val="16"/>
        </w:rPr>
        <w:t xml:space="preserve">(to 13%) in the same period caused by the escalation of the war in the Persian Gulf region. </w:t>
      </w:r>
    </w:p>
  </w:footnote>
  <w:footnote w:id="15">
    <w:p w14:paraId="384600ED" w14:textId="77777777" w:rsidR="00927BC1" w:rsidRPr="007232CB" w:rsidRDefault="00927BC1" w:rsidP="00927BC1">
      <w:pPr>
        <w:pStyle w:val="Textpoznpodarou"/>
        <w:rPr>
          <w:sz w:val="16"/>
          <w:szCs w:val="16"/>
          <w:lang w:val="en-US"/>
        </w:rPr>
      </w:pPr>
      <w:r w:rsidRPr="00B74213">
        <w:rPr>
          <w:rStyle w:val="Znakapoznpodarou"/>
          <w:sz w:val="16"/>
          <w:szCs w:val="16"/>
        </w:rPr>
        <w:footnoteRef/>
      </w:r>
      <w:r w:rsidRPr="00B74213">
        <w:rPr>
          <w:sz w:val="16"/>
          <w:szCs w:val="16"/>
        </w:rPr>
        <w:t xml:space="preserve"> </w:t>
      </w:r>
      <w:r>
        <w:rPr>
          <w:sz w:val="16"/>
          <w:szCs w:val="16"/>
        </w:rPr>
        <w:t>T</w:t>
      </w:r>
      <w:r w:rsidRPr="00B74213">
        <w:rPr>
          <w:sz w:val="16"/>
          <w:szCs w:val="16"/>
        </w:rPr>
        <w:t xml:space="preserve">he highest balance of confidence was expressed by entrepreneurs in other manufacturing </w:t>
      </w:r>
      <w:r>
        <w:rPr>
          <w:sz w:val="16"/>
          <w:szCs w:val="16"/>
        </w:rPr>
        <w:t xml:space="preserve">industry </w:t>
      </w:r>
      <w:r w:rsidRPr="00B74213">
        <w:rPr>
          <w:sz w:val="16"/>
          <w:szCs w:val="16"/>
        </w:rPr>
        <w:t>(+32 points)</w:t>
      </w:r>
      <w:r>
        <w:rPr>
          <w:sz w:val="16"/>
          <w:szCs w:val="16"/>
        </w:rPr>
        <w:t>,</w:t>
      </w:r>
      <w:r w:rsidRPr="00B74213">
        <w:rPr>
          <w:sz w:val="16"/>
          <w:szCs w:val="16"/>
        </w:rPr>
        <w:t xml:space="preserve"> manufactur</w:t>
      </w:r>
      <w:r>
        <w:rPr>
          <w:sz w:val="16"/>
          <w:szCs w:val="16"/>
        </w:rPr>
        <w:t>ing</w:t>
      </w:r>
      <w:r w:rsidRPr="00B74213">
        <w:rPr>
          <w:sz w:val="16"/>
          <w:szCs w:val="16"/>
        </w:rPr>
        <w:t xml:space="preserve"> of motor vehicles (+18), as well as, for example, in electrical engineering (+4), machinery repairs (+4) </w:t>
      </w:r>
      <w:r>
        <w:rPr>
          <w:sz w:val="16"/>
          <w:szCs w:val="16"/>
        </w:rPr>
        <w:t>or</w:t>
      </w:r>
      <w:r w:rsidRPr="00B74213">
        <w:rPr>
          <w:sz w:val="16"/>
          <w:szCs w:val="16"/>
        </w:rPr>
        <w:t xml:space="preserve"> manufactur</w:t>
      </w:r>
      <w:r>
        <w:rPr>
          <w:sz w:val="16"/>
          <w:szCs w:val="16"/>
        </w:rPr>
        <w:t>ing</w:t>
      </w:r>
      <w:r w:rsidRPr="00B74213">
        <w:rPr>
          <w:sz w:val="16"/>
          <w:szCs w:val="16"/>
        </w:rPr>
        <w:t xml:space="preserve"> of beverages (+2)</w:t>
      </w:r>
      <w:r>
        <w:rPr>
          <w:sz w:val="16"/>
          <w:szCs w:val="16"/>
        </w:rPr>
        <w:t xml:space="preserve"> in July</w:t>
      </w:r>
      <w:r w:rsidRPr="00B74213">
        <w:rPr>
          <w:sz w:val="16"/>
          <w:szCs w:val="16"/>
        </w:rPr>
        <w:t>. The opposite was true</w:t>
      </w:r>
      <w:r>
        <w:rPr>
          <w:sz w:val="16"/>
          <w:szCs w:val="16"/>
        </w:rPr>
        <w:t xml:space="preserve"> for </w:t>
      </w:r>
      <w:r w:rsidRPr="00B74213">
        <w:rPr>
          <w:sz w:val="16"/>
          <w:szCs w:val="16"/>
        </w:rPr>
        <w:t>rubber and plastics</w:t>
      </w:r>
      <w:r>
        <w:rPr>
          <w:sz w:val="16"/>
          <w:szCs w:val="16"/>
        </w:rPr>
        <w:t xml:space="preserve"> industry</w:t>
      </w:r>
      <w:r w:rsidRPr="00B74213">
        <w:rPr>
          <w:sz w:val="16"/>
          <w:szCs w:val="16"/>
        </w:rPr>
        <w:t xml:space="preserve"> (−42), </w:t>
      </w:r>
      <w:r>
        <w:rPr>
          <w:sz w:val="16"/>
          <w:szCs w:val="16"/>
        </w:rPr>
        <w:t xml:space="preserve">manufacturing of </w:t>
      </w:r>
      <w:r w:rsidRPr="00B74213">
        <w:rPr>
          <w:sz w:val="16"/>
          <w:szCs w:val="16"/>
        </w:rPr>
        <w:t>furniture (−20), pharmac</w:t>
      </w:r>
      <w:r>
        <w:rPr>
          <w:sz w:val="16"/>
          <w:szCs w:val="16"/>
        </w:rPr>
        <w:t xml:space="preserve">eutical industry </w:t>
      </w:r>
      <w:r w:rsidRPr="00B74213">
        <w:rPr>
          <w:sz w:val="16"/>
          <w:szCs w:val="16"/>
        </w:rPr>
        <w:t xml:space="preserve">(−12) and </w:t>
      </w:r>
      <w:r>
        <w:rPr>
          <w:sz w:val="16"/>
          <w:szCs w:val="16"/>
        </w:rPr>
        <w:t xml:space="preserve">further for instance </w:t>
      </w:r>
      <w:r w:rsidRPr="00B74213">
        <w:rPr>
          <w:sz w:val="16"/>
          <w:szCs w:val="16"/>
        </w:rPr>
        <w:t>manufactur</w:t>
      </w:r>
      <w:r>
        <w:rPr>
          <w:sz w:val="16"/>
          <w:szCs w:val="16"/>
        </w:rPr>
        <w:t xml:space="preserve">ing </w:t>
      </w:r>
      <w:r w:rsidRPr="00B74213">
        <w:rPr>
          <w:sz w:val="16"/>
          <w:szCs w:val="16"/>
        </w:rPr>
        <w:t xml:space="preserve">of building materials (−8). </w:t>
      </w:r>
    </w:p>
  </w:footnote>
  <w:footnote w:id="16">
    <w:p w14:paraId="709E42E3" w14:textId="77777777" w:rsidR="00927BC1" w:rsidRPr="007232CB" w:rsidRDefault="00927BC1" w:rsidP="00927BC1">
      <w:pPr>
        <w:pStyle w:val="Textpoznpodarou"/>
        <w:jc w:val="both"/>
        <w:rPr>
          <w:color w:val="0D0D0D" w:themeColor="text1" w:themeTint="F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995C95">
        <w:rPr>
          <w:sz w:val="16"/>
          <w:szCs w:val="16"/>
        </w:rPr>
        <w:t xml:space="preserve">Businesses could have indicated more barriers simultaneously. </w:t>
      </w:r>
    </w:p>
  </w:footnote>
  <w:footnote w:id="17">
    <w:p w14:paraId="0278E08D" w14:textId="77777777" w:rsidR="00927BC1" w:rsidRPr="007232CB" w:rsidRDefault="00927BC1" w:rsidP="00927BC1">
      <w:pPr>
        <w:pStyle w:val="Textpoznpodarou"/>
        <w:rPr>
          <w:sz w:val="16"/>
          <w:szCs w:val="16"/>
          <w:lang w:val="en-US"/>
        </w:rPr>
      </w:pPr>
      <w:r w:rsidRPr="00B131B0">
        <w:rPr>
          <w:rStyle w:val="Znakapoznpodarou"/>
          <w:sz w:val="16"/>
          <w:szCs w:val="16"/>
        </w:rPr>
        <w:footnoteRef/>
      </w:r>
      <w:r w:rsidRPr="007232CB">
        <w:rPr>
          <w:sz w:val="16"/>
          <w:szCs w:val="16"/>
          <w:lang w:val="en-US"/>
        </w:rPr>
        <w:t xml:space="preserve"> </w:t>
      </w:r>
      <w:r w:rsidRPr="00E11C33">
        <w:rPr>
          <w:sz w:val="16"/>
          <w:szCs w:val="16"/>
        </w:rPr>
        <w:t xml:space="preserve">This factor is currently mentioned as a barrier by 11% of </w:t>
      </w:r>
      <w:r>
        <w:rPr>
          <w:sz w:val="16"/>
          <w:szCs w:val="16"/>
        </w:rPr>
        <w:t>businesses</w:t>
      </w:r>
      <w:r w:rsidRPr="00E11C33">
        <w:rPr>
          <w:sz w:val="16"/>
          <w:szCs w:val="16"/>
        </w:rPr>
        <w:t xml:space="preserve">, which is not out of step with the long-term average. On the other hand, the importance of other limiting factors increased – </w:t>
      </w:r>
      <w:r>
        <w:rPr>
          <w:sz w:val="16"/>
          <w:szCs w:val="16"/>
        </w:rPr>
        <w:t xml:space="preserve">up to 21% </w:t>
      </w:r>
      <w:r w:rsidRPr="00E11C33">
        <w:rPr>
          <w:sz w:val="16"/>
          <w:szCs w:val="16"/>
        </w:rPr>
        <w:t xml:space="preserve">at the beginning of </w:t>
      </w:r>
      <w:r>
        <w:rPr>
          <w:sz w:val="16"/>
          <w:szCs w:val="16"/>
        </w:rPr>
        <w:t>Q</w:t>
      </w:r>
      <w:r w:rsidRPr="00E11C33">
        <w:rPr>
          <w:sz w:val="16"/>
          <w:szCs w:val="16"/>
        </w:rPr>
        <w:t>3</w:t>
      </w:r>
      <w:r>
        <w:rPr>
          <w:sz w:val="16"/>
          <w:szCs w:val="16"/>
        </w:rPr>
        <w:t xml:space="preserve"> </w:t>
      </w:r>
      <w:r w:rsidRPr="00E11C33">
        <w:rPr>
          <w:sz w:val="16"/>
          <w:szCs w:val="16"/>
        </w:rPr>
        <w:t>(the highest share since the end of 2023), where companies themselves most often cited the deteriorated geopolitical situation, or its impact on the growth of energy costs, fuel and other inputs.</w:t>
      </w:r>
    </w:p>
  </w:footnote>
  <w:footnote w:id="18">
    <w:p w14:paraId="724B2BDB" w14:textId="77777777" w:rsidR="00927BC1" w:rsidRPr="007232CB" w:rsidRDefault="00927BC1" w:rsidP="00927BC1">
      <w:pPr>
        <w:pStyle w:val="Textpoznpodarou"/>
        <w:rPr>
          <w:color w:val="0D0D0D" w:themeColor="text1" w:themeTint="F2"/>
          <w:spacing w:val="-2"/>
          <w:sz w:val="16"/>
          <w:szCs w:val="16"/>
          <w:lang w:val="en-US"/>
        </w:rPr>
      </w:pPr>
      <w:r w:rsidRPr="00B131B0">
        <w:rPr>
          <w:rStyle w:val="Znakapoznpodarou"/>
          <w:rFonts w:cs="Arial"/>
          <w:color w:val="0D0D0D" w:themeColor="text1" w:themeTint="F2"/>
          <w:spacing w:val="-2"/>
          <w:sz w:val="16"/>
          <w:szCs w:val="16"/>
        </w:rPr>
        <w:footnoteRef/>
      </w:r>
      <w:r w:rsidRPr="007232CB">
        <w:rPr>
          <w:rFonts w:cs="Arial"/>
          <w:color w:val="0D0D0D" w:themeColor="text1" w:themeTint="F2"/>
          <w:spacing w:val="-2"/>
          <w:sz w:val="16"/>
          <w:szCs w:val="16"/>
          <w:lang w:val="en-US"/>
        </w:rPr>
        <w:t xml:space="preserve"> </w:t>
      </w:r>
      <w:r w:rsidRPr="00995C95">
        <w:rPr>
          <w:rFonts w:cs="Arial"/>
          <w:color w:val="0D0D0D" w:themeColor="text1" w:themeTint="F2"/>
          <w:spacing w:val="-2"/>
          <w:sz w:val="16"/>
          <w:szCs w:val="16"/>
        </w:rPr>
        <w:t xml:space="preserve">Data on construction production are at constant prices, year-on-year rates are adjusted for calendar effects, quarter-on-quarter also for seasonal effects. </w:t>
      </w:r>
    </w:p>
  </w:footnote>
  <w:footnote w:id="19">
    <w:p w14:paraId="48DE57F6" w14:textId="77777777" w:rsidR="00927BC1" w:rsidRPr="007232CB" w:rsidRDefault="00927BC1" w:rsidP="00927BC1">
      <w:pPr>
        <w:pStyle w:val="Textpoznpodarou"/>
        <w:rPr>
          <w:lang w:val="en-US"/>
        </w:rPr>
      </w:pPr>
      <w:r w:rsidRPr="00B131B0">
        <w:rPr>
          <w:rStyle w:val="Znakapoznpodarou"/>
          <w:sz w:val="16"/>
          <w:szCs w:val="16"/>
        </w:rPr>
        <w:footnoteRef/>
      </w:r>
      <w:r w:rsidRPr="007232CB">
        <w:rPr>
          <w:sz w:val="16"/>
          <w:szCs w:val="16"/>
          <w:lang w:val="en-US"/>
        </w:rPr>
        <w:t xml:space="preserve"> </w:t>
      </w:r>
      <w:r w:rsidRPr="00404F7F">
        <w:rPr>
          <w:sz w:val="16"/>
          <w:szCs w:val="16"/>
        </w:rPr>
        <w:t xml:space="preserve">Even so, the number of dwellings started in the metropolis was relatively significant this year (4.2 thousand). In the same period last year, it reached 4.6 thousand, which </w:t>
      </w:r>
      <w:r>
        <w:rPr>
          <w:sz w:val="16"/>
          <w:szCs w:val="16"/>
        </w:rPr>
        <w:t>with</w:t>
      </w:r>
      <w:r w:rsidRPr="00404F7F">
        <w:rPr>
          <w:sz w:val="16"/>
          <w:szCs w:val="16"/>
        </w:rPr>
        <w:t>in the first half of the year meant the strongest construction since the beginning of the 1990s.</w:t>
      </w:r>
      <w:r>
        <w:rPr>
          <w:sz w:val="16"/>
          <w:szCs w:val="16"/>
        </w:rPr>
        <w:t xml:space="preserve"> </w:t>
      </w:r>
    </w:p>
  </w:footnote>
  <w:footnote w:id="20">
    <w:p w14:paraId="14E15C66" w14:textId="77777777" w:rsidR="00927BC1" w:rsidRPr="007232CB" w:rsidRDefault="00927BC1" w:rsidP="00927BC1">
      <w:pPr>
        <w:pStyle w:val="Textpoznpodarou"/>
        <w:rPr>
          <w:sz w:val="16"/>
          <w:szCs w:val="16"/>
          <w:lang w:val="en-US"/>
        </w:rPr>
      </w:pPr>
      <w:r w:rsidRPr="00B131B0">
        <w:rPr>
          <w:rStyle w:val="Znakapoznpodarou"/>
          <w:sz w:val="16"/>
          <w:szCs w:val="16"/>
        </w:rPr>
        <w:footnoteRef/>
      </w:r>
      <w:r w:rsidRPr="007232CB">
        <w:rPr>
          <w:sz w:val="16"/>
          <w:szCs w:val="16"/>
          <w:lang w:val="en-US"/>
        </w:rPr>
        <w:t xml:space="preserve"> </w:t>
      </w:r>
      <w:r w:rsidRPr="009C52D0">
        <w:rPr>
          <w:spacing w:val="-2"/>
          <w:sz w:val="16"/>
          <w:szCs w:val="16"/>
        </w:rPr>
        <w:t>The stock of work is declining only in the marginal segment of orders abroad (</w:t>
      </w:r>
      <w:r w:rsidRPr="009C52D0">
        <w:rPr>
          <w:color w:val="0D0D0D" w:themeColor="text1" w:themeTint="F2"/>
          <w:spacing w:val="-2"/>
          <w:sz w:val="16"/>
          <w:szCs w:val="16"/>
        </w:rPr>
        <w:t>−</w:t>
      </w:r>
      <w:r w:rsidRPr="009C52D0">
        <w:rPr>
          <w:spacing w:val="-2"/>
          <w:sz w:val="16"/>
          <w:szCs w:val="16"/>
        </w:rPr>
        <w:t>14.0%, the decline persists for the third quarter in a row).</w:t>
      </w:r>
    </w:p>
  </w:footnote>
  <w:footnote w:id="21">
    <w:p w14:paraId="24A27B57" w14:textId="77777777" w:rsidR="00927BC1" w:rsidRPr="007232CB" w:rsidRDefault="00927BC1" w:rsidP="00927BC1">
      <w:pPr>
        <w:pStyle w:val="Textpoznpodarou"/>
        <w:rPr>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11243F">
        <w:rPr>
          <w:color w:val="0D0D0D" w:themeColor="text1" w:themeTint="F2"/>
          <w:sz w:val="16"/>
          <w:szCs w:val="16"/>
          <w:lang w:val="en"/>
        </w:rPr>
        <w:t xml:space="preserve">However, the data on the floor area of permitted new construction of buildings cover only about 40% to 50% of all previously (until December 2025) published permits. Slightly more than half (53%) of the indicative values of buildings permitted in 2025 thus </w:t>
      </w:r>
      <w:r>
        <w:rPr>
          <w:color w:val="0D0D0D" w:themeColor="text1" w:themeTint="F2"/>
          <w:sz w:val="16"/>
          <w:szCs w:val="16"/>
          <w:lang w:val="en"/>
        </w:rPr>
        <w:t xml:space="preserve">served </w:t>
      </w:r>
      <w:r w:rsidRPr="0011243F">
        <w:rPr>
          <w:color w:val="0D0D0D" w:themeColor="text1" w:themeTint="F2"/>
          <w:sz w:val="16"/>
          <w:szCs w:val="16"/>
          <w:lang w:val="en"/>
        </w:rPr>
        <w:t xml:space="preserve">other purposes. These </w:t>
      </w:r>
      <w:r>
        <w:rPr>
          <w:color w:val="0D0D0D" w:themeColor="text1" w:themeTint="F2"/>
          <w:sz w:val="16"/>
          <w:szCs w:val="16"/>
          <w:lang w:val="en"/>
        </w:rPr>
        <w:t xml:space="preserve">comprised of </w:t>
      </w:r>
      <w:r w:rsidRPr="0011243F">
        <w:rPr>
          <w:color w:val="0D0D0D" w:themeColor="text1" w:themeTint="F2"/>
          <w:sz w:val="16"/>
          <w:szCs w:val="16"/>
          <w:lang w:val="en"/>
        </w:rPr>
        <w:t>the reconstruction and modernization of existing buildings (22%), civil engineering transport structures (20%) and other civil engineering constructions (11%), e.g. in the field of energy</w:t>
      </w:r>
      <w:r>
        <w:rPr>
          <w:color w:val="0D0D0D" w:themeColor="text1" w:themeTint="F2"/>
          <w:sz w:val="16"/>
          <w:szCs w:val="16"/>
          <w:lang w:val="en"/>
        </w:rPr>
        <w:t xml:space="preserve"> industry</w:t>
      </w:r>
      <w:r w:rsidRPr="0011243F">
        <w:rPr>
          <w:color w:val="0D0D0D" w:themeColor="text1" w:themeTint="F2"/>
          <w:sz w:val="16"/>
          <w:szCs w:val="16"/>
          <w:lang w:val="en"/>
        </w:rPr>
        <w:t xml:space="preserve">. As of January 2026, data on the number, not the value, of permitted constructions are available. </w:t>
      </w:r>
      <w:r>
        <w:rPr>
          <w:color w:val="0D0D0D" w:themeColor="text1" w:themeTint="F2"/>
          <w:sz w:val="16"/>
          <w:szCs w:val="16"/>
          <w:lang w:val="en"/>
        </w:rPr>
        <w:t>In total</w:t>
      </w:r>
      <w:r w:rsidRPr="0011243F">
        <w:rPr>
          <w:color w:val="0D0D0D" w:themeColor="text1" w:themeTint="F2"/>
          <w:sz w:val="16"/>
          <w:szCs w:val="16"/>
          <w:lang w:val="en"/>
        </w:rPr>
        <w:t>, the number of such permits increased by 7%</w:t>
      </w:r>
      <w:r>
        <w:rPr>
          <w:color w:val="0D0D0D" w:themeColor="text1" w:themeTint="F2"/>
          <w:sz w:val="16"/>
          <w:szCs w:val="16"/>
          <w:lang w:val="en"/>
        </w:rPr>
        <w:t>,</w:t>
      </w:r>
      <w:r w:rsidRPr="0011243F">
        <w:rPr>
          <w:color w:val="0D0D0D" w:themeColor="text1" w:themeTint="F2"/>
          <w:sz w:val="16"/>
          <w:szCs w:val="16"/>
          <w:lang w:val="en"/>
        </w:rPr>
        <w:t xml:space="preserve"> year-on-year</w:t>
      </w:r>
      <w:r>
        <w:rPr>
          <w:color w:val="0D0D0D" w:themeColor="text1" w:themeTint="F2"/>
          <w:sz w:val="16"/>
          <w:szCs w:val="16"/>
          <w:lang w:val="en"/>
        </w:rPr>
        <w:t>,</w:t>
      </w:r>
      <w:r w:rsidRPr="0011243F">
        <w:rPr>
          <w:color w:val="0D0D0D" w:themeColor="text1" w:themeTint="F2"/>
          <w:sz w:val="16"/>
          <w:szCs w:val="16"/>
          <w:lang w:val="en"/>
        </w:rPr>
        <w:t xml:space="preserve"> in </w:t>
      </w:r>
      <w:r>
        <w:rPr>
          <w:color w:val="0D0D0D" w:themeColor="text1" w:themeTint="F2"/>
          <w:sz w:val="16"/>
          <w:szCs w:val="16"/>
          <w:lang w:val="en"/>
        </w:rPr>
        <w:t xml:space="preserve">H1 </w:t>
      </w:r>
      <w:r w:rsidRPr="0011243F">
        <w:rPr>
          <w:color w:val="0D0D0D" w:themeColor="text1" w:themeTint="F2"/>
          <w:sz w:val="16"/>
          <w:szCs w:val="16"/>
          <w:lang w:val="en"/>
        </w:rPr>
        <w:t xml:space="preserve">this year, of which </w:t>
      </w:r>
      <w:r>
        <w:rPr>
          <w:color w:val="0D0D0D" w:themeColor="text1" w:themeTint="F2"/>
          <w:sz w:val="16"/>
          <w:szCs w:val="16"/>
          <w:lang w:val="en"/>
        </w:rPr>
        <w:t xml:space="preserve">by </w:t>
      </w:r>
      <w:r w:rsidRPr="0011243F">
        <w:rPr>
          <w:color w:val="0D0D0D" w:themeColor="text1" w:themeTint="F2"/>
          <w:sz w:val="16"/>
          <w:szCs w:val="16"/>
          <w:lang w:val="en"/>
        </w:rPr>
        <w:t xml:space="preserve">21% in new construction of buildings, it continued to grow for engineering transport constructions (+15%) and </w:t>
      </w:r>
      <w:r w:rsidRPr="00AA6F93">
        <w:rPr>
          <w:color w:val="0D0D0D" w:themeColor="text1" w:themeTint="F2"/>
          <w:spacing w:val="-2"/>
          <w:sz w:val="16"/>
          <w:szCs w:val="16"/>
          <w:lang w:val="en"/>
        </w:rPr>
        <w:t>other civil engineering constructions (+10%), while it decreased mainly for the reconstruction and modernization of existing buildings (−9%).</w:t>
      </w:r>
      <w:r>
        <w:rPr>
          <w:color w:val="0D0D0D" w:themeColor="text1" w:themeTint="F2"/>
          <w:sz w:val="16"/>
          <w:szCs w:val="16"/>
          <w:lang w:val="en"/>
        </w:rPr>
        <w:t xml:space="preserve"> </w:t>
      </w:r>
    </w:p>
  </w:footnote>
  <w:footnote w:id="22">
    <w:p w14:paraId="08627A9F" w14:textId="77777777" w:rsidR="00927BC1" w:rsidRPr="007232CB" w:rsidRDefault="00927BC1" w:rsidP="00927BC1">
      <w:pPr>
        <w:pStyle w:val="Textpoznpodarou"/>
        <w:rPr>
          <w:color w:val="0D0D0D" w:themeColor="text1" w:themeTint="F2"/>
          <w:spacing w:val="-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235DF4">
        <w:rPr>
          <w:color w:val="0D0D0D" w:themeColor="text1" w:themeTint="F2"/>
          <w:sz w:val="16"/>
          <w:szCs w:val="16"/>
        </w:rPr>
        <w:t xml:space="preserve">The registered number of employees (in construction enterprises with more than 50 workers) increased </w:t>
      </w:r>
      <w:r>
        <w:rPr>
          <w:color w:val="0D0D0D" w:themeColor="text1" w:themeTint="F2"/>
          <w:sz w:val="16"/>
          <w:szCs w:val="16"/>
        </w:rPr>
        <w:t xml:space="preserve">already </w:t>
      </w:r>
      <w:r w:rsidRPr="00235DF4">
        <w:rPr>
          <w:color w:val="0D0D0D" w:themeColor="text1" w:themeTint="F2"/>
          <w:sz w:val="16"/>
          <w:szCs w:val="16"/>
        </w:rPr>
        <w:t>by 2.1%</w:t>
      </w:r>
      <w:r>
        <w:rPr>
          <w:color w:val="0D0D0D" w:themeColor="text1" w:themeTint="F2"/>
          <w:sz w:val="16"/>
          <w:szCs w:val="16"/>
        </w:rPr>
        <w:t>,</w:t>
      </w:r>
      <w:r w:rsidRPr="00235DF4">
        <w:rPr>
          <w:color w:val="0D0D0D" w:themeColor="text1" w:themeTint="F2"/>
          <w:sz w:val="16"/>
          <w:szCs w:val="16"/>
        </w:rPr>
        <w:t xml:space="preserve"> year-on-year</w:t>
      </w:r>
      <w:r>
        <w:rPr>
          <w:color w:val="0D0D0D" w:themeColor="text1" w:themeTint="F2"/>
          <w:sz w:val="16"/>
          <w:szCs w:val="16"/>
        </w:rPr>
        <w:t xml:space="preserve">, in H1 </w:t>
      </w:r>
      <w:r w:rsidRPr="00235DF4">
        <w:rPr>
          <w:color w:val="0D0D0D" w:themeColor="text1" w:themeTint="F2"/>
          <w:sz w:val="16"/>
          <w:szCs w:val="16"/>
        </w:rPr>
        <w:t>this year. Quarterly data covering the entire sector show that employment also increased in smaller enterprises</w:t>
      </w:r>
      <w:r>
        <w:rPr>
          <w:color w:val="0D0D0D" w:themeColor="text1" w:themeTint="F2"/>
          <w:sz w:val="16"/>
          <w:szCs w:val="16"/>
        </w:rPr>
        <w:t>.</w:t>
      </w:r>
      <w:r w:rsidRPr="007232CB">
        <w:rPr>
          <w:color w:val="0D0D0D" w:themeColor="text1" w:themeTint="F2"/>
          <w:spacing w:val="-2"/>
          <w:sz w:val="16"/>
          <w:szCs w:val="16"/>
          <w:lang w:val="en-US"/>
        </w:rPr>
        <w:t xml:space="preserve">  </w:t>
      </w:r>
    </w:p>
  </w:footnote>
  <w:footnote w:id="23">
    <w:p w14:paraId="4506DA36" w14:textId="77777777" w:rsidR="00927BC1" w:rsidRPr="007232CB" w:rsidRDefault="00927BC1" w:rsidP="00927BC1">
      <w:pPr>
        <w:pStyle w:val="Textpoznpodarou"/>
        <w:rPr>
          <w:color w:val="0D0D0D" w:themeColor="text1" w:themeTint="F2"/>
          <w:spacing w:val="-2"/>
          <w:sz w:val="16"/>
          <w:szCs w:val="16"/>
          <w:lang w:val="en-US"/>
        </w:rPr>
      </w:pPr>
      <w:r w:rsidRPr="00B131B0">
        <w:rPr>
          <w:rStyle w:val="Znakapoznpodarou"/>
          <w:color w:val="0D0D0D" w:themeColor="text1" w:themeTint="F2"/>
          <w:spacing w:val="-2"/>
          <w:sz w:val="16"/>
          <w:szCs w:val="16"/>
        </w:rPr>
        <w:footnoteRef/>
      </w:r>
      <w:r w:rsidRPr="007232CB">
        <w:rPr>
          <w:color w:val="0D0D0D" w:themeColor="text1" w:themeTint="F2"/>
          <w:spacing w:val="-2"/>
          <w:sz w:val="16"/>
          <w:szCs w:val="16"/>
          <w:lang w:val="en-US"/>
        </w:rPr>
        <w:t xml:space="preserve"> </w:t>
      </w:r>
      <w:r w:rsidRPr="00B1631C">
        <w:rPr>
          <w:color w:val="0D0D0D" w:themeColor="text1" w:themeTint="F2"/>
          <w:spacing w:val="-2"/>
          <w:sz w:val="16"/>
          <w:szCs w:val="16"/>
          <w:lang w:val="en"/>
        </w:rPr>
        <w:t>Weak demand continued to hit businesses in the building construction segment the most (40% of firms). Labor shortages constrained businesses in all three major construction segments with similar intensity and represented a key growth barrier for them.</w:t>
      </w:r>
    </w:p>
  </w:footnote>
  <w:footnote w:id="24">
    <w:p w14:paraId="32EE2927" w14:textId="77777777" w:rsidR="00927BC1" w:rsidRPr="007232CB" w:rsidRDefault="00927BC1" w:rsidP="00927BC1">
      <w:pPr>
        <w:pStyle w:val="Textpoznpodarou"/>
        <w:rPr>
          <w:sz w:val="16"/>
          <w:szCs w:val="16"/>
          <w:lang w:val="en-US"/>
        </w:rPr>
      </w:pPr>
      <w:r w:rsidRPr="00B131B0">
        <w:rPr>
          <w:rStyle w:val="Znakapoznpodarou"/>
          <w:sz w:val="16"/>
          <w:szCs w:val="16"/>
        </w:rPr>
        <w:footnoteRef/>
      </w:r>
      <w:r>
        <w:rPr>
          <w:sz w:val="16"/>
          <w:szCs w:val="16"/>
        </w:rPr>
        <w:t xml:space="preserve"> </w:t>
      </w:r>
      <w:r w:rsidRPr="008459FF">
        <w:rPr>
          <w:sz w:val="16"/>
          <w:szCs w:val="16"/>
        </w:rPr>
        <w:t>20% of construction companies expected (in a three-month perspective) t</w:t>
      </w:r>
      <w:r>
        <w:rPr>
          <w:sz w:val="16"/>
          <w:szCs w:val="16"/>
        </w:rPr>
        <w:t>he</w:t>
      </w:r>
      <w:r w:rsidRPr="008459FF">
        <w:rPr>
          <w:sz w:val="16"/>
          <w:szCs w:val="16"/>
        </w:rPr>
        <w:t xml:space="preserve"> rise </w:t>
      </w:r>
      <w:r>
        <w:rPr>
          <w:sz w:val="16"/>
          <w:szCs w:val="16"/>
        </w:rPr>
        <w:t>of</w:t>
      </w:r>
      <w:r w:rsidRPr="008459FF">
        <w:rPr>
          <w:sz w:val="16"/>
          <w:szCs w:val="16"/>
        </w:rPr>
        <w:t xml:space="preserve"> sales prices</w:t>
      </w:r>
      <w:r>
        <w:rPr>
          <w:sz w:val="16"/>
          <w:szCs w:val="16"/>
        </w:rPr>
        <w:t xml:space="preserve"> i</w:t>
      </w:r>
      <w:r w:rsidRPr="008459FF">
        <w:rPr>
          <w:sz w:val="16"/>
          <w:szCs w:val="16"/>
        </w:rPr>
        <w:t xml:space="preserve">n August 2026. This was noticeably lower than in April this year (37%, a temporary surge due to the effects of the Gulf conflict), </w:t>
      </w:r>
      <w:r>
        <w:rPr>
          <w:sz w:val="16"/>
          <w:szCs w:val="16"/>
        </w:rPr>
        <w:t xml:space="preserve">nevertheless </w:t>
      </w:r>
      <w:r w:rsidRPr="008459FF">
        <w:rPr>
          <w:sz w:val="16"/>
          <w:szCs w:val="16"/>
        </w:rPr>
        <w:t>still slightly higher than at the end of last summer.</w:t>
      </w:r>
      <w:r>
        <w:rPr>
          <w:sz w:val="16"/>
          <w:szCs w:val="16"/>
        </w:rPr>
        <w:t xml:space="preserve"> </w:t>
      </w:r>
      <w:r w:rsidRPr="007232CB">
        <w:rPr>
          <w:sz w:val="16"/>
          <w:szCs w:val="16"/>
          <w:lang w:val="en-US"/>
        </w:rPr>
        <w:t xml:space="preserve"> </w:t>
      </w:r>
    </w:p>
  </w:footnote>
  <w:footnote w:id="25">
    <w:p w14:paraId="75AD8758" w14:textId="77777777" w:rsidR="00927BC1" w:rsidRPr="007232CB" w:rsidRDefault="00927BC1" w:rsidP="00927BC1">
      <w:pPr>
        <w:spacing w:after="0" w:line="240" w:lineRule="auto"/>
        <w:rPr>
          <w:color w:val="0D0D0D" w:themeColor="text1" w:themeTint="F2"/>
          <w:spacing w:val="-2"/>
          <w:lang w:val="en-US"/>
        </w:rPr>
      </w:pPr>
      <w:r w:rsidRPr="00B131B0">
        <w:rPr>
          <w:rStyle w:val="Znakapoznpodarou"/>
          <w:color w:val="0D0D0D" w:themeColor="text1" w:themeTint="F2"/>
          <w:spacing w:val="-2"/>
          <w:sz w:val="16"/>
          <w:szCs w:val="16"/>
        </w:rPr>
        <w:footnoteRef/>
      </w:r>
      <w:r w:rsidRPr="007232CB">
        <w:rPr>
          <w:color w:val="0D0D0D" w:themeColor="text1" w:themeTint="F2"/>
          <w:spacing w:val="-2"/>
          <w:sz w:val="16"/>
          <w:szCs w:val="16"/>
          <w:lang w:val="en-US"/>
        </w:rPr>
        <w:t xml:space="preserve"> </w:t>
      </w:r>
      <w:r w:rsidRPr="00C50278">
        <w:rPr>
          <w:color w:val="0D0D0D" w:themeColor="text1" w:themeTint="F2"/>
          <w:spacing w:val="-2"/>
          <w:sz w:val="16"/>
          <w:szCs w:val="16"/>
        </w:rPr>
        <w:t>Without trade, financial and insurance activities, science, research and public services. All data for services are in constant prices, year-on-year data are adjusted for calendar effects, quarter-on-quarter data are adjusted for seasonal effects (including the effect of the number of working days).</w:t>
      </w:r>
      <w:r>
        <w:rPr>
          <w:color w:val="0D0D0D" w:themeColor="text1" w:themeTint="F2"/>
          <w:spacing w:val="-2"/>
          <w:sz w:val="16"/>
          <w:szCs w:val="16"/>
        </w:rPr>
        <w:t xml:space="preserve"> </w:t>
      </w:r>
    </w:p>
  </w:footnote>
  <w:footnote w:id="26">
    <w:p w14:paraId="1D2E346E" w14:textId="77777777" w:rsidR="00927BC1" w:rsidRPr="007232CB" w:rsidRDefault="00927BC1" w:rsidP="00927BC1">
      <w:pPr>
        <w:pStyle w:val="Textpoznpodarou"/>
        <w:rPr>
          <w:sz w:val="16"/>
          <w:szCs w:val="16"/>
          <w:lang w:val="en-US"/>
        </w:rPr>
      </w:pPr>
      <w:r w:rsidRPr="00B131B0">
        <w:rPr>
          <w:rStyle w:val="Znakapoznpodarou"/>
          <w:sz w:val="16"/>
          <w:szCs w:val="16"/>
        </w:rPr>
        <w:footnoteRef/>
      </w:r>
      <w:r w:rsidRPr="007232CB">
        <w:rPr>
          <w:sz w:val="16"/>
          <w:szCs w:val="16"/>
          <w:lang w:val="en-US"/>
        </w:rPr>
        <w:t xml:space="preserve"> </w:t>
      </w:r>
      <w:r w:rsidRPr="00975C2D">
        <w:rPr>
          <w:sz w:val="16"/>
          <w:szCs w:val="16"/>
        </w:rPr>
        <w:t xml:space="preserve">Apart from the rapid recovery of this </w:t>
      </w:r>
      <w:r>
        <w:rPr>
          <w:sz w:val="16"/>
          <w:szCs w:val="16"/>
        </w:rPr>
        <w:t xml:space="preserve">branch </w:t>
      </w:r>
      <w:r w:rsidRPr="00975C2D">
        <w:rPr>
          <w:sz w:val="16"/>
          <w:szCs w:val="16"/>
        </w:rPr>
        <w:t xml:space="preserve">after the pandemic subsided (at the turn of 2021 and 2022), this year's rate represents the highest growth since </w:t>
      </w:r>
      <w:r>
        <w:rPr>
          <w:sz w:val="16"/>
          <w:szCs w:val="16"/>
        </w:rPr>
        <w:t xml:space="preserve">H2 </w:t>
      </w:r>
      <w:r w:rsidRPr="00975C2D">
        <w:rPr>
          <w:sz w:val="16"/>
          <w:szCs w:val="16"/>
        </w:rPr>
        <w:t>2007.</w:t>
      </w:r>
      <w:r>
        <w:rPr>
          <w:sz w:val="16"/>
          <w:szCs w:val="16"/>
        </w:rPr>
        <w:t xml:space="preserve"> </w:t>
      </w:r>
    </w:p>
  </w:footnote>
  <w:footnote w:id="27">
    <w:p w14:paraId="109E2460" w14:textId="77777777" w:rsidR="00927BC1" w:rsidRPr="007232CB" w:rsidRDefault="00927BC1" w:rsidP="00927BC1">
      <w:pPr>
        <w:pStyle w:val="Textpoznpodarou"/>
        <w:jc w:val="both"/>
        <w:rPr>
          <w:color w:val="0D0D0D" w:themeColor="text1" w:themeTint="F2"/>
          <w:sz w:val="16"/>
          <w:szCs w:val="16"/>
          <w:lang w:val="en-US"/>
        </w:rPr>
      </w:pPr>
      <w:r w:rsidRPr="00B131B0">
        <w:rPr>
          <w:rStyle w:val="Znakapoznpodarou"/>
          <w:color w:val="0D0D0D" w:themeColor="text1" w:themeTint="F2"/>
          <w:spacing w:val="-2"/>
          <w:sz w:val="16"/>
          <w:szCs w:val="16"/>
        </w:rPr>
        <w:footnoteRef/>
      </w:r>
      <w:r w:rsidRPr="007232CB">
        <w:rPr>
          <w:color w:val="0D0D0D" w:themeColor="text1" w:themeTint="F2"/>
          <w:spacing w:val="-2"/>
          <w:sz w:val="16"/>
          <w:szCs w:val="16"/>
          <w:lang w:val="en-US"/>
        </w:rPr>
        <w:t xml:space="preserve"> </w:t>
      </w:r>
      <w:r w:rsidRPr="00F530F8">
        <w:rPr>
          <w:color w:val="0D0D0D" w:themeColor="text1" w:themeTint="F2"/>
          <w:spacing w:val="-2"/>
          <w:sz w:val="16"/>
          <w:szCs w:val="16"/>
        </w:rPr>
        <w:t xml:space="preserve">This sub-branch with </w:t>
      </w:r>
      <w:r>
        <w:rPr>
          <w:color w:val="0D0D0D" w:themeColor="text1" w:themeTint="F2"/>
          <w:spacing w:val="-2"/>
          <w:sz w:val="16"/>
          <w:szCs w:val="16"/>
        </w:rPr>
        <w:t xml:space="preserve">an important </w:t>
      </w:r>
      <w:r w:rsidRPr="00F530F8">
        <w:rPr>
          <w:color w:val="0D0D0D" w:themeColor="text1" w:themeTint="F2"/>
          <w:spacing w:val="-2"/>
          <w:sz w:val="16"/>
          <w:szCs w:val="16"/>
        </w:rPr>
        <w:t xml:space="preserve">share of small businesses </w:t>
      </w:r>
      <w:r>
        <w:rPr>
          <w:color w:val="0D0D0D" w:themeColor="text1" w:themeTint="F2"/>
          <w:spacing w:val="-2"/>
          <w:sz w:val="16"/>
          <w:szCs w:val="16"/>
        </w:rPr>
        <w:t xml:space="preserve">and which was significantly hit by the slump of demand during the pandemic period </w:t>
      </w:r>
      <w:r w:rsidRPr="00F530F8">
        <w:rPr>
          <w:color w:val="0D0D0D" w:themeColor="text1" w:themeTint="F2"/>
          <w:spacing w:val="-2"/>
          <w:sz w:val="16"/>
          <w:szCs w:val="16"/>
        </w:rPr>
        <w:t xml:space="preserve">mainly includes brokering activities, design, translation and photographic activities or activities of construction supervision. </w:t>
      </w:r>
    </w:p>
  </w:footnote>
  <w:footnote w:id="28">
    <w:p w14:paraId="1DE62422" w14:textId="77777777" w:rsidR="00927BC1" w:rsidRPr="007232CB" w:rsidRDefault="00927BC1" w:rsidP="00927BC1">
      <w:pPr>
        <w:pStyle w:val="Textpoznpodarou"/>
        <w:rPr>
          <w:color w:val="0D0D0D" w:themeColor="text1" w:themeTint="F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C91838">
        <w:rPr>
          <w:color w:val="0D0D0D" w:themeColor="text1" w:themeTint="F2"/>
          <w:sz w:val="16"/>
          <w:szCs w:val="16"/>
        </w:rPr>
        <w:t>These include a variety of activities, including cargo handling.</w:t>
      </w:r>
    </w:p>
  </w:footnote>
  <w:footnote w:id="29">
    <w:p w14:paraId="2104FB1A" w14:textId="77777777" w:rsidR="00927BC1" w:rsidRPr="007232CB" w:rsidRDefault="00927BC1" w:rsidP="00927BC1">
      <w:pPr>
        <w:pStyle w:val="Textpoznpodarou"/>
        <w:jc w:val="both"/>
        <w:rPr>
          <w:color w:val="0D0D0D" w:themeColor="text1" w:themeTint="F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A126CC">
        <w:rPr>
          <w:color w:val="0D0D0D" w:themeColor="text1" w:themeTint="F2"/>
          <w:sz w:val="16"/>
          <w:szCs w:val="16"/>
        </w:rPr>
        <w:t xml:space="preserve">They mainly include programming, consultancy in IT area or computer facilities management activities.  </w:t>
      </w:r>
    </w:p>
  </w:footnote>
  <w:footnote w:id="30">
    <w:p w14:paraId="5721EA9D" w14:textId="77777777" w:rsidR="00927BC1" w:rsidRPr="007232CB" w:rsidRDefault="00927BC1" w:rsidP="00927BC1">
      <w:pPr>
        <w:pStyle w:val="Textpoznpodarou"/>
        <w:jc w:val="both"/>
        <w:rPr>
          <w:color w:val="0D0D0D" w:themeColor="text1" w:themeTint="F2"/>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A126CC">
        <w:rPr>
          <w:color w:val="0D0D0D" w:themeColor="text1" w:themeTint="F2"/>
          <w:sz w:val="16"/>
          <w:szCs w:val="16"/>
        </w:rPr>
        <w:t xml:space="preserve">They consist mainly of activities linked to the web portals, news press offices and agencies or data processing and hosting. </w:t>
      </w:r>
      <w:r w:rsidRPr="004A3285">
        <w:rPr>
          <w:color w:val="0D0D0D" w:themeColor="text1" w:themeTint="F2"/>
          <w:sz w:val="16"/>
          <w:szCs w:val="16"/>
        </w:rPr>
        <w:t xml:space="preserve">In the second half of the last decade, but also during the </w:t>
      </w:r>
      <w:r>
        <w:rPr>
          <w:color w:val="0D0D0D" w:themeColor="text1" w:themeTint="F2"/>
          <w:sz w:val="16"/>
          <w:szCs w:val="16"/>
        </w:rPr>
        <w:t>“</w:t>
      </w:r>
      <w:r w:rsidRPr="004A3285">
        <w:rPr>
          <w:color w:val="0D0D0D" w:themeColor="text1" w:themeTint="F2"/>
          <w:sz w:val="16"/>
          <w:szCs w:val="16"/>
        </w:rPr>
        <w:t>pandemic period</w:t>
      </w:r>
      <w:r>
        <w:rPr>
          <w:color w:val="0D0D0D" w:themeColor="text1" w:themeTint="F2"/>
          <w:sz w:val="16"/>
          <w:szCs w:val="16"/>
        </w:rPr>
        <w:t>”</w:t>
      </w:r>
      <w:r w:rsidRPr="004A3285">
        <w:rPr>
          <w:color w:val="0D0D0D" w:themeColor="text1" w:themeTint="F2"/>
          <w:sz w:val="16"/>
          <w:szCs w:val="16"/>
        </w:rPr>
        <w:t xml:space="preserve">, demand growth in this sector was among the highest </w:t>
      </w:r>
      <w:r>
        <w:rPr>
          <w:color w:val="0D0D0D" w:themeColor="text1" w:themeTint="F2"/>
          <w:sz w:val="16"/>
          <w:szCs w:val="16"/>
        </w:rPr>
        <w:t>with</w:t>
      </w:r>
      <w:r w:rsidRPr="004A3285">
        <w:rPr>
          <w:color w:val="0D0D0D" w:themeColor="text1" w:themeTint="F2"/>
          <w:sz w:val="16"/>
          <w:szCs w:val="16"/>
        </w:rPr>
        <w:t>in services.</w:t>
      </w:r>
      <w:r>
        <w:rPr>
          <w:color w:val="0D0D0D" w:themeColor="text1" w:themeTint="F2"/>
          <w:sz w:val="16"/>
          <w:szCs w:val="16"/>
        </w:rPr>
        <w:t xml:space="preserve"> H</w:t>
      </w:r>
      <w:r w:rsidRPr="004A3285">
        <w:rPr>
          <w:color w:val="0D0D0D" w:themeColor="text1" w:themeTint="F2"/>
          <w:sz w:val="16"/>
          <w:szCs w:val="16"/>
        </w:rPr>
        <w:t xml:space="preserve">owever, </w:t>
      </w:r>
      <w:r>
        <w:rPr>
          <w:color w:val="0D0D0D" w:themeColor="text1" w:themeTint="F2"/>
          <w:sz w:val="16"/>
          <w:szCs w:val="16"/>
        </w:rPr>
        <w:t xml:space="preserve">total </w:t>
      </w:r>
      <w:r w:rsidRPr="004A3285">
        <w:rPr>
          <w:color w:val="0D0D0D" w:themeColor="text1" w:themeTint="F2"/>
          <w:sz w:val="16"/>
          <w:szCs w:val="16"/>
        </w:rPr>
        <w:t xml:space="preserve">sales were rather stagnant </w:t>
      </w:r>
      <w:r>
        <w:rPr>
          <w:color w:val="0D0D0D" w:themeColor="text1" w:themeTint="F2"/>
          <w:sz w:val="16"/>
          <w:szCs w:val="16"/>
        </w:rPr>
        <w:t>b</w:t>
      </w:r>
      <w:r w:rsidRPr="004A3285">
        <w:rPr>
          <w:color w:val="0D0D0D" w:themeColor="text1" w:themeTint="F2"/>
          <w:sz w:val="16"/>
          <w:szCs w:val="16"/>
        </w:rPr>
        <w:t>etween 2022 and 2024</w:t>
      </w:r>
      <w:r>
        <w:rPr>
          <w:color w:val="0D0D0D" w:themeColor="text1" w:themeTint="F2"/>
          <w:sz w:val="16"/>
          <w:szCs w:val="16"/>
        </w:rPr>
        <w:t xml:space="preserve"> here</w:t>
      </w:r>
      <w:r w:rsidRPr="004A3285">
        <w:rPr>
          <w:color w:val="0D0D0D" w:themeColor="text1" w:themeTint="F2"/>
          <w:sz w:val="16"/>
          <w:szCs w:val="16"/>
        </w:rPr>
        <w:t>, and there was only a partial recovery last year.</w:t>
      </w:r>
      <w:r w:rsidRPr="007232CB">
        <w:rPr>
          <w:color w:val="0D0D0D" w:themeColor="text1" w:themeTint="F2"/>
          <w:sz w:val="16"/>
          <w:szCs w:val="16"/>
          <w:lang w:val="en-US"/>
        </w:rPr>
        <w:t xml:space="preserve"> </w:t>
      </w:r>
    </w:p>
  </w:footnote>
  <w:footnote w:id="31">
    <w:p w14:paraId="4B325E87" w14:textId="77777777" w:rsidR="00927BC1" w:rsidRPr="007232CB" w:rsidRDefault="00927BC1" w:rsidP="00927BC1">
      <w:pPr>
        <w:pStyle w:val="Textpoznpodarou"/>
        <w:rPr>
          <w:sz w:val="16"/>
          <w:szCs w:val="16"/>
          <w:lang w:val="en-US"/>
        </w:rPr>
      </w:pPr>
      <w:r w:rsidRPr="00B131B0">
        <w:rPr>
          <w:rStyle w:val="Znakapoznpodarou"/>
          <w:sz w:val="16"/>
          <w:szCs w:val="16"/>
        </w:rPr>
        <w:footnoteRef/>
      </w:r>
      <w:r w:rsidRPr="007232CB">
        <w:rPr>
          <w:sz w:val="16"/>
          <w:szCs w:val="16"/>
          <w:lang w:val="en-US"/>
        </w:rPr>
        <w:t xml:space="preserve"> </w:t>
      </w:r>
      <w:r w:rsidRPr="003B1855">
        <w:rPr>
          <w:sz w:val="16"/>
          <w:szCs w:val="16"/>
        </w:rPr>
        <w:t xml:space="preserve">At the same time, relatively rapid growth </w:t>
      </w:r>
      <w:r>
        <w:rPr>
          <w:sz w:val="16"/>
          <w:szCs w:val="16"/>
        </w:rPr>
        <w:t>of</w:t>
      </w:r>
      <w:r w:rsidRPr="003B1855">
        <w:rPr>
          <w:sz w:val="16"/>
          <w:szCs w:val="16"/>
        </w:rPr>
        <w:t xml:space="preserve"> prices of these services persisted. In nominal terms, sales increased by 11.9%</w:t>
      </w:r>
      <w:r>
        <w:rPr>
          <w:sz w:val="16"/>
          <w:szCs w:val="16"/>
        </w:rPr>
        <w:t>,</w:t>
      </w:r>
      <w:r w:rsidRPr="003B1855">
        <w:rPr>
          <w:sz w:val="16"/>
          <w:szCs w:val="16"/>
        </w:rPr>
        <w:t xml:space="preserve"> year-on-year</w:t>
      </w:r>
      <w:r>
        <w:rPr>
          <w:sz w:val="16"/>
          <w:szCs w:val="16"/>
        </w:rPr>
        <w:t xml:space="preserve">, </w:t>
      </w:r>
      <w:r w:rsidRPr="003B1855">
        <w:rPr>
          <w:sz w:val="16"/>
          <w:szCs w:val="16"/>
        </w:rPr>
        <w:t>in</w:t>
      </w:r>
      <w:r>
        <w:rPr>
          <w:sz w:val="16"/>
          <w:szCs w:val="16"/>
        </w:rPr>
        <w:t xml:space="preserve"> H</w:t>
      </w:r>
      <w:r w:rsidRPr="003B1855">
        <w:rPr>
          <w:sz w:val="16"/>
          <w:szCs w:val="16"/>
        </w:rPr>
        <w:t>1</w:t>
      </w:r>
      <w:r>
        <w:rPr>
          <w:sz w:val="16"/>
          <w:szCs w:val="16"/>
        </w:rPr>
        <w:t xml:space="preserve"> here. </w:t>
      </w:r>
      <w:r w:rsidRPr="007232CB">
        <w:rPr>
          <w:sz w:val="16"/>
          <w:szCs w:val="16"/>
          <w:lang w:val="en-US"/>
        </w:rPr>
        <w:t xml:space="preserve"> </w:t>
      </w:r>
    </w:p>
  </w:footnote>
  <w:footnote w:id="32">
    <w:p w14:paraId="6661448C" w14:textId="77777777" w:rsidR="00927BC1" w:rsidRPr="007232CB" w:rsidRDefault="00927BC1" w:rsidP="00927BC1">
      <w:pPr>
        <w:pStyle w:val="Textpoznpodarou"/>
        <w:jc w:val="both"/>
        <w:rPr>
          <w:color w:val="0D0D0D" w:themeColor="text1" w:themeTint="F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3859D7">
        <w:rPr>
          <w:color w:val="0D0D0D" w:themeColor="text1" w:themeTint="F2"/>
          <w:sz w:val="16"/>
          <w:szCs w:val="16"/>
        </w:rPr>
        <w:t xml:space="preserve">According to data from the Union of </w:t>
      </w:r>
      <w:r>
        <w:rPr>
          <w:color w:val="0D0D0D" w:themeColor="text1" w:themeTint="F2"/>
          <w:sz w:val="16"/>
          <w:szCs w:val="16"/>
        </w:rPr>
        <w:t xml:space="preserve">Motion Picture </w:t>
      </w:r>
      <w:r w:rsidRPr="003859D7">
        <w:rPr>
          <w:color w:val="0D0D0D" w:themeColor="text1" w:themeTint="F2"/>
          <w:sz w:val="16"/>
          <w:szCs w:val="16"/>
        </w:rPr>
        <w:t>Distributors, gross nominal sales of cinema operators in the Czech Republic increased by only 0.7%</w:t>
      </w:r>
      <w:r>
        <w:rPr>
          <w:color w:val="0D0D0D" w:themeColor="text1" w:themeTint="F2"/>
          <w:sz w:val="16"/>
          <w:szCs w:val="16"/>
        </w:rPr>
        <w:t>,</w:t>
      </w:r>
      <w:r w:rsidRPr="003859D7">
        <w:rPr>
          <w:color w:val="0D0D0D" w:themeColor="text1" w:themeTint="F2"/>
          <w:sz w:val="16"/>
          <w:szCs w:val="16"/>
        </w:rPr>
        <w:t xml:space="preserve"> year-on-year, in </w:t>
      </w:r>
      <w:r>
        <w:rPr>
          <w:color w:val="0D0D0D" w:themeColor="text1" w:themeTint="F2"/>
          <w:sz w:val="16"/>
          <w:szCs w:val="16"/>
        </w:rPr>
        <w:t>H</w:t>
      </w:r>
      <w:r w:rsidRPr="003859D7">
        <w:rPr>
          <w:color w:val="0D0D0D" w:themeColor="text1" w:themeTint="F2"/>
          <w:sz w:val="16"/>
          <w:szCs w:val="16"/>
        </w:rPr>
        <w:t>1</w:t>
      </w:r>
      <w:r>
        <w:rPr>
          <w:color w:val="0D0D0D" w:themeColor="text1" w:themeTint="F2"/>
          <w:sz w:val="16"/>
          <w:szCs w:val="16"/>
        </w:rPr>
        <w:t xml:space="preserve"> </w:t>
      </w:r>
      <w:r w:rsidRPr="003859D7">
        <w:rPr>
          <w:color w:val="0D0D0D" w:themeColor="text1" w:themeTint="F2"/>
          <w:sz w:val="16"/>
          <w:szCs w:val="16"/>
        </w:rPr>
        <w:t>2026</w:t>
      </w:r>
      <w:r>
        <w:rPr>
          <w:color w:val="0D0D0D" w:themeColor="text1" w:themeTint="F2"/>
          <w:sz w:val="16"/>
          <w:szCs w:val="16"/>
        </w:rPr>
        <w:t xml:space="preserve">, </w:t>
      </w:r>
      <w:r w:rsidRPr="003859D7">
        <w:rPr>
          <w:color w:val="0D0D0D" w:themeColor="text1" w:themeTint="F2"/>
          <w:sz w:val="16"/>
          <w:szCs w:val="16"/>
        </w:rPr>
        <w:t xml:space="preserve">with a 3% decline </w:t>
      </w:r>
      <w:r>
        <w:rPr>
          <w:color w:val="0D0D0D" w:themeColor="text1" w:themeTint="F2"/>
          <w:sz w:val="16"/>
          <w:szCs w:val="16"/>
        </w:rPr>
        <w:t>of</w:t>
      </w:r>
      <w:r w:rsidRPr="003859D7">
        <w:rPr>
          <w:color w:val="0D0D0D" w:themeColor="text1" w:themeTint="F2"/>
          <w:sz w:val="16"/>
          <w:szCs w:val="16"/>
        </w:rPr>
        <w:t xml:space="preserve"> total attendance. Compared to 2019, when most performance indicators reached their maximum, the current cinema attendance (with stagnation in the number of performances played) was lower by 34% and sales by 15%.</w:t>
      </w:r>
      <w:r w:rsidRPr="007232CB">
        <w:rPr>
          <w:color w:val="0D0D0D" w:themeColor="text1" w:themeTint="F2"/>
          <w:sz w:val="16"/>
          <w:szCs w:val="16"/>
          <w:lang w:val="en-US"/>
        </w:rPr>
        <w:t xml:space="preserve"> </w:t>
      </w:r>
    </w:p>
  </w:footnote>
  <w:footnote w:id="33">
    <w:p w14:paraId="3C8F9117" w14:textId="77777777" w:rsidR="00927BC1" w:rsidRPr="007232CB" w:rsidRDefault="00927BC1" w:rsidP="00927BC1">
      <w:pPr>
        <w:pStyle w:val="Textpoznpodarou"/>
        <w:jc w:val="both"/>
        <w:rPr>
          <w:color w:val="0D0D0D" w:themeColor="text1" w:themeTint="F2"/>
          <w:spacing w:val="-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22084F">
        <w:rPr>
          <w:color w:val="0D0D0D" w:themeColor="text1" w:themeTint="F2"/>
          <w:sz w:val="16"/>
          <w:szCs w:val="16"/>
          <w:lang w:val="en"/>
        </w:rPr>
        <w:t xml:space="preserve">In </w:t>
      </w:r>
      <w:r>
        <w:rPr>
          <w:color w:val="0D0D0D" w:themeColor="text1" w:themeTint="F2"/>
          <w:sz w:val="16"/>
          <w:szCs w:val="16"/>
          <w:lang w:val="en"/>
        </w:rPr>
        <w:t>Q</w:t>
      </w:r>
      <w:r w:rsidRPr="0022084F">
        <w:rPr>
          <w:color w:val="0D0D0D" w:themeColor="text1" w:themeTint="F2"/>
          <w:sz w:val="16"/>
          <w:szCs w:val="16"/>
          <w:lang w:val="en"/>
        </w:rPr>
        <w:t>2</w:t>
      </w:r>
      <w:r>
        <w:rPr>
          <w:color w:val="0D0D0D" w:themeColor="text1" w:themeTint="F2"/>
          <w:sz w:val="16"/>
          <w:szCs w:val="16"/>
          <w:lang w:val="en"/>
        </w:rPr>
        <w:t xml:space="preserve"> </w:t>
      </w:r>
      <w:r w:rsidRPr="0022084F">
        <w:rPr>
          <w:color w:val="0D0D0D" w:themeColor="text1" w:themeTint="F2"/>
          <w:sz w:val="16"/>
          <w:szCs w:val="16"/>
          <w:lang w:val="en"/>
        </w:rPr>
        <w:t>2026, prices of accommodation services increased by 6.4%</w:t>
      </w:r>
      <w:r>
        <w:rPr>
          <w:color w:val="0D0D0D" w:themeColor="text1" w:themeTint="F2"/>
          <w:sz w:val="16"/>
          <w:szCs w:val="16"/>
          <w:lang w:val="en"/>
        </w:rPr>
        <w:t>,</w:t>
      </w:r>
      <w:r w:rsidRPr="0022084F">
        <w:rPr>
          <w:color w:val="0D0D0D" w:themeColor="text1" w:themeTint="F2"/>
          <w:sz w:val="16"/>
          <w:szCs w:val="16"/>
          <w:lang w:val="en"/>
        </w:rPr>
        <w:t xml:space="preserve"> year-on-year</w:t>
      </w:r>
      <w:r>
        <w:rPr>
          <w:color w:val="0D0D0D" w:themeColor="text1" w:themeTint="F2"/>
          <w:sz w:val="16"/>
          <w:szCs w:val="16"/>
          <w:lang w:val="en"/>
        </w:rPr>
        <w:t>,</w:t>
      </w:r>
      <w:r w:rsidRPr="0022084F">
        <w:rPr>
          <w:color w:val="0D0D0D" w:themeColor="text1" w:themeTint="F2"/>
          <w:sz w:val="16"/>
          <w:szCs w:val="16"/>
          <w:lang w:val="en"/>
        </w:rPr>
        <w:t xml:space="preserve"> and by 4.1%, y</w:t>
      </w:r>
      <w:r>
        <w:rPr>
          <w:color w:val="0D0D0D" w:themeColor="text1" w:themeTint="F2"/>
          <w:sz w:val="16"/>
          <w:szCs w:val="16"/>
          <w:lang w:val="en"/>
        </w:rPr>
        <w:t>ear</w:t>
      </w:r>
      <w:r w:rsidRPr="0022084F">
        <w:rPr>
          <w:color w:val="0D0D0D" w:themeColor="text1" w:themeTint="F2"/>
          <w:sz w:val="16"/>
          <w:szCs w:val="16"/>
          <w:lang w:val="en"/>
        </w:rPr>
        <w:t>-o</w:t>
      </w:r>
      <w:r>
        <w:rPr>
          <w:color w:val="0D0D0D" w:themeColor="text1" w:themeTint="F2"/>
          <w:sz w:val="16"/>
          <w:szCs w:val="16"/>
          <w:lang w:val="en"/>
        </w:rPr>
        <w:t>n</w:t>
      </w:r>
      <w:r w:rsidRPr="0022084F">
        <w:rPr>
          <w:color w:val="0D0D0D" w:themeColor="text1" w:themeTint="F2"/>
          <w:sz w:val="16"/>
          <w:szCs w:val="16"/>
          <w:lang w:val="en"/>
        </w:rPr>
        <w:t>-y</w:t>
      </w:r>
      <w:r>
        <w:rPr>
          <w:color w:val="0D0D0D" w:themeColor="text1" w:themeTint="F2"/>
          <w:sz w:val="16"/>
          <w:szCs w:val="16"/>
          <w:lang w:val="en"/>
        </w:rPr>
        <w:t>ear</w:t>
      </w:r>
      <w:r w:rsidRPr="0022084F">
        <w:rPr>
          <w:color w:val="0D0D0D" w:themeColor="text1" w:themeTint="F2"/>
          <w:sz w:val="16"/>
          <w:szCs w:val="16"/>
          <w:lang w:val="en"/>
        </w:rPr>
        <w:t xml:space="preserve">. Compared to 2015, they were higher by more than 100% in total for both segments, while prices in the entire consumer basket increased by </w:t>
      </w:r>
      <w:r>
        <w:rPr>
          <w:color w:val="0D0D0D" w:themeColor="text1" w:themeTint="F2"/>
          <w:sz w:val="16"/>
          <w:szCs w:val="16"/>
          <w:lang w:val="en"/>
        </w:rPr>
        <w:t>“</w:t>
      </w:r>
      <w:r w:rsidRPr="0022084F">
        <w:rPr>
          <w:color w:val="0D0D0D" w:themeColor="text1" w:themeTint="F2"/>
          <w:sz w:val="16"/>
          <w:szCs w:val="16"/>
          <w:lang w:val="en"/>
        </w:rPr>
        <w:t>only</w:t>
      </w:r>
      <w:r>
        <w:rPr>
          <w:color w:val="0D0D0D" w:themeColor="text1" w:themeTint="F2"/>
          <w:sz w:val="16"/>
          <w:szCs w:val="16"/>
          <w:lang w:val="en"/>
        </w:rPr>
        <w:t>”</w:t>
      </w:r>
      <w:r w:rsidRPr="0022084F">
        <w:rPr>
          <w:color w:val="0D0D0D" w:themeColor="text1" w:themeTint="F2"/>
          <w:sz w:val="16"/>
          <w:szCs w:val="16"/>
          <w:lang w:val="en"/>
        </w:rPr>
        <w:t xml:space="preserve"> less than 60% over the same period.</w:t>
      </w:r>
    </w:p>
  </w:footnote>
  <w:footnote w:id="34">
    <w:p w14:paraId="6ABDFE36" w14:textId="77777777" w:rsidR="00927BC1" w:rsidRPr="007232CB" w:rsidRDefault="00927BC1" w:rsidP="00927BC1">
      <w:pPr>
        <w:pStyle w:val="Textpoznpodarou"/>
        <w:jc w:val="both"/>
        <w:rPr>
          <w:color w:val="0D0D0D" w:themeColor="text1" w:themeTint="F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9F582C">
        <w:rPr>
          <w:color w:val="0D0D0D" w:themeColor="text1" w:themeTint="F2"/>
          <w:sz w:val="16"/>
          <w:szCs w:val="16"/>
        </w:rPr>
        <w:t xml:space="preserve">These include, for example, the organization of conferences and exhibitions, </w:t>
      </w:r>
      <w:r>
        <w:rPr>
          <w:color w:val="0D0D0D" w:themeColor="text1" w:themeTint="F2"/>
          <w:sz w:val="16"/>
          <w:szCs w:val="16"/>
        </w:rPr>
        <w:t xml:space="preserve">activities of </w:t>
      </w:r>
      <w:r w:rsidRPr="009F582C">
        <w:rPr>
          <w:color w:val="0D0D0D" w:themeColor="text1" w:themeTint="F2"/>
          <w:sz w:val="16"/>
          <w:szCs w:val="16"/>
        </w:rPr>
        <w:t xml:space="preserve">collection </w:t>
      </w:r>
      <w:r>
        <w:rPr>
          <w:color w:val="0D0D0D" w:themeColor="text1" w:themeTint="F2"/>
          <w:sz w:val="16"/>
          <w:szCs w:val="16"/>
        </w:rPr>
        <w:t>agencies and credit bureaus</w:t>
      </w:r>
      <w:r w:rsidRPr="009F582C">
        <w:rPr>
          <w:color w:val="0D0D0D" w:themeColor="text1" w:themeTint="F2"/>
          <w:sz w:val="16"/>
          <w:szCs w:val="16"/>
        </w:rPr>
        <w:t>, verification of customer solvency, but also call-centre activities.</w:t>
      </w:r>
      <w:r w:rsidRPr="007232CB">
        <w:rPr>
          <w:color w:val="0D0D0D" w:themeColor="text1" w:themeTint="F2"/>
          <w:sz w:val="16"/>
          <w:szCs w:val="16"/>
          <w:lang w:val="en-US"/>
        </w:rPr>
        <w:t xml:space="preserve"> </w:t>
      </w:r>
    </w:p>
  </w:footnote>
  <w:footnote w:id="35">
    <w:p w14:paraId="15CE5C2D" w14:textId="77777777" w:rsidR="00927BC1" w:rsidRPr="007232CB" w:rsidRDefault="00927BC1" w:rsidP="00927BC1">
      <w:pPr>
        <w:spacing w:after="0" w:line="240" w:lineRule="auto"/>
        <w:rPr>
          <w:bCs/>
          <w:color w:val="0D0D0D" w:themeColor="text1" w:themeTint="F2"/>
          <w:spacing w:val="-4"/>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C71017">
        <w:rPr>
          <w:color w:val="0D0D0D" w:themeColor="text1" w:themeTint="F2"/>
          <w:sz w:val="16"/>
          <w:szCs w:val="16"/>
        </w:rPr>
        <w:t>These mainly include</w:t>
      </w:r>
      <w:r>
        <w:rPr>
          <w:color w:val="0D0D0D" w:themeColor="text1" w:themeTint="F2"/>
          <w:sz w:val="16"/>
          <w:szCs w:val="16"/>
        </w:rPr>
        <w:t xml:space="preserve"> building and industrial cleaning activities. </w:t>
      </w:r>
    </w:p>
  </w:footnote>
  <w:footnote w:id="36">
    <w:p w14:paraId="28B2D5CF" w14:textId="77777777" w:rsidR="00927BC1" w:rsidRPr="007232CB" w:rsidRDefault="00927BC1" w:rsidP="00927BC1">
      <w:pPr>
        <w:pStyle w:val="Textpoznpodarou"/>
        <w:jc w:val="both"/>
        <w:rPr>
          <w:color w:val="0D0D0D" w:themeColor="text1" w:themeTint="F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BB4C12">
        <w:rPr>
          <w:color w:val="0D0D0D" w:themeColor="text1" w:themeTint="F2"/>
          <w:sz w:val="16"/>
          <w:szCs w:val="16"/>
        </w:rPr>
        <w:t xml:space="preserve">However, sales in nominal terms have already grown markedly this year (+7.0%). The decline </w:t>
      </w:r>
      <w:r>
        <w:rPr>
          <w:color w:val="0D0D0D" w:themeColor="text1" w:themeTint="F2"/>
          <w:sz w:val="16"/>
          <w:szCs w:val="16"/>
        </w:rPr>
        <w:t>of</w:t>
      </w:r>
      <w:r w:rsidRPr="00BB4C12">
        <w:rPr>
          <w:color w:val="0D0D0D" w:themeColor="text1" w:themeTint="F2"/>
          <w:sz w:val="16"/>
          <w:szCs w:val="16"/>
        </w:rPr>
        <w:t xml:space="preserve"> real sales also occurred amid a high growth </w:t>
      </w:r>
      <w:r>
        <w:rPr>
          <w:color w:val="0D0D0D" w:themeColor="text1" w:themeTint="F2"/>
          <w:sz w:val="16"/>
          <w:szCs w:val="16"/>
        </w:rPr>
        <w:t>of</w:t>
      </w:r>
      <w:r w:rsidRPr="00BB4C12">
        <w:rPr>
          <w:color w:val="0D0D0D" w:themeColor="text1" w:themeTint="F2"/>
          <w:sz w:val="16"/>
          <w:szCs w:val="16"/>
        </w:rPr>
        <w:t xml:space="preserve"> the number of working foreigners in the Czech Republic. Refugees from Ukraine have played a significant role in this in the last four years. </w:t>
      </w:r>
      <w:r w:rsidRPr="00ED5A87">
        <w:rPr>
          <w:sz w:val="16"/>
          <w:szCs w:val="16"/>
        </w:rPr>
        <w:t xml:space="preserve">Due to the temporary protection status granted to these persons, their employment in the Czech Republic is administratively simpler (compared to other groups of migrants from the so-called third countries) and they can thus find work </w:t>
      </w:r>
      <w:r>
        <w:rPr>
          <w:sz w:val="16"/>
          <w:szCs w:val="16"/>
        </w:rPr>
        <w:t>“</w:t>
      </w:r>
      <w:r w:rsidRPr="00ED5A87">
        <w:rPr>
          <w:sz w:val="16"/>
          <w:szCs w:val="16"/>
        </w:rPr>
        <w:t>directly</w:t>
      </w:r>
      <w:r>
        <w:rPr>
          <w:sz w:val="16"/>
          <w:szCs w:val="16"/>
        </w:rPr>
        <w:t>”</w:t>
      </w:r>
      <w:r w:rsidRPr="00ED5A87">
        <w:rPr>
          <w:sz w:val="16"/>
          <w:szCs w:val="16"/>
        </w:rPr>
        <w:t xml:space="preserve"> (without an intermediary).</w:t>
      </w:r>
      <w:r w:rsidRPr="007232CB">
        <w:rPr>
          <w:color w:val="0D0D0D" w:themeColor="text1" w:themeTint="F2"/>
          <w:sz w:val="16"/>
          <w:szCs w:val="16"/>
          <w:lang w:val="en-US"/>
        </w:rPr>
        <w:t xml:space="preserve"> </w:t>
      </w:r>
    </w:p>
  </w:footnote>
  <w:footnote w:id="37">
    <w:p w14:paraId="6FC12729" w14:textId="77777777" w:rsidR="00927BC1" w:rsidRPr="007232CB" w:rsidRDefault="00927BC1" w:rsidP="00927BC1">
      <w:pPr>
        <w:pStyle w:val="Textpoznpodarou"/>
        <w:rPr>
          <w:sz w:val="16"/>
          <w:szCs w:val="16"/>
          <w:lang w:val="en-US"/>
        </w:rPr>
      </w:pPr>
      <w:r w:rsidRPr="00B131B0">
        <w:rPr>
          <w:rStyle w:val="Znakapoznpodarou"/>
          <w:sz w:val="16"/>
          <w:szCs w:val="16"/>
        </w:rPr>
        <w:footnoteRef/>
      </w:r>
      <w:r w:rsidRPr="007232CB">
        <w:rPr>
          <w:sz w:val="16"/>
          <w:szCs w:val="16"/>
          <w:lang w:val="en-US"/>
        </w:rPr>
        <w:t xml:space="preserve"> </w:t>
      </w:r>
      <w:r w:rsidRPr="00D425AB">
        <w:rPr>
          <w:sz w:val="16"/>
          <w:szCs w:val="16"/>
        </w:rPr>
        <w:t xml:space="preserve">This is also evidenced by the fact that compared to </w:t>
      </w:r>
      <w:r>
        <w:rPr>
          <w:sz w:val="16"/>
          <w:szCs w:val="16"/>
        </w:rPr>
        <w:t>H</w:t>
      </w:r>
      <w:r w:rsidRPr="00D425AB">
        <w:rPr>
          <w:sz w:val="16"/>
          <w:szCs w:val="16"/>
        </w:rPr>
        <w:t>1</w:t>
      </w:r>
      <w:r>
        <w:rPr>
          <w:sz w:val="16"/>
          <w:szCs w:val="16"/>
        </w:rPr>
        <w:t xml:space="preserve"> </w:t>
      </w:r>
      <w:r w:rsidRPr="00D425AB">
        <w:rPr>
          <w:sz w:val="16"/>
          <w:szCs w:val="16"/>
        </w:rPr>
        <w:t>2019, sales were a tenth lower this year.</w:t>
      </w:r>
    </w:p>
  </w:footnote>
  <w:footnote w:id="38">
    <w:p w14:paraId="60083C3D" w14:textId="77777777" w:rsidR="00927BC1" w:rsidRPr="007232CB" w:rsidRDefault="00927BC1" w:rsidP="00927BC1">
      <w:pPr>
        <w:spacing w:after="0" w:line="240" w:lineRule="auto"/>
        <w:jc w:val="left"/>
        <w:rPr>
          <w:color w:val="0D0D0D" w:themeColor="text1" w:themeTint="F2"/>
          <w:spacing w:val="-2"/>
          <w:lang w:val="en-US"/>
        </w:rPr>
      </w:pPr>
      <w:r w:rsidRPr="00B131B0">
        <w:rPr>
          <w:rStyle w:val="Znakapoznpodarou"/>
          <w:color w:val="0D0D0D" w:themeColor="text1" w:themeTint="F2"/>
          <w:spacing w:val="-2"/>
          <w:sz w:val="16"/>
          <w:szCs w:val="16"/>
        </w:rPr>
        <w:footnoteRef/>
      </w:r>
      <w:r w:rsidRPr="007232CB">
        <w:rPr>
          <w:color w:val="0D0D0D" w:themeColor="text1" w:themeTint="F2"/>
          <w:spacing w:val="-2"/>
          <w:sz w:val="16"/>
          <w:szCs w:val="16"/>
          <w:lang w:val="en-US"/>
        </w:rPr>
        <w:t xml:space="preserve"> </w:t>
      </w:r>
      <w:r w:rsidRPr="00ED5A87">
        <w:rPr>
          <w:color w:val="0D0D0D" w:themeColor="text1" w:themeTint="F2"/>
          <w:spacing w:val="-2"/>
          <w:sz w:val="16"/>
          <w:szCs w:val="16"/>
        </w:rPr>
        <w:t xml:space="preserve">All year-on-year rates of retail sales are given at constant prices and adjusted for calendar effects, quarter-on-quarter rates are seasonally adjusted (including the effect of the number of working days). Retail trade includes only CZ-NACE 47 activities. </w:t>
      </w:r>
    </w:p>
  </w:footnote>
  <w:footnote w:id="39">
    <w:p w14:paraId="36FBE32D" w14:textId="77777777" w:rsidR="00927BC1" w:rsidRPr="007232CB" w:rsidRDefault="00927BC1" w:rsidP="00927BC1">
      <w:pPr>
        <w:pStyle w:val="Textpoznpodarou"/>
        <w:rPr>
          <w:color w:val="0D0D0D" w:themeColor="text1" w:themeTint="F2"/>
          <w:spacing w:val="-2"/>
          <w:sz w:val="16"/>
          <w:szCs w:val="16"/>
          <w:lang w:val="en-US"/>
        </w:rPr>
      </w:pPr>
      <w:r w:rsidRPr="00B131B0">
        <w:rPr>
          <w:rStyle w:val="Znakapoznpodarou"/>
          <w:color w:val="0D0D0D" w:themeColor="text1" w:themeTint="F2"/>
          <w:spacing w:val="-2"/>
          <w:sz w:val="16"/>
          <w:szCs w:val="16"/>
        </w:rPr>
        <w:footnoteRef/>
      </w:r>
      <w:r w:rsidRPr="007232CB">
        <w:rPr>
          <w:color w:val="0D0D0D" w:themeColor="text1" w:themeTint="F2"/>
          <w:spacing w:val="-2"/>
          <w:sz w:val="16"/>
          <w:szCs w:val="16"/>
          <w:lang w:val="en-US"/>
        </w:rPr>
        <w:t xml:space="preserve"> </w:t>
      </w:r>
      <w:r w:rsidRPr="000744F1">
        <w:rPr>
          <w:color w:val="0D0D0D" w:themeColor="text1" w:themeTint="F2"/>
          <w:spacing w:val="-2"/>
          <w:sz w:val="16"/>
          <w:szCs w:val="16"/>
        </w:rPr>
        <w:t xml:space="preserve">In addition, there was a noticeable increase </w:t>
      </w:r>
      <w:r>
        <w:rPr>
          <w:color w:val="0D0D0D" w:themeColor="text1" w:themeTint="F2"/>
          <w:spacing w:val="-2"/>
          <w:sz w:val="16"/>
          <w:szCs w:val="16"/>
        </w:rPr>
        <w:t>of</w:t>
      </w:r>
      <w:r w:rsidRPr="000744F1">
        <w:rPr>
          <w:color w:val="0D0D0D" w:themeColor="text1" w:themeTint="F2"/>
          <w:spacing w:val="-2"/>
          <w:sz w:val="16"/>
          <w:szCs w:val="16"/>
        </w:rPr>
        <w:t xml:space="preserve"> sales in the marginal segment of non-specialized stores with a predominance of non-food goods (currently by 6.8%)</w:t>
      </w:r>
      <w:r>
        <w:rPr>
          <w:color w:val="0D0D0D" w:themeColor="text1" w:themeTint="F2"/>
          <w:spacing w:val="-2"/>
          <w:sz w:val="16"/>
          <w:szCs w:val="16"/>
        </w:rPr>
        <w:t xml:space="preserve"> </w:t>
      </w:r>
      <w:r w:rsidRPr="000744F1">
        <w:rPr>
          <w:color w:val="0D0D0D" w:themeColor="text1" w:themeTint="F2"/>
          <w:spacing w:val="-2"/>
          <w:sz w:val="16"/>
          <w:szCs w:val="16"/>
        </w:rPr>
        <w:t xml:space="preserve">for the fifth year in a row. </w:t>
      </w:r>
      <w:r>
        <w:rPr>
          <w:color w:val="0D0D0D" w:themeColor="text1" w:themeTint="F2"/>
          <w:spacing w:val="-2"/>
          <w:sz w:val="16"/>
          <w:szCs w:val="16"/>
        </w:rPr>
        <w:t xml:space="preserve">It </w:t>
      </w:r>
      <w:r w:rsidRPr="000744F1">
        <w:rPr>
          <w:color w:val="0D0D0D" w:themeColor="text1" w:themeTint="F2"/>
          <w:spacing w:val="-2"/>
          <w:sz w:val="16"/>
          <w:szCs w:val="16"/>
        </w:rPr>
        <w:t>focuses on offering diverse, rather smaller goods at discount prices and has gradually expanded its sales network in the Czech Republic in recent years.</w:t>
      </w:r>
      <w:r w:rsidRPr="007232CB">
        <w:rPr>
          <w:rFonts w:cs="Arial"/>
          <w:color w:val="0D0D0D" w:themeColor="text1" w:themeTint="F2"/>
          <w:spacing w:val="-2"/>
          <w:sz w:val="16"/>
          <w:szCs w:val="16"/>
          <w:lang w:val="en-US"/>
        </w:rPr>
        <w:t xml:space="preserve"> </w:t>
      </w:r>
    </w:p>
  </w:footnote>
  <w:footnote w:id="40">
    <w:p w14:paraId="78470837" w14:textId="77777777" w:rsidR="00927BC1" w:rsidRPr="002E6E34" w:rsidRDefault="00927BC1" w:rsidP="00927BC1">
      <w:pPr>
        <w:pStyle w:val="Textpoznpodarou"/>
        <w:rPr>
          <w:color w:val="0D0D0D" w:themeColor="text1" w:themeTint="F2"/>
          <w:spacing w:val="-2"/>
          <w:sz w:val="16"/>
          <w:szCs w:val="16"/>
          <w:lang w:val="en-US"/>
        </w:rPr>
      </w:pPr>
      <w:r w:rsidRPr="00B131B0">
        <w:rPr>
          <w:rStyle w:val="Znakapoznpodarou"/>
          <w:color w:val="0D0D0D" w:themeColor="text1" w:themeTint="F2"/>
          <w:spacing w:val="-2"/>
          <w:sz w:val="16"/>
          <w:szCs w:val="16"/>
        </w:rPr>
        <w:footnoteRef/>
      </w:r>
      <w:r w:rsidRPr="003E58A7">
        <w:rPr>
          <w:color w:val="0D0D0D" w:themeColor="text1" w:themeTint="F2"/>
          <w:spacing w:val="-2"/>
          <w:sz w:val="16"/>
          <w:szCs w:val="16"/>
          <w:lang w:val="en-US"/>
        </w:rPr>
        <w:t xml:space="preserve"> </w:t>
      </w:r>
      <w:r w:rsidRPr="003E58A7">
        <w:rPr>
          <w:color w:val="0D0D0D" w:themeColor="text1" w:themeTint="F2"/>
          <w:spacing w:val="-2"/>
          <w:sz w:val="16"/>
          <w:szCs w:val="16"/>
        </w:rPr>
        <w:t>It is traditionally dominated by sports equipment stores. However, it also includes</w:t>
      </w:r>
      <w:r>
        <w:rPr>
          <w:color w:val="0D0D0D" w:themeColor="text1" w:themeTint="F2"/>
          <w:spacing w:val="-2"/>
          <w:sz w:val="16"/>
          <w:szCs w:val="16"/>
        </w:rPr>
        <w:t xml:space="preserve"> shops </w:t>
      </w:r>
      <w:r w:rsidRPr="003E58A7">
        <w:rPr>
          <w:color w:val="0D0D0D" w:themeColor="text1" w:themeTint="F2"/>
          <w:spacing w:val="-2"/>
          <w:sz w:val="16"/>
          <w:szCs w:val="16"/>
        </w:rPr>
        <w:t>with games and toys, books, newspapers, magazines and stationery.</w:t>
      </w:r>
      <w:r>
        <w:rPr>
          <w:color w:val="0D0D0D" w:themeColor="text1" w:themeTint="F2"/>
          <w:spacing w:val="-2"/>
          <w:sz w:val="16"/>
          <w:szCs w:val="16"/>
        </w:rPr>
        <w:t xml:space="preserve"> </w:t>
      </w:r>
    </w:p>
  </w:footnote>
  <w:footnote w:id="41">
    <w:p w14:paraId="58132223" w14:textId="77777777" w:rsidR="00927BC1" w:rsidRPr="00776C89" w:rsidRDefault="00927BC1" w:rsidP="00927BC1">
      <w:pPr>
        <w:pStyle w:val="Textpoznpodarou"/>
        <w:rPr>
          <w:color w:val="0D0D0D" w:themeColor="text1" w:themeTint="F2"/>
          <w:spacing w:val="-2"/>
          <w:sz w:val="16"/>
          <w:szCs w:val="16"/>
        </w:rPr>
      </w:pPr>
      <w:r w:rsidRPr="00B131B0">
        <w:rPr>
          <w:rStyle w:val="Znakapoznpodarou"/>
          <w:color w:val="0D0D0D" w:themeColor="text1" w:themeTint="F2"/>
          <w:spacing w:val="-2"/>
          <w:sz w:val="16"/>
          <w:szCs w:val="16"/>
        </w:rPr>
        <w:footnoteRef/>
      </w:r>
      <w:r w:rsidRPr="00776C89">
        <w:rPr>
          <w:color w:val="0D0D0D" w:themeColor="text1" w:themeTint="F2"/>
          <w:spacing w:val="-2"/>
          <w:sz w:val="16"/>
          <w:szCs w:val="16"/>
          <w:lang w:val="en-US"/>
        </w:rPr>
        <w:t xml:space="preserve"> </w:t>
      </w:r>
      <w:r w:rsidRPr="00995C95">
        <w:rPr>
          <w:sz w:val="16"/>
          <w:szCs w:val="16"/>
        </w:rPr>
        <w:t xml:space="preserve">These include mainly hardware, building materials, paints, glass, DIY supplies, electrical appliances, electronics, furniture, lighting equipment, carpets or home textiles. </w:t>
      </w:r>
    </w:p>
  </w:footnote>
  <w:footnote w:id="42">
    <w:p w14:paraId="711171CD" w14:textId="77777777" w:rsidR="00927BC1" w:rsidRPr="00FE6150" w:rsidRDefault="00927BC1" w:rsidP="00927BC1">
      <w:pPr>
        <w:pStyle w:val="Textpoznpodarou"/>
        <w:rPr>
          <w:spacing w:val="-2"/>
          <w:sz w:val="16"/>
          <w:szCs w:val="16"/>
          <w:lang w:val="en-US"/>
        </w:rPr>
      </w:pPr>
      <w:r w:rsidRPr="00B131B0">
        <w:rPr>
          <w:rStyle w:val="Znakapoznpodarou"/>
          <w:spacing w:val="-2"/>
          <w:sz w:val="16"/>
          <w:szCs w:val="16"/>
        </w:rPr>
        <w:footnoteRef/>
      </w:r>
      <w:r w:rsidRPr="00FE6150">
        <w:rPr>
          <w:spacing w:val="-2"/>
          <w:sz w:val="16"/>
          <w:szCs w:val="16"/>
          <w:lang w:val="en-US"/>
        </w:rPr>
        <w:t xml:space="preserve"> </w:t>
      </w:r>
      <w:r w:rsidRPr="00147F51">
        <w:rPr>
          <w:spacing w:val="-2"/>
          <w:sz w:val="16"/>
          <w:szCs w:val="16"/>
        </w:rPr>
        <w:t xml:space="preserve">It can be assumed that an increasingly significant part of the demand for computer and communication equipment is usually realized in larger establishments belonging (according to their predominant activity) to </w:t>
      </w:r>
      <w:r>
        <w:rPr>
          <w:spacing w:val="-2"/>
          <w:sz w:val="16"/>
          <w:szCs w:val="16"/>
        </w:rPr>
        <w:t xml:space="preserve">sales via </w:t>
      </w:r>
      <w:r w:rsidRPr="00147F51">
        <w:rPr>
          <w:spacing w:val="-2"/>
          <w:sz w:val="16"/>
          <w:szCs w:val="16"/>
        </w:rPr>
        <w:t>Internet.</w:t>
      </w:r>
      <w:r>
        <w:rPr>
          <w:spacing w:val="-2"/>
          <w:sz w:val="16"/>
          <w:szCs w:val="16"/>
        </w:rPr>
        <w:t xml:space="preserve"> </w:t>
      </w:r>
    </w:p>
  </w:footnote>
  <w:footnote w:id="43">
    <w:p w14:paraId="4547C48D" w14:textId="77777777" w:rsidR="00927BC1" w:rsidRPr="00FE6150" w:rsidRDefault="00927BC1" w:rsidP="00927BC1">
      <w:pPr>
        <w:pStyle w:val="Textpoznpodarou"/>
        <w:rPr>
          <w:spacing w:val="-2"/>
          <w:lang w:val="en-US"/>
        </w:rPr>
      </w:pPr>
      <w:r w:rsidRPr="00B131B0">
        <w:rPr>
          <w:rStyle w:val="Znakapoznpodarou"/>
          <w:color w:val="0D0D0D" w:themeColor="text1" w:themeTint="F2"/>
          <w:spacing w:val="-2"/>
          <w:sz w:val="16"/>
          <w:szCs w:val="16"/>
        </w:rPr>
        <w:footnoteRef/>
      </w:r>
      <w:r w:rsidRPr="00FE6150">
        <w:rPr>
          <w:color w:val="0D0D0D" w:themeColor="text1" w:themeTint="F2"/>
          <w:spacing w:val="-2"/>
          <w:sz w:val="16"/>
          <w:szCs w:val="16"/>
          <w:lang w:val="en-US"/>
        </w:rPr>
        <w:t xml:space="preserve"> </w:t>
      </w:r>
      <w:r w:rsidRPr="0000484B">
        <w:rPr>
          <w:color w:val="0D0D0D" w:themeColor="text1" w:themeTint="F2"/>
          <w:spacing w:val="-2"/>
          <w:sz w:val="16"/>
          <w:szCs w:val="16"/>
        </w:rPr>
        <w:t xml:space="preserve">These include, for example, meat products, pastries, confectionery products, beverages or fruit and vegetables. However, </w:t>
      </w:r>
      <w:r>
        <w:rPr>
          <w:color w:val="0D0D0D" w:themeColor="text1" w:themeTint="F2"/>
          <w:spacing w:val="-2"/>
          <w:sz w:val="16"/>
          <w:szCs w:val="16"/>
        </w:rPr>
        <w:t xml:space="preserve">the tobacco stores held </w:t>
      </w:r>
      <w:r w:rsidRPr="0000484B">
        <w:rPr>
          <w:color w:val="0D0D0D" w:themeColor="text1" w:themeTint="F2"/>
          <w:spacing w:val="-2"/>
          <w:sz w:val="16"/>
          <w:szCs w:val="16"/>
        </w:rPr>
        <w:t xml:space="preserve">the greatest importance here in recent years, </w:t>
      </w:r>
      <w:r>
        <w:rPr>
          <w:color w:val="0D0D0D" w:themeColor="text1" w:themeTint="F2"/>
          <w:spacing w:val="-2"/>
          <w:sz w:val="16"/>
          <w:szCs w:val="16"/>
        </w:rPr>
        <w:t xml:space="preserve">their </w:t>
      </w:r>
      <w:r w:rsidRPr="0000484B">
        <w:rPr>
          <w:color w:val="0D0D0D" w:themeColor="text1" w:themeTint="F2"/>
          <w:spacing w:val="-2"/>
          <w:sz w:val="16"/>
          <w:szCs w:val="16"/>
        </w:rPr>
        <w:t>role has been growing mainly at the expense of meat stores.</w:t>
      </w:r>
    </w:p>
  </w:footnote>
  <w:footnote w:id="44">
    <w:p w14:paraId="6D4C3175" w14:textId="77777777" w:rsidR="00927BC1" w:rsidRPr="00FE6150" w:rsidRDefault="00927BC1" w:rsidP="00927BC1">
      <w:pPr>
        <w:pStyle w:val="Textpoznpodarou"/>
        <w:rPr>
          <w:sz w:val="16"/>
          <w:szCs w:val="16"/>
          <w:lang w:val="en-US"/>
        </w:rPr>
      </w:pPr>
      <w:r w:rsidRPr="00B131B0">
        <w:rPr>
          <w:rStyle w:val="Znakapoznpodarou"/>
          <w:spacing w:val="-2"/>
          <w:sz w:val="16"/>
          <w:szCs w:val="16"/>
        </w:rPr>
        <w:footnoteRef/>
      </w:r>
      <w:r w:rsidRPr="00FE6150">
        <w:rPr>
          <w:spacing w:val="-2"/>
          <w:sz w:val="16"/>
          <w:szCs w:val="16"/>
          <w:lang w:val="en-US"/>
        </w:rPr>
        <w:t xml:space="preserve"> </w:t>
      </w:r>
      <w:r w:rsidRPr="0000484B">
        <w:rPr>
          <w:spacing w:val="-2"/>
          <w:sz w:val="16"/>
          <w:szCs w:val="16"/>
        </w:rPr>
        <w:t>This was an extraordinary price regulation and capping of the margins of fuel sellers in the Czech Republic, which was in force from Wednesday, April 8, 2026, to Sunday, July 19,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9EBB" w14:textId="379149F3" w:rsidR="00763B85" w:rsidRPr="00B131B0" w:rsidRDefault="00E92DFE" w:rsidP="00937AE2">
    <w:pPr>
      <w:pStyle w:val="Zhlav"/>
      <w:rPr>
        <w:lang w:val="en-GB"/>
      </w:rPr>
    </w:pPr>
    <w:r w:rsidRPr="00B131B0">
      <w:rPr>
        <w:lang w:val="en-GB"/>
      </w:rPr>
      <w:t>The Czech Economy Development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A682" w14:textId="6C803F4A" w:rsidR="00763B85" w:rsidRPr="00B131B0" w:rsidRDefault="007A7100" w:rsidP="00937AE2">
    <w:pPr>
      <w:pStyle w:val="Zhlav"/>
      <w:rPr>
        <w:lang w:val="en-GB"/>
      </w:rPr>
    </w:pPr>
    <w:r w:rsidRPr="00B131B0">
      <w:rPr>
        <w:lang w:val="en-GB"/>
      </w:rPr>
      <w:t>The Czech Economy Development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pt;height:11.3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C5946"/>
    <w:multiLevelType w:val="hybridMultilevel"/>
    <w:tmpl w:val="4C1C2D78"/>
    <w:lvl w:ilvl="0" w:tplc="B01A56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95764B"/>
    <w:multiLevelType w:val="hybridMultilevel"/>
    <w:tmpl w:val="84788BC8"/>
    <w:lvl w:ilvl="0" w:tplc="1B96A2C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9D55121"/>
    <w:multiLevelType w:val="hybridMultilevel"/>
    <w:tmpl w:val="338E27C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0D361065"/>
    <w:multiLevelType w:val="hybridMultilevel"/>
    <w:tmpl w:val="991072C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0E145AAD"/>
    <w:multiLevelType w:val="hybridMultilevel"/>
    <w:tmpl w:val="963044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8B35353"/>
    <w:multiLevelType w:val="multilevel"/>
    <w:tmpl w:val="1C0E9EAE"/>
    <w:name w:val="Analyza"/>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pStyle w:val="Nadpis5"/>
      <w:suff w:val="space"/>
      <w:lvlText w:val="%1.%2.%3.%4.%5"/>
      <w:lvlJc w:val="left"/>
      <w:pPr>
        <w:ind w:left="1008" w:hanging="1008"/>
      </w:pPr>
      <w:rPr>
        <w:rFonts w:hint="default"/>
      </w:rPr>
    </w:lvl>
    <w:lvl w:ilvl="5">
      <w:start w:val="1"/>
      <w:numFmt w:val="decimal"/>
      <w:pStyle w:val="Nadpis6"/>
      <w:suff w:val="space"/>
      <w:lvlText w:val="%1.%2.%3.%4.%5.%6"/>
      <w:lvlJc w:val="left"/>
      <w:pPr>
        <w:ind w:left="1152" w:hanging="1152"/>
      </w:pPr>
      <w:rPr>
        <w:rFonts w:hint="default"/>
      </w:rPr>
    </w:lvl>
    <w:lvl w:ilvl="6">
      <w:start w:val="1"/>
      <w:numFmt w:val="decimal"/>
      <w:pStyle w:val="Nadpis7"/>
      <w:suff w:val="space"/>
      <w:lvlText w:val="%1.%2.%3.%4.%5.%6.%7"/>
      <w:lvlJc w:val="left"/>
      <w:pPr>
        <w:ind w:left="1296" w:hanging="1296"/>
      </w:pPr>
      <w:rPr>
        <w:rFonts w:hint="default"/>
      </w:rPr>
    </w:lvl>
    <w:lvl w:ilvl="7">
      <w:start w:val="1"/>
      <w:numFmt w:val="decimal"/>
      <w:pStyle w:val="Nadpis8"/>
      <w:suff w:val="space"/>
      <w:lvlText w:val="%1.%2.%3.%4.%5.%6.%7.%8"/>
      <w:lvlJc w:val="left"/>
      <w:pPr>
        <w:ind w:left="1440" w:hanging="1440"/>
      </w:pPr>
      <w:rPr>
        <w:rFonts w:hint="default"/>
      </w:rPr>
    </w:lvl>
    <w:lvl w:ilvl="8">
      <w:start w:val="1"/>
      <w:numFmt w:val="decimal"/>
      <w:pStyle w:val="Nadpis9"/>
      <w:suff w:val="space"/>
      <w:lvlText w:val="%1.%2.%3.%4.%5.%6.%7.%8.%9"/>
      <w:lvlJc w:val="left"/>
      <w:pPr>
        <w:ind w:left="1584" w:hanging="1584"/>
      </w:pPr>
      <w:rPr>
        <w:rFonts w:hint="default"/>
      </w:rPr>
    </w:lvl>
  </w:abstractNum>
  <w:abstractNum w:abstractNumId="16" w15:restartNumberingAfterBreak="0">
    <w:nsid w:val="1E462C8E"/>
    <w:multiLevelType w:val="hybridMultilevel"/>
    <w:tmpl w:val="84B464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2C64F20"/>
    <w:multiLevelType w:val="hybridMultilevel"/>
    <w:tmpl w:val="ADE25A6C"/>
    <w:lvl w:ilvl="0" w:tplc="04050001">
      <w:start w:val="1"/>
      <w:numFmt w:val="bullet"/>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8352333"/>
    <w:multiLevelType w:val="multilevel"/>
    <w:tmpl w:val="D0ACFA4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28DA62F8"/>
    <w:multiLevelType w:val="hybridMultilevel"/>
    <w:tmpl w:val="419C87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A5A7A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C2420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D106E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11355C0"/>
    <w:multiLevelType w:val="multilevel"/>
    <w:tmpl w:val="697E8BE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9914012"/>
    <w:multiLevelType w:val="multilevel"/>
    <w:tmpl w:val="F380FB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C7C1667"/>
    <w:multiLevelType w:val="hybridMultilevel"/>
    <w:tmpl w:val="735E7570"/>
    <w:lvl w:ilvl="0" w:tplc="5588AF8E">
      <w:start w:val="1"/>
      <w:numFmt w:val="decimal"/>
      <w:lvlText w:val="%1."/>
      <w:lvlJc w:val="left"/>
      <w:pPr>
        <w:ind w:left="4800" w:hanging="360"/>
      </w:pPr>
      <w:rPr>
        <w:rFonts w:hint="default"/>
      </w:rPr>
    </w:lvl>
    <w:lvl w:ilvl="1" w:tplc="04050019" w:tentative="1">
      <w:start w:val="1"/>
      <w:numFmt w:val="lowerLetter"/>
      <w:lvlText w:val="%2."/>
      <w:lvlJc w:val="left"/>
      <w:pPr>
        <w:ind w:left="5520" w:hanging="360"/>
      </w:pPr>
    </w:lvl>
    <w:lvl w:ilvl="2" w:tplc="0405001B" w:tentative="1">
      <w:start w:val="1"/>
      <w:numFmt w:val="lowerRoman"/>
      <w:lvlText w:val="%3."/>
      <w:lvlJc w:val="right"/>
      <w:pPr>
        <w:ind w:left="6240" w:hanging="180"/>
      </w:pPr>
    </w:lvl>
    <w:lvl w:ilvl="3" w:tplc="0405000F" w:tentative="1">
      <w:start w:val="1"/>
      <w:numFmt w:val="decimal"/>
      <w:lvlText w:val="%4."/>
      <w:lvlJc w:val="left"/>
      <w:pPr>
        <w:ind w:left="6960" w:hanging="360"/>
      </w:pPr>
    </w:lvl>
    <w:lvl w:ilvl="4" w:tplc="04050019" w:tentative="1">
      <w:start w:val="1"/>
      <w:numFmt w:val="lowerLetter"/>
      <w:lvlText w:val="%5."/>
      <w:lvlJc w:val="left"/>
      <w:pPr>
        <w:ind w:left="7680" w:hanging="360"/>
      </w:pPr>
    </w:lvl>
    <w:lvl w:ilvl="5" w:tplc="0405001B" w:tentative="1">
      <w:start w:val="1"/>
      <w:numFmt w:val="lowerRoman"/>
      <w:lvlText w:val="%6."/>
      <w:lvlJc w:val="right"/>
      <w:pPr>
        <w:ind w:left="8400" w:hanging="180"/>
      </w:pPr>
    </w:lvl>
    <w:lvl w:ilvl="6" w:tplc="0405000F" w:tentative="1">
      <w:start w:val="1"/>
      <w:numFmt w:val="decimal"/>
      <w:lvlText w:val="%7."/>
      <w:lvlJc w:val="left"/>
      <w:pPr>
        <w:ind w:left="9120" w:hanging="360"/>
      </w:pPr>
    </w:lvl>
    <w:lvl w:ilvl="7" w:tplc="04050019" w:tentative="1">
      <w:start w:val="1"/>
      <w:numFmt w:val="lowerLetter"/>
      <w:lvlText w:val="%8."/>
      <w:lvlJc w:val="left"/>
      <w:pPr>
        <w:ind w:left="9840" w:hanging="360"/>
      </w:pPr>
    </w:lvl>
    <w:lvl w:ilvl="8" w:tplc="0405001B" w:tentative="1">
      <w:start w:val="1"/>
      <w:numFmt w:val="lowerRoman"/>
      <w:lvlText w:val="%9."/>
      <w:lvlJc w:val="right"/>
      <w:pPr>
        <w:ind w:left="10560" w:hanging="180"/>
      </w:pPr>
    </w:lvl>
  </w:abstractNum>
  <w:abstractNum w:abstractNumId="27" w15:restartNumberingAfterBreak="0">
    <w:nsid w:val="3D4D0562"/>
    <w:multiLevelType w:val="hybridMultilevel"/>
    <w:tmpl w:val="E8A8F2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3BB1D16"/>
    <w:multiLevelType w:val="hybridMultilevel"/>
    <w:tmpl w:val="CA4409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44558D6"/>
    <w:multiLevelType w:val="hybridMultilevel"/>
    <w:tmpl w:val="1B90B8E0"/>
    <w:lvl w:ilvl="0" w:tplc="4B66ED1E">
      <w:start w:val="1"/>
      <w:numFmt w:val="decimal"/>
      <w:lvlText w:val="%1."/>
      <w:lvlJc w:val="left"/>
      <w:pPr>
        <w:ind w:left="4905" w:hanging="360"/>
      </w:pPr>
      <w:rPr>
        <w:rFonts w:hint="default"/>
      </w:rPr>
    </w:lvl>
    <w:lvl w:ilvl="1" w:tplc="04050019" w:tentative="1">
      <w:start w:val="1"/>
      <w:numFmt w:val="lowerLetter"/>
      <w:lvlText w:val="%2."/>
      <w:lvlJc w:val="left"/>
      <w:pPr>
        <w:ind w:left="5625" w:hanging="360"/>
      </w:pPr>
    </w:lvl>
    <w:lvl w:ilvl="2" w:tplc="0405001B" w:tentative="1">
      <w:start w:val="1"/>
      <w:numFmt w:val="lowerRoman"/>
      <w:lvlText w:val="%3."/>
      <w:lvlJc w:val="right"/>
      <w:pPr>
        <w:ind w:left="6345" w:hanging="180"/>
      </w:pPr>
    </w:lvl>
    <w:lvl w:ilvl="3" w:tplc="0405000F" w:tentative="1">
      <w:start w:val="1"/>
      <w:numFmt w:val="decimal"/>
      <w:lvlText w:val="%4."/>
      <w:lvlJc w:val="left"/>
      <w:pPr>
        <w:ind w:left="7065" w:hanging="360"/>
      </w:pPr>
    </w:lvl>
    <w:lvl w:ilvl="4" w:tplc="04050019" w:tentative="1">
      <w:start w:val="1"/>
      <w:numFmt w:val="lowerLetter"/>
      <w:lvlText w:val="%5."/>
      <w:lvlJc w:val="left"/>
      <w:pPr>
        <w:ind w:left="7785" w:hanging="360"/>
      </w:pPr>
    </w:lvl>
    <w:lvl w:ilvl="5" w:tplc="0405001B" w:tentative="1">
      <w:start w:val="1"/>
      <w:numFmt w:val="lowerRoman"/>
      <w:lvlText w:val="%6."/>
      <w:lvlJc w:val="right"/>
      <w:pPr>
        <w:ind w:left="8505" w:hanging="180"/>
      </w:pPr>
    </w:lvl>
    <w:lvl w:ilvl="6" w:tplc="0405000F" w:tentative="1">
      <w:start w:val="1"/>
      <w:numFmt w:val="decimal"/>
      <w:lvlText w:val="%7."/>
      <w:lvlJc w:val="left"/>
      <w:pPr>
        <w:ind w:left="9225" w:hanging="360"/>
      </w:pPr>
    </w:lvl>
    <w:lvl w:ilvl="7" w:tplc="04050019" w:tentative="1">
      <w:start w:val="1"/>
      <w:numFmt w:val="lowerLetter"/>
      <w:lvlText w:val="%8."/>
      <w:lvlJc w:val="left"/>
      <w:pPr>
        <w:ind w:left="9945" w:hanging="360"/>
      </w:pPr>
    </w:lvl>
    <w:lvl w:ilvl="8" w:tplc="0405001B" w:tentative="1">
      <w:start w:val="1"/>
      <w:numFmt w:val="lowerRoman"/>
      <w:lvlText w:val="%9."/>
      <w:lvlJc w:val="right"/>
      <w:pPr>
        <w:ind w:left="10665" w:hanging="180"/>
      </w:pPr>
    </w:lvl>
  </w:abstractNum>
  <w:abstractNum w:abstractNumId="30" w15:restartNumberingAfterBreak="0">
    <w:nsid w:val="479678F7"/>
    <w:multiLevelType w:val="hybridMultilevel"/>
    <w:tmpl w:val="A4DE71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95051A8"/>
    <w:multiLevelType w:val="hybridMultilevel"/>
    <w:tmpl w:val="DEACEA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ADA4287"/>
    <w:multiLevelType w:val="multilevel"/>
    <w:tmpl w:val="1C0E9EAE"/>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4"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E490F3B"/>
    <w:multiLevelType w:val="hybridMultilevel"/>
    <w:tmpl w:val="D64CB604"/>
    <w:lvl w:ilvl="0" w:tplc="67AC8A1C">
      <w:start w:val="1"/>
      <w:numFmt w:val="bullet"/>
      <w:lvlText w:val=""/>
      <w:lvlJc w:val="left"/>
      <w:pPr>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655F88"/>
    <w:multiLevelType w:val="hybridMultilevel"/>
    <w:tmpl w:val="70283F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38567A6"/>
    <w:multiLevelType w:val="hybridMultilevel"/>
    <w:tmpl w:val="50E0FC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8CB210F"/>
    <w:multiLevelType w:val="multilevel"/>
    <w:tmpl w:val="D64CB604"/>
    <w:lvl w:ilvl="0">
      <w:start w:val="1"/>
      <w:numFmt w:val="bullet"/>
      <w:lvlText w:val=""/>
      <w:lvlJc w:val="left"/>
      <w:pPr>
        <w:ind w:left="357" w:hanging="35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5CD405E1"/>
    <w:multiLevelType w:val="multilevel"/>
    <w:tmpl w:val="5FCA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EF3AA7"/>
    <w:multiLevelType w:val="multilevel"/>
    <w:tmpl w:val="9092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B048D2"/>
    <w:multiLevelType w:val="hybridMultilevel"/>
    <w:tmpl w:val="D2A0FC6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B235D04"/>
    <w:multiLevelType w:val="hybridMultilevel"/>
    <w:tmpl w:val="26840E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87747AF"/>
    <w:multiLevelType w:val="hybridMultilevel"/>
    <w:tmpl w:val="76204D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B651B2D"/>
    <w:multiLevelType w:val="hybridMultilevel"/>
    <w:tmpl w:val="4C1C2D78"/>
    <w:lvl w:ilvl="0" w:tplc="B01A5632">
      <w:start w:val="1"/>
      <w:numFmt w:val="bullet"/>
      <w:pStyle w:val="Normalodrk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DA7946"/>
    <w:multiLevelType w:val="multilevel"/>
    <w:tmpl w:val="6F3E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8E301A"/>
    <w:multiLevelType w:val="hybridMultilevel"/>
    <w:tmpl w:val="1A92D798"/>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2000647203">
    <w:abstractNumId w:val="31"/>
  </w:num>
  <w:num w:numId="2" w16cid:durableId="2108306025">
    <w:abstractNumId w:val="8"/>
  </w:num>
  <w:num w:numId="3" w16cid:durableId="1851791032">
    <w:abstractNumId w:val="3"/>
  </w:num>
  <w:num w:numId="4" w16cid:durableId="1418281433">
    <w:abstractNumId w:val="2"/>
  </w:num>
  <w:num w:numId="5" w16cid:durableId="1057360773">
    <w:abstractNumId w:val="1"/>
  </w:num>
  <w:num w:numId="6" w16cid:durableId="917859753">
    <w:abstractNumId w:val="0"/>
  </w:num>
  <w:num w:numId="7" w16cid:durableId="1884097028">
    <w:abstractNumId w:val="9"/>
  </w:num>
  <w:num w:numId="8" w16cid:durableId="824902319">
    <w:abstractNumId w:val="7"/>
  </w:num>
  <w:num w:numId="9" w16cid:durableId="1803766138">
    <w:abstractNumId w:val="6"/>
  </w:num>
  <w:num w:numId="10" w16cid:durableId="566259340">
    <w:abstractNumId w:val="5"/>
  </w:num>
  <w:num w:numId="11" w16cid:durableId="52774508">
    <w:abstractNumId w:val="4"/>
  </w:num>
  <w:num w:numId="12" w16cid:durableId="1533685237">
    <w:abstractNumId w:val="18"/>
  </w:num>
  <w:num w:numId="13" w16cid:durableId="195428688">
    <w:abstractNumId w:val="34"/>
  </w:num>
  <w:num w:numId="14" w16cid:durableId="1684941278">
    <w:abstractNumId w:val="15"/>
  </w:num>
  <w:num w:numId="15" w16cid:durableId="1238784906">
    <w:abstractNumId w:val="24"/>
  </w:num>
  <w:num w:numId="16" w16cid:durableId="2045134713">
    <w:abstractNumId w:val="19"/>
  </w:num>
  <w:num w:numId="17" w16cid:durableId="1458451516">
    <w:abstractNumId w:val="35"/>
  </w:num>
  <w:num w:numId="18" w16cid:durableId="849877926">
    <w:abstractNumId w:val="25"/>
  </w:num>
  <w:num w:numId="19" w16cid:durableId="1118066606">
    <w:abstractNumId w:val="38"/>
  </w:num>
  <w:num w:numId="20" w16cid:durableId="508564300">
    <w:abstractNumId w:val="44"/>
  </w:num>
  <w:num w:numId="21" w16cid:durableId="316148911">
    <w:abstractNumId w:val="33"/>
  </w:num>
  <w:num w:numId="22" w16cid:durableId="360010707">
    <w:abstractNumId w:val="23"/>
  </w:num>
  <w:num w:numId="23" w16cid:durableId="999309269">
    <w:abstractNumId w:val="21"/>
  </w:num>
  <w:num w:numId="24" w16cid:durableId="1194266313">
    <w:abstractNumId w:val="22"/>
  </w:num>
  <w:num w:numId="25" w16cid:durableId="1815366340">
    <w:abstractNumId w:val="41"/>
  </w:num>
  <w:num w:numId="26" w16cid:durableId="1577863405">
    <w:abstractNumId w:val="43"/>
  </w:num>
  <w:num w:numId="27" w16cid:durableId="1207061094">
    <w:abstractNumId w:val="13"/>
  </w:num>
  <w:num w:numId="28" w16cid:durableId="1693920833">
    <w:abstractNumId w:val="27"/>
  </w:num>
  <w:num w:numId="29" w16cid:durableId="1876775477">
    <w:abstractNumId w:val="26"/>
  </w:num>
  <w:num w:numId="30" w16cid:durableId="179972127">
    <w:abstractNumId w:val="10"/>
  </w:num>
  <w:num w:numId="31" w16cid:durableId="970136012">
    <w:abstractNumId w:val="28"/>
  </w:num>
  <w:num w:numId="32" w16cid:durableId="1617836376">
    <w:abstractNumId w:val="12"/>
  </w:num>
  <w:num w:numId="33" w16cid:durableId="357007340">
    <w:abstractNumId w:val="46"/>
  </w:num>
  <w:num w:numId="34" w16cid:durableId="2131776467">
    <w:abstractNumId w:val="11"/>
  </w:num>
  <w:num w:numId="35" w16cid:durableId="1776095800">
    <w:abstractNumId w:val="37"/>
  </w:num>
  <w:num w:numId="36" w16cid:durableId="862209000">
    <w:abstractNumId w:val="30"/>
  </w:num>
  <w:num w:numId="37" w16cid:durableId="322010878">
    <w:abstractNumId w:val="29"/>
  </w:num>
  <w:num w:numId="38" w16cid:durableId="1458373311">
    <w:abstractNumId w:val="39"/>
  </w:num>
  <w:num w:numId="39" w16cid:durableId="288441997">
    <w:abstractNumId w:val="45"/>
  </w:num>
  <w:num w:numId="40" w16cid:durableId="952595072">
    <w:abstractNumId w:val="40"/>
  </w:num>
  <w:num w:numId="41" w16cid:durableId="1427652868">
    <w:abstractNumId w:val="32"/>
  </w:num>
  <w:num w:numId="42" w16cid:durableId="1024401835">
    <w:abstractNumId w:val="20"/>
  </w:num>
  <w:num w:numId="43" w16cid:durableId="428089243">
    <w:abstractNumId w:val="14"/>
  </w:num>
  <w:num w:numId="44" w16cid:durableId="82647767">
    <w:abstractNumId w:val="36"/>
  </w:num>
  <w:num w:numId="45" w16cid:durableId="215163427">
    <w:abstractNumId w:val="16"/>
  </w:num>
  <w:num w:numId="46" w16cid:durableId="1639922006">
    <w:abstractNumId w:val="44"/>
    <w:lvlOverride w:ilvl="0">
      <w:startOverride w:val="1"/>
    </w:lvlOverride>
  </w:num>
  <w:num w:numId="47" w16cid:durableId="1509101590">
    <w:abstractNumId w:val="17"/>
  </w:num>
  <w:num w:numId="48" w16cid:durableId="14816520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evenAndOddHeaders/>
  <w:drawingGridHorizontalSpacing w:val="11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443"/>
    <w:rsid w:val="00000B00"/>
    <w:rsid w:val="00001128"/>
    <w:rsid w:val="0000209D"/>
    <w:rsid w:val="000022E1"/>
    <w:rsid w:val="00002724"/>
    <w:rsid w:val="00002D96"/>
    <w:rsid w:val="00003DD9"/>
    <w:rsid w:val="0000484B"/>
    <w:rsid w:val="00004B10"/>
    <w:rsid w:val="00004D5A"/>
    <w:rsid w:val="000056D5"/>
    <w:rsid w:val="00005B8C"/>
    <w:rsid w:val="00005C79"/>
    <w:rsid w:val="00006ABD"/>
    <w:rsid w:val="0000767A"/>
    <w:rsid w:val="00010256"/>
    <w:rsid w:val="00010596"/>
    <w:rsid w:val="00010702"/>
    <w:rsid w:val="00011630"/>
    <w:rsid w:val="00011912"/>
    <w:rsid w:val="00014E27"/>
    <w:rsid w:val="00015E7C"/>
    <w:rsid w:val="00017678"/>
    <w:rsid w:val="00017AA1"/>
    <w:rsid w:val="00020384"/>
    <w:rsid w:val="0002195D"/>
    <w:rsid w:val="000234D6"/>
    <w:rsid w:val="00023D29"/>
    <w:rsid w:val="00025C47"/>
    <w:rsid w:val="00025CDB"/>
    <w:rsid w:val="00026031"/>
    <w:rsid w:val="000262C7"/>
    <w:rsid w:val="00026389"/>
    <w:rsid w:val="00026E93"/>
    <w:rsid w:val="00027CCB"/>
    <w:rsid w:val="00031AE0"/>
    <w:rsid w:val="00031D22"/>
    <w:rsid w:val="00031F70"/>
    <w:rsid w:val="000322EF"/>
    <w:rsid w:val="00032837"/>
    <w:rsid w:val="00033FCD"/>
    <w:rsid w:val="000354C7"/>
    <w:rsid w:val="0003581C"/>
    <w:rsid w:val="0003646D"/>
    <w:rsid w:val="00036AE8"/>
    <w:rsid w:val="00036F4B"/>
    <w:rsid w:val="0003723F"/>
    <w:rsid w:val="000409D9"/>
    <w:rsid w:val="00040D10"/>
    <w:rsid w:val="00041CEC"/>
    <w:rsid w:val="000435E2"/>
    <w:rsid w:val="00043819"/>
    <w:rsid w:val="00043AB6"/>
    <w:rsid w:val="000447F9"/>
    <w:rsid w:val="00045433"/>
    <w:rsid w:val="000460C2"/>
    <w:rsid w:val="0004694F"/>
    <w:rsid w:val="00046B0C"/>
    <w:rsid w:val="00047081"/>
    <w:rsid w:val="00050267"/>
    <w:rsid w:val="000522E4"/>
    <w:rsid w:val="00053503"/>
    <w:rsid w:val="000537E7"/>
    <w:rsid w:val="00053ADA"/>
    <w:rsid w:val="000557DB"/>
    <w:rsid w:val="0005689E"/>
    <w:rsid w:val="0005692B"/>
    <w:rsid w:val="00056EE3"/>
    <w:rsid w:val="00060C1D"/>
    <w:rsid w:val="000610E1"/>
    <w:rsid w:val="0006181C"/>
    <w:rsid w:val="00061936"/>
    <w:rsid w:val="00062EC5"/>
    <w:rsid w:val="00062F22"/>
    <w:rsid w:val="0006472D"/>
    <w:rsid w:val="00064C3D"/>
    <w:rsid w:val="00064D4F"/>
    <w:rsid w:val="000664E1"/>
    <w:rsid w:val="00066A92"/>
    <w:rsid w:val="0007020E"/>
    <w:rsid w:val="000712B3"/>
    <w:rsid w:val="000744F1"/>
    <w:rsid w:val="0007704E"/>
    <w:rsid w:val="00080F3C"/>
    <w:rsid w:val="000819EA"/>
    <w:rsid w:val="000824B7"/>
    <w:rsid w:val="0008263E"/>
    <w:rsid w:val="00082C19"/>
    <w:rsid w:val="00085395"/>
    <w:rsid w:val="000860FB"/>
    <w:rsid w:val="00086700"/>
    <w:rsid w:val="00086DF8"/>
    <w:rsid w:val="00087634"/>
    <w:rsid w:val="00087F2B"/>
    <w:rsid w:val="00090F62"/>
    <w:rsid w:val="0009134C"/>
    <w:rsid w:val="00092231"/>
    <w:rsid w:val="00092F8C"/>
    <w:rsid w:val="00093912"/>
    <w:rsid w:val="0009395E"/>
    <w:rsid w:val="0009438F"/>
    <w:rsid w:val="00095135"/>
    <w:rsid w:val="000951C7"/>
    <w:rsid w:val="00095D97"/>
    <w:rsid w:val="000968FA"/>
    <w:rsid w:val="00097361"/>
    <w:rsid w:val="000974D1"/>
    <w:rsid w:val="0009799E"/>
    <w:rsid w:val="000A0692"/>
    <w:rsid w:val="000A1183"/>
    <w:rsid w:val="000A2122"/>
    <w:rsid w:val="000A256D"/>
    <w:rsid w:val="000A3536"/>
    <w:rsid w:val="000A3957"/>
    <w:rsid w:val="000A3A2C"/>
    <w:rsid w:val="000A3C98"/>
    <w:rsid w:val="000A4CFF"/>
    <w:rsid w:val="000A565C"/>
    <w:rsid w:val="000A57D4"/>
    <w:rsid w:val="000A5A08"/>
    <w:rsid w:val="000A6BDB"/>
    <w:rsid w:val="000A7E10"/>
    <w:rsid w:val="000B0C26"/>
    <w:rsid w:val="000B2E84"/>
    <w:rsid w:val="000B3277"/>
    <w:rsid w:val="000B3D9C"/>
    <w:rsid w:val="000B4EFA"/>
    <w:rsid w:val="000B5132"/>
    <w:rsid w:val="000B5F58"/>
    <w:rsid w:val="000B613B"/>
    <w:rsid w:val="000B7FD1"/>
    <w:rsid w:val="000C0A4B"/>
    <w:rsid w:val="000C1805"/>
    <w:rsid w:val="000C1C67"/>
    <w:rsid w:val="000C207E"/>
    <w:rsid w:val="000C303B"/>
    <w:rsid w:val="000C3408"/>
    <w:rsid w:val="000C4A3F"/>
    <w:rsid w:val="000C4DF2"/>
    <w:rsid w:val="000C6AFD"/>
    <w:rsid w:val="000C6D60"/>
    <w:rsid w:val="000C6F50"/>
    <w:rsid w:val="000C726A"/>
    <w:rsid w:val="000C7ADD"/>
    <w:rsid w:val="000D3ACB"/>
    <w:rsid w:val="000D3FF0"/>
    <w:rsid w:val="000D48D5"/>
    <w:rsid w:val="000D4A24"/>
    <w:rsid w:val="000D50DE"/>
    <w:rsid w:val="000D5637"/>
    <w:rsid w:val="000E3B90"/>
    <w:rsid w:val="000E3F61"/>
    <w:rsid w:val="000E4376"/>
    <w:rsid w:val="000E45EF"/>
    <w:rsid w:val="000E6FBD"/>
    <w:rsid w:val="000F0B68"/>
    <w:rsid w:val="000F13D0"/>
    <w:rsid w:val="000F5116"/>
    <w:rsid w:val="000F5227"/>
    <w:rsid w:val="00100F5C"/>
    <w:rsid w:val="00101CDA"/>
    <w:rsid w:val="00101DD7"/>
    <w:rsid w:val="00102391"/>
    <w:rsid w:val="0010309C"/>
    <w:rsid w:val="00104C4C"/>
    <w:rsid w:val="001056D3"/>
    <w:rsid w:val="001062D9"/>
    <w:rsid w:val="001075D1"/>
    <w:rsid w:val="0011034F"/>
    <w:rsid w:val="0011243F"/>
    <w:rsid w:val="00112479"/>
    <w:rsid w:val="00113466"/>
    <w:rsid w:val="00115A8D"/>
    <w:rsid w:val="00117623"/>
    <w:rsid w:val="0012011F"/>
    <w:rsid w:val="0012192F"/>
    <w:rsid w:val="00121AEA"/>
    <w:rsid w:val="001221E1"/>
    <w:rsid w:val="00122AD9"/>
    <w:rsid w:val="00123742"/>
    <w:rsid w:val="0012390C"/>
    <w:rsid w:val="00123BA2"/>
    <w:rsid w:val="00123EA3"/>
    <w:rsid w:val="0012513F"/>
    <w:rsid w:val="00125609"/>
    <w:rsid w:val="00125D69"/>
    <w:rsid w:val="001261F1"/>
    <w:rsid w:val="001318C4"/>
    <w:rsid w:val="00131915"/>
    <w:rsid w:val="00131BDF"/>
    <w:rsid w:val="00132276"/>
    <w:rsid w:val="0013332E"/>
    <w:rsid w:val="00134A27"/>
    <w:rsid w:val="001405FA"/>
    <w:rsid w:val="00140A87"/>
    <w:rsid w:val="00140C22"/>
    <w:rsid w:val="001425C3"/>
    <w:rsid w:val="00142E49"/>
    <w:rsid w:val="001441CF"/>
    <w:rsid w:val="00144525"/>
    <w:rsid w:val="00145802"/>
    <w:rsid w:val="00145E07"/>
    <w:rsid w:val="0014755F"/>
    <w:rsid w:val="001476BD"/>
    <w:rsid w:val="00147B49"/>
    <w:rsid w:val="00147E0D"/>
    <w:rsid w:val="00147F51"/>
    <w:rsid w:val="001507EC"/>
    <w:rsid w:val="001514B1"/>
    <w:rsid w:val="00151510"/>
    <w:rsid w:val="001529DB"/>
    <w:rsid w:val="00152B0C"/>
    <w:rsid w:val="00152C5B"/>
    <w:rsid w:val="00152E68"/>
    <w:rsid w:val="00154A8F"/>
    <w:rsid w:val="00155004"/>
    <w:rsid w:val="00156004"/>
    <w:rsid w:val="0015693C"/>
    <w:rsid w:val="001612F4"/>
    <w:rsid w:val="00161801"/>
    <w:rsid w:val="00161D7B"/>
    <w:rsid w:val="0016256B"/>
    <w:rsid w:val="001630CA"/>
    <w:rsid w:val="001635B9"/>
    <w:rsid w:val="00163793"/>
    <w:rsid w:val="0016420F"/>
    <w:rsid w:val="00165C94"/>
    <w:rsid w:val="00165D64"/>
    <w:rsid w:val="00166B9A"/>
    <w:rsid w:val="001706D6"/>
    <w:rsid w:val="001714F2"/>
    <w:rsid w:val="00171C40"/>
    <w:rsid w:val="0017287E"/>
    <w:rsid w:val="001737B3"/>
    <w:rsid w:val="00173E87"/>
    <w:rsid w:val="00174334"/>
    <w:rsid w:val="00174DC0"/>
    <w:rsid w:val="00175063"/>
    <w:rsid w:val="00175B9F"/>
    <w:rsid w:val="001769F3"/>
    <w:rsid w:val="00177087"/>
    <w:rsid w:val="001806A2"/>
    <w:rsid w:val="00180E26"/>
    <w:rsid w:val="00180FC4"/>
    <w:rsid w:val="00181BBC"/>
    <w:rsid w:val="001820F2"/>
    <w:rsid w:val="00182FAC"/>
    <w:rsid w:val="00184212"/>
    <w:rsid w:val="001842AC"/>
    <w:rsid w:val="00184B08"/>
    <w:rsid w:val="00185010"/>
    <w:rsid w:val="00185A34"/>
    <w:rsid w:val="0018654A"/>
    <w:rsid w:val="001865C5"/>
    <w:rsid w:val="0019143B"/>
    <w:rsid w:val="00192232"/>
    <w:rsid w:val="0019271F"/>
    <w:rsid w:val="00193CDC"/>
    <w:rsid w:val="00195620"/>
    <w:rsid w:val="00196F3D"/>
    <w:rsid w:val="001A0347"/>
    <w:rsid w:val="001A0487"/>
    <w:rsid w:val="001A09BF"/>
    <w:rsid w:val="001A1D37"/>
    <w:rsid w:val="001A1FFB"/>
    <w:rsid w:val="001A26EA"/>
    <w:rsid w:val="001A42E4"/>
    <w:rsid w:val="001A528C"/>
    <w:rsid w:val="001A5438"/>
    <w:rsid w:val="001A552F"/>
    <w:rsid w:val="001A6DE1"/>
    <w:rsid w:val="001B14BC"/>
    <w:rsid w:val="001B1B92"/>
    <w:rsid w:val="001B246F"/>
    <w:rsid w:val="001B2CA9"/>
    <w:rsid w:val="001B3110"/>
    <w:rsid w:val="001B4729"/>
    <w:rsid w:val="001B59C2"/>
    <w:rsid w:val="001B6180"/>
    <w:rsid w:val="001B62E1"/>
    <w:rsid w:val="001B6310"/>
    <w:rsid w:val="001B6C09"/>
    <w:rsid w:val="001B6CC9"/>
    <w:rsid w:val="001B7B54"/>
    <w:rsid w:val="001C04A7"/>
    <w:rsid w:val="001C05CD"/>
    <w:rsid w:val="001C1B5E"/>
    <w:rsid w:val="001C1F96"/>
    <w:rsid w:val="001C2DF4"/>
    <w:rsid w:val="001C6497"/>
    <w:rsid w:val="001C7114"/>
    <w:rsid w:val="001D0146"/>
    <w:rsid w:val="001D07CA"/>
    <w:rsid w:val="001D16A8"/>
    <w:rsid w:val="001D35D0"/>
    <w:rsid w:val="001D3E75"/>
    <w:rsid w:val="001D48B3"/>
    <w:rsid w:val="001D48D4"/>
    <w:rsid w:val="001D5A2A"/>
    <w:rsid w:val="001D5E38"/>
    <w:rsid w:val="001D68B2"/>
    <w:rsid w:val="001D7B29"/>
    <w:rsid w:val="001E0542"/>
    <w:rsid w:val="001E0E69"/>
    <w:rsid w:val="001E2362"/>
    <w:rsid w:val="001E2605"/>
    <w:rsid w:val="001E353A"/>
    <w:rsid w:val="001E3FD2"/>
    <w:rsid w:val="001E4382"/>
    <w:rsid w:val="001E504C"/>
    <w:rsid w:val="001E5085"/>
    <w:rsid w:val="001E54C6"/>
    <w:rsid w:val="001E563B"/>
    <w:rsid w:val="001E5803"/>
    <w:rsid w:val="001E5D41"/>
    <w:rsid w:val="001E6062"/>
    <w:rsid w:val="001E7360"/>
    <w:rsid w:val="001F22A0"/>
    <w:rsid w:val="001F3EDB"/>
    <w:rsid w:val="001F4597"/>
    <w:rsid w:val="001F5B15"/>
    <w:rsid w:val="001F67A0"/>
    <w:rsid w:val="001F67E9"/>
    <w:rsid w:val="001F7DD4"/>
    <w:rsid w:val="00200875"/>
    <w:rsid w:val="00200EFB"/>
    <w:rsid w:val="002013BA"/>
    <w:rsid w:val="00201ABB"/>
    <w:rsid w:val="00202E51"/>
    <w:rsid w:val="00203629"/>
    <w:rsid w:val="00203DA4"/>
    <w:rsid w:val="00204A14"/>
    <w:rsid w:val="0021031A"/>
    <w:rsid w:val="00210453"/>
    <w:rsid w:val="00211350"/>
    <w:rsid w:val="002118B9"/>
    <w:rsid w:val="00211E86"/>
    <w:rsid w:val="002144D9"/>
    <w:rsid w:val="002147C5"/>
    <w:rsid w:val="00214CF7"/>
    <w:rsid w:val="00216139"/>
    <w:rsid w:val="00216425"/>
    <w:rsid w:val="00217C5B"/>
    <w:rsid w:val="00217CAD"/>
    <w:rsid w:val="00220412"/>
    <w:rsid w:val="0022084F"/>
    <w:rsid w:val="00220F08"/>
    <w:rsid w:val="002210EF"/>
    <w:rsid w:val="002211EE"/>
    <w:rsid w:val="0022139E"/>
    <w:rsid w:val="00221763"/>
    <w:rsid w:val="00221B37"/>
    <w:rsid w:val="00222729"/>
    <w:rsid w:val="002234F2"/>
    <w:rsid w:val="0022400B"/>
    <w:rsid w:val="0022515D"/>
    <w:rsid w:val="0022526B"/>
    <w:rsid w:val="002252E0"/>
    <w:rsid w:val="002255F6"/>
    <w:rsid w:val="00225B14"/>
    <w:rsid w:val="00225FE1"/>
    <w:rsid w:val="00226932"/>
    <w:rsid w:val="002269CF"/>
    <w:rsid w:val="00226C8D"/>
    <w:rsid w:val="00226CEB"/>
    <w:rsid w:val="00226FF4"/>
    <w:rsid w:val="00227850"/>
    <w:rsid w:val="00227A53"/>
    <w:rsid w:val="00230C6E"/>
    <w:rsid w:val="00230FF6"/>
    <w:rsid w:val="002313F4"/>
    <w:rsid w:val="0023423D"/>
    <w:rsid w:val="00234285"/>
    <w:rsid w:val="00235DF4"/>
    <w:rsid w:val="00236029"/>
    <w:rsid w:val="00236443"/>
    <w:rsid w:val="0023672F"/>
    <w:rsid w:val="00241B06"/>
    <w:rsid w:val="002436BA"/>
    <w:rsid w:val="00244A15"/>
    <w:rsid w:val="0024577B"/>
    <w:rsid w:val="00246B57"/>
    <w:rsid w:val="00247319"/>
    <w:rsid w:val="002477F5"/>
    <w:rsid w:val="0024799E"/>
    <w:rsid w:val="0025314E"/>
    <w:rsid w:val="00253C0F"/>
    <w:rsid w:val="002548EA"/>
    <w:rsid w:val="002558C1"/>
    <w:rsid w:val="0025596D"/>
    <w:rsid w:val="00255E0A"/>
    <w:rsid w:val="0026041B"/>
    <w:rsid w:val="0026273F"/>
    <w:rsid w:val="002629D1"/>
    <w:rsid w:val="00264588"/>
    <w:rsid w:val="00264FF1"/>
    <w:rsid w:val="0026505B"/>
    <w:rsid w:val="00265D04"/>
    <w:rsid w:val="00265D9E"/>
    <w:rsid w:val="00267252"/>
    <w:rsid w:val="0027004A"/>
    <w:rsid w:val="00271465"/>
    <w:rsid w:val="00271D6A"/>
    <w:rsid w:val="00271F7E"/>
    <w:rsid w:val="00273548"/>
    <w:rsid w:val="0027435A"/>
    <w:rsid w:val="00275A69"/>
    <w:rsid w:val="00276221"/>
    <w:rsid w:val="0027788C"/>
    <w:rsid w:val="00280348"/>
    <w:rsid w:val="002809EE"/>
    <w:rsid w:val="002813FB"/>
    <w:rsid w:val="00283497"/>
    <w:rsid w:val="00283F2E"/>
    <w:rsid w:val="00285412"/>
    <w:rsid w:val="00285DBC"/>
    <w:rsid w:val="002876DC"/>
    <w:rsid w:val="002914B8"/>
    <w:rsid w:val="00291640"/>
    <w:rsid w:val="002922FC"/>
    <w:rsid w:val="00294911"/>
    <w:rsid w:val="0029592F"/>
    <w:rsid w:val="00296A55"/>
    <w:rsid w:val="002A01A6"/>
    <w:rsid w:val="002A16D4"/>
    <w:rsid w:val="002A1D63"/>
    <w:rsid w:val="002A230C"/>
    <w:rsid w:val="002A2B09"/>
    <w:rsid w:val="002A2FD4"/>
    <w:rsid w:val="002A4755"/>
    <w:rsid w:val="002B2299"/>
    <w:rsid w:val="002B3535"/>
    <w:rsid w:val="002B4121"/>
    <w:rsid w:val="002B4845"/>
    <w:rsid w:val="002B4D75"/>
    <w:rsid w:val="002C02CF"/>
    <w:rsid w:val="002C02EB"/>
    <w:rsid w:val="002C12F5"/>
    <w:rsid w:val="002C1377"/>
    <w:rsid w:val="002C1BB3"/>
    <w:rsid w:val="002C2803"/>
    <w:rsid w:val="002C2ECB"/>
    <w:rsid w:val="002C43BD"/>
    <w:rsid w:val="002C5FE0"/>
    <w:rsid w:val="002C60B2"/>
    <w:rsid w:val="002D0576"/>
    <w:rsid w:val="002D0E59"/>
    <w:rsid w:val="002D12DC"/>
    <w:rsid w:val="002D19F2"/>
    <w:rsid w:val="002D1DEA"/>
    <w:rsid w:val="002D2069"/>
    <w:rsid w:val="002D3023"/>
    <w:rsid w:val="002D3F57"/>
    <w:rsid w:val="002D4F48"/>
    <w:rsid w:val="002D6876"/>
    <w:rsid w:val="002D783C"/>
    <w:rsid w:val="002E02A1"/>
    <w:rsid w:val="002E05FC"/>
    <w:rsid w:val="002E182F"/>
    <w:rsid w:val="002E3BF0"/>
    <w:rsid w:val="002E42AC"/>
    <w:rsid w:val="002E4E4C"/>
    <w:rsid w:val="002E54B5"/>
    <w:rsid w:val="002E5531"/>
    <w:rsid w:val="002E559F"/>
    <w:rsid w:val="002E6113"/>
    <w:rsid w:val="002E6AB3"/>
    <w:rsid w:val="002E6CE0"/>
    <w:rsid w:val="002E6E34"/>
    <w:rsid w:val="002F0C93"/>
    <w:rsid w:val="002F1363"/>
    <w:rsid w:val="002F2227"/>
    <w:rsid w:val="002F3C21"/>
    <w:rsid w:val="002F3DA7"/>
    <w:rsid w:val="002F64C0"/>
    <w:rsid w:val="002F6F94"/>
    <w:rsid w:val="002F6FFF"/>
    <w:rsid w:val="00300650"/>
    <w:rsid w:val="003027B5"/>
    <w:rsid w:val="00302ADD"/>
    <w:rsid w:val="00304771"/>
    <w:rsid w:val="00304872"/>
    <w:rsid w:val="003052D4"/>
    <w:rsid w:val="00305E92"/>
    <w:rsid w:val="00306C5B"/>
    <w:rsid w:val="003076DD"/>
    <w:rsid w:val="00310073"/>
    <w:rsid w:val="00310351"/>
    <w:rsid w:val="00310819"/>
    <w:rsid w:val="00311100"/>
    <w:rsid w:val="00311901"/>
    <w:rsid w:val="003121C1"/>
    <w:rsid w:val="003129DA"/>
    <w:rsid w:val="00312E9C"/>
    <w:rsid w:val="00315C99"/>
    <w:rsid w:val="003166B7"/>
    <w:rsid w:val="00317908"/>
    <w:rsid w:val="00320393"/>
    <w:rsid w:val="003209D6"/>
    <w:rsid w:val="00320C1A"/>
    <w:rsid w:val="00321247"/>
    <w:rsid w:val="00321924"/>
    <w:rsid w:val="00321FF9"/>
    <w:rsid w:val="003221F3"/>
    <w:rsid w:val="003222B8"/>
    <w:rsid w:val="00323605"/>
    <w:rsid w:val="00323797"/>
    <w:rsid w:val="00325F8D"/>
    <w:rsid w:val="00326029"/>
    <w:rsid w:val="0032656E"/>
    <w:rsid w:val="003306E3"/>
    <w:rsid w:val="00331CDB"/>
    <w:rsid w:val="00332190"/>
    <w:rsid w:val="00333E16"/>
    <w:rsid w:val="00334998"/>
    <w:rsid w:val="00335A1E"/>
    <w:rsid w:val="003368F5"/>
    <w:rsid w:val="00337AC5"/>
    <w:rsid w:val="0034181E"/>
    <w:rsid w:val="0034335E"/>
    <w:rsid w:val="003445EF"/>
    <w:rsid w:val="00344668"/>
    <w:rsid w:val="003451F4"/>
    <w:rsid w:val="00345216"/>
    <w:rsid w:val="003457D6"/>
    <w:rsid w:val="003458C3"/>
    <w:rsid w:val="003462D9"/>
    <w:rsid w:val="0035030A"/>
    <w:rsid w:val="00350517"/>
    <w:rsid w:val="00351684"/>
    <w:rsid w:val="00352E3D"/>
    <w:rsid w:val="00353918"/>
    <w:rsid w:val="00355510"/>
    <w:rsid w:val="00355624"/>
    <w:rsid w:val="00355AD6"/>
    <w:rsid w:val="0035782C"/>
    <w:rsid w:val="0036026A"/>
    <w:rsid w:val="0036039D"/>
    <w:rsid w:val="0036073B"/>
    <w:rsid w:val="00360C86"/>
    <w:rsid w:val="00360FBC"/>
    <w:rsid w:val="003612D3"/>
    <w:rsid w:val="00361E3A"/>
    <w:rsid w:val="00361F0F"/>
    <w:rsid w:val="00362E90"/>
    <w:rsid w:val="0036331C"/>
    <w:rsid w:val="003634E5"/>
    <w:rsid w:val="00364FA0"/>
    <w:rsid w:val="003657F3"/>
    <w:rsid w:val="00366728"/>
    <w:rsid w:val="00366A26"/>
    <w:rsid w:val="00366F38"/>
    <w:rsid w:val="00366FAF"/>
    <w:rsid w:val="0036772A"/>
    <w:rsid w:val="00367CB3"/>
    <w:rsid w:val="00370B5C"/>
    <w:rsid w:val="00374B06"/>
    <w:rsid w:val="00374BD4"/>
    <w:rsid w:val="003750D1"/>
    <w:rsid w:val="00375A2B"/>
    <w:rsid w:val="003818DC"/>
    <w:rsid w:val="0038313A"/>
    <w:rsid w:val="00384327"/>
    <w:rsid w:val="00384A52"/>
    <w:rsid w:val="00384A54"/>
    <w:rsid w:val="003859D7"/>
    <w:rsid w:val="00385D98"/>
    <w:rsid w:val="00387AD2"/>
    <w:rsid w:val="0039192B"/>
    <w:rsid w:val="00395B42"/>
    <w:rsid w:val="00396E54"/>
    <w:rsid w:val="003A017C"/>
    <w:rsid w:val="003A023D"/>
    <w:rsid w:val="003A2472"/>
    <w:rsid w:val="003A2B4D"/>
    <w:rsid w:val="003A2D12"/>
    <w:rsid w:val="003A478C"/>
    <w:rsid w:val="003A526B"/>
    <w:rsid w:val="003A5525"/>
    <w:rsid w:val="003A6058"/>
    <w:rsid w:val="003A6B38"/>
    <w:rsid w:val="003A6E8E"/>
    <w:rsid w:val="003B0235"/>
    <w:rsid w:val="003B0859"/>
    <w:rsid w:val="003B1855"/>
    <w:rsid w:val="003B2D3D"/>
    <w:rsid w:val="003B461F"/>
    <w:rsid w:val="003B4BB5"/>
    <w:rsid w:val="003B524C"/>
    <w:rsid w:val="003B5A32"/>
    <w:rsid w:val="003B7535"/>
    <w:rsid w:val="003C11F1"/>
    <w:rsid w:val="003C308F"/>
    <w:rsid w:val="003C3490"/>
    <w:rsid w:val="003C3E52"/>
    <w:rsid w:val="003C4C2B"/>
    <w:rsid w:val="003C687F"/>
    <w:rsid w:val="003C7E62"/>
    <w:rsid w:val="003D021F"/>
    <w:rsid w:val="003D1135"/>
    <w:rsid w:val="003D1702"/>
    <w:rsid w:val="003D4412"/>
    <w:rsid w:val="003D6074"/>
    <w:rsid w:val="003D6920"/>
    <w:rsid w:val="003E1AA5"/>
    <w:rsid w:val="003E2FF1"/>
    <w:rsid w:val="003E3DB8"/>
    <w:rsid w:val="003E40FE"/>
    <w:rsid w:val="003E42F4"/>
    <w:rsid w:val="003E4C91"/>
    <w:rsid w:val="003E58A7"/>
    <w:rsid w:val="003E6A39"/>
    <w:rsid w:val="003F11D9"/>
    <w:rsid w:val="003F1491"/>
    <w:rsid w:val="003F313C"/>
    <w:rsid w:val="003F37FC"/>
    <w:rsid w:val="003F4B2C"/>
    <w:rsid w:val="003F551C"/>
    <w:rsid w:val="003F5CBE"/>
    <w:rsid w:val="003F72ED"/>
    <w:rsid w:val="003F7D23"/>
    <w:rsid w:val="00400A19"/>
    <w:rsid w:val="0040101B"/>
    <w:rsid w:val="004010B3"/>
    <w:rsid w:val="0040361C"/>
    <w:rsid w:val="00404F7F"/>
    <w:rsid w:val="00405480"/>
    <w:rsid w:val="004058D9"/>
    <w:rsid w:val="00407458"/>
    <w:rsid w:val="0040782B"/>
    <w:rsid w:val="00407C13"/>
    <w:rsid w:val="0041041D"/>
    <w:rsid w:val="00410638"/>
    <w:rsid w:val="00410754"/>
    <w:rsid w:val="00411C8A"/>
    <w:rsid w:val="00412D98"/>
    <w:rsid w:val="00412EDC"/>
    <w:rsid w:val="0041327E"/>
    <w:rsid w:val="0041501E"/>
    <w:rsid w:val="004150B9"/>
    <w:rsid w:val="00415467"/>
    <w:rsid w:val="004159C3"/>
    <w:rsid w:val="00416579"/>
    <w:rsid w:val="004204A7"/>
    <w:rsid w:val="0042076A"/>
    <w:rsid w:val="00420850"/>
    <w:rsid w:val="00424AF2"/>
    <w:rsid w:val="00425371"/>
    <w:rsid w:val="00425E09"/>
    <w:rsid w:val="00426A0A"/>
    <w:rsid w:val="00431955"/>
    <w:rsid w:val="00432973"/>
    <w:rsid w:val="00432A58"/>
    <w:rsid w:val="00432C06"/>
    <w:rsid w:val="00432F4B"/>
    <w:rsid w:val="0043379F"/>
    <w:rsid w:val="00433E51"/>
    <w:rsid w:val="00434617"/>
    <w:rsid w:val="00434970"/>
    <w:rsid w:val="004354AF"/>
    <w:rsid w:val="0043582E"/>
    <w:rsid w:val="004372DC"/>
    <w:rsid w:val="00440802"/>
    <w:rsid w:val="00440900"/>
    <w:rsid w:val="0044104A"/>
    <w:rsid w:val="004414FA"/>
    <w:rsid w:val="00441BF6"/>
    <w:rsid w:val="00442055"/>
    <w:rsid w:val="00443A3C"/>
    <w:rsid w:val="00443BDD"/>
    <w:rsid w:val="004441A0"/>
    <w:rsid w:val="00444CC9"/>
    <w:rsid w:val="00444D89"/>
    <w:rsid w:val="004455BA"/>
    <w:rsid w:val="00447D51"/>
    <w:rsid w:val="004500B9"/>
    <w:rsid w:val="0045078A"/>
    <w:rsid w:val="0045086D"/>
    <w:rsid w:val="00451504"/>
    <w:rsid w:val="004517D9"/>
    <w:rsid w:val="00451BDE"/>
    <w:rsid w:val="00452746"/>
    <w:rsid w:val="00453F88"/>
    <w:rsid w:val="004545ED"/>
    <w:rsid w:val="00454F11"/>
    <w:rsid w:val="00457047"/>
    <w:rsid w:val="0045727E"/>
    <w:rsid w:val="00460FB3"/>
    <w:rsid w:val="00461115"/>
    <w:rsid w:val="004615B2"/>
    <w:rsid w:val="0046167C"/>
    <w:rsid w:val="00462A13"/>
    <w:rsid w:val="00463463"/>
    <w:rsid w:val="00463661"/>
    <w:rsid w:val="00464621"/>
    <w:rsid w:val="00464BF4"/>
    <w:rsid w:val="0046588D"/>
    <w:rsid w:val="00466519"/>
    <w:rsid w:val="00470F34"/>
    <w:rsid w:val="00472C42"/>
    <w:rsid w:val="00472CBB"/>
    <w:rsid w:val="00472D76"/>
    <w:rsid w:val="00473240"/>
    <w:rsid w:val="00474C10"/>
    <w:rsid w:val="00476240"/>
    <w:rsid w:val="00476439"/>
    <w:rsid w:val="0047735C"/>
    <w:rsid w:val="004776BC"/>
    <w:rsid w:val="00480239"/>
    <w:rsid w:val="00481390"/>
    <w:rsid w:val="0048139F"/>
    <w:rsid w:val="00481E40"/>
    <w:rsid w:val="0048297A"/>
    <w:rsid w:val="00484BA3"/>
    <w:rsid w:val="00484E60"/>
    <w:rsid w:val="00484ECE"/>
    <w:rsid w:val="00485B5A"/>
    <w:rsid w:val="00487CB4"/>
    <w:rsid w:val="00490D16"/>
    <w:rsid w:val="004915CB"/>
    <w:rsid w:val="00491B47"/>
    <w:rsid w:val="004924DC"/>
    <w:rsid w:val="00492A59"/>
    <w:rsid w:val="00494317"/>
    <w:rsid w:val="0049733B"/>
    <w:rsid w:val="004A03CF"/>
    <w:rsid w:val="004A14E4"/>
    <w:rsid w:val="004A3212"/>
    <w:rsid w:val="004A3285"/>
    <w:rsid w:val="004A4158"/>
    <w:rsid w:val="004A4643"/>
    <w:rsid w:val="004A4A88"/>
    <w:rsid w:val="004A5494"/>
    <w:rsid w:val="004A61C5"/>
    <w:rsid w:val="004A69F2"/>
    <w:rsid w:val="004A77DF"/>
    <w:rsid w:val="004B1417"/>
    <w:rsid w:val="004B17B5"/>
    <w:rsid w:val="004B2390"/>
    <w:rsid w:val="004B2835"/>
    <w:rsid w:val="004B55B7"/>
    <w:rsid w:val="004B6119"/>
    <w:rsid w:val="004B6468"/>
    <w:rsid w:val="004B711E"/>
    <w:rsid w:val="004B7125"/>
    <w:rsid w:val="004B7213"/>
    <w:rsid w:val="004C14E8"/>
    <w:rsid w:val="004C1E8B"/>
    <w:rsid w:val="004C32B6"/>
    <w:rsid w:val="004C34F2"/>
    <w:rsid w:val="004C384C"/>
    <w:rsid w:val="004C3867"/>
    <w:rsid w:val="004C4CD0"/>
    <w:rsid w:val="004C70DC"/>
    <w:rsid w:val="004D0211"/>
    <w:rsid w:val="004D0794"/>
    <w:rsid w:val="004D2529"/>
    <w:rsid w:val="004D365C"/>
    <w:rsid w:val="004D3967"/>
    <w:rsid w:val="004D626B"/>
    <w:rsid w:val="004E071D"/>
    <w:rsid w:val="004E2CE1"/>
    <w:rsid w:val="004E51EB"/>
    <w:rsid w:val="004E5A97"/>
    <w:rsid w:val="004E672F"/>
    <w:rsid w:val="004E6BFC"/>
    <w:rsid w:val="004E6EED"/>
    <w:rsid w:val="004F06F5"/>
    <w:rsid w:val="004F33A0"/>
    <w:rsid w:val="004F3E4C"/>
    <w:rsid w:val="004F3F33"/>
    <w:rsid w:val="004F4587"/>
    <w:rsid w:val="004F4B2E"/>
    <w:rsid w:val="004F4B78"/>
    <w:rsid w:val="004F4EB8"/>
    <w:rsid w:val="00502009"/>
    <w:rsid w:val="005036D2"/>
    <w:rsid w:val="005042B1"/>
    <w:rsid w:val="00504404"/>
    <w:rsid w:val="0050440D"/>
    <w:rsid w:val="005058B3"/>
    <w:rsid w:val="00505FE3"/>
    <w:rsid w:val="0050689D"/>
    <w:rsid w:val="00510084"/>
    <w:rsid w:val="0051059A"/>
    <w:rsid w:val="005108C0"/>
    <w:rsid w:val="005111FA"/>
    <w:rsid w:val="00511735"/>
    <w:rsid w:val="00511873"/>
    <w:rsid w:val="00511AFF"/>
    <w:rsid w:val="00512A2F"/>
    <w:rsid w:val="00512E34"/>
    <w:rsid w:val="00513844"/>
    <w:rsid w:val="00513B7E"/>
    <w:rsid w:val="00515349"/>
    <w:rsid w:val="00515C74"/>
    <w:rsid w:val="005174DD"/>
    <w:rsid w:val="0052007E"/>
    <w:rsid w:val="00520B53"/>
    <w:rsid w:val="00522EEA"/>
    <w:rsid w:val="0052337A"/>
    <w:rsid w:val="005235C8"/>
    <w:rsid w:val="00523FCE"/>
    <w:rsid w:val="00524FBF"/>
    <w:rsid w:val="00525137"/>
    <w:rsid w:val="005251DD"/>
    <w:rsid w:val="00526E55"/>
    <w:rsid w:val="00527F94"/>
    <w:rsid w:val="00530B89"/>
    <w:rsid w:val="0053135D"/>
    <w:rsid w:val="00532CE7"/>
    <w:rsid w:val="0053324C"/>
    <w:rsid w:val="00534210"/>
    <w:rsid w:val="00534A28"/>
    <w:rsid w:val="0054014B"/>
    <w:rsid w:val="00540B19"/>
    <w:rsid w:val="0054130E"/>
    <w:rsid w:val="00541508"/>
    <w:rsid w:val="005433DC"/>
    <w:rsid w:val="00543498"/>
    <w:rsid w:val="00543C8F"/>
    <w:rsid w:val="0054585F"/>
    <w:rsid w:val="005500AF"/>
    <w:rsid w:val="00550752"/>
    <w:rsid w:val="0055599F"/>
    <w:rsid w:val="00555C3C"/>
    <w:rsid w:val="00556D68"/>
    <w:rsid w:val="00556EF1"/>
    <w:rsid w:val="00557294"/>
    <w:rsid w:val="00557755"/>
    <w:rsid w:val="00560FF3"/>
    <w:rsid w:val="00562964"/>
    <w:rsid w:val="00563EB8"/>
    <w:rsid w:val="00564059"/>
    <w:rsid w:val="005647BF"/>
    <w:rsid w:val="00564AF1"/>
    <w:rsid w:val="00564FAC"/>
    <w:rsid w:val="005653B3"/>
    <w:rsid w:val="0056569C"/>
    <w:rsid w:val="00565C32"/>
    <w:rsid w:val="00566404"/>
    <w:rsid w:val="00566CAE"/>
    <w:rsid w:val="005705DD"/>
    <w:rsid w:val="00570DC6"/>
    <w:rsid w:val="0057157C"/>
    <w:rsid w:val="00572A4E"/>
    <w:rsid w:val="00572FB1"/>
    <w:rsid w:val="0057327E"/>
    <w:rsid w:val="0057364B"/>
    <w:rsid w:val="00574589"/>
    <w:rsid w:val="00574773"/>
    <w:rsid w:val="00575218"/>
    <w:rsid w:val="00575F5F"/>
    <w:rsid w:val="005774D7"/>
    <w:rsid w:val="005777D4"/>
    <w:rsid w:val="00577C25"/>
    <w:rsid w:val="00580606"/>
    <w:rsid w:val="005820B6"/>
    <w:rsid w:val="00582D01"/>
    <w:rsid w:val="00583FFD"/>
    <w:rsid w:val="00590017"/>
    <w:rsid w:val="005911BE"/>
    <w:rsid w:val="00591EC6"/>
    <w:rsid w:val="005923B1"/>
    <w:rsid w:val="00592603"/>
    <w:rsid w:val="00593152"/>
    <w:rsid w:val="00595676"/>
    <w:rsid w:val="00597817"/>
    <w:rsid w:val="00597D54"/>
    <w:rsid w:val="005A10F2"/>
    <w:rsid w:val="005A1C6C"/>
    <w:rsid w:val="005A21E0"/>
    <w:rsid w:val="005A2372"/>
    <w:rsid w:val="005A25CD"/>
    <w:rsid w:val="005A262D"/>
    <w:rsid w:val="005A28FF"/>
    <w:rsid w:val="005A3738"/>
    <w:rsid w:val="005A3DF8"/>
    <w:rsid w:val="005A425E"/>
    <w:rsid w:val="005A5549"/>
    <w:rsid w:val="005A5A30"/>
    <w:rsid w:val="005A74A4"/>
    <w:rsid w:val="005A7626"/>
    <w:rsid w:val="005B0E6C"/>
    <w:rsid w:val="005B121D"/>
    <w:rsid w:val="005B16F4"/>
    <w:rsid w:val="005B1D39"/>
    <w:rsid w:val="005B4A98"/>
    <w:rsid w:val="005B4C46"/>
    <w:rsid w:val="005B53F9"/>
    <w:rsid w:val="005B5DEF"/>
    <w:rsid w:val="005B6459"/>
    <w:rsid w:val="005B7AF7"/>
    <w:rsid w:val="005C06ED"/>
    <w:rsid w:val="005C0924"/>
    <w:rsid w:val="005C143E"/>
    <w:rsid w:val="005C2609"/>
    <w:rsid w:val="005C26FE"/>
    <w:rsid w:val="005C299F"/>
    <w:rsid w:val="005C4E7C"/>
    <w:rsid w:val="005C746A"/>
    <w:rsid w:val="005D03ED"/>
    <w:rsid w:val="005D34B1"/>
    <w:rsid w:val="005D5308"/>
    <w:rsid w:val="005D565E"/>
    <w:rsid w:val="005D5802"/>
    <w:rsid w:val="005D5D54"/>
    <w:rsid w:val="005D7119"/>
    <w:rsid w:val="005D7890"/>
    <w:rsid w:val="005E1BDA"/>
    <w:rsid w:val="005E313D"/>
    <w:rsid w:val="005E376E"/>
    <w:rsid w:val="005E565F"/>
    <w:rsid w:val="005E7019"/>
    <w:rsid w:val="005E7C78"/>
    <w:rsid w:val="005F0514"/>
    <w:rsid w:val="005F1858"/>
    <w:rsid w:val="005F18C5"/>
    <w:rsid w:val="005F3EB1"/>
    <w:rsid w:val="005F41C4"/>
    <w:rsid w:val="005F46D8"/>
    <w:rsid w:val="005F5469"/>
    <w:rsid w:val="005F7AAB"/>
    <w:rsid w:val="00600BE1"/>
    <w:rsid w:val="006030F6"/>
    <w:rsid w:val="0060408A"/>
    <w:rsid w:val="00604307"/>
    <w:rsid w:val="006044DA"/>
    <w:rsid w:val="006045F0"/>
    <w:rsid w:val="0060487F"/>
    <w:rsid w:val="00604CDA"/>
    <w:rsid w:val="00604EAD"/>
    <w:rsid w:val="00606408"/>
    <w:rsid w:val="00606E6F"/>
    <w:rsid w:val="00606F15"/>
    <w:rsid w:val="006104FB"/>
    <w:rsid w:val="006124C5"/>
    <w:rsid w:val="00612A2F"/>
    <w:rsid w:val="0061482A"/>
    <w:rsid w:val="006166D8"/>
    <w:rsid w:val="00616E05"/>
    <w:rsid w:val="0062054C"/>
    <w:rsid w:val="00622254"/>
    <w:rsid w:val="00622363"/>
    <w:rsid w:val="00624093"/>
    <w:rsid w:val="0062503F"/>
    <w:rsid w:val="0062588C"/>
    <w:rsid w:val="00627BA2"/>
    <w:rsid w:val="00630E1F"/>
    <w:rsid w:val="00630F20"/>
    <w:rsid w:val="00631BC9"/>
    <w:rsid w:val="006350D5"/>
    <w:rsid w:val="00635191"/>
    <w:rsid w:val="00635B43"/>
    <w:rsid w:val="00637B2C"/>
    <w:rsid w:val="006404A7"/>
    <w:rsid w:val="00641F0B"/>
    <w:rsid w:val="0064287A"/>
    <w:rsid w:val="0064335A"/>
    <w:rsid w:val="00643FC3"/>
    <w:rsid w:val="00643FD3"/>
    <w:rsid w:val="006448DE"/>
    <w:rsid w:val="00644B90"/>
    <w:rsid w:val="00645133"/>
    <w:rsid w:val="006451E4"/>
    <w:rsid w:val="0064553D"/>
    <w:rsid w:val="00645B33"/>
    <w:rsid w:val="00645D1E"/>
    <w:rsid w:val="00650942"/>
    <w:rsid w:val="00650E0D"/>
    <w:rsid w:val="0065105B"/>
    <w:rsid w:val="006516CB"/>
    <w:rsid w:val="006517A7"/>
    <w:rsid w:val="00652F37"/>
    <w:rsid w:val="006533EC"/>
    <w:rsid w:val="00654154"/>
    <w:rsid w:val="0065479A"/>
    <w:rsid w:val="00655088"/>
    <w:rsid w:val="00656141"/>
    <w:rsid w:val="006567A9"/>
    <w:rsid w:val="00656B23"/>
    <w:rsid w:val="00656FC8"/>
    <w:rsid w:val="00657057"/>
    <w:rsid w:val="006574CC"/>
    <w:rsid w:val="00657D66"/>
    <w:rsid w:val="00657E87"/>
    <w:rsid w:val="00660910"/>
    <w:rsid w:val="00660F6A"/>
    <w:rsid w:val="00661EE7"/>
    <w:rsid w:val="006620C5"/>
    <w:rsid w:val="006645DB"/>
    <w:rsid w:val="00664803"/>
    <w:rsid w:val="00664BC8"/>
    <w:rsid w:val="00665BA4"/>
    <w:rsid w:val="00666348"/>
    <w:rsid w:val="006663A1"/>
    <w:rsid w:val="006679C7"/>
    <w:rsid w:val="00667AF2"/>
    <w:rsid w:val="00670242"/>
    <w:rsid w:val="006710C9"/>
    <w:rsid w:val="00671F5F"/>
    <w:rsid w:val="00673CDD"/>
    <w:rsid w:val="006740E4"/>
    <w:rsid w:val="006741AC"/>
    <w:rsid w:val="006745CB"/>
    <w:rsid w:val="006747BA"/>
    <w:rsid w:val="00674D89"/>
    <w:rsid w:val="006759FA"/>
    <w:rsid w:val="00675E37"/>
    <w:rsid w:val="00675F55"/>
    <w:rsid w:val="00680054"/>
    <w:rsid w:val="0068174E"/>
    <w:rsid w:val="00681DCE"/>
    <w:rsid w:val="00682216"/>
    <w:rsid w:val="0068260E"/>
    <w:rsid w:val="006827F0"/>
    <w:rsid w:val="00683398"/>
    <w:rsid w:val="00683C47"/>
    <w:rsid w:val="00683D7F"/>
    <w:rsid w:val="00683E1E"/>
    <w:rsid w:val="0068471C"/>
    <w:rsid w:val="00685F86"/>
    <w:rsid w:val="006864A6"/>
    <w:rsid w:val="00686E0A"/>
    <w:rsid w:val="0068704B"/>
    <w:rsid w:val="00691BCC"/>
    <w:rsid w:val="0069316A"/>
    <w:rsid w:val="00693CA2"/>
    <w:rsid w:val="00693F4A"/>
    <w:rsid w:val="00694375"/>
    <w:rsid w:val="006943B9"/>
    <w:rsid w:val="006952B0"/>
    <w:rsid w:val="006953FB"/>
    <w:rsid w:val="00695A1C"/>
    <w:rsid w:val="00695BEF"/>
    <w:rsid w:val="006977F6"/>
    <w:rsid w:val="00697A13"/>
    <w:rsid w:val="006A109C"/>
    <w:rsid w:val="006A10F4"/>
    <w:rsid w:val="006A190E"/>
    <w:rsid w:val="006A2410"/>
    <w:rsid w:val="006A3561"/>
    <w:rsid w:val="006A3F9B"/>
    <w:rsid w:val="006A46F7"/>
    <w:rsid w:val="006A4CFF"/>
    <w:rsid w:val="006A726E"/>
    <w:rsid w:val="006A7ED6"/>
    <w:rsid w:val="006B0F92"/>
    <w:rsid w:val="006B18CD"/>
    <w:rsid w:val="006B1AFC"/>
    <w:rsid w:val="006B1CAA"/>
    <w:rsid w:val="006B1E28"/>
    <w:rsid w:val="006B1FE2"/>
    <w:rsid w:val="006B2799"/>
    <w:rsid w:val="006B344A"/>
    <w:rsid w:val="006B3C13"/>
    <w:rsid w:val="006B4100"/>
    <w:rsid w:val="006B424F"/>
    <w:rsid w:val="006B78D8"/>
    <w:rsid w:val="006C0340"/>
    <w:rsid w:val="006C0C0D"/>
    <w:rsid w:val="006C113F"/>
    <w:rsid w:val="006C123E"/>
    <w:rsid w:val="006C1750"/>
    <w:rsid w:val="006C1752"/>
    <w:rsid w:val="006C2D41"/>
    <w:rsid w:val="006C4905"/>
    <w:rsid w:val="006C5547"/>
    <w:rsid w:val="006C56D4"/>
    <w:rsid w:val="006C5F30"/>
    <w:rsid w:val="006C6924"/>
    <w:rsid w:val="006C6BA8"/>
    <w:rsid w:val="006C7CA6"/>
    <w:rsid w:val="006D208B"/>
    <w:rsid w:val="006D3E8A"/>
    <w:rsid w:val="006D47A4"/>
    <w:rsid w:val="006D49FF"/>
    <w:rsid w:val="006D5247"/>
    <w:rsid w:val="006D592D"/>
    <w:rsid w:val="006D61F6"/>
    <w:rsid w:val="006D6781"/>
    <w:rsid w:val="006D6B9A"/>
    <w:rsid w:val="006D75BB"/>
    <w:rsid w:val="006E1CF2"/>
    <w:rsid w:val="006E279A"/>
    <w:rsid w:val="006E27B1"/>
    <w:rsid w:val="006E2B04"/>
    <w:rsid w:val="006E313B"/>
    <w:rsid w:val="006E489E"/>
    <w:rsid w:val="006E54AC"/>
    <w:rsid w:val="006E58F2"/>
    <w:rsid w:val="006E7227"/>
    <w:rsid w:val="006E7B31"/>
    <w:rsid w:val="006F0120"/>
    <w:rsid w:val="006F09CB"/>
    <w:rsid w:val="006F0B6A"/>
    <w:rsid w:val="006F0DC7"/>
    <w:rsid w:val="006F398D"/>
    <w:rsid w:val="006F438E"/>
    <w:rsid w:val="006F5416"/>
    <w:rsid w:val="00700059"/>
    <w:rsid w:val="00700E03"/>
    <w:rsid w:val="00700F27"/>
    <w:rsid w:val="0070119D"/>
    <w:rsid w:val="00701A28"/>
    <w:rsid w:val="00701BEB"/>
    <w:rsid w:val="00704818"/>
    <w:rsid w:val="00705242"/>
    <w:rsid w:val="00706AD4"/>
    <w:rsid w:val="00707150"/>
    <w:rsid w:val="00707AC1"/>
    <w:rsid w:val="00707AE9"/>
    <w:rsid w:val="00710CE5"/>
    <w:rsid w:val="00711224"/>
    <w:rsid w:val="007112BD"/>
    <w:rsid w:val="0071159D"/>
    <w:rsid w:val="007122B1"/>
    <w:rsid w:val="00712939"/>
    <w:rsid w:val="007129B5"/>
    <w:rsid w:val="007140BE"/>
    <w:rsid w:val="0071505D"/>
    <w:rsid w:val="007157A4"/>
    <w:rsid w:val="007178A8"/>
    <w:rsid w:val="007208B8"/>
    <w:rsid w:val="007211F5"/>
    <w:rsid w:val="00721757"/>
    <w:rsid w:val="007225A9"/>
    <w:rsid w:val="0072283D"/>
    <w:rsid w:val="007232CB"/>
    <w:rsid w:val="00723946"/>
    <w:rsid w:val="007240E2"/>
    <w:rsid w:val="007248BA"/>
    <w:rsid w:val="007250FE"/>
    <w:rsid w:val="007256B5"/>
    <w:rsid w:val="00725BB5"/>
    <w:rsid w:val="007270F2"/>
    <w:rsid w:val="00727828"/>
    <w:rsid w:val="00730030"/>
    <w:rsid w:val="007302A5"/>
    <w:rsid w:val="00730711"/>
    <w:rsid w:val="00730AE8"/>
    <w:rsid w:val="00730F1B"/>
    <w:rsid w:val="007316A3"/>
    <w:rsid w:val="007317FA"/>
    <w:rsid w:val="00732CDD"/>
    <w:rsid w:val="007339BF"/>
    <w:rsid w:val="00735591"/>
    <w:rsid w:val="00736AFB"/>
    <w:rsid w:val="00737F89"/>
    <w:rsid w:val="00740EA1"/>
    <w:rsid w:val="00741493"/>
    <w:rsid w:val="00741A3D"/>
    <w:rsid w:val="0074220B"/>
    <w:rsid w:val="007427E1"/>
    <w:rsid w:val="00742EC2"/>
    <w:rsid w:val="00745508"/>
    <w:rsid w:val="007467FF"/>
    <w:rsid w:val="0075027A"/>
    <w:rsid w:val="00750971"/>
    <w:rsid w:val="00750BFF"/>
    <w:rsid w:val="00750C64"/>
    <w:rsid w:val="00752180"/>
    <w:rsid w:val="00753454"/>
    <w:rsid w:val="007534DF"/>
    <w:rsid w:val="00753CAB"/>
    <w:rsid w:val="00755202"/>
    <w:rsid w:val="007554BD"/>
    <w:rsid w:val="00755B99"/>
    <w:rsid w:val="00755D3A"/>
    <w:rsid w:val="007578D3"/>
    <w:rsid w:val="007609C6"/>
    <w:rsid w:val="00760EA4"/>
    <w:rsid w:val="00761600"/>
    <w:rsid w:val="0076175D"/>
    <w:rsid w:val="007617CE"/>
    <w:rsid w:val="00762F7C"/>
    <w:rsid w:val="00763B85"/>
    <w:rsid w:val="00764FD3"/>
    <w:rsid w:val="0076521E"/>
    <w:rsid w:val="007655D2"/>
    <w:rsid w:val="00765629"/>
    <w:rsid w:val="00765BF6"/>
    <w:rsid w:val="007661E9"/>
    <w:rsid w:val="007672C6"/>
    <w:rsid w:val="00767AD0"/>
    <w:rsid w:val="00771FF6"/>
    <w:rsid w:val="007732E9"/>
    <w:rsid w:val="00773605"/>
    <w:rsid w:val="00774E36"/>
    <w:rsid w:val="00775480"/>
    <w:rsid w:val="00776169"/>
    <w:rsid w:val="00776527"/>
    <w:rsid w:val="00776C89"/>
    <w:rsid w:val="0077762A"/>
    <w:rsid w:val="00780EF1"/>
    <w:rsid w:val="0078132B"/>
    <w:rsid w:val="00781398"/>
    <w:rsid w:val="00781C0F"/>
    <w:rsid w:val="00781F7A"/>
    <w:rsid w:val="00782B78"/>
    <w:rsid w:val="00782F4F"/>
    <w:rsid w:val="00783CCB"/>
    <w:rsid w:val="00783F57"/>
    <w:rsid w:val="0078437D"/>
    <w:rsid w:val="00785A69"/>
    <w:rsid w:val="007871C9"/>
    <w:rsid w:val="00787903"/>
    <w:rsid w:val="00787B25"/>
    <w:rsid w:val="00787F15"/>
    <w:rsid w:val="00790764"/>
    <w:rsid w:val="0079095D"/>
    <w:rsid w:val="00791B5A"/>
    <w:rsid w:val="00794183"/>
    <w:rsid w:val="0079453C"/>
    <w:rsid w:val="00794677"/>
    <w:rsid w:val="007948ED"/>
    <w:rsid w:val="007968D2"/>
    <w:rsid w:val="007970DC"/>
    <w:rsid w:val="00797445"/>
    <w:rsid w:val="007A17E3"/>
    <w:rsid w:val="007A2610"/>
    <w:rsid w:val="007A317C"/>
    <w:rsid w:val="007A516D"/>
    <w:rsid w:val="007A5250"/>
    <w:rsid w:val="007A7100"/>
    <w:rsid w:val="007B188F"/>
    <w:rsid w:val="007B356F"/>
    <w:rsid w:val="007B3A96"/>
    <w:rsid w:val="007B4059"/>
    <w:rsid w:val="007B4322"/>
    <w:rsid w:val="007B4428"/>
    <w:rsid w:val="007B583C"/>
    <w:rsid w:val="007B5A8A"/>
    <w:rsid w:val="007B6689"/>
    <w:rsid w:val="007B6F5E"/>
    <w:rsid w:val="007B71C6"/>
    <w:rsid w:val="007B7F13"/>
    <w:rsid w:val="007C174A"/>
    <w:rsid w:val="007C29D1"/>
    <w:rsid w:val="007C2E6E"/>
    <w:rsid w:val="007C443D"/>
    <w:rsid w:val="007C4E0E"/>
    <w:rsid w:val="007C5E1F"/>
    <w:rsid w:val="007C65E8"/>
    <w:rsid w:val="007C6BBD"/>
    <w:rsid w:val="007C7443"/>
    <w:rsid w:val="007C7F29"/>
    <w:rsid w:val="007D0553"/>
    <w:rsid w:val="007D15F4"/>
    <w:rsid w:val="007D2975"/>
    <w:rsid w:val="007D2DA7"/>
    <w:rsid w:val="007D342C"/>
    <w:rsid w:val="007D40DF"/>
    <w:rsid w:val="007D5B74"/>
    <w:rsid w:val="007D7139"/>
    <w:rsid w:val="007D7F01"/>
    <w:rsid w:val="007E1365"/>
    <w:rsid w:val="007E25C8"/>
    <w:rsid w:val="007E29B4"/>
    <w:rsid w:val="007E3625"/>
    <w:rsid w:val="007E435A"/>
    <w:rsid w:val="007E5D94"/>
    <w:rsid w:val="007E7E61"/>
    <w:rsid w:val="007F0845"/>
    <w:rsid w:val="007F24F4"/>
    <w:rsid w:val="007F307A"/>
    <w:rsid w:val="007F6620"/>
    <w:rsid w:val="007F708D"/>
    <w:rsid w:val="00801BFB"/>
    <w:rsid w:val="00801E13"/>
    <w:rsid w:val="00806686"/>
    <w:rsid w:val="00807B7B"/>
    <w:rsid w:val="00807C82"/>
    <w:rsid w:val="00811590"/>
    <w:rsid w:val="0081237C"/>
    <w:rsid w:val="008124FC"/>
    <w:rsid w:val="00813E3C"/>
    <w:rsid w:val="00814B15"/>
    <w:rsid w:val="0081562A"/>
    <w:rsid w:val="0081565E"/>
    <w:rsid w:val="008161DB"/>
    <w:rsid w:val="00816905"/>
    <w:rsid w:val="00817343"/>
    <w:rsid w:val="008207EF"/>
    <w:rsid w:val="00820A4A"/>
    <w:rsid w:val="00821277"/>
    <w:rsid w:val="00821777"/>
    <w:rsid w:val="008217F0"/>
    <w:rsid w:val="00821FF6"/>
    <w:rsid w:val="00822574"/>
    <w:rsid w:val="00823182"/>
    <w:rsid w:val="008241CD"/>
    <w:rsid w:val="00825C4D"/>
    <w:rsid w:val="00827DE6"/>
    <w:rsid w:val="00827EA6"/>
    <w:rsid w:val="0083143E"/>
    <w:rsid w:val="00831CDE"/>
    <w:rsid w:val="00832105"/>
    <w:rsid w:val="00833895"/>
    <w:rsid w:val="00833B3D"/>
    <w:rsid w:val="00833FF1"/>
    <w:rsid w:val="00834304"/>
    <w:rsid w:val="008343A4"/>
    <w:rsid w:val="00834710"/>
    <w:rsid w:val="00834FAA"/>
    <w:rsid w:val="00835C7A"/>
    <w:rsid w:val="00836086"/>
    <w:rsid w:val="0084234E"/>
    <w:rsid w:val="00844B49"/>
    <w:rsid w:val="00845975"/>
    <w:rsid w:val="008459FF"/>
    <w:rsid w:val="00846121"/>
    <w:rsid w:val="00846366"/>
    <w:rsid w:val="0084708F"/>
    <w:rsid w:val="008477C8"/>
    <w:rsid w:val="00847BA0"/>
    <w:rsid w:val="00850DE0"/>
    <w:rsid w:val="0085114D"/>
    <w:rsid w:val="00851BB5"/>
    <w:rsid w:val="00852217"/>
    <w:rsid w:val="0085343F"/>
    <w:rsid w:val="008539D1"/>
    <w:rsid w:val="00854AD0"/>
    <w:rsid w:val="00855408"/>
    <w:rsid w:val="00855A1F"/>
    <w:rsid w:val="00856069"/>
    <w:rsid w:val="00856D65"/>
    <w:rsid w:val="00857DDE"/>
    <w:rsid w:val="00860BA9"/>
    <w:rsid w:val="00861B41"/>
    <w:rsid w:val="00861BE3"/>
    <w:rsid w:val="00863434"/>
    <w:rsid w:val="00863B2B"/>
    <w:rsid w:val="00865C90"/>
    <w:rsid w:val="00865E4C"/>
    <w:rsid w:val="008701E4"/>
    <w:rsid w:val="0087040B"/>
    <w:rsid w:val="00871069"/>
    <w:rsid w:val="0087121C"/>
    <w:rsid w:val="00872C61"/>
    <w:rsid w:val="00875A32"/>
    <w:rsid w:val="00875E9E"/>
    <w:rsid w:val="00876086"/>
    <w:rsid w:val="008774DC"/>
    <w:rsid w:val="00877817"/>
    <w:rsid w:val="008804E9"/>
    <w:rsid w:val="00880D2A"/>
    <w:rsid w:val="0088128D"/>
    <w:rsid w:val="008815BC"/>
    <w:rsid w:val="0088160C"/>
    <w:rsid w:val="008819A3"/>
    <w:rsid w:val="008825B0"/>
    <w:rsid w:val="00883762"/>
    <w:rsid w:val="00883991"/>
    <w:rsid w:val="00884124"/>
    <w:rsid w:val="00884AD6"/>
    <w:rsid w:val="0088582F"/>
    <w:rsid w:val="00886EB0"/>
    <w:rsid w:val="008873D4"/>
    <w:rsid w:val="00887FC8"/>
    <w:rsid w:val="00891049"/>
    <w:rsid w:val="0089126C"/>
    <w:rsid w:val="008917FE"/>
    <w:rsid w:val="0089296D"/>
    <w:rsid w:val="00893E85"/>
    <w:rsid w:val="00894031"/>
    <w:rsid w:val="00895508"/>
    <w:rsid w:val="0089685F"/>
    <w:rsid w:val="0089721E"/>
    <w:rsid w:val="00897506"/>
    <w:rsid w:val="00897C11"/>
    <w:rsid w:val="008A0C81"/>
    <w:rsid w:val="008A60E8"/>
    <w:rsid w:val="008A64A6"/>
    <w:rsid w:val="008A6745"/>
    <w:rsid w:val="008A73F2"/>
    <w:rsid w:val="008A7557"/>
    <w:rsid w:val="008B1171"/>
    <w:rsid w:val="008B167B"/>
    <w:rsid w:val="008B2F54"/>
    <w:rsid w:val="008B2FE5"/>
    <w:rsid w:val="008B4316"/>
    <w:rsid w:val="008B4333"/>
    <w:rsid w:val="008B483B"/>
    <w:rsid w:val="008B4FDA"/>
    <w:rsid w:val="008B5523"/>
    <w:rsid w:val="008B7C02"/>
    <w:rsid w:val="008B7D2B"/>
    <w:rsid w:val="008C0049"/>
    <w:rsid w:val="008C0445"/>
    <w:rsid w:val="008C08D8"/>
    <w:rsid w:val="008C0E88"/>
    <w:rsid w:val="008C285F"/>
    <w:rsid w:val="008C53CB"/>
    <w:rsid w:val="008C7E99"/>
    <w:rsid w:val="008C7F67"/>
    <w:rsid w:val="008D12F1"/>
    <w:rsid w:val="008D13C5"/>
    <w:rsid w:val="008D17C7"/>
    <w:rsid w:val="008D1B4D"/>
    <w:rsid w:val="008D1E6A"/>
    <w:rsid w:val="008D27D2"/>
    <w:rsid w:val="008D2A16"/>
    <w:rsid w:val="008D34AF"/>
    <w:rsid w:val="008D5DC6"/>
    <w:rsid w:val="008D7813"/>
    <w:rsid w:val="008E1880"/>
    <w:rsid w:val="008E1A36"/>
    <w:rsid w:val="008E2C57"/>
    <w:rsid w:val="008E31FF"/>
    <w:rsid w:val="008E49ED"/>
    <w:rsid w:val="008E4A1C"/>
    <w:rsid w:val="008E5AE8"/>
    <w:rsid w:val="008E6BB0"/>
    <w:rsid w:val="008E6F06"/>
    <w:rsid w:val="008E7FC9"/>
    <w:rsid w:val="008F0128"/>
    <w:rsid w:val="008F029B"/>
    <w:rsid w:val="008F069A"/>
    <w:rsid w:val="008F2791"/>
    <w:rsid w:val="008F375E"/>
    <w:rsid w:val="008F3FC9"/>
    <w:rsid w:val="008F4385"/>
    <w:rsid w:val="008F4D23"/>
    <w:rsid w:val="008F585B"/>
    <w:rsid w:val="008F5994"/>
    <w:rsid w:val="008F7B77"/>
    <w:rsid w:val="009003A8"/>
    <w:rsid w:val="00900C93"/>
    <w:rsid w:val="00902233"/>
    <w:rsid w:val="00902500"/>
    <w:rsid w:val="00902DC8"/>
    <w:rsid w:val="00902EFF"/>
    <w:rsid w:val="00904752"/>
    <w:rsid w:val="00906401"/>
    <w:rsid w:val="0090670F"/>
    <w:rsid w:val="0091155E"/>
    <w:rsid w:val="00912634"/>
    <w:rsid w:val="00912A92"/>
    <w:rsid w:val="00915AAA"/>
    <w:rsid w:val="0091728D"/>
    <w:rsid w:val="009174FA"/>
    <w:rsid w:val="00917A40"/>
    <w:rsid w:val="009203C8"/>
    <w:rsid w:val="0092042D"/>
    <w:rsid w:val="00920A97"/>
    <w:rsid w:val="0092180B"/>
    <w:rsid w:val="00921F14"/>
    <w:rsid w:val="009231A3"/>
    <w:rsid w:val="00923F80"/>
    <w:rsid w:val="009240B9"/>
    <w:rsid w:val="00924AC8"/>
    <w:rsid w:val="0092597A"/>
    <w:rsid w:val="009272A4"/>
    <w:rsid w:val="00927BC1"/>
    <w:rsid w:val="00930FB1"/>
    <w:rsid w:val="009312E4"/>
    <w:rsid w:val="0093139F"/>
    <w:rsid w:val="00932443"/>
    <w:rsid w:val="009324EF"/>
    <w:rsid w:val="009328A9"/>
    <w:rsid w:val="00932E8F"/>
    <w:rsid w:val="00932F35"/>
    <w:rsid w:val="00933121"/>
    <w:rsid w:val="00934EB8"/>
    <w:rsid w:val="00935432"/>
    <w:rsid w:val="0093776B"/>
    <w:rsid w:val="00937AE2"/>
    <w:rsid w:val="00941670"/>
    <w:rsid w:val="0094207A"/>
    <w:rsid w:val="00942992"/>
    <w:rsid w:val="00942CF8"/>
    <w:rsid w:val="009432AC"/>
    <w:rsid w:val="009437A5"/>
    <w:rsid w:val="0094427A"/>
    <w:rsid w:val="00945245"/>
    <w:rsid w:val="00946FCD"/>
    <w:rsid w:val="0094731A"/>
    <w:rsid w:val="00951606"/>
    <w:rsid w:val="00951B96"/>
    <w:rsid w:val="00953DEB"/>
    <w:rsid w:val="0095691D"/>
    <w:rsid w:val="00956983"/>
    <w:rsid w:val="0095759C"/>
    <w:rsid w:val="009607D0"/>
    <w:rsid w:val="00960E8F"/>
    <w:rsid w:val="009612F1"/>
    <w:rsid w:val="009619DC"/>
    <w:rsid w:val="00961DA7"/>
    <w:rsid w:val="0096270C"/>
    <w:rsid w:val="0096364B"/>
    <w:rsid w:val="00964303"/>
    <w:rsid w:val="00964F05"/>
    <w:rsid w:val="00964F1A"/>
    <w:rsid w:val="009652BE"/>
    <w:rsid w:val="00966025"/>
    <w:rsid w:val="00966405"/>
    <w:rsid w:val="0096694C"/>
    <w:rsid w:val="00966AEE"/>
    <w:rsid w:val="00970158"/>
    <w:rsid w:val="0097032F"/>
    <w:rsid w:val="00971090"/>
    <w:rsid w:val="00971358"/>
    <w:rsid w:val="009721DB"/>
    <w:rsid w:val="00972205"/>
    <w:rsid w:val="00972A59"/>
    <w:rsid w:val="00972E4A"/>
    <w:rsid w:val="00973735"/>
    <w:rsid w:val="009743FF"/>
    <w:rsid w:val="009744E6"/>
    <w:rsid w:val="00974923"/>
    <w:rsid w:val="00975148"/>
    <w:rsid w:val="0097575C"/>
    <w:rsid w:val="00975C2D"/>
    <w:rsid w:val="00980D3D"/>
    <w:rsid w:val="009816FF"/>
    <w:rsid w:val="00981831"/>
    <w:rsid w:val="00981ED4"/>
    <w:rsid w:val="0098211F"/>
    <w:rsid w:val="00982ACD"/>
    <w:rsid w:val="00982BD0"/>
    <w:rsid w:val="0098402C"/>
    <w:rsid w:val="00985B99"/>
    <w:rsid w:val="00986ADB"/>
    <w:rsid w:val="00987A30"/>
    <w:rsid w:val="00990210"/>
    <w:rsid w:val="00992CF3"/>
    <w:rsid w:val="009938FB"/>
    <w:rsid w:val="00993D9C"/>
    <w:rsid w:val="00994868"/>
    <w:rsid w:val="009968D6"/>
    <w:rsid w:val="009A180C"/>
    <w:rsid w:val="009A1CAB"/>
    <w:rsid w:val="009A2AFC"/>
    <w:rsid w:val="009A5349"/>
    <w:rsid w:val="009A56B6"/>
    <w:rsid w:val="009A60D1"/>
    <w:rsid w:val="009A6D06"/>
    <w:rsid w:val="009A76A7"/>
    <w:rsid w:val="009B1932"/>
    <w:rsid w:val="009B1F0B"/>
    <w:rsid w:val="009B2782"/>
    <w:rsid w:val="009B4BAF"/>
    <w:rsid w:val="009B52F3"/>
    <w:rsid w:val="009B64D1"/>
    <w:rsid w:val="009B6FD3"/>
    <w:rsid w:val="009C05E8"/>
    <w:rsid w:val="009C0ED9"/>
    <w:rsid w:val="009C1750"/>
    <w:rsid w:val="009C2E29"/>
    <w:rsid w:val="009C554B"/>
    <w:rsid w:val="009C693C"/>
    <w:rsid w:val="009C719E"/>
    <w:rsid w:val="009C7A10"/>
    <w:rsid w:val="009D0223"/>
    <w:rsid w:val="009D0B58"/>
    <w:rsid w:val="009D1131"/>
    <w:rsid w:val="009D1237"/>
    <w:rsid w:val="009D2465"/>
    <w:rsid w:val="009D39BC"/>
    <w:rsid w:val="009D3ACD"/>
    <w:rsid w:val="009D4DC4"/>
    <w:rsid w:val="009D6235"/>
    <w:rsid w:val="009D77F7"/>
    <w:rsid w:val="009E0347"/>
    <w:rsid w:val="009E03A3"/>
    <w:rsid w:val="009E2524"/>
    <w:rsid w:val="009E3BDB"/>
    <w:rsid w:val="009E5273"/>
    <w:rsid w:val="009E55AD"/>
    <w:rsid w:val="009E5DDB"/>
    <w:rsid w:val="009F2CFA"/>
    <w:rsid w:val="009F3941"/>
    <w:rsid w:val="009F4CA7"/>
    <w:rsid w:val="009F4ECC"/>
    <w:rsid w:val="009F582C"/>
    <w:rsid w:val="009F67D6"/>
    <w:rsid w:val="009F698D"/>
    <w:rsid w:val="009F7085"/>
    <w:rsid w:val="009F7509"/>
    <w:rsid w:val="009F77D8"/>
    <w:rsid w:val="00A04321"/>
    <w:rsid w:val="00A0439C"/>
    <w:rsid w:val="00A05C22"/>
    <w:rsid w:val="00A06AA1"/>
    <w:rsid w:val="00A076D5"/>
    <w:rsid w:val="00A10D66"/>
    <w:rsid w:val="00A118C8"/>
    <w:rsid w:val="00A126CC"/>
    <w:rsid w:val="00A12E08"/>
    <w:rsid w:val="00A14114"/>
    <w:rsid w:val="00A1498C"/>
    <w:rsid w:val="00A14EFD"/>
    <w:rsid w:val="00A16413"/>
    <w:rsid w:val="00A16E1D"/>
    <w:rsid w:val="00A171A3"/>
    <w:rsid w:val="00A17D5B"/>
    <w:rsid w:val="00A20B57"/>
    <w:rsid w:val="00A23305"/>
    <w:rsid w:val="00A23E43"/>
    <w:rsid w:val="00A25216"/>
    <w:rsid w:val="00A260BE"/>
    <w:rsid w:val="00A279A0"/>
    <w:rsid w:val="00A30942"/>
    <w:rsid w:val="00A30F65"/>
    <w:rsid w:val="00A31FD4"/>
    <w:rsid w:val="00A331E6"/>
    <w:rsid w:val="00A33A89"/>
    <w:rsid w:val="00A345C6"/>
    <w:rsid w:val="00A34C23"/>
    <w:rsid w:val="00A37F31"/>
    <w:rsid w:val="00A4078F"/>
    <w:rsid w:val="00A40D93"/>
    <w:rsid w:val="00A40EAC"/>
    <w:rsid w:val="00A40FE0"/>
    <w:rsid w:val="00A41568"/>
    <w:rsid w:val="00A418BC"/>
    <w:rsid w:val="00A434DE"/>
    <w:rsid w:val="00A461F2"/>
    <w:rsid w:val="00A46DE0"/>
    <w:rsid w:val="00A5015F"/>
    <w:rsid w:val="00A508CB"/>
    <w:rsid w:val="00A50D73"/>
    <w:rsid w:val="00A50F37"/>
    <w:rsid w:val="00A51CDA"/>
    <w:rsid w:val="00A51ED9"/>
    <w:rsid w:val="00A52CAD"/>
    <w:rsid w:val="00A53FC7"/>
    <w:rsid w:val="00A54062"/>
    <w:rsid w:val="00A548FE"/>
    <w:rsid w:val="00A55588"/>
    <w:rsid w:val="00A55F61"/>
    <w:rsid w:val="00A60080"/>
    <w:rsid w:val="00A6148D"/>
    <w:rsid w:val="00A61517"/>
    <w:rsid w:val="00A62130"/>
    <w:rsid w:val="00A624C3"/>
    <w:rsid w:val="00A62CE1"/>
    <w:rsid w:val="00A62D32"/>
    <w:rsid w:val="00A64A96"/>
    <w:rsid w:val="00A66A9D"/>
    <w:rsid w:val="00A66E67"/>
    <w:rsid w:val="00A66F56"/>
    <w:rsid w:val="00A67213"/>
    <w:rsid w:val="00A6741E"/>
    <w:rsid w:val="00A70F6A"/>
    <w:rsid w:val="00A7106F"/>
    <w:rsid w:val="00A7237E"/>
    <w:rsid w:val="00A72902"/>
    <w:rsid w:val="00A75E40"/>
    <w:rsid w:val="00A7607F"/>
    <w:rsid w:val="00A776F6"/>
    <w:rsid w:val="00A77D1D"/>
    <w:rsid w:val="00A8051D"/>
    <w:rsid w:val="00A83420"/>
    <w:rsid w:val="00A83CE5"/>
    <w:rsid w:val="00A84A6A"/>
    <w:rsid w:val="00A857C0"/>
    <w:rsid w:val="00A857E5"/>
    <w:rsid w:val="00A8580D"/>
    <w:rsid w:val="00A86602"/>
    <w:rsid w:val="00A9048E"/>
    <w:rsid w:val="00A90F6C"/>
    <w:rsid w:val="00A90FED"/>
    <w:rsid w:val="00A935FE"/>
    <w:rsid w:val="00A9418D"/>
    <w:rsid w:val="00A95B59"/>
    <w:rsid w:val="00A9743E"/>
    <w:rsid w:val="00A97A8A"/>
    <w:rsid w:val="00AA029D"/>
    <w:rsid w:val="00AA0A71"/>
    <w:rsid w:val="00AA113D"/>
    <w:rsid w:val="00AA2996"/>
    <w:rsid w:val="00AA456D"/>
    <w:rsid w:val="00AA4ED2"/>
    <w:rsid w:val="00AA52BF"/>
    <w:rsid w:val="00AA559A"/>
    <w:rsid w:val="00AA708D"/>
    <w:rsid w:val="00AA77D2"/>
    <w:rsid w:val="00AA792F"/>
    <w:rsid w:val="00AA7980"/>
    <w:rsid w:val="00AB0284"/>
    <w:rsid w:val="00AB1182"/>
    <w:rsid w:val="00AB1E57"/>
    <w:rsid w:val="00AB29C6"/>
    <w:rsid w:val="00AB2AF1"/>
    <w:rsid w:val="00AB347D"/>
    <w:rsid w:val="00AB478F"/>
    <w:rsid w:val="00AC0091"/>
    <w:rsid w:val="00AC0732"/>
    <w:rsid w:val="00AC1E82"/>
    <w:rsid w:val="00AC224B"/>
    <w:rsid w:val="00AC2359"/>
    <w:rsid w:val="00AC2482"/>
    <w:rsid w:val="00AC2885"/>
    <w:rsid w:val="00AC2B78"/>
    <w:rsid w:val="00AC42FE"/>
    <w:rsid w:val="00AC45BD"/>
    <w:rsid w:val="00AC605E"/>
    <w:rsid w:val="00AD0253"/>
    <w:rsid w:val="00AD0771"/>
    <w:rsid w:val="00AD0D0E"/>
    <w:rsid w:val="00AD1119"/>
    <w:rsid w:val="00AD168E"/>
    <w:rsid w:val="00AD2F1C"/>
    <w:rsid w:val="00AD306C"/>
    <w:rsid w:val="00AD5A73"/>
    <w:rsid w:val="00AD68C4"/>
    <w:rsid w:val="00AD72A7"/>
    <w:rsid w:val="00AE09B3"/>
    <w:rsid w:val="00AE0EB9"/>
    <w:rsid w:val="00AE1A83"/>
    <w:rsid w:val="00AE291E"/>
    <w:rsid w:val="00AE4270"/>
    <w:rsid w:val="00AE4A31"/>
    <w:rsid w:val="00AE5F81"/>
    <w:rsid w:val="00AE6AD6"/>
    <w:rsid w:val="00AF0FB3"/>
    <w:rsid w:val="00AF104F"/>
    <w:rsid w:val="00AF108F"/>
    <w:rsid w:val="00AF24B2"/>
    <w:rsid w:val="00AF2957"/>
    <w:rsid w:val="00AF3E41"/>
    <w:rsid w:val="00AF5D0A"/>
    <w:rsid w:val="00AF6128"/>
    <w:rsid w:val="00AF685A"/>
    <w:rsid w:val="00B00034"/>
    <w:rsid w:val="00B003E4"/>
    <w:rsid w:val="00B00913"/>
    <w:rsid w:val="00B0140A"/>
    <w:rsid w:val="00B01593"/>
    <w:rsid w:val="00B0175C"/>
    <w:rsid w:val="00B023F2"/>
    <w:rsid w:val="00B02B19"/>
    <w:rsid w:val="00B035C6"/>
    <w:rsid w:val="00B04705"/>
    <w:rsid w:val="00B047A2"/>
    <w:rsid w:val="00B04A38"/>
    <w:rsid w:val="00B05641"/>
    <w:rsid w:val="00B073EF"/>
    <w:rsid w:val="00B07415"/>
    <w:rsid w:val="00B10A4D"/>
    <w:rsid w:val="00B11B62"/>
    <w:rsid w:val="00B11EEF"/>
    <w:rsid w:val="00B12572"/>
    <w:rsid w:val="00B12726"/>
    <w:rsid w:val="00B12947"/>
    <w:rsid w:val="00B131B0"/>
    <w:rsid w:val="00B13D2C"/>
    <w:rsid w:val="00B145D0"/>
    <w:rsid w:val="00B14BC1"/>
    <w:rsid w:val="00B15561"/>
    <w:rsid w:val="00B155A3"/>
    <w:rsid w:val="00B1568F"/>
    <w:rsid w:val="00B1631C"/>
    <w:rsid w:val="00B1681F"/>
    <w:rsid w:val="00B16ED9"/>
    <w:rsid w:val="00B17E42"/>
    <w:rsid w:val="00B17E71"/>
    <w:rsid w:val="00B17FDE"/>
    <w:rsid w:val="00B20BB1"/>
    <w:rsid w:val="00B21C3C"/>
    <w:rsid w:val="00B2379C"/>
    <w:rsid w:val="00B245FC"/>
    <w:rsid w:val="00B24748"/>
    <w:rsid w:val="00B247C9"/>
    <w:rsid w:val="00B24D78"/>
    <w:rsid w:val="00B2687D"/>
    <w:rsid w:val="00B268A6"/>
    <w:rsid w:val="00B27963"/>
    <w:rsid w:val="00B306DC"/>
    <w:rsid w:val="00B30D70"/>
    <w:rsid w:val="00B32DDB"/>
    <w:rsid w:val="00B33700"/>
    <w:rsid w:val="00B34528"/>
    <w:rsid w:val="00B34CC9"/>
    <w:rsid w:val="00B35999"/>
    <w:rsid w:val="00B35F2C"/>
    <w:rsid w:val="00B402A2"/>
    <w:rsid w:val="00B402FC"/>
    <w:rsid w:val="00B409F6"/>
    <w:rsid w:val="00B40C70"/>
    <w:rsid w:val="00B417F4"/>
    <w:rsid w:val="00B41B15"/>
    <w:rsid w:val="00B41E5E"/>
    <w:rsid w:val="00B421C9"/>
    <w:rsid w:val="00B43255"/>
    <w:rsid w:val="00B439DA"/>
    <w:rsid w:val="00B4440B"/>
    <w:rsid w:val="00B464AF"/>
    <w:rsid w:val="00B46604"/>
    <w:rsid w:val="00B46D77"/>
    <w:rsid w:val="00B50B58"/>
    <w:rsid w:val="00B51356"/>
    <w:rsid w:val="00B5179B"/>
    <w:rsid w:val="00B530CD"/>
    <w:rsid w:val="00B536DD"/>
    <w:rsid w:val="00B53D0B"/>
    <w:rsid w:val="00B53E3E"/>
    <w:rsid w:val="00B554E0"/>
    <w:rsid w:val="00B55B71"/>
    <w:rsid w:val="00B55F5E"/>
    <w:rsid w:val="00B5752E"/>
    <w:rsid w:val="00B57B76"/>
    <w:rsid w:val="00B60535"/>
    <w:rsid w:val="00B6122B"/>
    <w:rsid w:val="00B62355"/>
    <w:rsid w:val="00B63A11"/>
    <w:rsid w:val="00B63B6A"/>
    <w:rsid w:val="00B641C3"/>
    <w:rsid w:val="00B642BE"/>
    <w:rsid w:val="00B64C24"/>
    <w:rsid w:val="00B6608F"/>
    <w:rsid w:val="00B663D7"/>
    <w:rsid w:val="00B66DDC"/>
    <w:rsid w:val="00B67249"/>
    <w:rsid w:val="00B679FB"/>
    <w:rsid w:val="00B70C99"/>
    <w:rsid w:val="00B70E89"/>
    <w:rsid w:val="00B7145F"/>
    <w:rsid w:val="00B74213"/>
    <w:rsid w:val="00B75D58"/>
    <w:rsid w:val="00B76665"/>
    <w:rsid w:val="00B76D1E"/>
    <w:rsid w:val="00B770E4"/>
    <w:rsid w:val="00B7741A"/>
    <w:rsid w:val="00B77670"/>
    <w:rsid w:val="00B77F70"/>
    <w:rsid w:val="00B80227"/>
    <w:rsid w:val="00B804CF"/>
    <w:rsid w:val="00B80EC6"/>
    <w:rsid w:val="00B81258"/>
    <w:rsid w:val="00B81B29"/>
    <w:rsid w:val="00B83791"/>
    <w:rsid w:val="00B83A24"/>
    <w:rsid w:val="00B84CF6"/>
    <w:rsid w:val="00B85B42"/>
    <w:rsid w:val="00B87FEC"/>
    <w:rsid w:val="00B92D1D"/>
    <w:rsid w:val="00B93515"/>
    <w:rsid w:val="00B938C5"/>
    <w:rsid w:val="00B94078"/>
    <w:rsid w:val="00B952CB"/>
    <w:rsid w:val="00B95940"/>
    <w:rsid w:val="00B95A9F"/>
    <w:rsid w:val="00B96272"/>
    <w:rsid w:val="00B96613"/>
    <w:rsid w:val="00B97499"/>
    <w:rsid w:val="00B978C1"/>
    <w:rsid w:val="00B97B49"/>
    <w:rsid w:val="00BA007C"/>
    <w:rsid w:val="00BA066E"/>
    <w:rsid w:val="00BA0E9B"/>
    <w:rsid w:val="00BA11A1"/>
    <w:rsid w:val="00BA1627"/>
    <w:rsid w:val="00BA213E"/>
    <w:rsid w:val="00BA3A6A"/>
    <w:rsid w:val="00BA4175"/>
    <w:rsid w:val="00BA43A6"/>
    <w:rsid w:val="00BA50CC"/>
    <w:rsid w:val="00BA5149"/>
    <w:rsid w:val="00BA5C1D"/>
    <w:rsid w:val="00BA60B4"/>
    <w:rsid w:val="00BA6C2B"/>
    <w:rsid w:val="00BB099E"/>
    <w:rsid w:val="00BB0A40"/>
    <w:rsid w:val="00BB12BC"/>
    <w:rsid w:val="00BB14BF"/>
    <w:rsid w:val="00BB25B7"/>
    <w:rsid w:val="00BB2F43"/>
    <w:rsid w:val="00BB33C1"/>
    <w:rsid w:val="00BB46F3"/>
    <w:rsid w:val="00BB4C12"/>
    <w:rsid w:val="00BB4CB1"/>
    <w:rsid w:val="00BB4F98"/>
    <w:rsid w:val="00BC127C"/>
    <w:rsid w:val="00BC31C3"/>
    <w:rsid w:val="00BC3472"/>
    <w:rsid w:val="00BC4118"/>
    <w:rsid w:val="00BC595A"/>
    <w:rsid w:val="00BC5C12"/>
    <w:rsid w:val="00BC6349"/>
    <w:rsid w:val="00BC64FE"/>
    <w:rsid w:val="00BC6E6A"/>
    <w:rsid w:val="00BC7154"/>
    <w:rsid w:val="00BC731E"/>
    <w:rsid w:val="00BC7713"/>
    <w:rsid w:val="00BD05F4"/>
    <w:rsid w:val="00BD1281"/>
    <w:rsid w:val="00BD157E"/>
    <w:rsid w:val="00BD1E30"/>
    <w:rsid w:val="00BD366B"/>
    <w:rsid w:val="00BD4F61"/>
    <w:rsid w:val="00BD5003"/>
    <w:rsid w:val="00BD5976"/>
    <w:rsid w:val="00BD5BF6"/>
    <w:rsid w:val="00BD6D50"/>
    <w:rsid w:val="00BE06D1"/>
    <w:rsid w:val="00BE0A1D"/>
    <w:rsid w:val="00BE107D"/>
    <w:rsid w:val="00BE18B9"/>
    <w:rsid w:val="00BE2034"/>
    <w:rsid w:val="00BE2493"/>
    <w:rsid w:val="00BE2495"/>
    <w:rsid w:val="00BE2EB8"/>
    <w:rsid w:val="00BE7E97"/>
    <w:rsid w:val="00BF10F5"/>
    <w:rsid w:val="00BF1578"/>
    <w:rsid w:val="00BF2616"/>
    <w:rsid w:val="00BF403B"/>
    <w:rsid w:val="00BF41E2"/>
    <w:rsid w:val="00BF46DD"/>
    <w:rsid w:val="00BF68BB"/>
    <w:rsid w:val="00C01C7B"/>
    <w:rsid w:val="00C03723"/>
    <w:rsid w:val="00C047C7"/>
    <w:rsid w:val="00C05690"/>
    <w:rsid w:val="00C05D23"/>
    <w:rsid w:val="00C07FF2"/>
    <w:rsid w:val="00C10383"/>
    <w:rsid w:val="00C10613"/>
    <w:rsid w:val="00C106AE"/>
    <w:rsid w:val="00C1101A"/>
    <w:rsid w:val="00C1144F"/>
    <w:rsid w:val="00C13324"/>
    <w:rsid w:val="00C14D89"/>
    <w:rsid w:val="00C15D65"/>
    <w:rsid w:val="00C16030"/>
    <w:rsid w:val="00C16A6F"/>
    <w:rsid w:val="00C206B0"/>
    <w:rsid w:val="00C20ECF"/>
    <w:rsid w:val="00C21F94"/>
    <w:rsid w:val="00C232F2"/>
    <w:rsid w:val="00C24CBB"/>
    <w:rsid w:val="00C24F9F"/>
    <w:rsid w:val="00C253E5"/>
    <w:rsid w:val="00C25842"/>
    <w:rsid w:val="00C26052"/>
    <w:rsid w:val="00C2611D"/>
    <w:rsid w:val="00C27913"/>
    <w:rsid w:val="00C27D07"/>
    <w:rsid w:val="00C33B68"/>
    <w:rsid w:val="00C3459E"/>
    <w:rsid w:val="00C35666"/>
    <w:rsid w:val="00C3627A"/>
    <w:rsid w:val="00C36A79"/>
    <w:rsid w:val="00C379E5"/>
    <w:rsid w:val="00C37B47"/>
    <w:rsid w:val="00C401D2"/>
    <w:rsid w:val="00C405D4"/>
    <w:rsid w:val="00C40E78"/>
    <w:rsid w:val="00C41EDB"/>
    <w:rsid w:val="00C43327"/>
    <w:rsid w:val="00C437E2"/>
    <w:rsid w:val="00C438C9"/>
    <w:rsid w:val="00C43A79"/>
    <w:rsid w:val="00C446A2"/>
    <w:rsid w:val="00C4513B"/>
    <w:rsid w:val="00C46168"/>
    <w:rsid w:val="00C467CF"/>
    <w:rsid w:val="00C50278"/>
    <w:rsid w:val="00C50D23"/>
    <w:rsid w:val="00C50D32"/>
    <w:rsid w:val="00C52271"/>
    <w:rsid w:val="00C5390B"/>
    <w:rsid w:val="00C54697"/>
    <w:rsid w:val="00C5619B"/>
    <w:rsid w:val="00C561C8"/>
    <w:rsid w:val="00C611D4"/>
    <w:rsid w:val="00C615C3"/>
    <w:rsid w:val="00C6281A"/>
    <w:rsid w:val="00C641A6"/>
    <w:rsid w:val="00C64292"/>
    <w:rsid w:val="00C64A07"/>
    <w:rsid w:val="00C64EFA"/>
    <w:rsid w:val="00C65C3F"/>
    <w:rsid w:val="00C66688"/>
    <w:rsid w:val="00C66D7C"/>
    <w:rsid w:val="00C672E6"/>
    <w:rsid w:val="00C67D9A"/>
    <w:rsid w:val="00C71017"/>
    <w:rsid w:val="00C717F9"/>
    <w:rsid w:val="00C73885"/>
    <w:rsid w:val="00C747B1"/>
    <w:rsid w:val="00C74FFE"/>
    <w:rsid w:val="00C769D3"/>
    <w:rsid w:val="00C77514"/>
    <w:rsid w:val="00C800FC"/>
    <w:rsid w:val="00C805C5"/>
    <w:rsid w:val="00C80971"/>
    <w:rsid w:val="00C82191"/>
    <w:rsid w:val="00C83134"/>
    <w:rsid w:val="00C841AF"/>
    <w:rsid w:val="00C84212"/>
    <w:rsid w:val="00C85545"/>
    <w:rsid w:val="00C8791B"/>
    <w:rsid w:val="00C90CF4"/>
    <w:rsid w:val="00C91838"/>
    <w:rsid w:val="00C92EB6"/>
    <w:rsid w:val="00C93389"/>
    <w:rsid w:val="00C93F1A"/>
    <w:rsid w:val="00C94401"/>
    <w:rsid w:val="00C94B63"/>
    <w:rsid w:val="00C952FB"/>
    <w:rsid w:val="00C96C30"/>
    <w:rsid w:val="00C976FB"/>
    <w:rsid w:val="00C978AC"/>
    <w:rsid w:val="00C97B70"/>
    <w:rsid w:val="00CA0914"/>
    <w:rsid w:val="00CA115A"/>
    <w:rsid w:val="00CA32CC"/>
    <w:rsid w:val="00CA3633"/>
    <w:rsid w:val="00CA6180"/>
    <w:rsid w:val="00CA6AB4"/>
    <w:rsid w:val="00CB0C2D"/>
    <w:rsid w:val="00CB26CA"/>
    <w:rsid w:val="00CB2B1B"/>
    <w:rsid w:val="00CB4930"/>
    <w:rsid w:val="00CB49A7"/>
    <w:rsid w:val="00CB5CF9"/>
    <w:rsid w:val="00CB61A2"/>
    <w:rsid w:val="00CB6A56"/>
    <w:rsid w:val="00CC0A09"/>
    <w:rsid w:val="00CC1203"/>
    <w:rsid w:val="00CC136E"/>
    <w:rsid w:val="00CC2E7D"/>
    <w:rsid w:val="00CC2F52"/>
    <w:rsid w:val="00CC5675"/>
    <w:rsid w:val="00CC5DB8"/>
    <w:rsid w:val="00CD10A5"/>
    <w:rsid w:val="00CD2076"/>
    <w:rsid w:val="00CD2937"/>
    <w:rsid w:val="00CD29B5"/>
    <w:rsid w:val="00CD2ACE"/>
    <w:rsid w:val="00CD3186"/>
    <w:rsid w:val="00CD3285"/>
    <w:rsid w:val="00CD3E07"/>
    <w:rsid w:val="00CD5415"/>
    <w:rsid w:val="00CD5BA3"/>
    <w:rsid w:val="00CD6331"/>
    <w:rsid w:val="00CD6446"/>
    <w:rsid w:val="00CD6507"/>
    <w:rsid w:val="00CD7B25"/>
    <w:rsid w:val="00CE05F4"/>
    <w:rsid w:val="00CE0E88"/>
    <w:rsid w:val="00CE27D8"/>
    <w:rsid w:val="00CE34B8"/>
    <w:rsid w:val="00CE4FB5"/>
    <w:rsid w:val="00CE603A"/>
    <w:rsid w:val="00CE670B"/>
    <w:rsid w:val="00CE6CEA"/>
    <w:rsid w:val="00CE6F57"/>
    <w:rsid w:val="00CE75B2"/>
    <w:rsid w:val="00CE765C"/>
    <w:rsid w:val="00CE7F0B"/>
    <w:rsid w:val="00CF0CDC"/>
    <w:rsid w:val="00CF1FC5"/>
    <w:rsid w:val="00CF22AF"/>
    <w:rsid w:val="00CF3AEF"/>
    <w:rsid w:val="00CF4908"/>
    <w:rsid w:val="00CF4BAA"/>
    <w:rsid w:val="00CF51EC"/>
    <w:rsid w:val="00CF5C9F"/>
    <w:rsid w:val="00CF64BE"/>
    <w:rsid w:val="00CF672C"/>
    <w:rsid w:val="00CF702F"/>
    <w:rsid w:val="00CF73AE"/>
    <w:rsid w:val="00CF7A05"/>
    <w:rsid w:val="00CF7B9A"/>
    <w:rsid w:val="00CF7CDF"/>
    <w:rsid w:val="00D0029C"/>
    <w:rsid w:val="00D00BA2"/>
    <w:rsid w:val="00D01C1C"/>
    <w:rsid w:val="00D02BD2"/>
    <w:rsid w:val="00D03317"/>
    <w:rsid w:val="00D040DD"/>
    <w:rsid w:val="00D047B6"/>
    <w:rsid w:val="00D05CD0"/>
    <w:rsid w:val="00D0710C"/>
    <w:rsid w:val="00D071D3"/>
    <w:rsid w:val="00D075BE"/>
    <w:rsid w:val="00D078E6"/>
    <w:rsid w:val="00D10007"/>
    <w:rsid w:val="00D134DC"/>
    <w:rsid w:val="00D13986"/>
    <w:rsid w:val="00D141F9"/>
    <w:rsid w:val="00D1517D"/>
    <w:rsid w:val="00D15220"/>
    <w:rsid w:val="00D160F5"/>
    <w:rsid w:val="00D16C1E"/>
    <w:rsid w:val="00D16D70"/>
    <w:rsid w:val="00D17AE6"/>
    <w:rsid w:val="00D17B73"/>
    <w:rsid w:val="00D2104D"/>
    <w:rsid w:val="00D21D83"/>
    <w:rsid w:val="00D235B7"/>
    <w:rsid w:val="00D23F7E"/>
    <w:rsid w:val="00D250DC"/>
    <w:rsid w:val="00D25F28"/>
    <w:rsid w:val="00D26071"/>
    <w:rsid w:val="00D26105"/>
    <w:rsid w:val="00D2768B"/>
    <w:rsid w:val="00D27914"/>
    <w:rsid w:val="00D27973"/>
    <w:rsid w:val="00D30A70"/>
    <w:rsid w:val="00D3310D"/>
    <w:rsid w:val="00D33CAC"/>
    <w:rsid w:val="00D33E27"/>
    <w:rsid w:val="00D34CC3"/>
    <w:rsid w:val="00D35921"/>
    <w:rsid w:val="00D35E1A"/>
    <w:rsid w:val="00D40424"/>
    <w:rsid w:val="00D425AB"/>
    <w:rsid w:val="00D47CD1"/>
    <w:rsid w:val="00D505CE"/>
    <w:rsid w:val="00D50F46"/>
    <w:rsid w:val="00D51C64"/>
    <w:rsid w:val="00D52CA1"/>
    <w:rsid w:val="00D57677"/>
    <w:rsid w:val="00D61326"/>
    <w:rsid w:val="00D630F1"/>
    <w:rsid w:val="00D633D2"/>
    <w:rsid w:val="00D64DD7"/>
    <w:rsid w:val="00D66223"/>
    <w:rsid w:val="00D71625"/>
    <w:rsid w:val="00D71EEE"/>
    <w:rsid w:val="00D73087"/>
    <w:rsid w:val="00D74BD3"/>
    <w:rsid w:val="00D75FE8"/>
    <w:rsid w:val="00D76112"/>
    <w:rsid w:val="00D76A18"/>
    <w:rsid w:val="00D8064E"/>
    <w:rsid w:val="00D8084C"/>
    <w:rsid w:val="00D80E50"/>
    <w:rsid w:val="00D81BE1"/>
    <w:rsid w:val="00D81FB9"/>
    <w:rsid w:val="00D827C6"/>
    <w:rsid w:val="00D82B11"/>
    <w:rsid w:val="00D83602"/>
    <w:rsid w:val="00D84DC1"/>
    <w:rsid w:val="00D8530D"/>
    <w:rsid w:val="00D85BA9"/>
    <w:rsid w:val="00D85D5E"/>
    <w:rsid w:val="00D87B10"/>
    <w:rsid w:val="00D90C5E"/>
    <w:rsid w:val="00D91566"/>
    <w:rsid w:val="00D915EA"/>
    <w:rsid w:val="00D92C17"/>
    <w:rsid w:val="00D9395B"/>
    <w:rsid w:val="00D94D95"/>
    <w:rsid w:val="00DA0A29"/>
    <w:rsid w:val="00DA235F"/>
    <w:rsid w:val="00DA24D0"/>
    <w:rsid w:val="00DA3C0A"/>
    <w:rsid w:val="00DA4C6E"/>
    <w:rsid w:val="00DA4E06"/>
    <w:rsid w:val="00DA4F20"/>
    <w:rsid w:val="00DA538E"/>
    <w:rsid w:val="00DA56D1"/>
    <w:rsid w:val="00DA7C0C"/>
    <w:rsid w:val="00DB08A9"/>
    <w:rsid w:val="00DB1312"/>
    <w:rsid w:val="00DB2EC8"/>
    <w:rsid w:val="00DB3858"/>
    <w:rsid w:val="00DB3F5C"/>
    <w:rsid w:val="00DB5E34"/>
    <w:rsid w:val="00DB759B"/>
    <w:rsid w:val="00DC0071"/>
    <w:rsid w:val="00DC1EF0"/>
    <w:rsid w:val="00DC5B3B"/>
    <w:rsid w:val="00DC713A"/>
    <w:rsid w:val="00DC7665"/>
    <w:rsid w:val="00DC774F"/>
    <w:rsid w:val="00DD0698"/>
    <w:rsid w:val="00DD129F"/>
    <w:rsid w:val="00DD1A46"/>
    <w:rsid w:val="00DD1D26"/>
    <w:rsid w:val="00DD27EF"/>
    <w:rsid w:val="00DD3153"/>
    <w:rsid w:val="00DD39A2"/>
    <w:rsid w:val="00DD5277"/>
    <w:rsid w:val="00DD5290"/>
    <w:rsid w:val="00DD5E62"/>
    <w:rsid w:val="00DE02BD"/>
    <w:rsid w:val="00DE0F3B"/>
    <w:rsid w:val="00DE2FD1"/>
    <w:rsid w:val="00DE3A08"/>
    <w:rsid w:val="00DF0CD6"/>
    <w:rsid w:val="00DF1F61"/>
    <w:rsid w:val="00DF42FF"/>
    <w:rsid w:val="00DF4435"/>
    <w:rsid w:val="00DF66E4"/>
    <w:rsid w:val="00DF6EF2"/>
    <w:rsid w:val="00DF7A52"/>
    <w:rsid w:val="00E00AB3"/>
    <w:rsid w:val="00E016D0"/>
    <w:rsid w:val="00E01C0E"/>
    <w:rsid w:val="00E02005"/>
    <w:rsid w:val="00E03F9A"/>
    <w:rsid w:val="00E04694"/>
    <w:rsid w:val="00E05A22"/>
    <w:rsid w:val="00E06132"/>
    <w:rsid w:val="00E11C33"/>
    <w:rsid w:val="00E12773"/>
    <w:rsid w:val="00E12B1E"/>
    <w:rsid w:val="00E136C1"/>
    <w:rsid w:val="00E13DC6"/>
    <w:rsid w:val="00E14EAC"/>
    <w:rsid w:val="00E15588"/>
    <w:rsid w:val="00E16B15"/>
    <w:rsid w:val="00E16F6F"/>
    <w:rsid w:val="00E17262"/>
    <w:rsid w:val="00E176F0"/>
    <w:rsid w:val="00E200D3"/>
    <w:rsid w:val="00E20290"/>
    <w:rsid w:val="00E20EAB"/>
    <w:rsid w:val="00E24AEA"/>
    <w:rsid w:val="00E24BA4"/>
    <w:rsid w:val="00E253A2"/>
    <w:rsid w:val="00E25D89"/>
    <w:rsid w:val="00E275EB"/>
    <w:rsid w:val="00E31220"/>
    <w:rsid w:val="00E3178F"/>
    <w:rsid w:val="00E328D2"/>
    <w:rsid w:val="00E3309D"/>
    <w:rsid w:val="00E3500A"/>
    <w:rsid w:val="00E36743"/>
    <w:rsid w:val="00E40373"/>
    <w:rsid w:val="00E40C69"/>
    <w:rsid w:val="00E40EF7"/>
    <w:rsid w:val="00E42FAF"/>
    <w:rsid w:val="00E44B44"/>
    <w:rsid w:val="00E46138"/>
    <w:rsid w:val="00E46470"/>
    <w:rsid w:val="00E47622"/>
    <w:rsid w:val="00E47EBA"/>
    <w:rsid w:val="00E50156"/>
    <w:rsid w:val="00E51643"/>
    <w:rsid w:val="00E527B2"/>
    <w:rsid w:val="00E53470"/>
    <w:rsid w:val="00E53883"/>
    <w:rsid w:val="00E539F6"/>
    <w:rsid w:val="00E54419"/>
    <w:rsid w:val="00E55345"/>
    <w:rsid w:val="00E57E83"/>
    <w:rsid w:val="00E613FA"/>
    <w:rsid w:val="00E6149A"/>
    <w:rsid w:val="00E61F4D"/>
    <w:rsid w:val="00E6289D"/>
    <w:rsid w:val="00E63EAC"/>
    <w:rsid w:val="00E64094"/>
    <w:rsid w:val="00E6519D"/>
    <w:rsid w:val="00E65BE3"/>
    <w:rsid w:val="00E67696"/>
    <w:rsid w:val="00E678F3"/>
    <w:rsid w:val="00E67C58"/>
    <w:rsid w:val="00E71A58"/>
    <w:rsid w:val="00E72A7A"/>
    <w:rsid w:val="00E7523C"/>
    <w:rsid w:val="00E75466"/>
    <w:rsid w:val="00E75B0D"/>
    <w:rsid w:val="00E75C94"/>
    <w:rsid w:val="00E762AD"/>
    <w:rsid w:val="00E76A3F"/>
    <w:rsid w:val="00E77E5C"/>
    <w:rsid w:val="00E80746"/>
    <w:rsid w:val="00E80B5C"/>
    <w:rsid w:val="00E80B8A"/>
    <w:rsid w:val="00E82E50"/>
    <w:rsid w:val="00E83143"/>
    <w:rsid w:val="00E84330"/>
    <w:rsid w:val="00E84959"/>
    <w:rsid w:val="00E85536"/>
    <w:rsid w:val="00E85E57"/>
    <w:rsid w:val="00E867C3"/>
    <w:rsid w:val="00E87952"/>
    <w:rsid w:val="00E879FB"/>
    <w:rsid w:val="00E914EF"/>
    <w:rsid w:val="00E92DFE"/>
    <w:rsid w:val="00E93820"/>
    <w:rsid w:val="00E94A86"/>
    <w:rsid w:val="00E955AA"/>
    <w:rsid w:val="00E96143"/>
    <w:rsid w:val="00E963D6"/>
    <w:rsid w:val="00E97C66"/>
    <w:rsid w:val="00EA0987"/>
    <w:rsid w:val="00EA0C68"/>
    <w:rsid w:val="00EA1095"/>
    <w:rsid w:val="00EA32BC"/>
    <w:rsid w:val="00EB2447"/>
    <w:rsid w:val="00EB4258"/>
    <w:rsid w:val="00EB42ED"/>
    <w:rsid w:val="00EB4511"/>
    <w:rsid w:val="00EB46EF"/>
    <w:rsid w:val="00EB4A3B"/>
    <w:rsid w:val="00EB4B95"/>
    <w:rsid w:val="00EB5AFB"/>
    <w:rsid w:val="00EB7212"/>
    <w:rsid w:val="00EB77C9"/>
    <w:rsid w:val="00EC03D7"/>
    <w:rsid w:val="00EC0DB3"/>
    <w:rsid w:val="00EC115D"/>
    <w:rsid w:val="00EC17DB"/>
    <w:rsid w:val="00EC1F2D"/>
    <w:rsid w:val="00EC2996"/>
    <w:rsid w:val="00EC34DF"/>
    <w:rsid w:val="00EC40E8"/>
    <w:rsid w:val="00EC51BB"/>
    <w:rsid w:val="00EC6630"/>
    <w:rsid w:val="00EC7F02"/>
    <w:rsid w:val="00ED0337"/>
    <w:rsid w:val="00ED03A0"/>
    <w:rsid w:val="00ED0E37"/>
    <w:rsid w:val="00ED2AE4"/>
    <w:rsid w:val="00ED3ECA"/>
    <w:rsid w:val="00ED59D0"/>
    <w:rsid w:val="00ED62C6"/>
    <w:rsid w:val="00ED64C1"/>
    <w:rsid w:val="00ED7B4E"/>
    <w:rsid w:val="00EE09CB"/>
    <w:rsid w:val="00EE10D0"/>
    <w:rsid w:val="00EE2A7B"/>
    <w:rsid w:val="00EE3446"/>
    <w:rsid w:val="00EE3E78"/>
    <w:rsid w:val="00EE4B1B"/>
    <w:rsid w:val="00EE515A"/>
    <w:rsid w:val="00EE6242"/>
    <w:rsid w:val="00EE7F19"/>
    <w:rsid w:val="00EE7FAB"/>
    <w:rsid w:val="00EF150D"/>
    <w:rsid w:val="00EF1C85"/>
    <w:rsid w:val="00EF1F5A"/>
    <w:rsid w:val="00EF325E"/>
    <w:rsid w:val="00EF333C"/>
    <w:rsid w:val="00EF3538"/>
    <w:rsid w:val="00EF47BF"/>
    <w:rsid w:val="00EF48AB"/>
    <w:rsid w:val="00EF6A41"/>
    <w:rsid w:val="00EF7BC2"/>
    <w:rsid w:val="00F0185A"/>
    <w:rsid w:val="00F01B67"/>
    <w:rsid w:val="00F02A9B"/>
    <w:rsid w:val="00F04811"/>
    <w:rsid w:val="00F0488C"/>
    <w:rsid w:val="00F04F38"/>
    <w:rsid w:val="00F05157"/>
    <w:rsid w:val="00F05A59"/>
    <w:rsid w:val="00F07110"/>
    <w:rsid w:val="00F10432"/>
    <w:rsid w:val="00F10F11"/>
    <w:rsid w:val="00F12233"/>
    <w:rsid w:val="00F1277D"/>
    <w:rsid w:val="00F12B0B"/>
    <w:rsid w:val="00F12E85"/>
    <w:rsid w:val="00F14A26"/>
    <w:rsid w:val="00F15AAA"/>
    <w:rsid w:val="00F15BEF"/>
    <w:rsid w:val="00F169B9"/>
    <w:rsid w:val="00F17893"/>
    <w:rsid w:val="00F214D6"/>
    <w:rsid w:val="00F21BF9"/>
    <w:rsid w:val="00F22047"/>
    <w:rsid w:val="00F24407"/>
    <w:rsid w:val="00F24931"/>
    <w:rsid w:val="00F24A18"/>
    <w:rsid w:val="00F24FAA"/>
    <w:rsid w:val="00F25368"/>
    <w:rsid w:val="00F256FA"/>
    <w:rsid w:val="00F25C3D"/>
    <w:rsid w:val="00F25D36"/>
    <w:rsid w:val="00F26B70"/>
    <w:rsid w:val="00F2764F"/>
    <w:rsid w:val="00F2776B"/>
    <w:rsid w:val="00F27853"/>
    <w:rsid w:val="00F27C9E"/>
    <w:rsid w:val="00F30E9D"/>
    <w:rsid w:val="00F32A0E"/>
    <w:rsid w:val="00F32A3C"/>
    <w:rsid w:val="00F3364D"/>
    <w:rsid w:val="00F33667"/>
    <w:rsid w:val="00F33D7E"/>
    <w:rsid w:val="00F3443C"/>
    <w:rsid w:val="00F3462D"/>
    <w:rsid w:val="00F3571A"/>
    <w:rsid w:val="00F361AD"/>
    <w:rsid w:val="00F403B3"/>
    <w:rsid w:val="00F4214D"/>
    <w:rsid w:val="00F42496"/>
    <w:rsid w:val="00F437CC"/>
    <w:rsid w:val="00F44537"/>
    <w:rsid w:val="00F44B6A"/>
    <w:rsid w:val="00F45E99"/>
    <w:rsid w:val="00F4688D"/>
    <w:rsid w:val="00F47067"/>
    <w:rsid w:val="00F47341"/>
    <w:rsid w:val="00F51BF8"/>
    <w:rsid w:val="00F51CA5"/>
    <w:rsid w:val="00F51D7D"/>
    <w:rsid w:val="00F525EB"/>
    <w:rsid w:val="00F52E00"/>
    <w:rsid w:val="00F530F8"/>
    <w:rsid w:val="00F542D6"/>
    <w:rsid w:val="00F55D41"/>
    <w:rsid w:val="00F55E62"/>
    <w:rsid w:val="00F55EF3"/>
    <w:rsid w:val="00F567AD"/>
    <w:rsid w:val="00F5766E"/>
    <w:rsid w:val="00F57EF6"/>
    <w:rsid w:val="00F6132C"/>
    <w:rsid w:val="00F62DAD"/>
    <w:rsid w:val="00F62F30"/>
    <w:rsid w:val="00F63DDE"/>
    <w:rsid w:val="00F63FB7"/>
    <w:rsid w:val="00F6421B"/>
    <w:rsid w:val="00F649D2"/>
    <w:rsid w:val="00F6602B"/>
    <w:rsid w:val="00F6699E"/>
    <w:rsid w:val="00F678E2"/>
    <w:rsid w:val="00F70DA3"/>
    <w:rsid w:val="00F71ED4"/>
    <w:rsid w:val="00F726D3"/>
    <w:rsid w:val="00F72A27"/>
    <w:rsid w:val="00F7396B"/>
    <w:rsid w:val="00F73A03"/>
    <w:rsid w:val="00F73A0C"/>
    <w:rsid w:val="00F73DC2"/>
    <w:rsid w:val="00F74580"/>
    <w:rsid w:val="00F747FB"/>
    <w:rsid w:val="00F74C5B"/>
    <w:rsid w:val="00F756DB"/>
    <w:rsid w:val="00F8143E"/>
    <w:rsid w:val="00F8279A"/>
    <w:rsid w:val="00F82A88"/>
    <w:rsid w:val="00F83FCE"/>
    <w:rsid w:val="00F842CA"/>
    <w:rsid w:val="00F84381"/>
    <w:rsid w:val="00F84A11"/>
    <w:rsid w:val="00F84E7D"/>
    <w:rsid w:val="00F85066"/>
    <w:rsid w:val="00F857FF"/>
    <w:rsid w:val="00F858E6"/>
    <w:rsid w:val="00F86294"/>
    <w:rsid w:val="00F87A4D"/>
    <w:rsid w:val="00F9005D"/>
    <w:rsid w:val="00F91C37"/>
    <w:rsid w:val="00F934BA"/>
    <w:rsid w:val="00F9438D"/>
    <w:rsid w:val="00F97562"/>
    <w:rsid w:val="00F9785E"/>
    <w:rsid w:val="00FA040D"/>
    <w:rsid w:val="00FA0D8F"/>
    <w:rsid w:val="00FA1025"/>
    <w:rsid w:val="00FA2CFE"/>
    <w:rsid w:val="00FA38CB"/>
    <w:rsid w:val="00FA5AA6"/>
    <w:rsid w:val="00FA5B81"/>
    <w:rsid w:val="00FA5D4D"/>
    <w:rsid w:val="00FA60E1"/>
    <w:rsid w:val="00FA7AAE"/>
    <w:rsid w:val="00FA7F2F"/>
    <w:rsid w:val="00FB0B0C"/>
    <w:rsid w:val="00FB0CE3"/>
    <w:rsid w:val="00FB0EE2"/>
    <w:rsid w:val="00FB1FE2"/>
    <w:rsid w:val="00FB2A15"/>
    <w:rsid w:val="00FB4820"/>
    <w:rsid w:val="00FB4E50"/>
    <w:rsid w:val="00FB5207"/>
    <w:rsid w:val="00FB542E"/>
    <w:rsid w:val="00FB612F"/>
    <w:rsid w:val="00FB613E"/>
    <w:rsid w:val="00FC0E5F"/>
    <w:rsid w:val="00FC11AF"/>
    <w:rsid w:val="00FC1A95"/>
    <w:rsid w:val="00FC270D"/>
    <w:rsid w:val="00FC3B85"/>
    <w:rsid w:val="00FC3F37"/>
    <w:rsid w:val="00FC56DE"/>
    <w:rsid w:val="00FC58D0"/>
    <w:rsid w:val="00FC6545"/>
    <w:rsid w:val="00FC684B"/>
    <w:rsid w:val="00FC7989"/>
    <w:rsid w:val="00FC7F37"/>
    <w:rsid w:val="00FD1407"/>
    <w:rsid w:val="00FD18EA"/>
    <w:rsid w:val="00FD1CBA"/>
    <w:rsid w:val="00FD2E17"/>
    <w:rsid w:val="00FD3265"/>
    <w:rsid w:val="00FD4559"/>
    <w:rsid w:val="00FD4AAD"/>
    <w:rsid w:val="00FE2EB4"/>
    <w:rsid w:val="00FE2F78"/>
    <w:rsid w:val="00FE3A47"/>
    <w:rsid w:val="00FE40D5"/>
    <w:rsid w:val="00FE59C6"/>
    <w:rsid w:val="00FE6150"/>
    <w:rsid w:val="00FF226F"/>
    <w:rsid w:val="00FF2E5E"/>
    <w:rsid w:val="00FF2FD7"/>
    <w:rsid w:val="00FF38D1"/>
    <w:rsid w:val="00FF6933"/>
    <w:rsid w:val="00FF6D79"/>
    <w:rsid w:val="00FF6FB2"/>
    <w:rsid w:val="00FF719E"/>
    <w:rsid w:val="00FF730D"/>
    <w:rsid w:val="00FF735D"/>
    <w:rsid w:val="00FF7B9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16D78745"/>
  <w15:docId w15:val="{FC3C9807-8A20-484D-A937-0CB633FC8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64FA0"/>
    <w:pPr>
      <w:spacing w:after="240" w:line="276" w:lineRule="auto"/>
      <w:jc w:val="both"/>
    </w:pPr>
    <w:rPr>
      <w:rFonts w:ascii="Arial" w:eastAsia="Times New Roman" w:hAnsi="Arial"/>
      <w:szCs w:val="24"/>
      <w:lang w:val="en-GB" w:eastAsia="cs-CZ"/>
    </w:rPr>
  </w:style>
  <w:style w:type="paragraph" w:styleId="Nadpis1">
    <w:name w:val="heading 1"/>
    <w:next w:val="Normln"/>
    <w:link w:val="Nadpis1Char"/>
    <w:uiPriority w:val="9"/>
    <w:qFormat/>
    <w:rsid w:val="00EA0987"/>
    <w:pPr>
      <w:keepNext/>
      <w:keepLines/>
      <w:spacing w:after="100" w:line="276" w:lineRule="auto"/>
      <w:contextualSpacing/>
      <w:outlineLvl w:val="0"/>
    </w:pPr>
    <w:rPr>
      <w:rFonts w:ascii="Arial" w:eastAsia="MS Gothic" w:hAnsi="Arial"/>
      <w:b/>
      <w:bCs/>
      <w:color w:val="86BF5E"/>
      <w:sz w:val="32"/>
      <w:szCs w:val="28"/>
      <w:lang w:eastAsia="cs-CZ"/>
    </w:rPr>
  </w:style>
  <w:style w:type="paragraph" w:styleId="Nadpis2">
    <w:name w:val="heading 2"/>
    <w:next w:val="Normln"/>
    <w:link w:val="Nadpis2Char"/>
    <w:uiPriority w:val="9"/>
    <w:qFormat/>
    <w:rsid w:val="00EA0987"/>
    <w:pPr>
      <w:keepNext/>
      <w:keepLines/>
      <w:spacing w:line="276" w:lineRule="auto"/>
      <w:outlineLvl w:val="1"/>
    </w:pPr>
    <w:rPr>
      <w:rFonts w:ascii="Arial" w:eastAsia="MS Gothic" w:hAnsi="Arial"/>
      <w:b/>
      <w:bCs/>
      <w:color w:val="86BF5E"/>
      <w:sz w:val="28"/>
      <w:szCs w:val="26"/>
      <w:lang w:eastAsia="cs-CZ"/>
    </w:rPr>
  </w:style>
  <w:style w:type="paragraph" w:styleId="Nadpis3">
    <w:name w:val="heading 3"/>
    <w:next w:val="Normln"/>
    <w:link w:val="Nadpis3Char"/>
    <w:uiPriority w:val="9"/>
    <w:qFormat/>
    <w:rsid w:val="00EA0987"/>
    <w:pPr>
      <w:keepNext/>
      <w:keepLines/>
      <w:spacing w:line="276" w:lineRule="auto"/>
      <w:outlineLvl w:val="2"/>
    </w:pPr>
    <w:rPr>
      <w:rFonts w:ascii="Arial" w:eastAsia="MS Gothic" w:hAnsi="Arial"/>
      <w:b/>
      <w:bCs/>
      <w:color w:val="86BF5E"/>
      <w:sz w:val="24"/>
      <w:szCs w:val="24"/>
      <w:lang w:eastAsia="cs-CZ"/>
    </w:rPr>
  </w:style>
  <w:style w:type="paragraph" w:styleId="Nadpis4">
    <w:name w:val="heading 4"/>
    <w:next w:val="Normln"/>
    <w:link w:val="Nadpis4Char"/>
    <w:uiPriority w:val="9"/>
    <w:qFormat/>
    <w:rsid w:val="0041041D"/>
    <w:pPr>
      <w:keepNext/>
      <w:keepLines/>
      <w:spacing w:line="276" w:lineRule="auto"/>
      <w:outlineLvl w:val="3"/>
    </w:pPr>
    <w:rPr>
      <w:rFonts w:ascii="Arial" w:eastAsia="MS Gothic" w:hAnsi="Arial"/>
      <w:b/>
      <w:bCs/>
      <w:iCs/>
      <w:color w:val="86BF5E"/>
      <w:szCs w:val="24"/>
      <w:lang w:eastAsia="cs-CZ"/>
    </w:rPr>
  </w:style>
  <w:style w:type="paragraph" w:styleId="Nadpis5">
    <w:name w:val="heading 5"/>
    <w:basedOn w:val="Normln"/>
    <w:next w:val="Normln"/>
    <w:link w:val="Nadpis5Char"/>
    <w:uiPriority w:val="9"/>
    <w:semiHidden/>
    <w:unhideWhenUsed/>
    <w:rsid w:val="007A516D"/>
    <w:pPr>
      <w:keepNext/>
      <w:keepLines/>
      <w:numPr>
        <w:ilvl w:val="4"/>
        <w:numId w:val="14"/>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7A516D"/>
    <w:pPr>
      <w:keepNext/>
      <w:keepLines/>
      <w:numPr>
        <w:ilvl w:val="5"/>
        <w:numId w:val="14"/>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7A516D"/>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7A516D"/>
    <w:pPr>
      <w:keepNext/>
      <w:keepLines/>
      <w:numPr>
        <w:ilvl w:val="7"/>
        <w:numId w:val="14"/>
      </w:numPr>
      <w:spacing w:before="200" w:after="0"/>
      <w:outlineLvl w:val="7"/>
    </w:pPr>
    <w:rPr>
      <w:rFonts w:asciiTheme="majorHAnsi" w:eastAsiaTheme="majorEastAsia" w:hAnsiTheme="majorHAnsi" w:cstheme="majorBidi"/>
      <w:color w:val="404040" w:themeColor="text1" w:themeTint="BF"/>
      <w:szCs w:val="20"/>
    </w:rPr>
  </w:style>
  <w:style w:type="paragraph" w:styleId="Nadpis9">
    <w:name w:val="heading 9"/>
    <w:basedOn w:val="Normln"/>
    <w:next w:val="Normln"/>
    <w:link w:val="Nadpis9Char"/>
    <w:uiPriority w:val="9"/>
    <w:semiHidden/>
    <w:unhideWhenUsed/>
    <w:qFormat/>
    <w:rsid w:val="007A516D"/>
    <w:pPr>
      <w:numPr>
        <w:ilvl w:val="8"/>
        <w:numId w:val="14"/>
      </w:num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qFormat/>
    <w:rsid w:val="00EA0987"/>
    <w:rPr>
      <w:rFonts w:ascii="Arial" w:eastAsia="MS Gothic" w:hAnsi="Arial"/>
      <w:b/>
      <w:bCs/>
      <w:color w:val="86BF5E"/>
      <w:sz w:val="32"/>
      <w:szCs w:val="28"/>
      <w:lang w:eastAsia="cs-CZ"/>
    </w:rPr>
  </w:style>
  <w:style w:type="character" w:customStyle="1" w:styleId="Nadpis2Char">
    <w:name w:val="Nadpis 2 Char"/>
    <w:link w:val="Nadpis2"/>
    <w:uiPriority w:val="9"/>
    <w:rsid w:val="00EA0987"/>
    <w:rPr>
      <w:rFonts w:ascii="Arial" w:eastAsia="MS Gothic" w:hAnsi="Arial"/>
      <w:b/>
      <w:bCs/>
      <w:color w:val="86BF5E"/>
      <w:sz w:val="28"/>
      <w:szCs w:val="26"/>
      <w:lang w:eastAsia="cs-CZ"/>
    </w:rPr>
  </w:style>
  <w:style w:type="character" w:customStyle="1" w:styleId="Nadpis3Char">
    <w:name w:val="Nadpis 3 Char"/>
    <w:link w:val="Nadpis3"/>
    <w:uiPriority w:val="9"/>
    <w:rsid w:val="00EA0987"/>
    <w:rPr>
      <w:rFonts w:ascii="Arial" w:eastAsia="MS Gothic" w:hAnsi="Arial"/>
      <w:b/>
      <w:bCs/>
      <w:color w:val="86BF5E"/>
      <w:sz w:val="24"/>
      <w:szCs w:val="24"/>
      <w:lang w:eastAsia="cs-CZ"/>
    </w:rPr>
  </w:style>
  <w:style w:type="character" w:customStyle="1" w:styleId="Nadpis4Char">
    <w:name w:val="Nadpis 4 Char"/>
    <w:link w:val="Nadpis4"/>
    <w:uiPriority w:val="9"/>
    <w:rsid w:val="0041041D"/>
    <w:rPr>
      <w:rFonts w:ascii="Arial" w:eastAsia="MS Gothic" w:hAnsi="Arial"/>
      <w:b/>
      <w:bCs/>
      <w:iCs/>
      <w:color w:val="86BF5E"/>
      <w:szCs w:val="24"/>
      <w:lang w:eastAsia="cs-CZ"/>
    </w:rPr>
  </w:style>
  <w:style w:type="character" w:customStyle="1" w:styleId="Nadpis9Char">
    <w:name w:val="Nadpis 9 Char"/>
    <w:link w:val="Nadpis9"/>
    <w:uiPriority w:val="9"/>
    <w:semiHidden/>
    <w:rsid w:val="007A516D"/>
    <w:rPr>
      <w:rFonts w:ascii="Cambria" w:eastAsia="Times New Roman" w:hAnsi="Cambria"/>
      <w:sz w:val="22"/>
      <w:szCs w:val="22"/>
      <w:lang w:eastAsia="cs-CZ"/>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iPriority w:val="99"/>
    <w:unhideWhenUsed/>
    <w:qFormat/>
    <w:rsid w:val="00031AE0"/>
    <w:pPr>
      <w:tabs>
        <w:tab w:val="center" w:pos="4820"/>
        <w:tab w:val="right" w:pos="9639"/>
      </w:tabs>
    </w:pPr>
    <w:rPr>
      <w:rFonts w:ascii="Arial" w:hAnsi="Arial" w:cs="Arial"/>
      <w:noProof/>
      <w:sz w:val="16"/>
    </w:rPr>
  </w:style>
  <w:style w:type="character" w:customStyle="1" w:styleId="ZpatChar">
    <w:name w:val="Zápatí Char"/>
    <w:link w:val="Zpat"/>
    <w:uiPriority w:val="99"/>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lang w:val="x-none" w:eastAsia="x-none"/>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lang w:eastAsia="cs-CZ"/>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lang w:eastAsia="cs-CZ"/>
    </w:rPr>
  </w:style>
  <w:style w:type="paragraph" w:customStyle="1" w:styleId="Obsah">
    <w:name w:val="Obsah"/>
    <w:next w:val="Normln"/>
    <w:qFormat/>
    <w:rsid w:val="000A57D4"/>
    <w:pPr>
      <w:spacing w:after="80" w:line="288" w:lineRule="auto"/>
    </w:pPr>
    <w:rPr>
      <w:rFonts w:ascii="Arial" w:eastAsia="Times New Roman" w:hAnsi="Arial"/>
      <w:b/>
      <w:color w:val="86BF5E"/>
      <w:sz w:val="32"/>
      <w:szCs w:val="24"/>
      <w:lang w:eastAsia="cs-CZ"/>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lang w:eastAsia="cs-CZ"/>
    </w:rPr>
  </w:style>
  <w:style w:type="paragraph" w:customStyle="1" w:styleId="A-Box1">
    <w:name w:val="A-Box 1"/>
    <w:next w:val="Normln"/>
    <w:qFormat/>
    <w:rsid w:val="00EA0987"/>
    <w:pPr>
      <w:shd w:val="clear" w:color="auto" w:fill="F0F6E9"/>
      <w:spacing w:before="240" w:after="240" w:line="276" w:lineRule="auto"/>
      <w:contextualSpacing/>
      <w:jc w:val="both"/>
    </w:pPr>
    <w:rPr>
      <w:rFonts w:ascii="Arial" w:hAnsi="Arial" w:cs="Arial"/>
      <w:lang w:eastAsia="cs-CZ"/>
    </w:rPr>
  </w:style>
  <w:style w:type="paragraph" w:customStyle="1" w:styleId="A-Box2">
    <w:name w:val="A-Box 2"/>
    <w:next w:val="Normln"/>
    <w:qFormat/>
    <w:rsid w:val="00EA0987"/>
    <w:pPr>
      <w:spacing w:before="240" w:after="240" w:line="276" w:lineRule="auto"/>
      <w:contextualSpacing/>
      <w:jc w:val="both"/>
    </w:pPr>
    <w:rPr>
      <w:rFonts w:ascii="Arial" w:hAnsi="Arial" w:cs="Arial"/>
      <w:color w:val="86BF5E"/>
      <w:lang w:eastAsia="cs-CZ"/>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0A57D4"/>
    <w:pPr>
      <w:spacing w:after="40"/>
      <w:contextualSpacing/>
    </w:pPr>
    <w:rPr>
      <w:b/>
      <w:caps/>
      <w:sz w:val="24"/>
    </w:rPr>
  </w:style>
  <w:style w:type="paragraph" w:customStyle="1" w:styleId="TLKontakty">
    <w:name w:val="TL Kontakty"/>
    <w:qFormat/>
    <w:rsid w:val="000A57D4"/>
    <w:pPr>
      <w:spacing w:after="160" w:line="259" w:lineRule="auto"/>
      <w:contextualSpacing/>
    </w:pPr>
    <w:rPr>
      <w:rFonts w:ascii="Arial" w:eastAsia="Times New Roman" w:hAnsi="Arial"/>
      <w:b/>
      <w:color w:val="86BF5E"/>
      <w:lang w:eastAsia="cs-CZ"/>
    </w:rPr>
  </w:style>
  <w:style w:type="paragraph" w:styleId="Nzev">
    <w:name w:val="Title"/>
    <w:link w:val="NzevChar"/>
    <w:uiPriority w:val="10"/>
    <w:qFormat/>
    <w:rsid w:val="001E6062"/>
    <w:pPr>
      <w:spacing w:line="288" w:lineRule="auto"/>
    </w:pPr>
    <w:rPr>
      <w:rFonts w:ascii="Arial" w:eastAsia="Times New Roman" w:hAnsi="Arial"/>
      <w:b/>
      <w:bCs/>
      <w:caps/>
      <w:color w:val="000000" w:themeColor="text1"/>
      <w:kern w:val="28"/>
      <w:sz w:val="56"/>
      <w:szCs w:val="32"/>
      <w:lang w:eastAsia="cs-CZ"/>
    </w:rPr>
  </w:style>
  <w:style w:type="character" w:customStyle="1" w:styleId="NzevChar">
    <w:name w:val="Název Char"/>
    <w:link w:val="Nzev"/>
    <w:uiPriority w:val="10"/>
    <w:rsid w:val="001E6062"/>
    <w:rPr>
      <w:rFonts w:ascii="Arial" w:eastAsia="Times New Roman" w:hAnsi="Arial"/>
      <w:b/>
      <w:bCs/>
      <w:caps/>
      <w:color w:val="000000" w:themeColor="text1"/>
      <w:kern w:val="28"/>
      <w:sz w:val="56"/>
      <w:szCs w:val="32"/>
      <w:lang w:eastAsia="cs-CZ"/>
    </w:rPr>
  </w:style>
  <w:style w:type="paragraph" w:styleId="Podnadpis">
    <w:name w:val="Subtitle"/>
    <w:link w:val="PodnadpisChar"/>
    <w:uiPriority w:val="11"/>
    <w:qFormat/>
    <w:rsid w:val="001E6062"/>
    <w:pPr>
      <w:spacing w:line="288" w:lineRule="auto"/>
    </w:pPr>
    <w:rPr>
      <w:rFonts w:ascii="Arial" w:eastAsia="Times New Roman" w:hAnsi="Arial" w:cs="Arial"/>
      <w:b/>
      <w:color w:val="000000" w:themeColor="text1"/>
      <w:sz w:val="28"/>
      <w:szCs w:val="24"/>
      <w:lang w:eastAsia="cs-CZ"/>
    </w:rPr>
  </w:style>
  <w:style w:type="character" w:customStyle="1" w:styleId="PodnadpisChar">
    <w:name w:val="Podnadpis Char"/>
    <w:link w:val="Podnadpis"/>
    <w:uiPriority w:val="11"/>
    <w:rsid w:val="001E6062"/>
    <w:rPr>
      <w:rFonts w:ascii="Arial" w:eastAsia="Times New Roman" w:hAnsi="Arial" w:cs="Arial"/>
      <w:b/>
      <w:color w:val="000000" w:themeColor="text1"/>
      <w:sz w:val="28"/>
      <w:szCs w:val="24"/>
      <w:lang w:eastAsia="cs-CZ"/>
    </w:rPr>
  </w:style>
  <w:style w:type="paragraph" w:styleId="Obsah2">
    <w:name w:val="toc 2"/>
    <w:basedOn w:val="Obsahpoloky"/>
    <w:next w:val="Obsahpoloky"/>
    <w:autoRedefine/>
    <w:uiPriority w:val="39"/>
    <w:unhideWhenUsed/>
    <w:rsid w:val="00FC1A95"/>
    <w:pPr>
      <w:ind w:left="200"/>
    </w:pPr>
  </w:style>
  <w:style w:type="paragraph" w:styleId="Obsah3">
    <w:name w:val="toc 3"/>
    <w:basedOn w:val="Obsahpoloky"/>
    <w:next w:val="Obsahpoloky"/>
    <w:autoRedefine/>
    <w:uiPriority w:val="39"/>
    <w:unhideWhenUsed/>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character" w:customStyle="1" w:styleId="Nadpis5Char">
    <w:name w:val="Nadpis 5 Char"/>
    <w:basedOn w:val="Standardnpsmoodstavce"/>
    <w:link w:val="Nadpis5"/>
    <w:uiPriority w:val="9"/>
    <w:semiHidden/>
    <w:rsid w:val="007A516D"/>
    <w:rPr>
      <w:rFonts w:asciiTheme="majorHAnsi" w:eastAsiaTheme="majorEastAsia" w:hAnsiTheme="majorHAnsi" w:cstheme="majorBidi"/>
      <w:color w:val="243F60" w:themeColor="accent1" w:themeShade="7F"/>
      <w:szCs w:val="24"/>
      <w:lang w:eastAsia="cs-CZ"/>
    </w:rPr>
  </w:style>
  <w:style w:type="character" w:customStyle="1" w:styleId="Nadpis6Char">
    <w:name w:val="Nadpis 6 Char"/>
    <w:basedOn w:val="Standardnpsmoodstavce"/>
    <w:link w:val="Nadpis6"/>
    <w:uiPriority w:val="9"/>
    <w:semiHidden/>
    <w:rsid w:val="007A516D"/>
    <w:rPr>
      <w:rFonts w:asciiTheme="majorHAnsi" w:eastAsiaTheme="majorEastAsia" w:hAnsiTheme="majorHAnsi" w:cstheme="majorBidi"/>
      <w:i/>
      <w:iCs/>
      <w:color w:val="243F60" w:themeColor="accent1" w:themeShade="7F"/>
      <w:szCs w:val="24"/>
      <w:lang w:eastAsia="cs-CZ"/>
    </w:rPr>
  </w:style>
  <w:style w:type="character" w:customStyle="1" w:styleId="Nadpis7Char">
    <w:name w:val="Nadpis 7 Char"/>
    <w:basedOn w:val="Standardnpsmoodstavce"/>
    <w:link w:val="Nadpis7"/>
    <w:uiPriority w:val="9"/>
    <w:semiHidden/>
    <w:rsid w:val="007A516D"/>
    <w:rPr>
      <w:rFonts w:asciiTheme="majorHAnsi" w:eastAsiaTheme="majorEastAsia" w:hAnsiTheme="majorHAnsi" w:cstheme="majorBidi"/>
      <w:i/>
      <w:iCs/>
      <w:color w:val="404040" w:themeColor="text1" w:themeTint="BF"/>
      <w:szCs w:val="24"/>
      <w:lang w:eastAsia="cs-CZ"/>
    </w:rPr>
  </w:style>
  <w:style w:type="character" w:customStyle="1" w:styleId="Nadpis8Char">
    <w:name w:val="Nadpis 8 Char"/>
    <w:basedOn w:val="Standardnpsmoodstavce"/>
    <w:link w:val="Nadpis8"/>
    <w:uiPriority w:val="9"/>
    <w:semiHidden/>
    <w:rsid w:val="007A516D"/>
    <w:rPr>
      <w:rFonts w:asciiTheme="majorHAnsi" w:eastAsiaTheme="majorEastAsia" w:hAnsiTheme="majorHAnsi" w:cstheme="majorBidi"/>
      <w:color w:val="404040" w:themeColor="text1" w:themeTint="BF"/>
      <w:lang w:eastAsia="cs-CZ"/>
    </w:rPr>
  </w:style>
  <w:style w:type="paragraph" w:styleId="Textpoznpodarou">
    <w:name w:val="footnote text"/>
    <w:aliases w:val="Text pozn. pod čarou_martin_ang"/>
    <w:basedOn w:val="Normln"/>
    <w:link w:val="TextpoznpodarouChar"/>
    <w:qFormat/>
    <w:rsid w:val="008E7FC9"/>
    <w:pPr>
      <w:spacing w:after="0" w:line="240" w:lineRule="auto"/>
      <w:jc w:val="left"/>
    </w:pPr>
    <w:rPr>
      <w:rFonts w:eastAsia="Calibri"/>
      <w:szCs w:val="20"/>
    </w:rPr>
  </w:style>
  <w:style w:type="character" w:customStyle="1" w:styleId="TextpoznpodarouChar">
    <w:name w:val="Text pozn. pod čarou Char"/>
    <w:aliases w:val="Text pozn. pod čarou_martin_ang Char"/>
    <w:basedOn w:val="Standardnpsmoodstavce"/>
    <w:link w:val="Textpoznpodarou"/>
    <w:qFormat/>
    <w:rsid w:val="008E7FC9"/>
    <w:rPr>
      <w:rFonts w:ascii="Arial" w:hAnsi="Arial"/>
      <w:lang w:eastAsia="cs-CZ"/>
    </w:rPr>
  </w:style>
  <w:style w:type="paragraph" w:styleId="Bezmezer">
    <w:name w:val="No Spacing"/>
    <w:uiPriority w:val="1"/>
    <w:qFormat/>
    <w:rsid w:val="00AD68C4"/>
    <w:pPr>
      <w:jc w:val="both"/>
    </w:pPr>
    <w:rPr>
      <w:rFonts w:ascii="Arial" w:eastAsia="Times New Roman" w:hAnsi="Arial"/>
      <w:szCs w:val="24"/>
      <w:lang w:eastAsia="cs-CZ"/>
    </w:rPr>
  </w:style>
  <w:style w:type="paragraph" w:customStyle="1" w:styleId="Marginlie">
    <w:name w:val="Marginálie"/>
    <w:basedOn w:val="Normln"/>
    <w:qFormat/>
    <w:rsid w:val="0089296D"/>
    <w:pPr>
      <w:spacing w:after="0"/>
      <w:jc w:val="left"/>
    </w:pPr>
    <w:rPr>
      <w:spacing w:val="-2"/>
      <w:sz w:val="16"/>
      <w:szCs w:val="16"/>
    </w:rPr>
  </w:style>
  <w:style w:type="paragraph" w:styleId="Odstavecseseznamem">
    <w:name w:val="List Paragraph"/>
    <w:basedOn w:val="Normln"/>
    <w:link w:val="OdstavecseseznamemChar"/>
    <w:uiPriority w:val="34"/>
    <w:qFormat/>
    <w:rsid w:val="006B0F92"/>
    <w:pPr>
      <w:ind w:left="720"/>
      <w:contextualSpacing/>
    </w:pPr>
  </w:style>
  <w:style w:type="paragraph" w:customStyle="1" w:styleId="Normalodrka">
    <w:name w:val="Normal odrážka"/>
    <w:qFormat/>
    <w:rsid w:val="006B0F92"/>
    <w:pPr>
      <w:numPr>
        <w:numId w:val="20"/>
      </w:numPr>
      <w:spacing w:after="240" w:line="276" w:lineRule="auto"/>
      <w:ind w:left="357" w:hanging="357"/>
      <w:jc w:val="both"/>
    </w:pPr>
    <w:rPr>
      <w:rFonts w:ascii="Arial" w:eastAsia="Times New Roman" w:hAnsi="Arial"/>
      <w:szCs w:val="24"/>
      <w:lang w:eastAsia="cs-CZ"/>
    </w:rPr>
  </w:style>
  <w:style w:type="paragraph" w:customStyle="1" w:styleId="Box1">
    <w:name w:val="Box 1"/>
    <w:next w:val="Normln"/>
    <w:qFormat/>
    <w:rsid w:val="00EA0987"/>
    <w:pPr>
      <w:shd w:val="clear" w:color="auto" w:fill="F0F6E9"/>
      <w:spacing w:before="240" w:after="240" w:line="276" w:lineRule="auto"/>
      <w:ind w:left="709"/>
      <w:contextualSpacing/>
      <w:jc w:val="both"/>
    </w:pPr>
    <w:rPr>
      <w:rFonts w:ascii="Arial" w:hAnsi="Arial" w:cs="Arial"/>
      <w:lang w:eastAsia="cs-CZ"/>
    </w:rPr>
  </w:style>
  <w:style w:type="paragraph" w:customStyle="1" w:styleId="Box2">
    <w:name w:val="Box 2"/>
    <w:next w:val="Normln"/>
    <w:qFormat/>
    <w:rsid w:val="00EA0987"/>
    <w:pPr>
      <w:spacing w:before="240" w:after="240" w:line="276" w:lineRule="auto"/>
      <w:ind w:left="709"/>
      <w:contextualSpacing/>
      <w:jc w:val="both"/>
    </w:pPr>
    <w:rPr>
      <w:rFonts w:ascii="Arial" w:hAnsi="Arial" w:cs="Arial"/>
      <w:b/>
      <w:color w:val="86BF5E"/>
      <w:lang w:eastAsia="cs-CZ"/>
    </w:rPr>
  </w:style>
  <w:style w:type="character" w:styleId="Zdraznnintenzivn">
    <w:name w:val="Intense Emphasis"/>
    <w:basedOn w:val="Standardnpsmoodstavce"/>
    <w:uiPriority w:val="21"/>
    <w:qFormat/>
    <w:rsid w:val="001E6062"/>
    <w:rPr>
      <w:i/>
      <w:iCs/>
      <w:color w:val="000000" w:themeColor="text1"/>
    </w:rPr>
  </w:style>
  <w:style w:type="character" w:styleId="Odkazintenzivn">
    <w:name w:val="Intense Reference"/>
    <w:basedOn w:val="Standardnpsmoodstavce"/>
    <w:uiPriority w:val="32"/>
    <w:qFormat/>
    <w:rsid w:val="001E6062"/>
    <w:rPr>
      <w:b/>
      <w:bCs/>
      <w:smallCaps/>
      <w:color w:val="000000" w:themeColor="text1"/>
      <w:spacing w:val="5"/>
    </w:rPr>
  </w:style>
  <w:style w:type="character" w:styleId="Znakapoznpodarou">
    <w:name w:val="footnote reference"/>
    <w:basedOn w:val="Standardnpsmoodstavce"/>
    <w:rsid w:val="009324EF"/>
    <w:rPr>
      <w:rFonts w:cs="Times New Roman"/>
      <w:vertAlign w:val="superscript"/>
    </w:rPr>
  </w:style>
  <w:style w:type="paragraph" w:customStyle="1" w:styleId="Nadpis11">
    <w:name w:val="Nadpis 11"/>
    <w:basedOn w:val="Normln"/>
    <w:uiPriority w:val="9"/>
    <w:qFormat/>
    <w:rsid w:val="009324EF"/>
    <w:pPr>
      <w:keepNext/>
      <w:keepLines/>
      <w:spacing w:after="100"/>
      <w:contextualSpacing/>
      <w:jc w:val="left"/>
      <w:outlineLvl w:val="0"/>
    </w:pPr>
    <w:rPr>
      <w:rFonts w:eastAsia="MS Gothic"/>
      <w:b/>
      <w:bCs/>
      <w:color w:val="71818C"/>
      <w:sz w:val="32"/>
      <w:szCs w:val="28"/>
    </w:rPr>
  </w:style>
  <w:style w:type="paragraph" w:customStyle="1" w:styleId="Textpoznpodarou1">
    <w:name w:val="Text pozn. pod čarou1"/>
    <w:basedOn w:val="Normln"/>
    <w:qFormat/>
    <w:rsid w:val="009324EF"/>
    <w:pPr>
      <w:spacing w:after="0" w:line="240" w:lineRule="auto"/>
      <w:jc w:val="left"/>
    </w:pPr>
    <w:rPr>
      <w:rFonts w:eastAsia="Calibri"/>
      <w:szCs w:val="20"/>
    </w:rPr>
  </w:style>
  <w:style w:type="character" w:styleId="Zdraznn">
    <w:name w:val="Emphasis"/>
    <w:basedOn w:val="Standardnpsmoodstavce"/>
    <w:uiPriority w:val="20"/>
    <w:qFormat/>
    <w:rsid w:val="009324EF"/>
    <w:rPr>
      <w:i/>
      <w:iCs/>
    </w:rPr>
  </w:style>
  <w:style w:type="character" w:customStyle="1" w:styleId="normaltextrun">
    <w:name w:val="normaltextrun"/>
    <w:basedOn w:val="Standardnpsmoodstavce"/>
    <w:rsid w:val="009324EF"/>
  </w:style>
  <w:style w:type="paragraph" w:customStyle="1" w:styleId="paragraph">
    <w:name w:val="paragraph"/>
    <w:basedOn w:val="Normln"/>
    <w:rsid w:val="009324EF"/>
    <w:pPr>
      <w:spacing w:before="100" w:beforeAutospacing="1" w:after="100" w:afterAutospacing="1" w:line="240" w:lineRule="auto"/>
      <w:jc w:val="left"/>
    </w:pPr>
    <w:rPr>
      <w:rFonts w:ascii="Times New Roman" w:hAnsi="Times New Roman"/>
      <w:sz w:val="24"/>
    </w:rPr>
  </w:style>
  <w:style w:type="character" w:customStyle="1" w:styleId="eop">
    <w:name w:val="eop"/>
    <w:basedOn w:val="Standardnpsmoodstavce"/>
    <w:rsid w:val="009324EF"/>
  </w:style>
  <w:style w:type="table" w:styleId="Mkatabulky">
    <w:name w:val="Table Grid"/>
    <w:basedOn w:val="Normlntabulka"/>
    <w:uiPriority w:val="59"/>
    <w:rsid w:val="009324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dpisobsahu">
    <w:name w:val="TOC Heading"/>
    <w:basedOn w:val="Nadpis1"/>
    <w:next w:val="Normln"/>
    <w:uiPriority w:val="39"/>
    <w:unhideWhenUsed/>
    <w:qFormat/>
    <w:rsid w:val="009324EF"/>
    <w:pPr>
      <w:spacing w:before="240" w:after="0" w:line="259" w:lineRule="auto"/>
      <w:contextualSpacing w:val="0"/>
      <w:outlineLvl w:val="9"/>
    </w:pPr>
    <w:rPr>
      <w:rFonts w:asciiTheme="majorHAnsi" w:eastAsiaTheme="majorEastAsia" w:hAnsiTheme="majorHAnsi" w:cstheme="majorBidi"/>
      <w:b w:val="0"/>
      <w:bCs w:val="0"/>
      <w:color w:val="365F91" w:themeColor="accent1" w:themeShade="BF"/>
      <w:szCs w:val="32"/>
    </w:rPr>
  </w:style>
  <w:style w:type="character" w:styleId="Odkaznakoment">
    <w:name w:val="annotation reference"/>
    <w:basedOn w:val="Standardnpsmoodstavce"/>
    <w:uiPriority w:val="99"/>
    <w:semiHidden/>
    <w:unhideWhenUsed/>
    <w:rsid w:val="009324EF"/>
    <w:rPr>
      <w:sz w:val="16"/>
      <w:szCs w:val="16"/>
    </w:rPr>
  </w:style>
  <w:style w:type="paragraph" w:styleId="Textkomente">
    <w:name w:val="annotation text"/>
    <w:basedOn w:val="Normln"/>
    <w:link w:val="TextkomenteChar"/>
    <w:uiPriority w:val="99"/>
    <w:unhideWhenUsed/>
    <w:rsid w:val="009324EF"/>
    <w:pPr>
      <w:spacing w:line="240" w:lineRule="auto"/>
    </w:pPr>
    <w:rPr>
      <w:szCs w:val="20"/>
    </w:rPr>
  </w:style>
  <w:style w:type="character" w:customStyle="1" w:styleId="TextkomenteChar">
    <w:name w:val="Text komentáře Char"/>
    <w:basedOn w:val="Standardnpsmoodstavce"/>
    <w:link w:val="Textkomente"/>
    <w:uiPriority w:val="99"/>
    <w:rsid w:val="009324EF"/>
    <w:rPr>
      <w:rFonts w:ascii="Arial" w:eastAsia="Times New Roman" w:hAnsi="Arial"/>
      <w:lang w:eastAsia="cs-CZ"/>
    </w:rPr>
  </w:style>
  <w:style w:type="paragraph" w:styleId="Pedmtkomente">
    <w:name w:val="annotation subject"/>
    <w:basedOn w:val="Textkomente"/>
    <w:next w:val="Textkomente"/>
    <w:link w:val="PedmtkomenteChar"/>
    <w:uiPriority w:val="99"/>
    <w:semiHidden/>
    <w:unhideWhenUsed/>
    <w:rsid w:val="009324EF"/>
    <w:rPr>
      <w:b/>
      <w:bCs/>
    </w:rPr>
  </w:style>
  <w:style w:type="character" w:customStyle="1" w:styleId="PedmtkomenteChar">
    <w:name w:val="Předmět komentáře Char"/>
    <w:basedOn w:val="TextkomenteChar"/>
    <w:link w:val="Pedmtkomente"/>
    <w:uiPriority w:val="99"/>
    <w:semiHidden/>
    <w:rsid w:val="009324EF"/>
    <w:rPr>
      <w:rFonts w:ascii="Arial" w:eastAsia="Times New Roman" w:hAnsi="Arial"/>
      <w:b/>
      <w:bCs/>
      <w:lang w:eastAsia="cs-CZ"/>
    </w:rPr>
  </w:style>
  <w:style w:type="paragraph" w:styleId="Rozloendokumentu">
    <w:name w:val="Document Map"/>
    <w:basedOn w:val="Normln"/>
    <w:link w:val="RozloendokumentuChar"/>
    <w:uiPriority w:val="99"/>
    <w:semiHidden/>
    <w:rsid w:val="009324EF"/>
    <w:pPr>
      <w:spacing w:after="0" w:line="288" w:lineRule="auto"/>
      <w:jc w:val="left"/>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9324EF"/>
    <w:rPr>
      <w:rFonts w:ascii="Tahoma" w:hAnsi="Tahoma" w:cs="Tahoma"/>
      <w:sz w:val="16"/>
      <w:szCs w:val="16"/>
      <w:lang w:eastAsia="cs-CZ"/>
    </w:rPr>
  </w:style>
  <w:style w:type="paragraph" w:customStyle="1" w:styleId="Nadpis12">
    <w:name w:val="Nadpis 12"/>
    <w:basedOn w:val="Normln"/>
    <w:uiPriority w:val="9"/>
    <w:qFormat/>
    <w:rsid w:val="009324EF"/>
    <w:pPr>
      <w:keepNext/>
      <w:keepLines/>
      <w:spacing w:after="100"/>
      <w:contextualSpacing/>
      <w:jc w:val="left"/>
      <w:outlineLvl w:val="0"/>
    </w:pPr>
    <w:rPr>
      <w:rFonts w:eastAsia="MS Gothic"/>
      <w:b/>
      <w:bCs/>
      <w:color w:val="71818C"/>
      <w:sz w:val="32"/>
      <w:szCs w:val="28"/>
    </w:rPr>
  </w:style>
  <w:style w:type="character" w:customStyle="1" w:styleId="spelle">
    <w:name w:val="spelle"/>
    <w:basedOn w:val="Standardnpsmoodstavce"/>
    <w:rsid w:val="009324EF"/>
  </w:style>
  <w:style w:type="paragraph" w:styleId="Revize">
    <w:name w:val="Revision"/>
    <w:hidden/>
    <w:uiPriority w:val="99"/>
    <w:semiHidden/>
    <w:rsid w:val="009324EF"/>
    <w:rPr>
      <w:rFonts w:ascii="Arial" w:eastAsia="Times New Roman" w:hAnsi="Arial"/>
      <w:szCs w:val="24"/>
      <w:lang w:eastAsia="cs-CZ"/>
    </w:rPr>
  </w:style>
  <w:style w:type="character" w:customStyle="1" w:styleId="odkaz-style-wrapper">
    <w:name w:val="odkaz-style-wrapper"/>
    <w:basedOn w:val="Standardnpsmoodstavce"/>
    <w:rsid w:val="009324EF"/>
  </w:style>
  <w:style w:type="character" w:customStyle="1" w:styleId="tabulka">
    <w:name w:val="tabulka"/>
    <w:basedOn w:val="Standardnpsmoodstavce"/>
    <w:rsid w:val="009324EF"/>
  </w:style>
  <w:style w:type="paragraph" w:customStyle="1" w:styleId="Default">
    <w:name w:val="Default"/>
    <w:rsid w:val="009324EF"/>
    <w:pPr>
      <w:autoSpaceDE w:val="0"/>
      <w:autoSpaceDN w:val="0"/>
      <w:adjustRightInd w:val="0"/>
    </w:pPr>
    <w:rPr>
      <w:rFonts w:cs="Calibri"/>
      <w:color w:val="000000"/>
      <w:sz w:val="24"/>
      <w:szCs w:val="24"/>
    </w:rPr>
  </w:style>
  <w:style w:type="paragraph" w:styleId="Normlnweb">
    <w:name w:val="Normal (Web)"/>
    <w:basedOn w:val="Normln"/>
    <w:uiPriority w:val="99"/>
    <w:semiHidden/>
    <w:unhideWhenUsed/>
    <w:rsid w:val="009324EF"/>
    <w:pPr>
      <w:spacing w:before="100" w:beforeAutospacing="1" w:after="100" w:afterAutospacing="1" w:line="240" w:lineRule="auto"/>
      <w:jc w:val="left"/>
    </w:pPr>
    <w:rPr>
      <w:rFonts w:ascii="Times New Roman" w:hAnsi="Times New Roman"/>
      <w:sz w:val="24"/>
    </w:rPr>
  </w:style>
  <w:style w:type="paragraph" w:styleId="FormtovanvHTML">
    <w:name w:val="HTML Preformatted"/>
    <w:basedOn w:val="Normln"/>
    <w:link w:val="FormtovanvHTMLChar"/>
    <w:uiPriority w:val="99"/>
    <w:semiHidden/>
    <w:unhideWhenUsed/>
    <w:rsid w:val="00932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szCs w:val="20"/>
    </w:rPr>
  </w:style>
  <w:style w:type="character" w:customStyle="1" w:styleId="FormtovanvHTMLChar">
    <w:name w:val="Formátovaný v HTML Char"/>
    <w:basedOn w:val="Standardnpsmoodstavce"/>
    <w:link w:val="FormtovanvHTML"/>
    <w:uiPriority w:val="99"/>
    <w:semiHidden/>
    <w:rsid w:val="009324EF"/>
    <w:rPr>
      <w:rFonts w:ascii="Courier New" w:eastAsia="Times New Roman" w:hAnsi="Courier New" w:cs="Courier New"/>
      <w:lang w:eastAsia="cs-CZ"/>
    </w:rPr>
  </w:style>
  <w:style w:type="paragraph" w:customStyle="1" w:styleId="cay">
    <w:name w:val="c_ay"/>
    <w:basedOn w:val="Normln"/>
    <w:rsid w:val="009324EF"/>
    <w:pPr>
      <w:spacing w:before="100" w:beforeAutospacing="1" w:after="100" w:afterAutospacing="1" w:line="240" w:lineRule="auto"/>
      <w:jc w:val="left"/>
    </w:pPr>
    <w:rPr>
      <w:rFonts w:ascii="Times New Roman" w:hAnsi="Times New Roman"/>
      <w:sz w:val="24"/>
    </w:rPr>
  </w:style>
  <w:style w:type="character" w:customStyle="1" w:styleId="cew">
    <w:name w:val="c_ew"/>
    <w:basedOn w:val="Standardnpsmoodstavce"/>
    <w:rsid w:val="009324EF"/>
  </w:style>
  <w:style w:type="character" w:styleId="Sledovanodkaz">
    <w:name w:val="FollowedHyperlink"/>
    <w:basedOn w:val="Standardnpsmoodstavce"/>
    <w:uiPriority w:val="99"/>
    <w:semiHidden/>
    <w:unhideWhenUsed/>
    <w:rsid w:val="009324EF"/>
    <w:rPr>
      <w:color w:val="800080" w:themeColor="followedHyperlink"/>
      <w:u w:val="single"/>
    </w:rPr>
  </w:style>
  <w:style w:type="character" w:customStyle="1" w:styleId="cfu">
    <w:name w:val="c_fu"/>
    <w:basedOn w:val="Standardnpsmoodstavce"/>
    <w:rsid w:val="009324EF"/>
  </w:style>
  <w:style w:type="character" w:customStyle="1" w:styleId="OdstavecseseznamemChar">
    <w:name w:val="Odstavec se seznamem Char"/>
    <w:basedOn w:val="Standardnpsmoodstavce"/>
    <w:link w:val="Odstavecseseznamem"/>
    <w:uiPriority w:val="34"/>
    <w:rsid w:val="009324EF"/>
    <w:rPr>
      <w:rFonts w:ascii="Arial" w:eastAsia="Times New Roman" w:hAnsi="Arial"/>
      <w:szCs w:val="24"/>
      <w:lang w:eastAsia="cs-CZ"/>
    </w:rPr>
  </w:style>
  <w:style w:type="paragraph" w:styleId="Textvysvtlivek">
    <w:name w:val="endnote text"/>
    <w:basedOn w:val="Normln"/>
    <w:link w:val="TextvysvtlivekChar"/>
    <w:uiPriority w:val="99"/>
    <w:semiHidden/>
    <w:unhideWhenUsed/>
    <w:rsid w:val="00BB2F43"/>
    <w:pPr>
      <w:spacing w:after="0" w:line="240" w:lineRule="auto"/>
    </w:pPr>
    <w:rPr>
      <w:szCs w:val="20"/>
    </w:rPr>
  </w:style>
  <w:style w:type="character" w:customStyle="1" w:styleId="TextvysvtlivekChar">
    <w:name w:val="Text vysvětlivek Char"/>
    <w:basedOn w:val="Standardnpsmoodstavce"/>
    <w:link w:val="Textvysvtlivek"/>
    <w:uiPriority w:val="99"/>
    <w:semiHidden/>
    <w:rsid w:val="00BB2F43"/>
    <w:rPr>
      <w:rFonts w:ascii="Arial" w:eastAsia="Times New Roman" w:hAnsi="Arial"/>
      <w:lang w:eastAsia="cs-CZ"/>
    </w:rPr>
  </w:style>
  <w:style w:type="character" w:styleId="Odkaznavysvtlivky">
    <w:name w:val="endnote reference"/>
    <w:basedOn w:val="Standardnpsmoodstavce"/>
    <w:uiPriority w:val="99"/>
    <w:semiHidden/>
    <w:unhideWhenUsed/>
    <w:rsid w:val="00BB2F43"/>
    <w:rPr>
      <w:vertAlign w:val="superscript"/>
    </w:rPr>
  </w:style>
  <w:style w:type="character" w:customStyle="1" w:styleId="ts-alignment-element">
    <w:name w:val="ts-alignment-element"/>
    <w:basedOn w:val="Standardnpsmoodstavce"/>
    <w:rsid w:val="00EB4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112676334">
      <w:bodyDiv w:val="1"/>
      <w:marLeft w:val="0"/>
      <w:marRight w:val="0"/>
      <w:marTop w:val="0"/>
      <w:marBottom w:val="0"/>
      <w:divBdr>
        <w:top w:val="none" w:sz="0" w:space="0" w:color="auto"/>
        <w:left w:val="none" w:sz="0" w:space="0" w:color="auto"/>
        <w:bottom w:val="none" w:sz="0" w:space="0" w:color="auto"/>
        <w:right w:val="none" w:sz="0" w:space="0" w:color="auto"/>
      </w:divBdr>
    </w:div>
    <w:div w:id="243729605">
      <w:bodyDiv w:val="1"/>
      <w:marLeft w:val="0"/>
      <w:marRight w:val="0"/>
      <w:marTop w:val="0"/>
      <w:marBottom w:val="0"/>
      <w:divBdr>
        <w:top w:val="none" w:sz="0" w:space="0" w:color="auto"/>
        <w:left w:val="none" w:sz="0" w:space="0" w:color="auto"/>
        <w:bottom w:val="none" w:sz="0" w:space="0" w:color="auto"/>
        <w:right w:val="none" w:sz="0" w:space="0" w:color="auto"/>
      </w:divBdr>
    </w:div>
    <w:div w:id="255015632">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883518353">
      <w:bodyDiv w:val="1"/>
      <w:marLeft w:val="0"/>
      <w:marRight w:val="0"/>
      <w:marTop w:val="0"/>
      <w:marBottom w:val="0"/>
      <w:divBdr>
        <w:top w:val="none" w:sz="0" w:space="0" w:color="auto"/>
        <w:left w:val="none" w:sz="0" w:space="0" w:color="auto"/>
        <w:bottom w:val="none" w:sz="0" w:space="0" w:color="auto"/>
        <w:right w:val="none" w:sz="0" w:space="0" w:color="auto"/>
      </w:divBdr>
    </w:div>
    <w:div w:id="932319695">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276136441">
      <w:bodyDiv w:val="1"/>
      <w:marLeft w:val="0"/>
      <w:marRight w:val="0"/>
      <w:marTop w:val="0"/>
      <w:marBottom w:val="0"/>
      <w:divBdr>
        <w:top w:val="none" w:sz="0" w:space="0" w:color="auto"/>
        <w:left w:val="none" w:sz="0" w:space="0" w:color="auto"/>
        <w:bottom w:val="none" w:sz="0" w:space="0" w:color="auto"/>
        <w:right w:val="none" w:sz="0" w:space="0" w:color="auto"/>
      </w:divBdr>
    </w:div>
    <w:div w:id="1283000633">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856962653">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chart" Target="charts/chart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bojnikova31519.CZSO\Downloads\Form_c444_Publikace_regiony%20a%20zeme%20-%20analyzy.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Qmakro-2026\2q-2026\ENGL-verze\ENGL-odv&#283;tv&#237;-grafy_2q-2026-ak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Qmakro-2026\2q-2026\ENGL-verze\ENGL-odv&#283;tv&#237;-grafy_2q-2026-ak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Qmakro-2026\2q-2026\ENGL-verze\ENGL-odv&#283;tv&#237;-grafy_2q-2026-ak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Qmakro-2026\2q-2026\ENGL-verze\ENGL-odv&#283;tv&#237;-grafy_2q-2026-ak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Qmakro-2026\2q-2026\ENGL-verze\ENGL-odv&#283;tv&#237;-grafy_2q-2026-ak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0742166058558705E-2"/>
          <c:y val="1.5804737817313768E-2"/>
          <c:w val="0.92925508095319231"/>
          <c:h val="0.71044390007080849"/>
        </c:manualLayout>
      </c:layout>
      <c:barChart>
        <c:barDir val="col"/>
        <c:grouping val="stacked"/>
        <c:varyColors val="0"/>
        <c:ser>
          <c:idx val="0"/>
          <c:order val="0"/>
          <c:tx>
            <c:strRef>
              <c:f>'GRAF příspěvky IPP'!$A$27</c:f>
              <c:strCache>
                <c:ptCount val="1"/>
                <c:pt idx="0">
                  <c:v>Manufacture of transport equipment (29, 30)</c:v>
                </c:pt>
              </c:strCache>
            </c:strRef>
          </c:tx>
          <c:spPr>
            <a:solidFill>
              <a:srgbClr val="D8A7B7"/>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IPP'!$AP$27:$BK$27</c:f>
              <c:numCache>
                <c:formatCode>0.0</c:formatCode>
                <c:ptCount val="22"/>
                <c:pt idx="0">
                  <c:v>1.9009220582212656</c:v>
                </c:pt>
                <c:pt idx="1">
                  <c:v>10.962436300546839</c:v>
                </c:pt>
                <c:pt idx="2">
                  <c:v>-3.7816826515966451</c:v>
                </c:pt>
                <c:pt idx="3">
                  <c:v>-3.2415310878086325</c:v>
                </c:pt>
                <c:pt idx="4">
                  <c:v>-1.9006279034039761</c:v>
                </c:pt>
                <c:pt idx="5">
                  <c:v>9.8882021278874688E-2</c:v>
                </c:pt>
                <c:pt idx="6">
                  <c:v>5.6047148528941628</c:v>
                </c:pt>
                <c:pt idx="7">
                  <c:v>3.9970459414903723</c:v>
                </c:pt>
                <c:pt idx="8">
                  <c:v>5.2762979416848301</c:v>
                </c:pt>
                <c:pt idx="9">
                  <c:v>5.0691801030618473</c:v>
                </c:pt>
                <c:pt idx="10">
                  <c:v>1.3395150948118291</c:v>
                </c:pt>
                <c:pt idx="11">
                  <c:v>3.1934880866006852</c:v>
                </c:pt>
                <c:pt idx="12">
                  <c:v>0.44683712045987689</c:v>
                </c:pt>
                <c:pt idx="13">
                  <c:v>-1.084777099067793</c:v>
                </c:pt>
                <c:pt idx="14">
                  <c:v>0.66912123314032446</c:v>
                </c:pt>
                <c:pt idx="15">
                  <c:v>-1.4432630187184605</c:v>
                </c:pt>
                <c:pt idx="16">
                  <c:v>-0.54269112179143586</c:v>
                </c:pt>
                <c:pt idx="17">
                  <c:v>0.5218638243939383</c:v>
                </c:pt>
                <c:pt idx="18">
                  <c:v>4.2308856127310224E-2</c:v>
                </c:pt>
                <c:pt idx="19">
                  <c:v>0.91758945337407605</c:v>
                </c:pt>
                <c:pt idx="20">
                  <c:v>1.0748049411015055</c:v>
                </c:pt>
                <c:pt idx="21">
                  <c:v>0.58905043036145588</c:v>
                </c:pt>
              </c:numCache>
            </c:numRef>
          </c:val>
          <c:extLst>
            <c:ext xmlns:c16="http://schemas.microsoft.com/office/drawing/2014/chart" uri="{C3380CC4-5D6E-409C-BE32-E72D297353CC}">
              <c16:uniqueId val="{00000000-7453-42DC-A754-AA44BE8E789B}"/>
            </c:ext>
          </c:extLst>
        </c:ser>
        <c:ser>
          <c:idx val="1"/>
          <c:order val="1"/>
          <c:tx>
            <c:strRef>
              <c:f>'GRAF příspěvky IPP'!$A$28</c:f>
              <c:strCache>
                <c:ptCount val="1"/>
                <c:pt idx="0">
                  <c:v>Rubber, electro technical industry (22, 27)</c:v>
                </c:pt>
              </c:strCache>
            </c:strRef>
          </c:tx>
          <c:spPr>
            <a:solidFill>
              <a:srgbClr val="BC5B80"/>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IPP'!$AP$28:$BK$28</c:f>
              <c:numCache>
                <c:formatCode>0.0</c:formatCode>
                <c:ptCount val="22"/>
                <c:pt idx="0">
                  <c:v>0.71105377730316599</c:v>
                </c:pt>
                <c:pt idx="1">
                  <c:v>5.4813528736391373</c:v>
                </c:pt>
                <c:pt idx="2">
                  <c:v>0.6216905337035239</c:v>
                </c:pt>
                <c:pt idx="3">
                  <c:v>-0.4237146866197381</c:v>
                </c:pt>
                <c:pt idx="4">
                  <c:v>8.5432905047654106E-2</c:v>
                </c:pt>
                <c:pt idx="5">
                  <c:v>0.14017080136165114</c:v>
                </c:pt>
                <c:pt idx="6">
                  <c:v>0.54140847185477736</c:v>
                </c:pt>
                <c:pt idx="7">
                  <c:v>0.61586793753317559</c:v>
                </c:pt>
                <c:pt idx="8">
                  <c:v>0.24643729008607473</c:v>
                </c:pt>
                <c:pt idx="9">
                  <c:v>0.13297387060287902</c:v>
                </c:pt>
                <c:pt idx="10">
                  <c:v>-0.41954906744716108</c:v>
                </c:pt>
                <c:pt idx="11">
                  <c:v>1.8029268216841199E-2</c:v>
                </c:pt>
                <c:pt idx="12">
                  <c:v>3.5719762074797032E-2</c:v>
                </c:pt>
                <c:pt idx="13">
                  <c:v>-0.18845737493805909</c:v>
                </c:pt>
                <c:pt idx="14">
                  <c:v>0.14813881914088348</c:v>
                </c:pt>
                <c:pt idx="15">
                  <c:v>-0.54230725025084103</c:v>
                </c:pt>
                <c:pt idx="16">
                  <c:v>1.966746485500024E-2</c:v>
                </c:pt>
                <c:pt idx="17">
                  <c:v>0.45525345908759884</c:v>
                </c:pt>
                <c:pt idx="18">
                  <c:v>0.31760868121067576</c:v>
                </c:pt>
                <c:pt idx="19">
                  <c:v>0.67195606575933908</c:v>
                </c:pt>
                <c:pt idx="20">
                  <c:v>0.30354562054313466</c:v>
                </c:pt>
                <c:pt idx="21">
                  <c:v>0.16824369867946853</c:v>
                </c:pt>
              </c:numCache>
            </c:numRef>
          </c:val>
          <c:extLst>
            <c:ext xmlns:c16="http://schemas.microsoft.com/office/drawing/2014/chart" uri="{C3380CC4-5D6E-409C-BE32-E72D297353CC}">
              <c16:uniqueId val="{00000001-7453-42DC-A754-AA44BE8E789B}"/>
            </c:ext>
          </c:extLst>
        </c:ser>
        <c:ser>
          <c:idx val="2"/>
          <c:order val="2"/>
          <c:tx>
            <c:strRef>
              <c:f>'GRAF příspěvky IPP'!$A$29</c:f>
              <c:strCache>
                <c:ptCount val="1"/>
                <c:pt idx="0">
                  <c:v>Machinery (28)</c:v>
                </c:pt>
              </c:strCache>
            </c:strRef>
          </c:tx>
          <c:spPr>
            <a:solidFill>
              <a:srgbClr val="9FC9D7"/>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IPP'!$AP$29:$BK$29</c:f>
              <c:numCache>
                <c:formatCode>0.0</c:formatCode>
                <c:ptCount val="22"/>
                <c:pt idx="0">
                  <c:v>6.9523816193354571E-2</c:v>
                </c:pt>
                <c:pt idx="1">
                  <c:v>2.0537889224076182</c:v>
                </c:pt>
                <c:pt idx="2">
                  <c:v>0.54998998649274944</c:v>
                </c:pt>
                <c:pt idx="3">
                  <c:v>0.27824368190942744</c:v>
                </c:pt>
                <c:pt idx="4">
                  <c:v>0.35474059805720581</c:v>
                </c:pt>
                <c:pt idx="5">
                  <c:v>9.159353246407527E-2</c:v>
                </c:pt>
                <c:pt idx="6">
                  <c:v>0.48985672658594026</c:v>
                </c:pt>
                <c:pt idx="7">
                  <c:v>0.65848483899880683</c:v>
                </c:pt>
                <c:pt idx="8">
                  <c:v>0.47009044095931496</c:v>
                </c:pt>
                <c:pt idx="9">
                  <c:v>0.4006172401103964</c:v>
                </c:pt>
                <c:pt idx="10">
                  <c:v>-0.57578518680795432</c:v>
                </c:pt>
                <c:pt idx="11">
                  <c:v>-0.75578874449495581</c:v>
                </c:pt>
                <c:pt idx="12">
                  <c:v>-0.9625142240233997</c:v>
                </c:pt>
                <c:pt idx="13">
                  <c:v>-0.80168828655754398</c:v>
                </c:pt>
                <c:pt idx="14">
                  <c:v>-0.39977018694536648</c:v>
                </c:pt>
                <c:pt idx="15">
                  <c:v>-0.52594869917284226</c:v>
                </c:pt>
                <c:pt idx="16">
                  <c:v>9.3041354664959691E-2</c:v>
                </c:pt>
                <c:pt idx="17">
                  <c:v>-0.14552526853020628</c:v>
                </c:pt>
                <c:pt idx="18">
                  <c:v>0.12346815960260442</c:v>
                </c:pt>
                <c:pt idx="19">
                  <c:v>0.49621663832706497</c:v>
                </c:pt>
                <c:pt idx="20">
                  <c:v>-0.33019006395087219</c:v>
                </c:pt>
                <c:pt idx="21">
                  <c:v>-3.6897165122714751E-2</c:v>
                </c:pt>
              </c:numCache>
            </c:numRef>
          </c:val>
          <c:extLst>
            <c:ext xmlns:c16="http://schemas.microsoft.com/office/drawing/2014/chart" uri="{C3380CC4-5D6E-409C-BE32-E72D297353CC}">
              <c16:uniqueId val="{00000002-7453-42DC-A754-AA44BE8E789B}"/>
            </c:ext>
          </c:extLst>
        </c:ser>
        <c:ser>
          <c:idx val="3"/>
          <c:order val="3"/>
          <c:tx>
            <c:strRef>
              <c:f>'GRAF příspěvky IPP'!$A$30</c:f>
              <c:strCache>
                <c:ptCount val="1"/>
                <c:pt idx="0">
                  <c:v>Fabricated metal product industry (25)</c:v>
                </c:pt>
              </c:strCache>
            </c:strRef>
          </c:tx>
          <c:spPr>
            <a:solidFill>
              <a:srgbClr val="009CB5"/>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IPP'!$AP$30:$BK$30</c:f>
              <c:numCache>
                <c:formatCode>0.0</c:formatCode>
                <c:ptCount val="22"/>
                <c:pt idx="0">
                  <c:v>0.43211394669446129</c:v>
                </c:pt>
                <c:pt idx="1">
                  <c:v>2.9905594307699275</c:v>
                </c:pt>
                <c:pt idx="2">
                  <c:v>0.80057174840018464</c:v>
                </c:pt>
                <c:pt idx="3">
                  <c:v>1.7842744066281405E-2</c:v>
                </c:pt>
                <c:pt idx="4">
                  <c:v>0.2270419422273395</c:v>
                </c:pt>
                <c:pt idx="5">
                  <c:v>-0.40390149701119177</c:v>
                </c:pt>
                <c:pt idx="6">
                  <c:v>-0.31522655000635558</c:v>
                </c:pt>
                <c:pt idx="7">
                  <c:v>-0.2158460789696578</c:v>
                </c:pt>
                <c:pt idx="8">
                  <c:v>-0.35304158862001117</c:v>
                </c:pt>
                <c:pt idx="9">
                  <c:v>-9.898514727148211E-2</c:v>
                </c:pt>
                <c:pt idx="10">
                  <c:v>-0.21045961248750156</c:v>
                </c:pt>
                <c:pt idx="11">
                  <c:v>-0.27573885577866986</c:v>
                </c:pt>
                <c:pt idx="12">
                  <c:v>-0.20005962705948793</c:v>
                </c:pt>
                <c:pt idx="13">
                  <c:v>-3.6999886884328842E-2</c:v>
                </c:pt>
                <c:pt idx="14">
                  <c:v>0.34489368177621904</c:v>
                </c:pt>
                <c:pt idx="15">
                  <c:v>0.21350994299050982</c:v>
                </c:pt>
                <c:pt idx="16">
                  <c:v>0.2482577580048228</c:v>
                </c:pt>
                <c:pt idx="17">
                  <c:v>0.55947721307818932</c:v>
                </c:pt>
                <c:pt idx="18">
                  <c:v>0.65297800825529917</c:v>
                </c:pt>
                <c:pt idx="19">
                  <c:v>1.3018986212327026</c:v>
                </c:pt>
                <c:pt idx="20">
                  <c:v>0.47722904988677495</c:v>
                </c:pt>
                <c:pt idx="21">
                  <c:v>0.39469189072183186</c:v>
                </c:pt>
              </c:numCache>
            </c:numRef>
          </c:val>
          <c:extLst>
            <c:ext xmlns:c16="http://schemas.microsoft.com/office/drawing/2014/chart" uri="{C3380CC4-5D6E-409C-BE32-E72D297353CC}">
              <c16:uniqueId val="{00000003-7453-42DC-A754-AA44BE8E789B}"/>
            </c:ext>
          </c:extLst>
        </c:ser>
        <c:ser>
          <c:idx val="4"/>
          <c:order val="4"/>
          <c:tx>
            <c:strRef>
              <c:f>'GRAF příspěvky IPP'!$A$31</c:f>
              <c:strCache>
                <c:ptCount val="1"/>
                <c:pt idx="0">
                  <c:v>PC, electronic and optical products (26)</c:v>
                </c:pt>
              </c:strCache>
            </c:strRef>
          </c:tx>
          <c:spPr>
            <a:solidFill>
              <a:srgbClr val="E6C483"/>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IPP'!$AP$31:$BK$31</c:f>
              <c:numCache>
                <c:formatCode>0.0</c:formatCode>
                <c:ptCount val="22"/>
                <c:pt idx="0">
                  <c:v>0.12975355540314282</c:v>
                </c:pt>
                <c:pt idx="1">
                  <c:v>0.21201733992680374</c:v>
                </c:pt>
                <c:pt idx="2">
                  <c:v>0.1941841019992544</c:v>
                </c:pt>
                <c:pt idx="3">
                  <c:v>-0.23843126852101912</c:v>
                </c:pt>
                <c:pt idx="4">
                  <c:v>2.2375778653478211E-2</c:v>
                </c:pt>
                <c:pt idx="5">
                  <c:v>-1.8664914809135777E-2</c:v>
                </c:pt>
                <c:pt idx="6">
                  <c:v>5.983720902341521E-2</c:v>
                </c:pt>
                <c:pt idx="7">
                  <c:v>0.43552217534069498</c:v>
                </c:pt>
                <c:pt idx="8">
                  <c:v>0.14470334752654473</c:v>
                </c:pt>
                <c:pt idx="9">
                  <c:v>8.8197188447825356E-2</c:v>
                </c:pt>
                <c:pt idx="10">
                  <c:v>-6.9028846604599223E-2</c:v>
                </c:pt>
                <c:pt idx="11">
                  <c:v>-6.5570020882029928E-2</c:v>
                </c:pt>
                <c:pt idx="12">
                  <c:v>-7.7915888293924231E-3</c:v>
                </c:pt>
                <c:pt idx="13">
                  <c:v>0.21997586638815811</c:v>
                </c:pt>
                <c:pt idx="14">
                  <c:v>0.28884635576240486</c:v>
                </c:pt>
                <c:pt idx="15">
                  <c:v>9.551918740327324E-2</c:v>
                </c:pt>
                <c:pt idx="16">
                  <c:v>6.3492554138264512E-3</c:v>
                </c:pt>
                <c:pt idx="17">
                  <c:v>-0.11311590007736777</c:v>
                </c:pt>
                <c:pt idx="18">
                  <c:v>-0.20805868829400714</c:v>
                </c:pt>
                <c:pt idx="19">
                  <c:v>3.374285216195165E-2</c:v>
                </c:pt>
                <c:pt idx="20">
                  <c:v>0.11568525571634966</c:v>
                </c:pt>
                <c:pt idx="21">
                  <c:v>0.44188816157675431</c:v>
                </c:pt>
              </c:numCache>
            </c:numRef>
          </c:val>
          <c:extLst>
            <c:ext xmlns:c16="http://schemas.microsoft.com/office/drawing/2014/chart" uri="{C3380CC4-5D6E-409C-BE32-E72D297353CC}">
              <c16:uniqueId val="{00000004-7453-42DC-A754-AA44BE8E789B}"/>
            </c:ext>
          </c:extLst>
        </c:ser>
        <c:ser>
          <c:idx val="5"/>
          <c:order val="5"/>
          <c:tx>
            <c:strRef>
              <c:f>'GRAF příspěvky IPP'!$A$32</c:f>
              <c:strCache>
                <c:ptCount val="1"/>
                <c:pt idx="0">
                  <c:v>Chemical, pharmaceutical ind. (20, 21)</c:v>
                </c:pt>
              </c:strCache>
            </c:strRef>
          </c:tx>
          <c:spPr>
            <a:solidFill>
              <a:srgbClr val="CC9610"/>
            </a:solidFill>
            <a:ln>
              <a:noFill/>
            </a:ln>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IPP'!$AP$32:$BK$32</c:f>
              <c:numCache>
                <c:formatCode>0.0</c:formatCode>
                <c:ptCount val="22"/>
                <c:pt idx="0">
                  <c:v>0.28426277083090246</c:v>
                </c:pt>
                <c:pt idx="1">
                  <c:v>0.82325325428168006</c:v>
                </c:pt>
                <c:pt idx="2">
                  <c:v>0.31991054650479339</c:v>
                </c:pt>
                <c:pt idx="3">
                  <c:v>8.7688985546260853E-2</c:v>
                </c:pt>
                <c:pt idx="4">
                  <c:v>0.24863963230574521</c:v>
                </c:pt>
                <c:pt idx="5">
                  <c:v>0.15905411527097743</c:v>
                </c:pt>
                <c:pt idx="6">
                  <c:v>-9.9192658046001692E-2</c:v>
                </c:pt>
                <c:pt idx="7">
                  <c:v>-0.29076993899169623</c:v>
                </c:pt>
                <c:pt idx="8">
                  <c:v>-0.60054284095284183</c:v>
                </c:pt>
                <c:pt idx="9">
                  <c:v>-0.17710340225216925</c:v>
                </c:pt>
                <c:pt idx="10">
                  <c:v>-7.3516958752537429E-2</c:v>
                </c:pt>
                <c:pt idx="11">
                  <c:v>-0.12575787999845109</c:v>
                </c:pt>
                <c:pt idx="12">
                  <c:v>0.26823896721095042</c:v>
                </c:pt>
                <c:pt idx="13">
                  <c:v>0.14459515409260676</c:v>
                </c:pt>
                <c:pt idx="14">
                  <c:v>-7.3019869232471224E-2</c:v>
                </c:pt>
                <c:pt idx="15">
                  <c:v>-7.0266611213317939E-2</c:v>
                </c:pt>
                <c:pt idx="16">
                  <c:v>-0.1146939798186169</c:v>
                </c:pt>
                <c:pt idx="17">
                  <c:v>-0.15184580495725425</c:v>
                </c:pt>
                <c:pt idx="18">
                  <c:v>0.18264060676424226</c:v>
                </c:pt>
                <c:pt idx="19">
                  <c:v>0.20375358364677904</c:v>
                </c:pt>
                <c:pt idx="20">
                  <c:v>9.0814162516393876E-2</c:v>
                </c:pt>
                <c:pt idx="21">
                  <c:v>0.1438927321808216</c:v>
                </c:pt>
              </c:numCache>
            </c:numRef>
          </c:val>
          <c:extLst>
            <c:ext xmlns:c16="http://schemas.microsoft.com/office/drawing/2014/chart" uri="{C3380CC4-5D6E-409C-BE32-E72D297353CC}">
              <c16:uniqueId val="{00000005-7453-42DC-A754-AA44BE8E789B}"/>
            </c:ext>
          </c:extLst>
        </c:ser>
        <c:ser>
          <c:idx val="6"/>
          <c:order val="6"/>
          <c:tx>
            <c:strRef>
              <c:f>'GRAF příspěvky IPP'!$A$33</c:f>
              <c:strCache>
                <c:ptCount val="1"/>
                <c:pt idx="0">
                  <c:v>Remaining manufacturing industry*</c:v>
                </c:pt>
              </c:strCache>
            </c:strRef>
          </c:tx>
          <c:spPr>
            <a:solidFill>
              <a:srgbClr val="C3DDAC"/>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IPP'!$AP$33:$BK$33</c:f>
              <c:numCache>
                <c:formatCode>0.0</c:formatCode>
                <c:ptCount val="22"/>
                <c:pt idx="0">
                  <c:v>-2.1128761312970146E-3</c:v>
                </c:pt>
                <c:pt idx="1">
                  <c:v>3.2182826185149889</c:v>
                </c:pt>
                <c:pt idx="2">
                  <c:v>1.5227369240206821</c:v>
                </c:pt>
                <c:pt idx="3">
                  <c:v>1.1735580757843487</c:v>
                </c:pt>
                <c:pt idx="4">
                  <c:v>1.6949563990634429</c:v>
                </c:pt>
                <c:pt idx="5">
                  <c:v>0.27470000381588033</c:v>
                </c:pt>
                <c:pt idx="6">
                  <c:v>-1.6667213846762752</c:v>
                </c:pt>
                <c:pt idx="7">
                  <c:v>-1.5269932606404839</c:v>
                </c:pt>
                <c:pt idx="8">
                  <c:v>-3.3261450575018028</c:v>
                </c:pt>
                <c:pt idx="9">
                  <c:v>-3.5878313003538334</c:v>
                </c:pt>
                <c:pt idx="10">
                  <c:v>-1.8071756863987505</c:v>
                </c:pt>
                <c:pt idx="11">
                  <c:v>-1.6144210415769553</c:v>
                </c:pt>
                <c:pt idx="12">
                  <c:v>0.13077401211331544</c:v>
                </c:pt>
                <c:pt idx="13">
                  <c:v>0.27796430392454941</c:v>
                </c:pt>
                <c:pt idx="14">
                  <c:v>-0.19589531851693803</c:v>
                </c:pt>
                <c:pt idx="15">
                  <c:v>0.25803068209411495</c:v>
                </c:pt>
                <c:pt idx="16">
                  <c:v>0.39233061967167515</c:v>
                </c:pt>
                <c:pt idx="17">
                  <c:v>0.68090920612682204</c:v>
                </c:pt>
                <c:pt idx="18">
                  <c:v>0.24246110208794136</c:v>
                </c:pt>
                <c:pt idx="19">
                  <c:v>0.66236418744352388</c:v>
                </c:pt>
                <c:pt idx="20">
                  <c:v>-0.19770670571548282</c:v>
                </c:pt>
                <c:pt idx="21">
                  <c:v>0.17425142827428519</c:v>
                </c:pt>
              </c:numCache>
            </c:numRef>
          </c:val>
          <c:extLst>
            <c:ext xmlns:c16="http://schemas.microsoft.com/office/drawing/2014/chart" uri="{C3380CC4-5D6E-409C-BE32-E72D297353CC}">
              <c16:uniqueId val="{00000006-7453-42DC-A754-AA44BE8E789B}"/>
            </c:ext>
          </c:extLst>
        </c:ser>
        <c:ser>
          <c:idx val="7"/>
          <c:order val="7"/>
          <c:tx>
            <c:strRef>
              <c:f>'GRAF příspěvky IPP'!$A$34</c:f>
              <c:strCache>
                <c:ptCount val="1"/>
                <c:pt idx="0">
                  <c:v>Mining and energetics (B, D)</c:v>
                </c:pt>
              </c:strCache>
            </c:strRef>
          </c:tx>
          <c:spPr>
            <a:solidFill>
              <a:srgbClr val="86BF5E"/>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IPP'!$AP$34:$BK$34</c:f>
              <c:numCache>
                <c:formatCode>0.0</c:formatCode>
                <c:ptCount val="22"/>
                <c:pt idx="0">
                  <c:v>0.59189490518500398</c:v>
                </c:pt>
                <c:pt idx="1">
                  <c:v>0.52656327821300353</c:v>
                </c:pt>
                <c:pt idx="2">
                  <c:v>0.31374008907545176</c:v>
                </c:pt>
                <c:pt idx="3">
                  <c:v>0.81659894104306607</c:v>
                </c:pt>
                <c:pt idx="4">
                  <c:v>-0.20894060705088399</c:v>
                </c:pt>
                <c:pt idx="5">
                  <c:v>0.24268235052886977</c:v>
                </c:pt>
                <c:pt idx="6">
                  <c:v>0.41441971307033448</c:v>
                </c:pt>
                <c:pt idx="7">
                  <c:v>-1.2878566765612138</c:v>
                </c:pt>
                <c:pt idx="8">
                  <c:v>-1.3045936982821111</c:v>
                </c:pt>
                <c:pt idx="9">
                  <c:v>-1.5790684974454656</c:v>
                </c:pt>
                <c:pt idx="10">
                  <c:v>-1.6278225134133213</c:v>
                </c:pt>
                <c:pt idx="11">
                  <c:v>-1.1076317448864703</c:v>
                </c:pt>
                <c:pt idx="12">
                  <c:v>-0.77646516844666147</c:v>
                </c:pt>
                <c:pt idx="13">
                  <c:v>-8.0819445457593481E-2</c:v>
                </c:pt>
                <c:pt idx="14">
                  <c:v>4.8663335749503378E-3</c:v>
                </c:pt>
                <c:pt idx="15">
                  <c:v>-0.18709046803243062</c:v>
                </c:pt>
                <c:pt idx="16">
                  <c:v>0.97124253669976768</c:v>
                </c:pt>
                <c:pt idx="17">
                  <c:v>0.4178870964782746</c:v>
                </c:pt>
                <c:pt idx="18">
                  <c:v>-0.21698633975406861</c:v>
                </c:pt>
                <c:pt idx="19">
                  <c:v>-6.8285150545431245E-2</c:v>
                </c:pt>
                <c:pt idx="20">
                  <c:v>-0.15282193009779654</c:v>
                </c:pt>
                <c:pt idx="21">
                  <c:v>0.49416740172810081</c:v>
                </c:pt>
              </c:numCache>
            </c:numRef>
          </c:val>
          <c:extLst>
            <c:ext xmlns:c16="http://schemas.microsoft.com/office/drawing/2014/chart" uri="{C3380CC4-5D6E-409C-BE32-E72D297353CC}">
              <c16:uniqueId val="{00000007-7453-42DC-A754-AA44BE8E789B}"/>
            </c:ext>
          </c:extLst>
        </c:ser>
        <c:dLbls>
          <c:showLegendKey val="0"/>
          <c:showVal val="0"/>
          <c:showCatName val="0"/>
          <c:showSerName val="0"/>
          <c:showPercent val="0"/>
          <c:showBubbleSize val="0"/>
        </c:dLbls>
        <c:gapWidth val="15"/>
        <c:overlap val="100"/>
        <c:axId val="112768128"/>
        <c:axId val="112769664"/>
      </c:barChart>
      <c:lineChart>
        <c:grouping val="standard"/>
        <c:varyColors val="0"/>
        <c:ser>
          <c:idx val="8"/>
          <c:order val="8"/>
          <c:tx>
            <c:strRef>
              <c:f>'GRAF příspěvky IPP'!$A$35</c:f>
              <c:strCache>
                <c:ptCount val="1"/>
                <c:pt idx="0">
                  <c:v>Total output in industry (NACE B to D)</c:v>
                </c:pt>
              </c:strCache>
            </c:strRef>
          </c:tx>
          <c:spPr>
            <a:ln w="19050">
              <a:noFill/>
            </a:ln>
          </c:spPr>
          <c:marker>
            <c:symbol val="circle"/>
            <c:size val="4"/>
            <c:spPr>
              <a:solidFill>
                <a:schemeClr val="bg1"/>
              </a:solidFill>
              <a:ln>
                <a:solidFill>
                  <a:schemeClr val="tx1">
                    <a:lumMod val="95000"/>
                    <a:lumOff val="5000"/>
                  </a:schemeClr>
                </a:solidFill>
              </a:ln>
            </c:spPr>
          </c:marker>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IPP'!$AP$35:$BK$35</c:f>
              <c:numCache>
                <c:formatCode>0.0</c:formatCode>
                <c:ptCount val="22"/>
                <c:pt idx="0">
                  <c:v>4.1168725211000066</c:v>
                </c:pt>
                <c:pt idx="1">
                  <c:v>26.265769118799994</c:v>
                </c:pt>
                <c:pt idx="2">
                  <c:v>0.54199852979999719</c:v>
                </c:pt>
                <c:pt idx="3">
                  <c:v>-1.5307568214000042</c:v>
                </c:pt>
                <c:pt idx="4">
                  <c:v>0.52242344610000657</c:v>
                </c:pt>
                <c:pt idx="5">
                  <c:v>0.58376745799999696</c:v>
                </c:pt>
                <c:pt idx="6">
                  <c:v>5.0291005280000007</c:v>
                </c:pt>
                <c:pt idx="7">
                  <c:v>2.3867960538999995</c:v>
                </c:pt>
                <c:pt idx="8">
                  <c:v>0.54910159659999636</c:v>
                </c:pt>
                <c:pt idx="9">
                  <c:v>0.25366354800000579</c:v>
                </c:pt>
                <c:pt idx="10">
                  <c:v>-3.4405520449000022</c:v>
                </c:pt>
                <c:pt idx="11">
                  <c:v>-0.73423712599999646</c:v>
                </c:pt>
                <c:pt idx="12">
                  <c:v>-1.0590406973999933</c:v>
                </c:pt>
                <c:pt idx="13">
                  <c:v>-1.5528120830000063</c:v>
                </c:pt>
                <c:pt idx="14">
                  <c:v>0.78003301340000064</c:v>
                </c:pt>
                <c:pt idx="15">
                  <c:v>-2.2021802377000057</c:v>
                </c:pt>
                <c:pt idx="16">
                  <c:v>1.0735038876999994</c:v>
                </c:pt>
                <c:pt idx="17">
                  <c:v>2.2249038255999949</c:v>
                </c:pt>
                <c:pt idx="18">
                  <c:v>1.1364203859999975</c:v>
                </c:pt>
                <c:pt idx="19">
                  <c:v>4.2192362514000052</c:v>
                </c:pt>
                <c:pt idx="20">
                  <c:v>1.3813603300000068</c:v>
                </c:pt>
                <c:pt idx="21">
                  <c:v>2.3692885784000026</c:v>
                </c:pt>
              </c:numCache>
            </c:numRef>
          </c:val>
          <c:smooth val="0"/>
          <c:extLst>
            <c:ext xmlns:c16="http://schemas.microsoft.com/office/drawing/2014/chart" uri="{C3380CC4-5D6E-409C-BE32-E72D297353CC}">
              <c16:uniqueId val="{00000008-7453-42DC-A754-AA44BE8E789B}"/>
            </c:ext>
          </c:extLst>
        </c:ser>
        <c:dLbls>
          <c:showLegendKey val="0"/>
          <c:showVal val="0"/>
          <c:showCatName val="0"/>
          <c:showSerName val="0"/>
          <c:showPercent val="0"/>
          <c:showBubbleSize val="0"/>
        </c:dLbls>
        <c:marker val="1"/>
        <c:smooth val="0"/>
        <c:axId val="112768128"/>
        <c:axId val="112769664"/>
      </c:lineChart>
      <c:catAx>
        <c:axId val="112768128"/>
        <c:scaling>
          <c:orientation val="minMax"/>
        </c:scaling>
        <c:delete val="0"/>
        <c:axPos val="b"/>
        <c:numFmt formatCode="General" sourceLinked="1"/>
        <c:majorTickMark val="out"/>
        <c:minorTickMark val="none"/>
        <c:tickLblPos val="low"/>
        <c:spPr>
          <a:ln/>
        </c:spPr>
        <c:txPr>
          <a:bodyPr/>
          <a:lstStyle/>
          <a:p>
            <a:pPr>
              <a:defRPr sz="800">
                <a:latin typeface="Arial" pitchFamily="34" charset="0"/>
                <a:cs typeface="Arial" pitchFamily="34" charset="0"/>
              </a:defRPr>
            </a:pPr>
            <a:endParaRPr lang="cs-CZ"/>
          </a:p>
        </c:txPr>
        <c:crossAx val="112769664"/>
        <c:crosses val="autoZero"/>
        <c:auto val="1"/>
        <c:lblAlgn val="ctr"/>
        <c:lblOffset val="0"/>
        <c:noMultiLvlLbl val="0"/>
      </c:catAx>
      <c:valAx>
        <c:axId val="112769664"/>
        <c:scaling>
          <c:orientation val="minMax"/>
          <c:max val="28"/>
          <c:min val="-8"/>
        </c:scaling>
        <c:delete val="0"/>
        <c:axPos val="l"/>
        <c:majorGridlines>
          <c:spPr>
            <a:ln>
              <a:solidFill>
                <a:srgbClr val="BEBEBE"/>
              </a:solidFill>
            </a:ln>
          </c:spPr>
        </c:majorGridlines>
        <c:numFmt formatCode="0" sourceLinked="0"/>
        <c:majorTickMark val="out"/>
        <c:minorTickMark val="none"/>
        <c:tickLblPos val="nextTo"/>
        <c:txPr>
          <a:bodyPr/>
          <a:lstStyle/>
          <a:p>
            <a:pPr>
              <a:defRPr sz="800">
                <a:latin typeface="Arial" pitchFamily="34" charset="0"/>
                <a:cs typeface="Arial" pitchFamily="34" charset="0"/>
              </a:defRPr>
            </a:pPr>
            <a:endParaRPr lang="cs-CZ"/>
          </a:p>
        </c:txPr>
        <c:crossAx val="112768128"/>
        <c:crosses val="autoZero"/>
        <c:crossBetween val="between"/>
        <c:majorUnit val="4"/>
      </c:valAx>
      <c:spPr>
        <a:noFill/>
        <a:ln w="6350">
          <a:solidFill>
            <a:prstClr val="black">
              <a:lumMod val="95000"/>
              <a:lumOff val="5000"/>
            </a:prstClr>
          </a:solidFill>
        </a:ln>
      </c:spPr>
    </c:plotArea>
    <c:legend>
      <c:legendPos val="r"/>
      <c:layout>
        <c:manualLayout>
          <c:xMode val="edge"/>
          <c:yMode val="edge"/>
          <c:x val="4.6105052893994747E-2"/>
          <c:y val="0.81639977400602937"/>
          <c:w val="0.93011470148370468"/>
          <c:h val="0.17704298175785912"/>
        </c:manualLayout>
      </c:layout>
      <c:overlay val="0"/>
      <c:spPr>
        <a:ln w="6350">
          <a:solidFill>
            <a:prstClr val="black">
              <a:lumMod val="95000"/>
              <a:lumOff val="5000"/>
            </a:prstClr>
          </a:solidFill>
        </a:ln>
      </c:spPr>
      <c:txPr>
        <a:bodyPr/>
        <a:lstStyle/>
        <a:p>
          <a:pPr>
            <a:defRPr sz="800">
              <a:latin typeface="Arial" pitchFamily="34" charset="0"/>
              <a:cs typeface="Arial" pitchFamily="34" charset="0"/>
            </a:defRPr>
          </a:pPr>
          <a:endParaRPr lang="cs-CZ"/>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2746300854145584E-2"/>
          <c:y val="1.5647041011259352E-2"/>
          <c:w val="0.91780899788858206"/>
          <c:h val="0.76121701409139131"/>
        </c:manualLayout>
      </c:layout>
      <c:barChart>
        <c:barDir val="col"/>
        <c:grouping val="clustered"/>
        <c:varyColors val="0"/>
        <c:ser>
          <c:idx val="0"/>
          <c:order val="0"/>
          <c:tx>
            <c:strRef>
              <c:f>'výkonnost odvětví 2'!$A$36</c:f>
              <c:strCache>
                <c:ptCount val="1"/>
                <c:pt idx="0">
                  <c:v>Total orders (all industry)</c:v>
                </c:pt>
              </c:strCache>
            </c:strRef>
          </c:tx>
          <c:spPr>
            <a:solidFill>
              <a:srgbClr val="86BF5E"/>
            </a:solidFill>
            <a:ln>
              <a:noFill/>
            </a:ln>
          </c:spPr>
          <c:invertIfNegative val="0"/>
          <c:cat>
            <c:multiLvlStrRef>
              <c:f>'výkonnost odvětví 2'!$AP$34:$BL$35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2'!$AP$36:$BL$36</c:f>
              <c:numCache>
                <c:formatCode>##0.0</c:formatCode>
                <c:ptCount val="23"/>
                <c:pt idx="0">
                  <c:v>10.604235177800007</c:v>
                </c:pt>
                <c:pt idx="1">
                  <c:v>46.728308701499998</c:v>
                </c:pt>
                <c:pt idx="2">
                  <c:v>7.4466496054999993</c:v>
                </c:pt>
                <c:pt idx="3">
                  <c:v>4.0119161703999993</c:v>
                </c:pt>
                <c:pt idx="4">
                  <c:v>6.356727203600002</c:v>
                </c:pt>
                <c:pt idx="5">
                  <c:v>10.097314984299999</c:v>
                </c:pt>
                <c:pt idx="6">
                  <c:v>15.276770302299994</c:v>
                </c:pt>
                <c:pt idx="7">
                  <c:v>12.582418127599993</c:v>
                </c:pt>
                <c:pt idx="8">
                  <c:v>3.1280309439000007</c:v>
                </c:pt>
                <c:pt idx="9">
                  <c:v>-2.2493627854999971</c:v>
                </c:pt>
                <c:pt idx="10">
                  <c:v>-3.8342366656000024</c:v>
                </c:pt>
                <c:pt idx="11">
                  <c:v>-0.94176836840000533</c:v>
                </c:pt>
                <c:pt idx="12">
                  <c:v>4.4876596448000043</c:v>
                </c:pt>
                <c:pt idx="13">
                  <c:v>4.4814919468000056</c:v>
                </c:pt>
                <c:pt idx="14">
                  <c:v>4.3701535717000013</c:v>
                </c:pt>
                <c:pt idx="15">
                  <c:v>1.2150424327000025</c:v>
                </c:pt>
                <c:pt idx="16">
                  <c:v>-0.12859206109999377</c:v>
                </c:pt>
                <c:pt idx="17" formatCode="#\ ##0.0">
                  <c:v>3.4043568106000066</c:v>
                </c:pt>
                <c:pt idx="18" formatCode="#\ ##0.0">
                  <c:v>2.2391494465999955</c:v>
                </c:pt>
                <c:pt idx="19" formatCode="#\ ##0.0">
                  <c:v>10.301430084900005</c:v>
                </c:pt>
                <c:pt idx="20" formatCode="#\ ##0.0">
                  <c:v>3.9650292808999978</c:v>
                </c:pt>
                <c:pt idx="21" formatCode="#\ ##0.0">
                  <c:v>6.6973747742</c:v>
                </c:pt>
              </c:numCache>
            </c:numRef>
          </c:val>
          <c:extLst>
            <c:ext xmlns:c16="http://schemas.microsoft.com/office/drawing/2014/chart" uri="{C3380CC4-5D6E-409C-BE32-E72D297353CC}">
              <c16:uniqueId val="{00000000-BDDB-4552-AD3E-D61EA7C6DA99}"/>
            </c:ext>
          </c:extLst>
        </c:ser>
        <c:dLbls>
          <c:showLegendKey val="0"/>
          <c:showVal val="0"/>
          <c:showCatName val="0"/>
          <c:showSerName val="0"/>
          <c:showPercent val="0"/>
          <c:showBubbleSize val="0"/>
        </c:dLbls>
        <c:gapWidth val="30"/>
        <c:axId val="112768128"/>
        <c:axId val="112769664"/>
      </c:barChart>
      <c:lineChart>
        <c:grouping val="standard"/>
        <c:varyColors val="0"/>
        <c:ser>
          <c:idx val="1"/>
          <c:order val="1"/>
          <c:tx>
            <c:strRef>
              <c:f>'výkonnost odvětví 2'!$A$37</c:f>
              <c:strCache>
                <c:ptCount val="1"/>
                <c:pt idx="0">
                  <c:v>In that: domestic orders</c:v>
                </c:pt>
              </c:strCache>
            </c:strRef>
          </c:tx>
          <c:spPr>
            <a:ln w="15875">
              <a:noFill/>
              <a:prstDash val="sysDot"/>
            </a:ln>
          </c:spPr>
          <c:marker>
            <c:symbol val="circle"/>
            <c:size val="5"/>
            <c:spPr>
              <a:solidFill>
                <a:schemeClr val="bg1"/>
              </a:solidFill>
              <a:ln w="12700">
                <a:solidFill>
                  <a:srgbClr val="85BF5E"/>
                </a:solidFill>
              </a:ln>
            </c:spPr>
          </c:marker>
          <c:cat>
            <c:multiLvlStrRef>
              <c:f>'výkonnost odvětví 2'!$AP$34:$BL$35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2'!$AP$37:$BL$37</c:f>
              <c:numCache>
                <c:formatCode>##0.0</c:formatCode>
                <c:ptCount val="23"/>
                <c:pt idx="0">
                  <c:v>2.2004655299000007</c:v>
                </c:pt>
                <c:pt idx="1">
                  <c:v>42.217352803199987</c:v>
                </c:pt>
                <c:pt idx="2">
                  <c:v>9.2691617169000011</c:v>
                </c:pt>
                <c:pt idx="3">
                  <c:v>5.7638066604999949</c:v>
                </c:pt>
                <c:pt idx="4">
                  <c:v>8.7209050958999939</c:v>
                </c:pt>
                <c:pt idx="5">
                  <c:v>15.451566326000005</c:v>
                </c:pt>
                <c:pt idx="6">
                  <c:v>26.230660505800003</c:v>
                </c:pt>
                <c:pt idx="7">
                  <c:v>19.294277493300001</c:v>
                </c:pt>
                <c:pt idx="8">
                  <c:v>11.972474484000003</c:v>
                </c:pt>
                <c:pt idx="9">
                  <c:v>2.3732362854999991</c:v>
                </c:pt>
                <c:pt idx="10">
                  <c:v>-6.7666305145999956</c:v>
                </c:pt>
                <c:pt idx="11">
                  <c:v>-0.67773158740000383</c:v>
                </c:pt>
                <c:pt idx="12">
                  <c:v>3.480101154099998</c:v>
                </c:pt>
                <c:pt idx="13">
                  <c:v>3.085780016399994</c:v>
                </c:pt>
                <c:pt idx="14">
                  <c:v>7.8628991544999991</c:v>
                </c:pt>
                <c:pt idx="15">
                  <c:v>2.4191420900999958</c:v>
                </c:pt>
                <c:pt idx="16">
                  <c:v>0.47799061009999377</c:v>
                </c:pt>
                <c:pt idx="17" formatCode="#\ ##0.0">
                  <c:v>2.3784755613999948</c:v>
                </c:pt>
                <c:pt idx="18" formatCode="#\ ##0.0">
                  <c:v>4.5008512379999956</c:v>
                </c:pt>
                <c:pt idx="19" formatCode="#\ ##0.0">
                  <c:v>0.1822216103000045</c:v>
                </c:pt>
                <c:pt idx="20" formatCode="#\ ##0.0">
                  <c:v>2.4963724752000047</c:v>
                </c:pt>
                <c:pt idx="21" formatCode="#\ ##0.0">
                  <c:v>2.1657138125000017</c:v>
                </c:pt>
              </c:numCache>
            </c:numRef>
          </c:val>
          <c:smooth val="0"/>
          <c:extLst>
            <c:ext xmlns:c16="http://schemas.microsoft.com/office/drawing/2014/chart" uri="{C3380CC4-5D6E-409C-BE32-E72D297353CC}">
              <c16:uniqueId val="{00000001-BDDB-4552-AD3E-D61EA7C6DA99}"/>
            </c:ext>
          </c:extLst>
        </c:ser>
        <c:ser>
          <c:idx val="4"/>
          <c:order val="2"/>
          <c:tx>
            <c:strRef>
              <c:f>'výkonnost odvětví 2'!$A$40</c:f>
              <c:strCache>
                <c:ptCount val="1"/>
                <c:pt idx="0">
                  <c:v>Barrier: inadequate demand</c:v>
                </c:pt>
              </c:strCache>
            </c:strRef>
          </c:tx>
          <c:spPr>
            <a:ln w="15875">
              <a:solidFill>
                <a:srgbClr val="8390A7"/>
              </a:solidFill>
              <a:prstDash val="solid"/>
            </a:ln>
          </c:spPr>
          <c:marker>
            <c:symbol val="none"/>
          </c:marker>
          <c:cat>
            <c:multiLvlStrRef>
              <c:f>'výkonnost odvětví 2'!$AP$34:$BL$35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2'!$AP$40:$BL$40</c:f>
              <c:numCache>
                <c:formatCode>#\ ##0.0</c:formatCode>
                <c:ptCount val="23"/>
                <c:pt idx="0">
                  <c:v>46.9</c:v>
                </c:pt>
                <c:pt idx="1">
                  <c:v>38.700000000000003</c:v>
                </c:pt>
                <c:pt idx="2">
                  <c:v>25.4</c:v>
                </c:pt>
                <c:pt idx="3">
                  <c:v>27.9</c:v>
                </c:pt>
                <c:pt idx="4">
                  <c:v>29.9</c:v>
                </c:pt>
                <c:pt idx="5">
                  <c:v>21.3</c:v>
                </c:pt>
                <c:pt idx="6">
                  <c:v>18.7</c:v>
                </c:pt>
                <c:pt idx="7">
                  <c:v>29.4</c:v>
                </c:pt>
                <c:pt idx="8">
                  <c:v>42.5</c:v>
                </c:pt>
                <c:pt idx="9">
                  <c:v>42</c:v>
                </c:pt>
                <c:pt idx="10">
                  <c:v>44.3</c:v>
                </c:pt>
                <c:pt idx="11">
                  <c:v>46.2</c:v>
                </c:pt>
                <c:pt idx="12">
                  <c:v>47.5</c:v>
                </c:pt>
                <c:pt idx="13">
                  <c:v>49.8</c:v>
                </c:pt>
                <c:pt idx="14">
                  <c:v>52</c:v>
                </c:pt>
                <c:pt idx="15">
                  <c:v>49</c:v>
                </c:pt>
                <c:pt idx="16">
                  <c:v>63.5</c:v>
                </c:pt>
                <c:pt idx="17">
                  <c:v>51.7</c:v>
                </c:pt>
                <c:pt idx="18">
                  <c:v>52.7</c:v>
                </c:pt>
                <c:pt idx="19">
                  <c:v>54.2</c:v>
                </c:pt>
                <c:pt idx="20">
                  <c:v>53</c:v>
                </c:pt>
                <c:pt idx="21">
                  <c:v>59.3</c:v>
                </c:pt>
                <c:pt idx="22" formatCode="General">
                  <c:v>47.6</c:v>
                </c:pt>
              </c:numCache>
            </c:numRef>
          </c:val>
          <c:smooth val="0"/>
          <c:extLst>
            <c:ext xmlns:c16="http://schemas.microsoft.com/office/drawing/2014/chart" uri="{C3380CC4-5D6E-409C-BE32-E72D297353CC}">
              <c16:uniqueId val="{00000002-BDDB-4552-AD3E-D61EA7C6DA99}"/>
            </c:ext>
          </c:extLst>
        </c:ser>
        <c:ser>
          <c:idx val="6"/>
          <c:order val="3"/>
          <c:tx>
            <c:strRef>
              <c:f>'výkonnost odvětví 2'!$A$42</c:f>
              <c:strCache>
                <c:ptCount val="1"/>
                <c:pt idx="0">
                  <c:v>Barrier: shortage of material/equipment</c:v>
                </c:pt>
              </c:strCache>
            </c:strRef>
          </c:tx>
          <c:spPr>
            <a:ln w="15875">
              <a:solidFill>
                <a:srgbClr val="B8BBC0"/>
              </a:solidFill>
              <a:prstDash val="dash"/>
            </a:ln>
          </c:spPr>
          <c:marker>
            <c:symbol val="none"/>
          </c:marker>
          <c:cat>
            <c:multiLvlStrRef>
              <c:f>'výkonnost odvětví 2'!$AP$34:$BL$35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2'!$AP$42:$BL$42</c:f>
              <c:numCache>
                <c:formatCode>#\ ##0.0</c:formatCode>
                <c:ptCount val="23"/>
                <c:pt idx="0">
                  <c:v>23.1</c:v>
                </c:pt>
                <c:pt idx="1">
                  <c:v>32.1</c:v>
                </c:pt>
                <c:pt idx="2">
                  <c:v>45.9</c:v>
                </c:pt>
                <c:pt idx="3">
                  <c:v>41.2</c:v>
                </c:pt>
                <c:pt idx="4">
                  <c:v>39.299999999999997</c:v>
                </c:pt>
                <c:pt idx="5">
                  <c:v>47.8</c:v>
                </c:pt>
                <c:pt idx="6">
                  <c:v>53.4</c:v>
                </c:pt>
                <c:pt idx="7">
                  <c:v>46.4</c:v>
                </c:pt>
                <c:pt idx="8">
                  <c:v>37.4</c:v>
                </c:pt>
                <c:pt idx="9">
                  <c:v>32.5</c:v>
                </c:pt>
                <c:pt idx="10">
                  <c:v>20.6</c:v>
                </c:pt>
                <c:pt idx="11">
                  <c:v>17.100000000000001</c:v>
                </c:pt>
                <c:pt idx="12">
                  <c:v>32.700000000000003</c:v>
                </c:pt>
                <c:pt idx="13">
                  <c:v>28.1</c:v>
                </c:pt>
                <c:pt idx="14">
                  <c:v>13</c:v>
                </c:pt>
                <c:pt idx="15">
                  <c:v>24.7</c:v>
                </c:pt>
                <c:pt idx="16">
                  <c:v>11.9</c:v>
                </c:pt>
                <c:pt idx="17">
                  <c:v>25</c:v>
                </c:pt>
                <c:pt idx="18">
                  <c:v>11</c:v>
                </c:pt>
                <c:pt idx="19">
                  <c:v>11.2</c:v>
                </c:pt>
                <c:pt idx="20">
                  <c:v>11.4</c:v>
                </c:pt>
                <c:pt idx="21">
                  <c:v>11.6</c:v>
                </c:pt>
                <c:pt idx="22" formatCode="General">
                  <c:v>11.3</c:v>
                </c:pt>
              </c:numCache>
            </c:numRef>
          </c:val>
          <c:smooth val="0"/>
          <c:extLst>
            <c:ext xmlns:c16="http://schemas.microsoft.com/office/drawing/2014/chart" uri="{C3380CC4-5D6E-409C-BE32-E72D297353CC}">
              <c16:uniqueId val="{00000003-BDDB-4552-AD3E-D61EA7C6DA99}"/>
            </c:ext>
          </c:extLst>
        </c:ser>
        <c:ser>
          <c:idx val="7"/>
          <c:order val="4"/>
          <c:tx>
            <c:strRef>
              <c:f>'výkonnost odvětví 2'!$A$43</c:f>
              <c:strCache>
                <c:ptCount val="1"/>
                <c:pt idx="0">
                  <c:v>Total confidence indicator in industry</c:v>
                </c:pt>
              </c:strCache>
            </c:strRef>
          </c:tx>
          <c:spPr>
            <a:ln w="15875">
              <a:solidFill>
                <a:srgbClr val="CC9610"/>
              </a:solidFill>
              <a:prstDash val="sysDot"/>
            </a:ln>
          </c:spPr>
          <c:marker>
            <c:symbol val="diamond"/>
            <c:size val="5"/>
            <c:spPr>
              <a:solidFill>
                <a:srgbClr val="CC9610"/>
              </a:solidFill>
              <a:ln>
                <a:solidFill>
                  <a:srgbClr val="CC9610"/>
                </a:solidFill>
              </a:ln>
            </c:spPr>
          </c:marker>
          <c:cat>
            <c:multiLvlStrRef>
              <c:f>'výkonnost odvětví 2'!$AP$34:$BL$35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2'!$AP$43:$BL$43</c:f>
              <c:numCache>
                <c:formatCode>#\ ##0.0</c:formatCode>
                <c:ptCount val="23"/>
                <c:pt idx="0">
                  <c:v>-3.1999999999999997</c:v>
                </c:pt>
                <c:pt idx="1">
                  <c:v>6.4333333333333336</c:v>
                </c:pt>
                <c:pt idx="2">
                  <c:v>-2.3333333333333335</c:v>
                </c:pt>
                <c:pt idx="3">
                  <c:v>-6.666666666666667</c:v>
                </c:pt>
                <c:pt idx="4">
                  <c:v>-2</c:v>
                </c:pt>
                <c:pt idx="5">
                  <c:v>5.666666666666667</c:v>
                </c:pt>
                <c:pt idx="6">
                  <c:v>-2.1333333333333333</c:v>
                </c:pt>
                <c:pt idx="7">
                  <c:v>-7.7666666666666666</c:v>
                </c:pt>
                <c:pt idx="8">
                  <c:v>-6.3666666666666671</c:v>
                </c:pt>
                <c:pt idx="9">
                  <c:v>-6.4666666666666659</c:v>
                </c:pt>
                <c:pt idx="10">
                  <c:v>-10.799999999999999</c:v>
                </c:pt>
                <c:pt idx="11">
                  <c:v>-5.1333333333333329</c:v>
                </c:pt>
                <c:pt idx="12">
                  <c:v>-11.200000000000001</c:v>
                </c:pt>
                <c:pt idx="13">
                  <c:v>-6.5666666666666664</c:v>
                </c:pt>
                <c:pt idx="14">
                  <c:v>-7.2333333333333334</c:v>
                </c:pt>
                <c:pt idx="15">
                  <c:v>-7.7666666666666666</c:v>
                </c:pt>
                <c:pt idx="16">
                  <c:v>-5.666666666666667</c:v>
                </c:pt>
                <c:pt idx="17">
                  <c:v>-6.5333333333333341</c:v>
                </c:pt>
                <c:pt idx="18">
                  <c:v>-5.333333333333333</c:v>
                </c:pt>
                <c:pt idx="19">
                  <c:v>-4.7666666666666666</c:v>
                </c:pt>
                <c:pt idx="20">
                  <c:v>-3.4666666666666668</c:v>
                </c:pt>
                <c:pt idx="21">
                  <c:v>-3.4333333333333336</c:v>
                </c:pt>
                <c:pt idx="22">
                  <c:v>-1.85</c:v>
                </c:pt>
              </c:numCache>
            </c:numRef>
          </c:val>
          <c:smooth val="0"/>
          <c:extLst>
            <c:ext xmlns:c16="http://schemas.microsoft.com/office/drawing/2014/chart" uri="{C3380CC4-5D6E-409C-BE32-E72D297353CC}">
              <c16:uniqueId val="{00000004-BDDB-4552-AD3E-D61EA7C6DA99}"/>
            </c:ext>
          </c:extLst>
        </c:ser>
        <c:dLbls>
          <c:showLegendKey val="0"/>
          <c:showVal val="0"/>
          <c:showCatName val="0"/>
          <c:showSerName val="0"/>
          <c:showPercent val="0"/>
          <c:showBubbleSize val="0"/>
        </c:dLbls>
        <c:marker val="1"/>
        <c:smooth val="0"/>
        <c:axId val="112768128"/>
        <c:axId val="112769664"/>
      </c:lineChart>
      <c:catAx>
        <c:axId val="112768128"/>
        <c:scaling>
          <c:orientation val="minMax"/>
        </c:scaling>
        <c:delete val="0"/>
        <c:axPos val="b"/>
        <c:numFmt formatCode="General" sourceLinked="1"/>
        <c:majorTickMark val="out"/>
        <c:minorTickMark val="none"/>
        <c:tickLblPos val="low"/>
        <c:crossAx val="112769664"/>
        <c:crosses val="autoZero"/>
        <c:auto val="1"/>
        <c:lblAlgn val="ctr"/>
        <c:lblOffset val="0"/>
        <c:noMultiLvlLbl val="0"/>
      </c:catAx>
      <c:valAx>
        <c:axId val="112769664"/>
        <c:scaling>
          <c:orientation val="minMax"/>
          <c:max val="70"/>
          <c:min val="-20"/>
        </c:scaling>
        <c:delete val="0"/>
        <c:axPos val="l"/>
        <c:majorGridlines>
          <c:spPr>
            <a:ln>
              <a:solidFill>
                <a:srgbClr val="BEBEBE"/>
              </a:solidFill>
            </a:ln>
          </c:spPr>
        </c:majorGridlines>
        <c:numFmt formatCode="0" sourceLinked="0"/>
        <c:majorTickMark val="out"/>
        <c:minorTickMark val="none"/>
        <c:tickLblPos val="nextTo"/>
        <c:crossAx val="112768128"/>
        <c:crosses val="autoZero"/>
        <c:crossBetween val="between"/>
        <c:majorUnit val="10"/>
      </c:valAx>
      <c:spPr>
        <a:noFill/>
        <a:ln w="6350">
          <a:solidFill>
            <a:prstClr val="black">
              <a:lumMod val="95000"/>
              <a:lumOff val="5000"/>
            </a:prstClr>
          </a:solidFill>
        </a:ln>
      </c:spPr>
    </c:plotArea>
    <c:legend>
      <c:legendPos val="r"/>
      <c:layout>
        <c:manualLayout>
          <c:xMode val="edge"/>
          <c:yMode val="edge"/>
          <c:x val="5.024508272843501E-2"/>
          <c:y val="0.87353462305389384"/>
          <c:w val="0.92042535460937636"/>
          <c:h val="0.11948133459972562"/>
        </c:manualLayout>
      </c:layout>
      <c:overlay val="0"/>
      <c:spPr>
        <a:ln w="6350">
          <a:solidFill>
            <a:prstClr val="black">
              <a:lumMod val="95000"/>
              <a:lumOff val="5000"/>
            </a:prstClr>
          </a:solidFill>
        </a:ln>
      </c:spPr>
      <c:txPr>
        <a:bodyPr/>
        <a:lstStyle/>
        <a:p>
          <a:pPr>
            <a:defRPr sz="780"/>
          </a:pPr>
          <a:endParaRPr lang="cs-CZ"/>
        </a:p>
      </c:txPr>
    </c:legend>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852733524588496E-2"/>
          <c:y val="1.6492431800159527E-2"/>
          <c:w val="0.8549624610877129"/>
          <c:h val="0.75413191483370345"/>
        </c:manualLayout>
      </c:layout>
      <c:barChart>
        <c:barDir val="col"/>
        <c:grouping val="stacked"/>
        <c:varyColors val="0"/>
        <c:ser>
          <c:idx val="1"/>
          <c:order val="1"/>
          <c:tx>
            <c:strRef>
              <c:f>'výkonnost odvětví 3'!$U$52</c:f>
              <c:strCache>
                <c:ptCount val="1"/>
                <c:pt idx="0">
                  <c:v>Building construction</c:v>
                </c:pt>
              </c:strCache>
            </c:strRef>
          </c:tx>
          <c:spPr>
            <a:solidFill>
              <a:srgbClr val="9FC9D7"/>
            </a:solidFill>
            <a:ln>
              <a:noFill/>
            </a:ln>
          </c:spPr>
          <c:invertIfNegative val="0"/>
          <c:cat>
            <c:multiLvlStrRef>
              <c:f>'výkonnost odvětví 3'!$R$53:$S$75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3'!$U$53:$U$75</c:f>
              <c:numCache>
                <c:formatCode>0.0</c:formatCode>
                <c:ptCount val="23"/>
                <c:pt idx="0">
                  <c:v>-5.0660837283894127</c:v>
                </c:pt>
                <c:pt idx="1">
                  <c:v>2.4656819622014705</c:v>
                </c:pt>
                <c:pt idx="2">
                  <c:v>2.7078036992242112</c:v>
                </c:pt>
                <c:pt idx="3">
                  <c:v>5.3885116062898586</c:v>
                </c:pt>
                <c:pt idx="4">
                  <c:v>7.2599370375691361</c:v>
                </c:pt>
                <c:pt idx="5">
                  <c:v>3.5228521802835968</c:v>
                </c:pt>
                <c:pt idx="6">
                  <c:v>-0.76086526249632169</c:v>
                </c:pt>
                <c:pt idx="7">
                  <c:v>-1.4422238162798067</c:v>
                </c:pt>
                <c:pt idx="8">
                  <c:v>2.0785501415796661</c:v>
                </c:pt>
                <c:pt idx="9">
                  <c:v>-1.7940004523509017</c:v>
                </c:pt>
                <c:pt idx="10">
                  <c:v>-0.44420059250800503</c:v>
                </c:pt>
                <c:pt idx="11">
                  <c:v>-2.3463867721548444</c:v>
                </c:pt>
                <c:pt idx="12">
                  <c:v>-5.1543406570414874</c:v>
                </c:pt>
                <c:pt idx="13">
                  <c:v>-3.1463977386870448</c:v>
                </c:pt>
                <c:pt idx="14">
                  <c:v>-1.8872107153037683</c:v>
                </c:pt>
                <c:pt idx="15">
                  <c:v>1.6874158785106754</c:v>
                </c:pt>
                <c:pt idx="16">
                  <c:v>7.1050689620756158</c:v>
                </c:pt>
                <c:pt idx="17">
                  <c:v>7.3083691806545366</c:v>
                </c:pt>
                <c:pt idx="18">
                  <c:v>8.1561639741042313</c:v>
                </c:pt>
                <c:pt idx="19">
                  <c:v>4.934183736192943</c:v>
                </c:pt>
                <c:pt idx="20">
                  <c:v>4</c:v>
                </c:pt>
                <c:pt idx="21">
                  <c:v>4.3354985512150002</c:v>
                </c:pt>
              </c:numCache>
            </c:numRef>
          </c:val>
          <c:extLst>
            <c:ext xmlns:c16="http://schemas.microsoft.com/office/drawing/2014/chart" uri="{C3380CC4-5D6E-409C-BE32-E72D297353CC}">
              <c16:uniqueId val="{00000000-983B-44C1-8E95-96E00C473169}"/>
            </c:ext>
          </c:extLst>
        </c:ser>
        <c:ser>
          <c:idx val="2"/>
          <c:order val="2"/>
          <c:tx>
            <c:strRef>
              <c:f>'výkonnost odvětví 3'!$V$52</c:f>
              <c:strCache>
                <c:ptCount val="1"/>
                <c:pt idx="0">
                  <c:v>Civil engineering </c:v>
                </c:pt>
              </c:strCache>
            </c:strRef>
          </c:tx>
          <c:spPr>
            <a:solidFill>
              <a:srgbClr val="009CB5"/>
            </a:solidFill>
            <a:ln>
              <a:noFill/>
            </a:ln>
          </c:spPr>
          <c:invertIfNegative val="0"/>
          <c:cat>
            <c:multiLvlStrRef>
              <c:f>'výkonnost odvětví 3'!$R$53:$S$75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3'!$V$53:$V$75</c:f>
              <c:numCache>
                <c:formatCode>0.0</c:formatCode>
                <c:ptCount val="23"/>
                <c:pt idx="0">
                  <c:v>-0.39522301308242569</c:v>
                </c:pt>
                <c:pt idx="1">
                  <c:v>1.8600290235434405</c:v>
                </c:pt>
                <c:pt idx="2">
                  <c:v>0.52162218280948758</c:v>
                </c:pt>
                <c:pt idx="3">
                  <c:v>-1.0553579383328437</c:v>
                </c:pt>
                <c:pt idx="4">
                  <c:v>5.3542662490461961</c:v>
                </c:pt>
                <c:pt idx="5">
                  <c:v>1.3478592062038046</c:v>
                </c:pt>
                <c:pt idx="6">
                  <c:v>0.66736359398673328</c:v>
                </c:pt>
                <c:pt idx="7">
                  <c:v>1.4188446024940988</c:v>
                </c:pt>
                <c:pt idx="8">
                  <c:v>-3.8410888445248759</c:v>
                </c:pt>
                <c:pt idx="9">
                  <c:v>-2.3631236527439059</c:v>
                </c:pt>
                <c:pt idx="10">
                  <c:v>-0.13182183197812178</c:v>
                </c:pt>
                <c:pt idx="11">
                  <c:v>-0.56534456319622506</c:v>
                </c:pt>
                <c:pt idx="12">
                  <c:v>1.1608192067090914</c:v>
                </c:pt>
                <c:pt idx="13">
                  <c:v>-1.4573196686113525</c:v>
                </c:pt>
                <c:pt idx="14">
                  <c:v>0.30856458109758472</c:v>
                </c:pt>
                <c:pt idx="15">
                  <c:v>1.5095691516466947</c:v>
                </c:pt>
                <c:pt idx="16">
                  <c:v>2.8429452920484981</c:v>
                </c:pt>
                <c:pt idx="17">
                  <c:v>4.6745610681433529</c:v>
                </c:pt>
                <c:pt idx="18">
                  <c:v>5.5844079848996229</c:v>
                </c:pt>
                <c:pt idx="19">
                  <c:v>2.8341560537560264</c:v>
                </c:pt>
                <c:pt idx="20">
                  <c:v>-0.3</c:v>
                </c:pt>
                <c:pt idx="21">
                  <c:v>-0.17723944854000137</c:v>
                </c:pt>
              </c:numCache>
            </c:numRef>
          </c:val>
          <c:extLst>
            <c:ext xmlns:c16="http://schemas.microsoft.com/office/drawing/2014/chart" uri="{C3380CC4-5D6E-409C-BE32-E72D297353CC}">
              <c16:uniqueId val="{00000001-983B-44C1-8E95-96E00C473169}"/>
            </c:ext>
          </c:extLst>
        </c:ser>
        <c:dLbls>
          <c:showLegendKey val="0"/>
          <c:showVal val="0"/>
          <c:showCatName val="0"/>
          <c:showSerName val="0"/>
          <c:showPercent val="0"/>
          <c:showBubbleSize val="0"/>
        </c:dLbls>
        <c:gapWidth val="30"/>
        <c:overlap val="100"/>
        <c:axId val="112768128"/>
        <c:axId val="112769664"/>
      </c:barChart>
      <c:lineChart>
        <c:grouping val="standard"/>
        <c:varyColors val="0"/>
        <c:ser>
          <c:idx val="0"/>
          <c:order val="0"/>
          <c:tx>
            <c:strRef>
              <c:f>'výkonnost odvětví 3'!$T$52</c:f>
              <c:strCache>
                <c:ptCount val="1"/>
                <c:pt idx="0">
                  <c:v>Total construction output</c:v>
                </c:pt>
              </c:strCache>
            </c:strRef>
          </c:tx>
          <c:spPr>
            <a:ln>
              <a:noFill/>
            </a:ln>
          </c:spPr>
          <c:marker>
            <c:symbol val="dash"/>
            <c:size val="10"/>
            <c:spPr>
              <a:solidFill>
                <a:schemeClr val="tx1">
                  <a:lumMod val="95000"/>
                  <a:lumOff val="5000"/>
                </a:schemeClr>
              </a:solidFill>
              <a:ln>
                <a:noFill/>
              </a:ln>
            </c:spPr>
          </c:marker>
          <c:cat>
            <c:multiLvlStrRef>
              <c:f>'výkonnost odvětví 3'!$R$53:$S$75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3'!$T$53:$T$75</c:f>
              <c:numCache>
                <c:formatCode>0.0</c:formatCode>
                <c:ptCount val="23"/>
                <c:pt idx="0">
                  <c:v>-5.449827937799995</c:v>
                </c:pt>
                <c:pt idx="1">
                  <c:v>4.3346326277000031</c:v>
                </c:pt>
                <c:pt idx="2">
                  <c:v>3.2527324745999948</c:v>
                </c:pt>
                <c:pt idx="3">
                  <c:v>4.3444783167000054</c:v>
                </c:pt>
                <c:pt idx="4">
                  <c:v>12.605105655499997</c:v>
                </c:pt>
                <c:pt idx="5">
                  <c:v>4.8704536909999945</c:v>
                </c:pt>
                <c:pt idx="6">
                  <c:v>-9.4174134400006437E-2</c:v>
                </c:pt>
                <c:pt idx="7">
                  <c:v>-1.3883214100005148E-2</c:v>
                </c:pt>
                <c:pt idx="8">
                  <c:v>-1.7717177847000016</c:v>
                </c:pt>
                <c:pt idx="9">
                  <c:v>-4.1402313415999998</c:v>
                </c:pt>
                <c:pt idx="10">
                  <c:v>-0.56619568009999455</c:v>
                </c:pt>
                <c:pt idx="11">
                  <c:v>-2.9142969090000008</c:v>
                </c:pt>
                <c:pt idx="12">
                  <c:v>-3.966105693800003</c:v>
                </c:pt>
                <c:pt idx="13">
                  <c:v>-4.6095742126999966</c:v>
                </c:pt>
                <c:pt idx="14">
                  <c:v>-1.6053599297000005</c:v>
                </c:pt>
                <c:pt idx="15">
                  <c:v>3.1979198801000024</c:v>
                </c:pt>
                <c:pt idx="16">
                  <c:v>9.9456413813000069</c:v>
                </c:pt>
                <c:pt idx="17">
                  <c:v>11.992779862299997</c:v>
                </c:pt>
                <c:pt idx="18">
                  <c:v>13.730028734300006</c:v>
                </c:pt>
                <c:pt idx="19">
                  <c:v>7.7796862008000005</c:v>
                </c:pt>
                <c:pt idx="20">
                  <c:v>3.7364473016999966</c:v>
                </c:pt>
                <c:pt idx="21">
                  <c:v>4.1282368793000046</c:v>
                </c:pt>
              </c:numCache>
            </c:numRef>
          </c:val>
          <c:smooth val="0"/>
          <c:extLst>
            <c:ext xmlns:c16="http://schemas.microsoft.com/office/drawing/2014/chart" uri="{C3380CC4-5D6E-409C-BE32-E72D297353CC}">
              <c16:uniqueId val="{00000002-983B-44C1-8E95-96E00C473169}"/>
            </c:ext>
          </c:extLst>
        </c:ser>
        <c:dLbls>
          <c:showLegendKey val="0"/>
          <c:showVal val="0"/>
          <c:showCatName val="0"/>
          <c:showSerName val="0"/>
          <c:showPercent val="0"/>
          <c:showBubbleSize val="0"/>
        </c:dLbls>
        <c:marker val="1"/>
        <c:smooth val="0"/>
        <c:axId val="112768128"/>
        <c:axId val="112769664"/>
      </c:lineChart>
      <c:lineChart>
        <c:grouping val="standard"/>
        <c:varyColors val="0"/>
        <c:ser>
          <c:idx val="3"/>
          <c:order val="3"/>
          <c:tx>
            <c:strRef>
              <c:f>'výkonnost odvětví 3'!$W$52</c:f>
              <c:strCache>
                <c:ptCount val="1"/>
                <c:pt idx="0">
                  <c:v>New domestic construction orders </c:v>
                </c:pt>
              </c:strCache>
            </c:strRef>
          </c:tx>
          <c:spPr>
            <a:ln w="9525">
              <a:solidFill>
                <a:srgbClr val="86BF5E"/>
              </a:solidFill>
              <a:prstDash val="sysDot"/>
            </a:ln>
          </c:spPr>
          <c:marker>
            <c:symbol val="circle"/>
            <c:size val="5"/>
            <c:spPr>
              <a:solidFill>
                <a:srgbClr val="85BF5E"/>
              </a:solidFill>
              <a:ln>
                <a:noFill/>
              </a:ln>
            </c:spPr>
          </c:marker>
          <c:cat>
            <c:multiLvlStrRef>
              <c:f>'výkonnost odvětví 3'!$R$53:$S$75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3'!$W$53:$W$75</c:f>
              <c:numCache>
                <c:formatCode>0.0</c:formatCode>
                <c:ptCount val="23"/>
                <c:pt idx="0">
                  <c:v>28.856340981154375</c:v>
                </c:pt>
                <c:pt idx="1">
                  <c:v>22.0478670382426</c:v>
                </c:pt>
                <c:pt idx="2">
                  <c:v>10.015015612184257</c:v>
                </c:pt>
                <c:pt idx="3">
                  <c:v>1.0053213537781147</c:v>
                </c:pt>
                <c:pt idx="4">
                  <c:v>13.067478460417888</c:v>
                </c:pt>
                <c:pt idx="5">
                  <c:v>17.619167772184284</c:v>
                </c:pt>
                <c:pt idx="6">
                  <c:v>12.421954480552543</c:v>
                </c:pt>
                <c:pt idx="7">
                  <c:v>13.031852753748723</c:v>
                </c:pt>
                <c:pt idx="8">
                  <c:v>-10.144501025957553</c:v>
                </c:pt>
                <c:pt idx="9">
                  <c:v>-18.697561390531931</c:v>
                </c:pt>
                <c:pt idx="10">
                  <c:v>27.514816854662854</c:v>
                </c:pt>
                <c:pt idx="11">
                  <c:v>9.3063425617587683</c:v>
                </c:pt>
                <c:pt idx="12">
                  <c:v>30.48574840110382</c:v>
                </c:pt>
                <c:pt idx="13">
                  <c:v>24.810378988741093</c:v>
                </c:pt>
                <c:pt idx="14">
                  <c:v>-2.1445567903011948</c:v>
                </c:pt>
                <c:pt idx="15">
                  <c:v>17.246427278094785</c:v>
                </c:pt>
                <c:pt idx="16">
                  <c:v>14.966548023920552</c:v>
                </c:pt>
                <c:pt idx="17">
                  <c:v>18.397953312123349</c:v>
                </c:pt>
                <c:pt idx="18">
                  <c:v>8.8509967247769197</c:v>
                </c:pt>
                <c:pt idx="19">
                  <c:v>-2.6142731987564503</c:v>
                </c:pt>
                <c:pt idx="20">
                  <c:v>-7.4593940388818112</c:v>
                </c:pt>
                <c:pt idx="21">
                  <c:v>7.8010519659062822</c:v>
                </c:pt>
              </c:numCache>
            </c:numRef>
          </c:val>
          <c:smooth val="0"/>
          <c:extLst>
            <c:ext xmlns:c16="http://schemas.microsoft.com/office/drawing/2014/chart" uri="{C3380CC4-5D6E-409C-BE32-E72D297353CC}">
              <c16:uniqueId val="{00000003-983B-44C1-8E95-96E00C473169}"/>
            </c:ext>
          </c:extLst>
        </c:ser>
        <c:ser>
          <c:idx val="7"/>
          <c:order val="4"/>
          <c:tx>
            <c:strRef>
              <c:f>'výkonnost odvětví 3'!$X$52</c:f>
              <c:strCache>
                <c:ptCount val="1"/>
                <c:pt idx="0">
                  <c:v>Confidence indicator in construction </c:v>
                </c:pt>
              </c:strCache>
            </c:strRef>
          </c:tx>
          <c:spPr>
            <a:ln w="15875">
              <a:solidFill>
                <a:srgbClr val="CC9610"/>
              </a:solidFill>
              <a:prstDash val="sysDot"/>
            </a:ln>
          </c:spPr>
          <c:marker>
            <c:symbol val="diamond"/>
            <c:size val="5"/>
            <c:spPr>
              <a:solidFill>
                <a:srgbClr val="CC9610"/>
              </a:solidFill>
              <a:ln>
                <a:solidFill>
                  <a:srgbClr val="CC9610"/>
                </a:solidFill>
              </a:ln>
            </c:spPr>
          </c:marker>
          <c:cat>
            <c:multiLvlStrRef>
              <c:f>'výkonnost odvětví 3'!$R$53:$S$75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3'!$X$53:$X$75</c:f>
              <c:numCache>
                <c:formatCode>0.0</c:formatCode>
                <c:ptCount val="23"/>
                <c:pt idx="0">
                  <c:v>-7.166666666666667</c:v>
                </c:pt>
                <c:pt idx="1">
                  <c:v>-6.5</c:v>
                </c:pt>
                <c:pt idx="2">
                  <c:v>-6.5</c:v>
                </c:pt>
                <c:pt idx="3">
                  <c:v>-6.833333333333333</c:v>
                </c:pt>
                <c:pt idx="4">
                  <c:v>3.8333333333333335</c:v>
                </c:pt>
                <c:pt idx="5">
                  <c:v>-1</c:v>
                </c:pt>
                <c:pt idx="6">
                  <c:v>-6.333333333333333</c:v>
                </c:pt>
                <c:pt idx="7">
                  <c:v>-8.1666666666666661</c:v>
                </c:pt>
                <c:pt idx="8">
                  <c:v>-13.666666666666666</c:v>
                </c:pt>
                <c:pt idx="9">
                  <c:v>-15</c:v>
                </c:pt>
                <c:pt idx="10">
                  <c:v>-16.666666666666668</c:v>
                </c:pt>
                <c:pt idx="11">
                  <c:v>-14.333333333333334</c:v>
                </c:pt>
                <c:pt idx="12">
                  <c:v>-9</c:v>
                </c:pt>
                <c:pt idx="13">
                  <c:v>-13.5</c:v>
                </c:pt>
                <c:pt idx="14">
                  <c:v>-10.5</c:v>
                </c:pt>
                <c:pt idx="15">
                  <c:v>-6.166666666666667</c:v>
                </c:pt>
                <c:pt idx="16">
                  <c:v>-4.5</c:v>
                </c:pt>
                <c:pt idx="17">
                  <c:v>-1.6666666666666667</c:v>
                </c:pt>
                <c:pt idx="18">
                  <c:v>3</c:v>
                </c:pt>
                <c:pt idx="19">
                  <c:v>-1.3333333333333333</c:v>
                </c:pt>
                <c:pt idx="20">
                  <c:v>-3.8333333333333335</c:v>
                </c:pt>
                <c:pt idx="21">
                  <c:v>-3</c:v>
                </c:pt>
                <c:pt idx="22">
                  <c:v>-4.75</c:v>
                </c:pt>
              </c:numCache>
            </c:numRef>
          </c:val>
          <c:smooth val="0"/>
          <c:extLst>
            <c:ext xmlns:c16="http://schemas.microsoft.com/office/drawing/2014/chart" uri="{C3380CC4-5D6E-409C-BE32-E72D297353CC}">
              <c16:uniqueId val="{00000004-983B-44C1-8E95-96E00C473169}"/>
            </c:ext>
          </c:extLst>
        </c:ser>
        <c:dLbls>
          <c:showLegendKey val="0"/>
          <c:showVal val="0"/>
          <c:showCatName val="0"/>
          <c:showSerName val="0"/>
          <c:showPercent val="0"/>
          <c:showBubbleSize val="0"/>
        </c:dLbls>
        <c:marker val="1"/>
        <c:smooth val="0"/>
        <c:axId val="1118074639"/>
        <c:axId val="1118080463"/>
      </c:lineChart>
      <c:catAx>
        <c:axId val="112768128"/>
        <c:scaling>
          <c:orientation val="minMax"/>
        </c:scaling>
        <c:delete val="0"/>
        <c:axPos val="b"/>
        <c:numFmt formatCode="General" sourceLinked="1"/>
        <c:majorTickMark val="out"/>
        <c:minorTickMark val="none"/>
        <c:tickLblPos val="low"/>
        <c:txPr>
          <a:bodyPr/>
          <a:lstStyle/>
          <a:p>
            <a:pPr>
              <a:defRPr sz="800">
                <a:latin typeface="Arial" pitchFamily="34" charset="0"/>
                <a:cs typeface="Arial" pitchFamily="34" charset="0"/>
              </a:defRPr>
            </a:pPr>
            <a:endParaRPr lang="cs-CZ"/>
          </a:p>
        </c:txPr>
        <c:crossAx val="112769664"/>
        <c:crosses val="autoZero"/>
        <c:auto val="1"/>
        <c:lblAlgn val="ctr"/>
        <c:lblOffset val="0"/>
        <c:noMultiLvlLbl val="0"/>
      </c:catAx>
      <c:valAx>
        <c:axId val="112769664"/>
        <c:scaling>
          <c:orientation val="minMax"/>
          <c:max val="25"/>
          <c:min val="-10"/>
        </c:scaling>
        <c:delete val="0"/>
        <c:axPos val="l"/>
        <c:majorGridlines>
          <c:spPr>
            <a:ln>
              <a:solidFill>
                <a:srgbClr val="BEBEBE"/>
              </a:solidFill>
            </a:ln>
          </c:spPr>
        </c:majorGridlines>
        <c:title>
          <c:tx>
            <c:rich>
              <a:bodyPr/>
              <a:lstStyle/>
              <a:p>
                <a:pPr>
                  <a:defRPr sz="700" b="0" i="1">
                    <a:latin typeface="Arial" panose="020B0604020202020204" pitchFamily="34" charset="0"/>
                    <a:cs typeface="Arial" panose="020B0604020202020204" pitchFamily="34" charset="0"/>
                  </a:defRPr>
                </a:pPr>
                <a:r>
                  <a:rPr lang="cs-CZ" sz="700" b="0" i="1">
                    <a:latin typeface="Arial" panose="020B0604020202020204" pitchFamily="34" charset="0"/>
                    <a:cs typeface="Arial" panose="020B0604020202020204" pitchFamily="34" charset="0"/>
                  </a:rPr>
                  <a:t>Construction output</a:t>
                </a:r>
              </a:p>
            </c:rich>
          </c:tx>
          <c:overlay val="0"/>
        </c:title>
        <c:numFmt formatCode="0" sourceLinked="0"/>
        <c:majorTickMark val="out"/>
        <c:minorTickMark val="none"/>
        <c:tickLblPos val="nextTo"/>
        <c:txPr>
          <a:bodyPr/>
          <a:lstStyle/>
          <a:p>
            <a:pPr>
              <a:defRPr sz="800">
                <a:latin typeface="Arial" pitchFamily="34" charset="0"/>
                <a:cs typeface="Arial" pitchFamily="34" charset="0"/>
              </a:defRPr>
            </a:pPr>
            <a:endParaRPr lang="cs-CZ"/>
          </a:p>
        </c:txPr>
        <c:crossAx val="112768128"/>
        <c:crosses val="autoZero"/>
        <c:crossBetween val="between"/>
        <c:majorUnit val="5"/>
      </c:valAx>
      <c:valAx>
        <c:axId val="1118080463"/>
        <c:scaling>
          <c:orientation val="minMax"/>
          <c:max val="40"/>
          <c:min val="-100"/>
        </c:scaling>
        <c:delete val="0"/>
        <c:axPos val="r"/>
        <c:title>
          <c:tx>
            <c:rich>
              <a:bodyPr/>
              <a:lstStyle/>
              <a:p>
                <a:pPr>
                  <a:defRPr sz="700" b="0" i="1">
                    <a:latin typeface="Arial" panose="020B0604020202020204" pitchFamily="34" charset="0"/>
                    <a:cs typeface="Arial" panose="020B0604020202020204" pitchFamily="34" charset="0"/>
                  </a:defRPr>
                </a:pPr>
                <a:r>
                  <a:rPr lang="cs-CZ" sz="700" b="0" i="1">
                    <a:latin typeface="Arial" panose="020B0604020202020204" pitchFamily="34" charset="0"/>
                    <a:cs typeface="Arial" panose="020B0604020202020204" pitchFamily="34" charset="0"/>
                  </a:rPr>
                  <a:t>Orders, Confidence indicator </a:t>
                </a:r>
              </a:p>
            </c:rich>
          </c:tx>
          <c:overlay val="0"/>
        </c:title>
        <c:numFmt formatCode="0" sourceLinked="0"/>
        <c:majorTickMark val="out"/>
        <c:minorTickMark val="none"/>
        <c:tickLblPos val="nextTo"/>
        <c:txPr>
          <a:bodyPr/>
          <a:lstStyle/>
          <a:p>
            <a:pPr>
              <a:defRPr sz="800">
                <a:latin typeface="Arial" panose="020B0604020202020204" pitchFamily="34" charset="0"/>
                <a:cs typeface="Arial" panose="020B0604020202020204" pitchFamily="34" charset="0"/>
              </a:defRPr>
            </a:pPr>
            <a:endParaRPr lang="cs-CZ"/>
          </a:p>
        </c:txPr>
        <c:crossAx val="1118074639"/>
        <c:crosses val="max"/>
        <c:crossBetween val="between"/>
        <c:majorUnit val="20"/>
      </c:valAx>
      <c:catAx>
        <c:axId val="1118074639"/>
        <c:scaling>
          <c:orientation val="minMax"/>
        </c:scaling>
        <c:delete val="1"/>
        <c:axPos val="b"/>
        <c:numFmt formatCode="General" sourceLinked="1"/>
        <c:majorTickMark val="out"/>
        <c:minorTickMark val="none"/>
        <c:tickLblPos val="nextTo"/>
        <c:crossAx val="1118080463"/>
        <c:crosses val="autoZero"/>
        <c:auto val="1"/>
        <c:lblAlgn val="ctr"/>
        <c:lblOffset val="100"/>
        <c:noMultiLvlLbl val="0"/>
      </c:catAx>
      <c:spPr>
        <a:noFill/>
        <a:ln w="6350">
          <a:solidFill>
            <a:prstClr val="black">
              <a:lumMod val="95000"/>
              <a:lumOff val="5000"/>
            </a:prstClr>
          </a:solidFill>
        </a:ln>
      </c:spPr>
    </c:plotArea>
    <c:legend>
      <c:legendPos val="r"/>
      <c:layout>
        <c:manualLayout>
          <c:xMode val="edge"/>
          <c:yMode val="edge"/>
          <c:x val="6.9689830437861935E-2"/>
          <c:y val="0.87030042400171759"/>
          <c:w val="0.84798612748256763"/>
          <c:h val="0.11928626377558324"/>
        </c:manualLayout>
      </c:layout>
      <c:overlay val="0"/>
      <c:spPr>
        <a:ln w="6350">
          <a:solidFill>
            <a:prstClr val="black">
              <a:lumMod val="95000"/>
              <a:lumOff val="5000"/>
            </a:prstClr>
          </a:solidFill>
        </a:ln>
      </c:spPr>
      <c:txPr>
        <a:bodyPr/>
        <a:lstStyle/>
        <a:p>
          <a:pPr>
            <a:defRPr sz="750">
              <a:latin typeface="Arial" pitchFamily="34" charset="0"/>
              <a:cs typeface="Arial" pitchFamily="34" charset="0"/>
            </a:defRPr>
          </a:pPr>
          <a:endParaRPr lang="cs-CZ"/>
        </a:p>
      </c:txPr>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103461956681463E-2"/>
          <c:y val="1.6079035728293573E-2"/>
          <c:w val="0.85232138637098975"/>
          <c:h val="0.74333452737491468"/>
        </c:manualLayout>
      </c:layout>
      <c:barChart>
        <c:barDir val="col"/>
        <c:grouping val="stacked"/>
        <c:varyColors val="0"/>
        <c:ser>
          <c:idx val="1"/>
          <c:order val="1"/>
          <c:tx>
            <c:strRef>
              <c:f>'Služby-příspěvky k růstu-4'!$D$33</c:f>
              <c:strCache>
                <c:ptCount val="1"/>
                <c:pt idx="0">
                  <c:v>Transportation and storage </c:v>
                </c:pt>
              </c:strCache>
            </c:strRef>
          </c:tx>
          <c:spPr>
            <a:solidFill>
              <a:srgbClr val="85BF5E"/>
            </a:solidFill>
            <a:ln>
              <a:noFill/>
            </a:ln>
          </c:spPr>
          <c:invertIfNegative val="0"/>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růstu-4'!$D$70:$D$92</c:f>
              <c:numCache>
                <c:formatCode>0.0</c:formatCode>
                <c:ptCount val="23"/>
                <c:pt idx="0">
                  <c:v>0.339424474017815</c:v>
                </c:pt>
                <c:pt idx="1">
                  <c:v>6.4769797031497607</c:v>
                </c:pt>
                <c:pt idx="2">
                  <c:v>3.6889628511037609</c:v>
                </c:pt>
                <c:pt idx="3">
                  <c:v>3.3165927698599269</c:v>
                </c:pt>
                <c:pt idx="4">
                  <c:v>3.9470600999621772</c:v>
                </c:pt>
                <c:pt idx="5">
                  <c:v>4.0149179535188493</c:v>
                </c:pt>
                <c:pt idx="6">
                  <c:v>3.2325096024643996</c:v>
                </c:pt>
                <c:pt idx="7">
                  <c:v>0.69379105004502784</c:v>
                </c:pt>
                <c:pt idx="8">
                  <c:v>-1.2161396930190405</c:v>
                </c:pt>
                <c:pt idx="9">
                  <c:v>-3.0939854937459703</c:v>
                </c:pt>
                <c:pt idx="10">
                  <c:v>-3.4666853638300101</c:v>
                </c:pt>
                <c:pt idx="11">
                  <c:v>-2.6087324525460365</c:v>
                </c:pt>
                <c:pt idx="12">
                  <c:v>0.22215379874635741</c:v>
                </c:pt>
                <c:pt idx="13">
                  <c:v>1.1334584885357104</c:v>
                </c:pt>
                <c:pt idx="14">
                  <c:v>1.5974384509373598</c:v>
                </c:pt>
                <c:pt idx="15">
                  <c:v>1.3973357604610437</c:v>
                </c:pt>
                <c:pt idx="16">
                  <c:v>0.80325056787954308</c:v>
                </c:pt>
                <c:pt idx="17">
                  <c:v>0.54015078832255659</c:v>
                </c:pt>
                <c:pt idx="18" formatCode="##0.0">
                  <c:v>-0.18721090556233616</c:v>
                </c:pt>
                <c:pt idx="19" formatCode="##0.0">
                  <c:v>0.33254686563740377</c:v>
                </c:pt>
                <c:pt idx="20" formatCode="##0.00">
                  <c:v>0.28811224359021398</c:v>
                </c:pt>
                <c:pt idx="21" formatCode="##0.0">
                  <c:v>1.007754550533426</c:v>
                </c:pt>
              </c:numCache>
            </c:numRef>
          </c:val>
          <c:extLst>
            <c:ext xmlns:c16="http://schemas.microsoft.com/office/drawing/2014/chart" uri="{C3380CC4-5D6E-409C-BE32-E72D297353CC}">
              <c16:uniqueId val="{00000000-DBE4-4E7B-8999-75ED34956B91}"/>
            </c:ext>
          </c:extLst>
        </c:ser>
        <c:ser>
          <c:idx val="2"/>
          <c:order val="2"/>
          <c:tx>
            <c:strRef>
              <c:f>'Služby-příspěvky k růstu-4'!$E$33</c:f>
              <c:strCache>
                <c:ptCount val="1"/>
                <c:pt idx="0">
                  <c:v>Accommodation, food service act.</c:v>
                </c:pt>
              </c:strCache>
            </c:strRef>
          </c:tx>
          <c:spPr>
            <a:solidFill>
              <a:srgbClr val="C3DDAC"/>
            </a:solidFill>
            <a:ln>
              <a:noFill/>
            </a:ln>
          </c:spPr>
          <c:invertIfNegative val="0"/>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růstu-4'!$E$70:$E$92</c:f>
              <c:numCache>
                <c:formatCode>0.0</c:formatCode>
                <c:ptCount val="23"/>
                <c:pt idx="0">
                  <c:v>-3.6481810348244856</c:v>
                </c:pt>
                <c:pt idx="1">
                  <c:v>1.4037988406202084</c:v>
                </c:pt>
                <c:pt idx="2">
                  <c:v>0.65953594741947219</c:v>
                </c:pt>
                <c:pt idx="3">
                  <c:v>2.895453687502811</c:v>
                </c:pt>
                <c:pt idx="4">
                  <c:v>2.8324438712139846</c:v>
                </c:pt>
                <c:pt idx="5">
                  <c:v>2.4351384435535226</c:v>
                </c:pt>
                <c:pt idx="6">
                  <c:v>-0.45786033686732791</c:v>
                </c:pt>
                <c:pt idx="7">
                  <c:v>0.56712079637132995</c:v>
                </c:pt>
                <c:pt idx="8">
                  <c:v>0.4723075875012247</c:v>
                </c:pt>
                <c:pt idx="9">
                  <c:v>-2.9299883973641278E-2</c:v>
                </c:pt>
                <c:pt idx="10">
                  <c:v>0.13053617447369642</c:v>
                </c:pt>
                <c:pt idx="11">
                  <c:v>7.6420413212893251E-2</c:v>
                </c:pt>
                <c:pt idx="12">
                  <c:v>0.20145632085284665</c:v>
                </c:pt>
                <c:pt idx="13">
                  <c:v>0.17229933870263658</c:v>
                </c:pt>
                <c:pt idx="14" formatCode="0.00">
                  <c:v>-0.15247052022392038</c:v>
                </c:pt>
                <c:pt idx="15">
                  <c:v>-2.0658054410665041E-3</c:v>
                </c:pt>
                <c:pt idx="16">
                  <c:v>-7.2379808866863612E-2</c:v>
                </c:pt>
                <c:pt idx="17">
                  <c:v>0.18602301571860602</c:v>
                </c:pt>
                <c:pt idx="18" formatCode="##0.0">
                  <c:v>9.6409614713450983E-2</c:v>
                </c:pt>
                <c:pt idx="19" formatCode="##0.0">
                  <c:v>0.10549799268773981</c:v>
                </c:pt>
                <c:pt idx="20" formatCode="##0.00">
                  <c:v>5.9168888885642743E-2</c:v>
                </c:pt>
                <c:pt idx="21" formatCode="##0.0">
                  <c:v>1.5701139825883326E-2</c:v>
                </c:pt>
              </c:numCache>
            </c:numRef>
          </c:val>
          <c:extLst>
            <c:ext xmlns:c16="http://schemas.microsoft.com/office/drawing/2014/chart" uri="{C3380CC4-5D6E-409C-BE32-E72D297353CC}">
              <c16:uniqueId val="{00000001-DBE4-4E7B-8999-75ED34956B91}"/>
            </c:ext>
          </c:extLst>
        </c:ser>
        <c:ser>
          <c:idx val="3"/>
          <c:order val="3"/>
          <c:tx>
            <c:strRef>
              <c:f>'Služby-příspěvky k růstu-4'!$F$33</c:f>
              <c:strCache>
                <c:ptCount val="1"/>
                <c:pt idx="0">
                  <c:v>Information and communication</c:v>
                </c:pt>
              </c:strCache>
            </c:strRef>
          </c:tx>
          <c:spPr>
            <a:solidFill>
              <a:srgbClr val="9FC9D7"/>
            </a:solidFill>
            <a:ln w="9525">
              <a:noFill/>
              <a:prstDash val="sysDot"/>
            </a:ln>
          </c:spPr>
          <c:invertIfNegative val="0"/>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růstu-4'!$F$70:$F$92</c:f>
              <c:numCache>
                <c:formatCode>0.0</c:formatCode>
                <c:ptCount val="23"/>
                <c:pt idx="0">
                  <c:v>0.7988501443406586</c:v>
                </c:pt>
                <c:pt idx="1">
                  <c:v>1.7181750258280606</c:v>
                </c:pt>
                <c:pt idx="2">
                  <c:v>1.7378716382378383</c:v>
                </c:pt>
                <c:pt idx="3">
                  <c:v>2.1146664892810083</c:v>
                </c:pt>
                <c:pt idx="4">
                  <c:v>1.7486967131569446</c:v>
                </c:pt>
                <c:pt idx="5">
                  <c:v>0.98429447082323185</c:v>
                </c:pt>
                <c:pt idx="6">
                  <c:v>0.77312161208373731</c:v>
                </c:pt>
                <c:pt idx="7">
                  <c:v>0.37849138255379744</c:v>
                </c:pt>
                <c:pt idx="8">
                  <c:v>0.58328729987999939</c:v>
                </c:pt>
                <c:pt idx="9">
                  <c:v>-7.5730778386939148E-3</c:v>
                </c:pt>
                <c:pt idx="10">
                  <c:v>-0.79323887005342941</c:v>
                </c:pt>
                <c:pt idx="11">
                  <c:v>-0.79223292270674051</c:v>
                </c:pt>
                <c:pt idx="12">
                  <c:v>0.10170859512000795</c:v>
                </c:pt>
                <c:pt idx="13">
                  <c:v>0.47948732516812043</c:v>
                </c:pt>
                <c:pt idx="14">
                  <c:v>0.84486717556551161</c:v>
                </c:pt>
                <c:pt idx="15">
                  <c:v>0.51262848620882862</c:v>
                </c:pt>
                <c:pt idx="16">
                  <c:v>0.98600582961254812</c:v>
                </c:pt>
                <c:pt idx="17">
                  <c:v>0.74167636187881258</c:v>
                </c:pt>
                <c:pt idx="18" formatCode="##0.0">
                  <c:v>0.1147257241443904</c:v>
                </c:pt>
                <c:pt idx="19" formatCode="##0.0">
                  <c:v>0.67839818243854277</c:v>
                </c:pt>
                <c:pt idx="20" formatCode="##0.00">
                  <c:v>0.57150016256675851</c:v>
                </c:pt>
                <c:pt idx="21" formatCode="##0.0">
                  <c:v>0.30261297593303971</c:v>
                </c:pt>
              </c:numCache>
            </c:numRef>
          </c:val>
          <c:extLst>
            <c:ext xmlns:c16="http://schemas.microsoft.com/office/drawing/2014/chart" uri="{C3380CC4-5D6E-409C-BE32-E72D297353CC}">
              <c16:uniqueId val="{00000002-DBE4-4E7B-8999-75ED34956B91}"/>
            </c:ext>
          </c:extLst>
        </c:ser>
        <c:ser>
          <c:idx val="4"/>
          <c:order val="4"/>
          <c:tx>
            <c:strRef>
              <c:f>'Služby-příspěvky k růstu-4'!$G$33</c:f>
              <c:strCache>
                <c:ptCount val="1"/>
                <c:pt idx="0">
                  <c:v>Real estate activities </c:v>
                </c:pt>
              </c:strCache>
            </c:strRef>
          </c:tx>
          <c:spPr>
            <a:solidFill>
              <a:srgbClr val="8390A7"/>
            </a:solidFill>
            <a:ln w="15875">
              <a:noFill/>
              <a:prstDash val="solid"/>
            </a:ln>
          </c:spPr>
          <c:invertIfNegative val="0"/>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růstu-4'!$G$70:$G$92</c:f>
              <c:numCache>
                <c:formatCode>0.0</c:formatCode>
                <c:ptCount val="23"/>
                <c:pt idx="0">
                  <c:v>-0.21094775963960005</c:v>
                </c:pt>
                <c:pt idx="1">
                  <c:v>0.51155875534620054</c:v>
                </c:pt>
                <c:pt idx="2">
                  <c:v>-2.3689723896500255E-2</c:v>
                </c:pt>
                <c:pt idx="3">
                  <c:v>0.25599910697759964</c:v>
                </c:pt>
                <c:pt idx="4">
                  <c:v>0.96345448971199943</c:v>
                </c:pt>
                <c:pt idx="5">
                  <c:v>0.47159042328799955</c:v>
                </c:pt>
                <c:pt idx="6">
                  <c:v>0.2185622188815784</c:v>
                </c:pt>
                <c:pt idx="7">
                  <c:v>0.33309446355833333</c:v>
                </c:pt>
                <c:pt idx="8">
                  <c:v>0.16012954609680044</c:v>
                </c:pt>
                <c:pt idx="9">
                  <c:v>-0.18624032886239958</c:v>
                </c:pt>
                <c:pt idx="10">
                  <c:v>-0.27795457738857821</c:v>
                </c:pt>
                <c:pt idx="11">
                  <c:v>-0.2089599685726716</c:v>
                </c:pt>
                <c:pt idx="12">
                  <c:v>-0.20651327563660776</c:v>
                </c:pt>
                <c:pt idx="13">
                  <c:v>0.27793895598753937</c:v>
                </c:pt>
                <c:pt idx="14">
                  <c:v>-0.11784164354918217</c:v>
                </c:pt>
                <c:pt idx="15">
                  <c:v>-4.2577128381585134E-3</c:v>
                </c:pt>
                <c:pt idx="16">
                  <c:v>0.24983684273778797</c:v>
                </c:pt>
                <c:pt idx="17">
                  <c:v>-3.5129585766133953E-2</c:v>
                </c:pt>
                <c:pt idx="18" formatCode="##0.00">
                  <c:v>7.2348490771794213E-2</c:v>
                </c:pt>
                <c:pt idx="19" formatCode="##0.00">
                  <c:v>-2.6007249512033318E-3</c:v>
                </c:pt>
                <c:pt idx="20" formatCode="##0.00">
                  <c:v>0.10846010076821222</c:v>
                </c:pt>
                <c:pt idx="21" formatCode="##0.00">
                  <c:v>-4.1973790651377595E-2</c:v>
                </c:pt>
              </c:numCache>
            </c:numRef>
          </c:val>
          <c:extLst>
            <c:ext xmlns:c16="http://schemas.microsoft.com/office/drawing/2014/chart" uri="{C3380CC4-5D6E-409C-BE32-E72D297353CC}">
              <c16:uniqueId val="{00000003-DBE4-4E7B-8999-75ED34956B91}"/>
            </c:ext>
          </c:extLst>
        </c:ser>
        <c:ser>
          <c:idx val="5"/>
          <c:order val="5"/>
          <c:tx>
            <c:strRef>
              <c:f>'Služby-příspěvky k růstu-4'!$H$33</c:f>
              <c:strCache>
                <c:ptCount val="1"/>
                <c:pt idx="0">
                  <c:v>Professional, scientific and technic.act.</c:v>
                </c:pt>
              </c:strCache>
            </c:strRef>
          </c:tx>
          <c:spPr>
            <a:solidFill>
              <a:srgbClr val="D8A7B7"/>
            </a:solidFill>
            <a:ln w="15875">
              <a:noFill/>
              <a:prstDash val="sysDash"/>
            </a:ln>
          </c:spPr>
          <c:invertIfNegative val="0"/>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růstu-4'!$H$70:$H$92</c:f>
              <c:numCache>
                <c:formatCode>0.0</c:formatCode>
                <c:ptCount val="23"/>
                <c:pt idx="0">
                  <c:v>-1.7950376935096992</c:v>
                </c:pt>
                <c:pt idx="1">
                  <c:v>2.6109436485369422</c:v>
                </c:pt>
                <c:pt idx="2">
                  <c:v>1.7658640715104823</c:v>
                </c:pt>
                <c:pt idx="3">
                  <c:v>2.2127999066374913</c:v>
                </c:pt>
                <c:pt idx="4">
                  <c:v>2.2724371059363357</c:v>
                </c:pt>
                <c:pt idx="5">
                  <c:v>1.3852889410778095</c:v>
                </c:pt>
                <c:pt idx="6">
                  <c:v>0.99380318082145103</c:v>
                </c:pt>
                <c:pt idx="7">
                  <c:v>0.14402260783636861</c:v>
                </c:pt>
                <c:pt idx="8">
                  <c:v>0.81830585604138473</c:v>
                </c:pt>
                <c:pt idx="9">
                  <c:v>0.82445770430622045</c:v>
                </c:pt>
                <c:pt idx="10">
                  <c:v>0.13034479111537206</c:v>
                </c:pt>
                <c:pt idx="11">
                  <c:v>0.83926985282434741</c:v>
                </c:pt>
                <c:pt idx="12">
                  <c:v>0.47900305251715447</c:v>
                </c:pt>
                <c:pt idx="13">
                  <c:v>0.6811209478493595</c:v>
                </c:pt>
                <c:pt idx="14">
                  <c:v>0.26171925847671451</c:v>
                </c:pt>
                <c:pt idx="15">
                  <c:v>5.2664778577602829E-2</c:v>
                </c:pt>
                <c:pt idx="16">
                  <c:v>1.1345609464854818</c:v>
                </c:pt>
                <c:pt idx="17">
                  <c:v>0.7856538852501882</c:v>
                </c:pt>
                <c:pt idx="18" formatCode="##0.0">
                  <c:v>0.42580499337647543</c:v>
                </c:pt>
                <c:pt idx="19" formatCode="##0.0">
                  <c:v>0.81694680701116895</c:v>
                </c:pt>
                <c:pt idx="20" formatCode="##0.00">
                  <c:v>1.0962359844946965</c:v>
                </c:pt>
                <c:pt idx="21" formatCode="##0.00">
                  <c:v>1.5977164564734303</c:v>
                </c:pt>
              </c:numCache>
            </c:numRef>
          </c:val>
          <c:extLst>
            <c:ext xmlns:c16="http://schemas.microsoft.com/office/drawing/2014/chart" uri="{C3380CC4-5D6E-409C-BE32-E72D297353CC}">
              <c16:uniqueId val="{00000004-DBE4-4E7B-8999-75ED34956B91}"/>
            </c:ext>
          </c:extLst>
        </c:ser>
        <c:ser>
          <c:idx val="6"/>
          <c:order val="6"/>
          <c:tx>
            <c:strRef>
              <c:f>'Služby-příspěvky k růstu-4'!$I$33</c:f>
              <c:strCache>
                <c:ptCount val="1"/>
                <c:pt idx="0">
                  <c:v>Administr.and support service act.</c:v>
                </c:pt>
              </c:strCache>
            </c:strRef>
          </c:tx>
          <c:spPr>
            <a:solidFill>
              <a:srgbClr val="BC5B80"/>
            </a:solidFill>
            <a:ln w="15875">
              <a:noFill/>
              <a:prstDash val="dash"/>
            </a:ln>
          </c:spPr>
          <c:invertIfNegative val="0"/>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růstu-4'!$I$70:$I$92</c:f>
              <c:numCache>
                <c:formatCode>0.0</c:formatCode>
                <c:ptCount val="23"/>
                <c:pt idx="0">
                  <c:v>-1.4358217562142097</c:v>
                </c:pt>
                <c:pt idx="1">
                  <c:v>2.2464230275243353</c:v>
                </c:pt>
                <c:pt idx="2">
                  <c:v>2.1186703809511758</c:v>
                </c:pt>
                <c:pt idx="3">
                  <c:v>1.4303808425259847</c:v>
                </c:pt>
                <c:pt idx="4">
                  <c:v>1.7130286439903932</c:v>
                </c:pt>
                <c:pt idx="5">
                  <c:v>3.1134189678455448</c:v>
                </c:pt>
                <c:pt idx="6">
                  <c:v>2.2147457278098601</c:v>
                </c:pt>
                <c:pt idx="7">
                  <c:v>0.75981525938647765</c:v>
                </c:pt>
                <c:pt idx="8">
                  <c:v>0.44351110190196352</c:v>
                </c:pt>
                <c:pt idx="9">
                  <c:v>0.17445700794147556</c:v>
                </c:pt>
                <c:pt idx="10">
                  <c:v>-0.14076488780736343</c:v>
                </c:pt>
                <c:pt idx="11">
                  <c:v>-4.4118459768652668E-2</c:v>
                </c:pt>
                <c:pt idx="12">
                  <c:v>0.38907387149663825</c:v>
                </c:pt>
                <c:pt idx="13">
                  <c:v>0.14119431179866418</c:v>
                </c:pt>
                <c:pt idx="14">
                  <c:v>0.42156883926372257</c:v>
                </c:pt>
                <c:pt idx="15">
                  <c:v>0.1753380195098404</c:v>
                </c:pt>
                <c:pt idx="16">
                  <c:v>0.20110493372888275</c:v>
                </c:pt>
                <c:pt idx="17">
                  <c:v>-6.0928454451434383E-2</c:v>
                </c:pt>
                <c:pt idx="18" formatCode="##0.0">
                  <c:v>-0.29813668231958129</c:v>
                </c:pt>
                <c:pt idx="19" formatCode="##0.0">
                  <c:v>0.21794576654740916</c:v>
                </c:pt>
                <c:pt idx="20" formatCode="##0.00">
                  <c:v>0.19235653309962822</c:v>
                </c:pt>
                <c:pt idx="21" formatCode="##0.00">
                  <c:v>-1.3074840033455808E-2</c:v>
                </c:pt>
              </c:numCache>
            </c:numRef>
          </c:val>
          <c:extLst>
            <c:ext xmlns:c16="http://schemas.microsoft.com/office/drawing/2014/chart" uri="{C3380CC4-5D6E-409C-BE32-E72D297353CC}">
              <c16:uniqueId val="{00000005-DBE4-4E7B-8999-75ED34956B91}"/>
            </c:ext>
          </c:extLst>
        </c:ser>
        <c:dLbls>
          <c:showLegendKey val="0"/>
          <c:showVal val="0"/>
          <c:showCatName val="0"/>
          <c:showSerName val="0"/>
          <c:showPercent val="0"/>
          <c:showBubbleSize val="0"/>
        </c:dLbls>
        <c:gapWidth val="30"/>
        <c:overlap val="100"/>
        <c:axId val="112768128"/>
        <c:axId val="112769664"/>
      </c:barChart>
      <c:lineChart>
        <c:grouping val="standard"/>
        <c:varyColors val="0"/>
        <c:ser>
          <c:idx val="0"/>
          <c:order val="0"/>
          <c:tx>
            <c:strRef>
              <c:f>'Služby-příspěvky k růstu-4'!$C$33</c:f>
              <c:strCache>
                <c:ptCount val="1"/>
                <c:pt idx="0">
                  <c:v>Total services sales</c:v>
                </c:pt>
              </c:strCache>
            </c:strRef>
          </c:tx>
          <c:spPr>
            <a:ln>
              <a:noFill/>
            </a:ln>
          </c:spPr>
          <c:marker>
            <c:symbol val="circle"/>
            <c:size val="5"/>
            <c:spPr>
              <a:solidFill>
                <a:schemeClr val="bg1"/>
              </a:solidFill>
              <a:ln>
                <a:solidFill>
                  <a:schemeClr val="bg2">
                    <a:lumMod val="25000"/>
                  </a:schemeClr>
                </a:solidFill>
              </a:ln>
            </c:spPr>
          </c:marker>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růstu-4'!$C$70:$C$92</c:f>
              <c:numCache>
                <c:formatCode>##0.0</c:formatCode>
                <c:ptCount val="23"/>
                <c:pt idx="0">
                  <c:v>-6.4132536481999978</c:v>
                </c:pt>
                <c:pt idx="1">
                  <c:v>14.467562655400002</c:v>
                </c:pt>
                <c:pt idx="2">
                  <c:v>9.8320905563000025</c:v>
                </c:pt>
                <c:pt idx="3">
                  <c:v>12.455555082499998</c:v>
                </c:pt>
                <c:pt idx="4">
                  <c:v>13.606929218800005</c:v>
                </c:pt>
                <c:pt idx="5">
                  <c:v>12.572544585499998</c:v>
                </c:pt>
                <c:pt idx="6">
                  <c:v>6.879013124599993</c:v>
                </c:pt>
                <c:pt idx="7">
                  <c:v>3.1298011397999943</c:v>
                </c:pt>
                <c:pt idx="8">
                  <c:v>1.6153658048000068</c:v>
                </c:pt>
                <c:pt idx="9">
                  <c:v>-1.6536002934000038</c:v>
                </c:pt>
                <c:pt idx="10">
                  <c:v>-3.8563340338999978</c:v>
                </c:pt>
                <c:pt idx="11">
                  <c:v>-2.1916659226999968</c:v>
                </c:pt>
                <c:pt idx="12">
                  <c:v>1.1705021491000025</c:v>
                </c:pt>
                <c:pt idx="13">
                  <c:v>2.8897127916000045</c:v>
                </c:pt>
                <c:pt idx="14">
                  <c:v>2.8739830930000068</c:v>
                </c:pt>
                <c:pt idx="15">
                  <c:v>2.1315290016000006</c:v>
                </c:pt>
                <c:pt idx="16">
                  <c:v>3.3033721543999945</c:v>
                </c:pt>
                <c:pt idx="17">
                  <c:v>2.1538382643999938</c:v>
                </c:pt>
                <c:pt idx="18">
                  <c:v>0.22968848959999377</c:v>
                </c:pt>
                <c:pt idx="19">
                  <c:v>2.1487386682999983</c:v>
                </c:pt>
                <c:pt idx="20">
                  <c:v>2.3158332446000003</c:v>
                </c:pt>
                <c:pt idx="21">
                  <c:v>2.8791146047590415</c:v>
                </c:pt>
              </c:numCache>
            </c:numRef>
          </c:val>
          <c:smooth val="0"/>
          <c:extLst>
            <c:ext xmlns:c16="http://schemas.microsoft.com/office/drawing/2014/chart" uri="{C3380CC4-5D6E-409C-BE32-E72D297353CC}">
              <c16:uniqueId val="{00000006-DBE4-4E7B-8999-75ED34956B91}"/>
            </c:ext>
          </c:extLst>
        </c:ser>
        <c:dLbls>
          <c:showLegendKey val="0"/>
          <c:showVal val="0"/>
          <c:showCatName val="0"/>
          <c:showSerName val="0"/>
          <c:showPercent val="0"/>
          <c:showBubbleSize val="0"/>
        </c:dLbls>
        <c:marker val="1"/>
        <c:smooth val="0"/>
        <c:axId val="112768128"/>
        <c:axId val="112769664"/>
      </c:lineChart>
      <c:lineChart>
        <c:grouping val="standard"/>
        <c:varyColors val="0"/>
        <c:ser>
          <c:idx val="7"/>
          <c:order val="7"/>
          <c:tx>
            <c:strRef>
              <c:f>'Služby-příspěvky k růstu-4'!$J$33</c:f>
              <c:strCache>
                <c:ptCount val="1"/>
                <c:pt idx="0">
                  <c:v>Confidence indicator in services</c:v>
                </c:pt>
              </c:strCache>
            </c:strRef>
          </c:tx>
          <c:spPr>
            <a:ln w="15875">
              <a:solidFill>
                <a:srgbClr val="CC9610"/>
              </a:solidFill>
              <a:prstDash val="sysDot"/>
            </a:ln>
          </c:spPr>
          <c:marker>
            <c:symbol val="diamond"/>
            <c:size val="5"/>
            <c:spPr>
              <a:solidFill>
                <a:srgbClr val="E6C45B"/>
              </a:solidFill>
              <a:ln>
                <a:solidFill>
                  <a:srgbClr val="E6C45B"/>
                </a:solidFill>
              </a:ln>
            </c:spPr>
          </c:marker>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růstu-4'!$J$70:$J$92</c:f>
              <c:numCache>
                <c:formatCode>#\ ##0.0</c:formatCode>
                <c:ptCount val="23"/>
                <c:pt idx="0">
                  <c:v>4.1000000000000005</c:v>
                </c:pt>
                <c:pt idx="1">
                  <c:v>21.233333333333334</c:v>
                </c:pt>
                <c:pt idx="2">
                  <c:v>26.233333333333334</c:v>
                </c:pt>
                <c:pt idx="3">
                  <c:v>27.133333333333336</c:v>
                </c:pt>
                <c:pt idx="4">
                  <c:v>30.666666666666668</c:v>
                </c:pt>
                <c:pt idx="5">
                  <c:v>36.699999999999996</c:v>
                </c:pt>
                <c:pt idx="6">
                  <c:v>26.566666666666666</c:v>
                </c:pt>
                <c:pt idx="7">
                  <c:v>21.533333333333331</c:v>
                </c:pt>
                <c:pt idx="8">
                  <c:v>23.099999999999998</c:v>
                </c:pt>
                <c:pt idx="9" formatCode="0.0">
                  <c:v>26</c:v>
                </c:pt>
                <c:pt idx="10" formatCode="0.0">
                  <c:v>23.366666666666664</c:v>
                </c:pt>
                <c:pt idx="11" formatCode="0.0">
                  <c:v>22.8</c:v>
                </c:pt>
                <c:pt idx="12" formatCode="0.0">
                  <c:v>23.2</c:v>
                </c:pt>
                <c:pt idx="13" formatCode="0.0">
                  <c:v>29.7</c:v>
                </c:pt>
                <c:pt idx="14" formatCode="0.0">
                  <c:v>25.766666666666666</c:v>
                </c:pt>
                <c:pt idx="15" formatCode="0.0">
                  <c:v>31.8</c:v>
                </c:pt>
                <c:pt idx="16" formatCode="0.0">
                  <c:v>32.1</c:v>
                </c:pt>
                <c:pt idx="17" formatCode="0.0">
                  <c:v>35.56666666666667</c:v>
                </c:pt>
                <c:pt idx="18" formatCode="0.0">
                  <c:v>37.43333333333333</c:v>
                </c:pt>
                <c:pt idx="19" formatCode="0.0">
                  <c:v>37.133333333333333</c:v>
                </c:pt>
                <c:pt idx="20" formatCode="0.0">
                  <c:v>33.199999999999996</c:v>
                </c:pt>
                <c:pt idx="21" formatCode="0.0">
                  <c:v>34.133333333333333</c:v>
                </c:pt>
                <c:pt idx="22" formatCode="0.0">
                  <c:v>33.85</c:v>
                </c:pt>
              </c:numCache>
            </c:numRef>
          </c:val>
          <c:smooth val="0"/>
          <c:extLst>
            <c:ext xmlns:c16="http://schemas.microsoft.com/office/drawing/2014/chart" uri="{C3380CC4-5D6E-409C-BE32-E72D297353CC}">
              <c16:uniqueId val="{00000007-DBE4-4E7B-8999-75ED34956B91}"/>
            </c:ext>
          </c:extLst>
        </c:ser>
        <c:dLbls>
          <c:showLegendKey val="0"/>
          <c:showVal val="0"/>
          <c:showCatName val="0"/>
          <c:showSerName val="0"/>
          <c:showPercent val="0"/>
          <c:showBubbleSize val="0"/>
        </c:dLbls>
        <c:marker val="1"/>
        <c:smooth val="0"/>
        <c:axId val="1118074639"/>
        <c:axId val="1118080463"/>
      </c:lineChart>
      <c:catAx>
        <c:axId val="112768128"/>
        <c:scaling>
          <c:orientation val="minMax"/>
        </c:scaling>
        <c:delete val="0"/>
        <c:axPos val="b"/>
        <c:numFmt formatCode="General" sourceLinked="1"/>
        <c:majorTickMark val="out"/>
        <c:minorTickMark val="none"/>
        <c:tickLblPos val="low"/>
        <c:txPr>
          <a:bodyPr/>
          <a:lstStyle/>
          <a:p>
            <a:pPr>
              <a:defRPr sz="800">
                <a:latin typeface="Arial" pitchFamily="34" charset="0"/>
                <a:cs typeface="Arial" pitchFamily="34" charset="0"/>
              </a:defRPr>
            </a:pPr>
            <a:endParaRPr lang="cs-CZ"/>
          </a:p>
        </c:txPr>
        <c:crossAx val="112769664"/>
        <c:crosses val="autoZero"/>
        <c:auto val="1"/>
        <c:lblAlgn val="ctr"/>
        <c:lblOffset val="0"/>
        <c:noMultiLvlLbl val="0"/>
      </c:catAx>
      <c:valAx>
        <c:axId val="112769664"/>
        <c:scaling>
          <c:orientation val="minMax"/>
          <c:max val="16"/>
          <c:min val="-8"/>
        </c:scaling>
        <c:delete val="0"/>
        <c:axPos val="l"/>
        <c:majorGridlines>
          <c:spPr>
            <a:ln>
              <a:solidFill>
                <a:srgbClr val="BEBEBE"/>
              </a:solidFill>
            </a:ln>
          </c:spPr>
        </c:majorGridlines>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700" b="0" i="1"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cs-CZ" sz="700" b="0" i="1" u="none" strike="noStrike" kern="1200" baseline="0">
                    <a:solidFill>
                      <a:sysClr val="windowText" lastClr="000000"/>
                    </a:solidFill>
                    <a:latin typeface="Arial" pitchFamily="34" charset="0"/>
                  </a:rPr>
                  <a:t>Sales</a:t>
                </a:r>
              </a:p>
            </c:rich>
          </c:tx>
          <c:overlay val="0"/>
        </c:title>
        <c:numFmt formatCode="0" sourceLinked="0"/>
        <c:majorTickMark val="out"/>
        <c:minorTickMark val="none"/>
        <c:tickLblPos val="nextTo"/>
        <c:txPr>
          <a:bodyPr/>
          <a:lstStyle/>
          <a:p>
            <a:pPr>
              <a:defRPr sz="800">
                <a:latin typeface="Arial" pitchFamily="34" charset="0"/>
                <a:cs typeface="Arial" pitchFamily="34" charset="0"/>
              </a:defRPr>
            </a:pPr>
            <a:endParaRPr lang="cs-CZ"/>
          </a:p>
        </c:txPr>
        <c:crossAx val="112768128"/>
        <c:crosses val="autoZero"/>
        <c:crossBetween val="between"/>
        <c:majorUnit val="2"/>
      </c:valAx>
      <c:valAx>
        <c:axId val="1118080463"/>
        <c:scaling>
          <c:orientation val="minMax"/>
          <c:max val="90"/>
          <c:min val="-90"/>
        </c:scaling>
        <c:delete val="0"/>
        <c:axPos val="r"/>
        <c:title>
          <c:tx>
            <c:rich>
              <a:bodyPr/>
              <a:lstStyle/>
              <a:p>
                <a:pPr>
                  <a:defRPr sz="700" b="0" i="1">
                    <a:latin typeface="Arial" panose="020B0604020202020204" pitchFamily="34" charset="0"/>
                    <a:cs typeface="Arial" panose="020B0604020202020204" pitchFamily="34" charset="0"/>
                  </a:defRPr>
                </a:pPr>
                <a:r>
                  <a:rPr lang="cs-CZ" sz="700" b="0" i="1" u="none" strike="noStrike" kern="1200" baseline="0">
                    <a:solidFill>
                      <a:sysClr val="windowText" lastClr="000000"/>
                    </a:solidFill>
                    <a:latin typeface="Arial" pitchFamily="34" charset="0"/>
                  </a:rPr>
                  <a:t>Confidence indicator </a:t>
                </a:r>
              </a:p>
            </c:rich>
          </c:tx>
          <c:overlay val="0"/>
        </c:title>
        <c:numFmt formatCode="0" sourceLinked="0"/>
        <c:majorTickMark val="out"/>
        <c:minorTickMark val="none"/>
        <c:tickLblPos val="nextTo"/>
        <c:txPr>
          <a:bodyPr/>
          <a:lstStyle/>
          <a:p>
            <a:pPr>
              <a:defRPr sz="800">
                <a:latin typeface="Arial" panose="020B0604020202020204" pitchFamily="34" charset="0"/>
                <a:cs typeface="Arial" panose="020B0604020202020204" pitchFamily="34" charset="0"/>
              </a:defRPr>
            </a:pPr>
            <a:endParaRPr lang="cs-CZ"/>
          </a:p>
        </c:txPr>
        <c:crossAx val="1118074639"/>
        <c:crosses val="max"/>
        <c:crossBetween val="between"/>
        <c:majorUnit val="15"/>
      </c:valAx>
      <c:catAx>
        <c:axId val="1118074639"/>
        <c:scaling>
          <c:orientation val="minMax"/>
        </c:scaling>
        <c:delete val="1"/>
        <c:axPos val="b"/>
        <c:numFmt formatCode="General" sourceLinked="1"/>
        <c:majorTickMark val="out"/>
        <c:minorTickMark val="none"/>
        <c:tickLblPos val="nextTo"/>
        <c:crossAx val="1118080463"/>
        <c:crosses val="autoZero"/>
        <c:auto val="1"/>
        <c:lblAlgn val="ctr"/>
        <c:lblOffset val="100"/>
        <c:noMultiLvlLbl val="0"/>
      </c:catAx>
      <c:spPr>
        <a:noFill/>
        <a:ln w="6350">
          <a:solidFill>
            <a:prstClr val="black">
              <a:lumMod val="95000"/>
              <a:lumOff val="5000"/>
            </a:prstClr>
          </a:solidFill>
        </a:ln>
      </c:spPr>
    </c:plotArea>
    <c:legend>
      <c:legendPos val="r"/>
      <c:layout>
        <c:manualLayout>
          <c:xMode val="edge"/>
          <c:yMode val="edge"/>
          <c:x val="7.0001801900296201E-2"/>
          <c:y val="0.85963107523768045"/>
          <c:w val="0.89422478253836557"/>
          <c:h val="0.13343471350937136"/>
        </c:manualLayout>
      </c:layout>
      <c:overlay val="0"/>
      <c:spPr>
        <a:ln w="6350">
          <a:solidFill>
            <a:prstClr val="black">
              <a:lumMod val="95000"/>
              <a:lumOff val="5000"/>
            </a:prstClr>
          </a:solidFill>
        </a:ln>
      </c:spPr>
      <c:txPr>
        <a:bodyPr/>
        <a:lstStyle/>
        <a:p>
          <a:pPr>
            <a:defRPr sz="750">
              <a:latin typeface="Arial" pitchFamily="34" charset="0"/>
              <a:cs typeface="Arial" pitchFamily="34" charset="0"/>
            </a:defRPr>
          </a:pPr>
          <a:endParaRPr lang="cs-CZ"/>
        </a:p>
      </c:txPr>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461666861125732E-2"/>
          <c:y val="1.5803328678987455E-2"/>
          <c:w val="0.85878628700879256"/>
          <c:h val="0.73046167052224398"/>
        </c:manualLayout>
      </c:layout>
      <c:barChart>
        <c:barDir val="col"/>
        <c:grouping val="stacked"/>
        <c:varyColors val="0"/>
        <c:ser>
          <c:idx val="0"/>
          <c:order val="1"/>
          <c:tx>
            <c:strRef>
              <c:f>'výkonnost odvětví 5a'!$AE$94</c:f>
              <c:strCache>
                <c:ptCount val="1"/>
                <c:pt idx="0">
                  <c:v>Retail sale of fuels </c:v>
                </c:pt>
              </c:strCache>
            </c:strRef>
          </c:tx>
          <c:spPr>
            <a:solidFill>
              <a:srgbClr val="D8A7B7"/>
            </a:solidFill>
            <a:ln w="15875">
              <a:noFill/>
            </a:ln>
          </c:spPr>
          <c:invertIfNegative val="0"/>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5a'!$AE$95:$AE$117</c:f>
              <c:numCache>
                <c:formatCode>#\ ##0.0</c:formatCode>
                <c:ptCount val="23"/>
                <c:pt idx="0">
                  <c:v>-0.81633308384803649</c:v>
                </c:pt>
                <c:pt idx="1">
                  <c:v>1.0661245592829736</c:v>
                </c:pt>
                <c:pt idx="2">
                  <c:v>0.3708178364450001</c:v>
                </c:pt>
                <c:pt idx="3">
                  <c:v>0.92292154230298873</c:v>
                </c:pt>
                <c:pt idx="4">
                  <c:v>1.2419630506136443</c:v>
                </c:pt>
                <c:pt idx="5">
                  <c:v>-0.71067684522765739</c:v>
                </c:pt>
                <c:pt idx="6">
                  <c:v>-1.4491644290911438</c:v>
                </c:pt>
                <c:pt idx="7">
                  <c:v>-0.42995505381927168</c:v>
                </c:pt>
                <c:pt idx="8">
                  <c:v>9.5458675092153264E-2</c:v>
                </c:pt>
                <c:pt idx="9">
                  <c:v>1.0492722703411108</c:v>
                </c:pt>
                <c:pt idx="10">
                  <c:v>1.0264386851088958</c:v>
                </c:pt>
                <c:pt idx="11">
                  <c:v>0.21049074889666031</c:v>
                </c:pt>
                <c:pt idx="12">
                  <c:v>0.60481791909109861</c:v>
                </c:pt>
                <c:pt idx="13">
                  <c:v>0.24849103372461948</c:v>
                </c:pt>
                <c:pt idx="14">
                  <c:v>0.43089986377264855</c:v>
                </c:pt>
                <c:pt idx="15">
                  <c:v>1.0777096930205046</c:v>
                </c:pt>
                <c:pt idx="16">
                  <c:v>0.84754168746101166</c:v>
                </c:pt>
                <c:pt idx="17">
                  <c:v>1.4338258372744686</c:v>
                </c:pt>
                <c:pt idx="18">
                  <c:v>1.1260107270445603</c:v>
                </c:pt>
                <c:pt idx="19">
                  <c:v>0.51079691665369509</c:v>
                </c:pt>
                <c:pt idx="20">
                  <c:v>0.78439860155785146</c:v>
                </c:pt>
                <c:pt idx="21">
                  <c:v>-0.37834397088344307</c:v>
                </c:pt>
              </c:numCache>
            </c:numRef>
          </c:val>
          <c:extLst>
            <c:ext xmlns:c16="http://schemas.microsoft.com/office/drawing/2014/chart" uri="{C3380CC4-5D6E-409C-BE32-E72D297353CC}">
              <c16:uniqueId val="{00000000-F667-43E6-B9AD-CF59E5154D38}"/>
            </c:ext>
          </c:extLst>
        </c:ser>
        <c:ser>
          <c:idx val="1"/>
          <c:order val="2"/>
          <c:tx>
            <c:strRef>
              <c:f>'výkonnost odvětví 5a'!$AF$94</c:f>
              <c:strCache>
                <c:ptCount val="1"/>
                <c:pt idx="0">
                  <c:v>Retail with food</c:v>
                </c:pt>
              </c:strCache>
            </c:strRef>
          </c:tx>
          <c:spPr>
            <a:solidFill>
              <a:srgbClr val="9FC9D7"/>
            </a:solidFill>
            <a:ln w="15875">
              <a:noFill/>
            </a:ln>
          </c:spPr>
          <c:invertIfNegative val="0"/>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5a'!$AF$95:$AF$117</c:f>
              <c:numCache>
                <c:formatCode>#\ ##0.0</c:formatCode>
                <c:ptCount val="23"/>
                <c:pt idx="0">
                  <c:v>-0.60800150069014991</c:v>
                </c:pt>
                <c:pt idx="1">
                  <c:v>0.49250944633700811</c:v>
                </c:pt>
                <c:pt idx="2">
                  <c:v>-0.28688609101343943</c:v>
                </c:pt>
                <c:pt idx="3">
                  <c:v>4.3800306137142479E-3</c:v>
                </c:pt>
                <c:pt idx="4">
                  <c:v>-6.4175842874484551E-2</c:v>
                </c:pt>
                <c:pt idx="5">
                  <c:v>-1.0911352734755946</c:v>
                </c:pt>
                <c:pt idx="6">
                  <c:v>-2.2916947244037824</c:v>
                </c:pt>
                <c:pt idx="7">
                  <c:v>-3.2405346948524247</c:v>
                </c:pt>
                <c:pt idx="8">
                  <c:v>-3.1003225513686483</c:v>
                </c:pt>
                <c:pt idx="9">
                  <c:v>-2.8643617620019293</c:v>
                </c:pt>
                <c:pt idx="10">
                  <c:v>-1.6895878324348372</c:v>
                </c:pt>
                <c:pt idx="11">
                  <c:v>-0.73810904871198657</c:v>
                </c:pt>
                <c:pt idx="12">
                  <c:v>0.86894606289846266</c:v>
                </c:pt>
                <c:pt idx="13">
                  <c:v>1.1051650678258578</c:v>
                </c:pt>
                <c:pt idx="14">
                  <c:v>0.8563953272815128</c:v>
                </c:pt>
                <c:pt idx="15">
                  <c:v>0.64937589110840233</c:v>
                </c:pt>
                <c:pt idx="16">
                  <c:v>0.26057701986251053</c:v>
                </c:pt>
                <c:pt idx="17">
                  <c:v>0.45745604123417072</c:v>
                </c:pt>
                <c:pt idx="18">
                  <c:v>-0.20194711801004936</c:v>
                </c:pt>
                <c:pt idx="19">
                  <c:v>0.15922035729177425</c:v>
                </c:pt>
                <c:pt idx="20">
                  <c:v>0.8706919317042322</c:v>
                </c:pt>
                <c:pt idx="21">
                  <c:v>0.40870830283788773</c:v>
                </c:pt>
              </c:numCache>
            </c:numRef>
          </c:val>
          <c:extLst>
            <c:ext xmlns:c16="http://schemas.microsoft.com/office/drawing/2014/chart" uri="{C3380CC4-5D6E-409C-BE32-E72D297353CC}">
              <c16:uniqueId val="{00000001-F667-43E6-B9AD-CF59E5154D38}"/>
            </c:ext>
          </c:extLst>
        </c:ser>
        <c:ser>
          <c:idx val="4"/>
          <c:order val="3"/>
          <c:tx>
            <c:strRef>
              <c:f>'výkonnost odvětví 5a'!$AG$94</c:f>
              <c:strCache>
                <c:ptCount val="1"/>
                <c:pt idx="0">
                  <c:v>Sales via Internet and mail order houses</c:v>
                </c:pt>
              </c:strCache>
            </c:strRef>
          </c:tx>
          <c:spPr>
            <a:solidFill>
              <a:srgbClr val="86BF5E"/>
            </a:solidFill>
            <a:ln w="15875">
              <a:noFill/>
            </a:ln>
          </c:spPr>
          <c:invertIfNegative val="0"/>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5a'!$AG$95:$AG$117</c:f>
              <c:numCache>
                <c:formatCode>0.0</c:formatCode>
                <c:ptCount val="23"/>
                <c:pt idx="0">
                  <c:v>6.2238854273550013</c:v>
                </c:pt>
                <c:pt idx="1">
                  <c:v>1.9673322846559995</c:v>
                </c:pt>
                <c:pt idx="2">
                  <c:v>2.8897118076869992</c:v>
                </c:pt>
                <c:pt idx="3">
                  <c:v>0.34179985445399946</c:v>
                </c:pt>
                <c:pt idx="4">
                  <c:v>-2.4078707420265935</c:v>
                </c:pt>
                <c:pt idx="5">
                  <c:v>-1.349955965070883</c:v>
                </c:pt>
                <c:pt idx="6">
                  <c:v>-1.0048027273966744</c:v>
                </c:pt>
                <c:pt idx="7">
                  <c:v>-2.3459348297332032</c:v>
                </c:pt>
                <c:pt idx="8">
                  <c:v>-1.3265584415025811</c:v>
                </c:pt>
                <c:pt idx="9">
                  <c:v>-0.91879385638196398</c:v>
                </c:pt>
                <c:pt idx="10">
                  <c:v>0.15432045252273588</c:v>
                </c:pt>
                <c:pt idx="11">
                  <c:v>1.0599391386010431</c:v>
                </c:pt>
                <c:pt idx="12">
                  <c:v>1.9544124034542716</c:v>
                </c:pt>
                <c:pt idx="13">
                  <c:v>2.1075071094211357</c:v>
                </c:pt>
                <c:pt idx="14">
                  <c:v>2.2593762471344836</c:v>
                </c:pt>
                <c:pt idx="15">
                  <c:v>2.6348346674843302</c:v>
                </c:pt>
                <c:pt idx="16">
                  <c:v>1.6390411946382319</c:v>
                </c:pt>
                <c:pt idx="17">
                  <c:v>1.6485400657428455</c:v>
                </c:pt>
                <c:pt idx="18">
                  <c:v>0.85158954348677929</c:v>
                </c:pt>
                <c:pt idx="19">
                  <c:v>1.4394944108959997</c:v>
                </c:pt>
                <c:pt idx="20">
                  <c:v>2.5447494407586366</c:v>
                </c:pt>
                <c:pt idx="21">
                  <c:v>1.6488656198111336</c:v>
                </c:pt>
              </c:numCache>
            </c:numRef>
          </c:val>
          <c:extLst>
            <c:ext xmlns:c16="http://schemas.microsoft.com/office/drawing/2014/chart" uri="{C3380CC4-5D6E-409C-BE32-E72D297353CC}">
              <c16:uniqueId val="{00000002-F667-43E6-B9AD-CF59E5154D38}"/>
            </c:ext>
          </c:extLst>
        </c:ser>
        <c:ser>
          <c:idx val="7"/>
          <c:order val="4"/>
          <c:tx>
            <c:strRef>
              <c:f>'výkonnost odvětví 5a'!$AH$94</c:f>
              <c:strCache>
                <c:ptCount val="1"/>
                <c:pt idx="0">
                  <c:v>Retail with non-food goods*</c:v>
                </c:pt>
              </c:strCache>
            </c:strRef>
          </c:tx>
          <c:spPr>
            <a:solidFill>
              <a:srgbClr val="C3DDAC"/>
            </a:solidFill>
            <a:ln w="3175">
              <a:noFill/>
              <a:prstDash val="sysDash"/>
            </a:ln>
          </c:spPr>
          <c:invertIfNegative val="0"/>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5a'!$AH$95:$AH$117</c:f>
              <c:numCache>
                <c:formatCode>0.0</c:formatCode>
                <c:ptCount val="23"/>
                <c:pt idx="0">
                  <c:v>-6.4378832740831777</c:v>
                </c:pt>
                <c:pt idx="1">
                  <c:v>3.6127103130279985</c:v>
                </c:pt>
                <c:pt idx="2">
                  <c:v>0.73630771937103123</c:v>
                </c:pt>
                <c:pt idx="3">
                  <c:v>5.3320966130746958</c:v>
                </c:pt>
                <c:pt idx="4">
                  <c:v>8.4003136537116685</c:v>
                </c:pt>
                <c:pt idx="5">
                  <c:v>0.39774275692530625</c:v>
                </c:pt>
                <c:pt idx="6">
                  <c:v>-2.9364594892099953</c:v>
                </c:pt>
                <c:pt idx="7">
                  <c:v>-3.2956745451924179</c:v>
                </c:pt>
                <c:pt idx="8">
                  <c:v>-3.4576994027970742</c:v>
                </c:pt>
                <c:pt idx="9">
                  <c:v>-3.5742421547066727</c:v>
                </c:pt>
                <c:pt idx="10">
                  <c:v>-2.6144486307594161</c:v>
                </c:pt>
                <c:pt idx="11">
                  <c:v>-0.60913827462999803</c:v>
                </c:pt>
                <c:pt idx="12">
                  <c:v>0.83153037049008405</c:v>
                </c:pt>
                <c:pt idx="13">
                  <c:v>0.48596020541238572</c:v>
                </c:pt>
                <c:pt idx="14">
                  <c:v>1.1133090618165551</c:v>
                </c:pt>
                <c:pt idx="15">
                  <c:v>0.87270334517766601</c:v>
                </c:pt>
                <c:pt idx="16">
                  <c:v>0.47104673234671557</c:v>
                </c:pt>
                <c:pt idx="17">
                  <c:v>1.1988419090889981</c:v>
                </c:pt>
                <c:pt idx="18">
                  <c:v>0.75812356604077813</c:v>
                </c:pt>
                <c:pt idx="19">
                  <c:v>0.67985914667585545</c:v>
                </c:pt>
                <c:pt idx="20">
                  <c:v>0.8033903559583071</c:v>
                </c:pt>
                <c:pt idx="21">
                  <c:v>1.3291917221854421</c:v>
                </c:pt>
              </c:numCache>
            </c:numRef>
          </c:val>
          <c:extLst>
            <c:ext xmlns:c16="http://schemas.microsoft.com/office/drawing/2014/chart" uri="{C3380CC4-5D6E-409C-BE32-E72D297353CC}">
              <c16:uniqueId val="{00000003-F667-43E6-B9AD-CF59E5154D38}"/>
            </c:ext>
          </c:extLst>
        </c:ser>
        <c:dLbls>
          <c:showLegendKey val="0"/>
          <c:showVal val="0"/>
          <c:showCatName val="0"/>
          <c:showSerName val="0"/>
          <c:showPercent val="0"/>
          <c:showBubbleSize val="0"/>
        </c:dLbls>
        <c:gapWidth val="30"/>
        <c:overlap val="100"/>
        <c:axId val="156100864"/>
        <c:axId val="156573696"/>
      </c:barChart>
      <c:lineChart>
        <c:grouping val="standard"/>
        <c:varyColors val="0"/>
        <c:ser>
          <c:idx val="3"/>
          <c:order val="0"/>
          <c:tx>
            <c:strRef>
              <c:f>'výkonnost odvětví 5a'!$AD$94</c:f>
              <c:strCache>
                <c:ptCount val="1"/>
                <c:pt idx="0">
                  <c:v>Total retail sales</c:v>
                </c:pt>
              </c:strCache>
            </c:strRef>
          </c:tx>
          <c:spPr>
            <a:ln>
              <a:noFill/>
            </a:ln>
          </c:spPr>
          <c:marker>
            <c:symbol val="circle"/>
            <c:size val="6"/>
            <c:spPr>
              <a:solidFill>
                <a:schemeClr val="bg1"/>
              </a:solidFill>
              <a:ln w="6350">
                <a:solidFill>
                  <a:schemeClr val="tx1">
                    <a:lumMod val="95000"/>
                    <a:lumOff val="5000"/>
                  </a:schemeClr>
                </a:solidFill>
              </a:ln>
            </c:spPr>
          </c:marker>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5a'!$AD$95:$AD$117</c:f>
              <c:numCache>
                <c:formatCode>#\ ##0.0</c:formatCode>
                <c:ptCount val="23"/>
                <c:pt idx="0">
                  <c:v>-1.6944738047999977</c:v>
                </c:pt>
                <c:pt idx="1">
                  <c:v>6.9699746755999996</c:v>
                </c:pt>
                <c:pt idx="2">
                  <c:v>3.5945193927999952</c:v>
                </c:pt>
                <c:pt idx="3">
                  <c:v>6.501938194600001</c:v>
                </c:pt>
                <c:pt idx="4">
                  <c:v>6.7636861944999964</c:v>
                </c:pt>
                <c:pt idx="5">
                  <c:v>-2.7937071447999955</c:v>
                </c:pt>
                <c:pt idx="6">
                  <c:v>-7.661441571200001</c:v>
                </c:pt>
                <c:pt idx="7">
                  <c:v>-9.3128019889999933</c:v>
                </c:pt>
                <c:pt idx="8">
                  <c:v>-7.7706820764000071</c:v>
                </c:pt>
                <c:pt idx="9">
                  <c:v>-6.2954328725000011</c:v>
                </c:pt>
                <c:pt idx="10">
                  <c:v>-3.1409401905000038</c:v>
                </c:pt>
                <c:pt idx="11">
                  <c:v>-0.14030773449999856</c:v>
                </c:pt>
                <c:pt idx="12">
                  <c:v>4.2562721995000032</c:v>
                </c:pt>
                <c:pt idx="13">
                  <c:v>3.9476722012000067</c:v>
                </c:pt>
                <c:pt idx="14">
                  <c:v>4.6595745105999953</c:v>
                </c:pt>
                <c:pt idx="15">
                  <c:v>5.2336453399999954</c:v>
                </c:pt>
                <c:pt idx="16">
                  <c:v>3.2172809716000046</c:v>
                </c:pt>
                <c:pt idx="17">
                  <c:v>4.7393316045999967</c:v>
                </c:pt>
                <c:pt idx="18">
                  <c:v>2.533373490200006</c:v>
                </c:pt>
                <c:pt idx="19">
                  <c:v>2.7902028445000013</c:v>
                </c:pt>
                <c:pt idx="20">
                  <c:v>5.0030300485999959</c:v>
                </c:pt>
                <c:pt idx="21">
                  <c:v>3.0091654543000033</c:v>
                </c:pt>
              </c:numCache>
            </c:numRef>
          </c:val>
          <c:smooth val="0"/>
          <c:extLst>
            <c:ext xmlns:c16="http://schemas.microsoft.com/office/drawing/2014/chart" uri="{C3380CC4-5D6E-409C-BE32-E72D297353CC}">
              <c16:uniqueId val="{00000004-F667-43E6-B9AD-CF59E5154D38}"/>
            </c:ext>
          </c:extLst>
        </c:ser>
        <c:ser>
          <c:idx val="8"/>
          <c:order val="5"/>
          <c:tx>
            <c:strRef>
              <c:f>'výkonnost odvětví 5a'!$AI$94</c:f>
              <c:strCache>
                <c:ptCount val="1"/>
              </c:strCache>
            </c:strRef>
          </c:tx>
          <c:spPr>
            <a:ln w="12700">
              <a:noFill/>
              <a:prstDash val="sysDot"/>
            </a:ln>
          </c:spPr>
          <c:marker>
            <c:symbol val="none"/>
          </c:marker>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5a'!$AI$95:$AI$117</c:f>
              <c:numCache>
                <c:formatCode>#,##0</c:formatCode>
                <c:ptCount val="23"/>
                <c:pt idx="0">
                  <c:v>9999</c:v>
                </c:pt>
                <c:pt idx="1">
                  <c:v>9999</c:v>
                </c:pt>
                <c:pt idx="2">
                  <c:v>9999</c:v>
                </c:pt>
                <c:pt idx="3">
                  <c:v>9999</c:v>
                </c:pt>
                <c:pt idx="4">
                  <c:v>9999</c:v>
                </c:pt>
                <c:pt idx="5">
                  <c:v>9999</c:v>
                </c:pt>
                <c:pt idx="6">
                  <c:v>9999</c:v>
                </c:pt>
                <c:pt idx="7">
                  <c:v>9999</c:v>
                </c:pt>
                <c:pt idx="8">
                  <c:v>9999</c:v>
                </c:pt>
                <c:pt idx="9">
                  <c:v>9999</c:v>
                </c:pt>
                <c:pt idx="10">
                  <c:v>9999</c:v>
                </c:pt>
                <c:pt idx="11">
                  <c:v>9999</c:v>
                </c:pt>
                <c:pt idx="12">
                  <c:v>9999</c:v>
                </c:pt>
                <c:pt idx="13">
                  <c:v>9999</c:v>
                </c:pt>
                <c:pt idx="14">
                  <c:v>9999</c:v>
                </c:pt>
                <c:pt idx="15">
                  <c:v>9999</c:v>
                </c:pt>
                <c:pt idx="16">
                  <c:v>9999</c:v>
                </c:pt>
                <c:pt idx="17">
                  <c:v>9999</c:v>
                </c:pt>
                <c:pt idx="18">
                  <c:v>9999</c:v>
                </c:pt>
                <c:pt idx="19">
                  <c:v>9999</c:v>
                </c:pt>
                <c:pt idx="20">
                  <c:v>9999</c:v>
                </c:pt>
                <c:pt idx="21">
                  <c:v>9999</c:v>
                </c:pt>
              </c:numCache>
            </c:numRef>
          </c:val>
          <c:smooth val="0"/>
          <c:extLst>
            <c:ext xmlns:c16="http://schemas.microsoft.com/office/drawing/2014/chart" uri="{C3380CC4-5D6E-409C-BE32-E72D297353CC}">
              <c16:uniqueId val="{00000005-F667-43E6-B9AD-CF59E5154D38}"/>
            </c:ext>
          </c:extLst>
        </c:ser>
        <c:dLbls>
          <c:showLegendKey val="0"/>
          <c:showVal val="0"/>
          <c:showCatName val="0"/>
          <c:showSerName val="0"/>
          <c:showPercent val="0"/>
          <c:showBubbleSize val="0"/>
        </c:dLbls>
        <c:marker val="1"/>
        <c:smooth val="0"/>
        <c:axId val="156100864"/>
        <c:axId val="156573696"/>
      </c:lineChart>
      <c:lineChart>
        <c:grouping val="standard"/>
        <c:varyColors val="0"/>
        <c:ser>
          <c:idx val="9"/>
          <c:order val="6"/>
          <c:tx>
            <c:strRef>
              <c:f>'výkonnost odvětví 5a'!$AJ$94</c:f>
              <c:strCache>
                <c:ptCount val="1"/>
                <c:pt idx="0">
                  <c:v>Consumer confidence indicator</c:v>
                </c:pt>
              </c:strCache>
            </c:strRef>
          </c:tx>
          <c:spPr>
            <a:ln w="6350">
              <a:solidFill>
                <a:schemeClr val="bg1">
                  <a:lumMod val="65000"/>
                </a:schemeClr>
              </a:solidFill>
              <a:prstDash val="sysDash"/>
            </a:ln>
          </c:spPr>
          <c:marker>
            <c:symbol val="triangle"/>
            <c:size val="4"/>
            <c:spPr>
              <a:solidFill>
                <a:srgbClr val="009CB5"/>
              </a:solidFill>
              <a:ln>
                <a:solidFill>
                  <a:srgbClr val="009CB5"/>
                </a:solidFill>
              </a:ln>
            </c:spPr>
          </c:marker>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5a'!$AJ$95:$AJ$117</c:f>
              <c:numCache>
                <c:formatCode>0.0</c:formatCode>
                <c:ptCount val="23"/>
                <c:pt idx="0">
                  <c:v>-16.083333333333332</c:v>
                </c:pt>
                <c:pt idx="1">
                  <c:v>-8</c:v>
                </c:pt>
                <c:pt idx="2">
                  <c:v>-6.25</c:v>
                </c:pt>
                <c:pt idx="3">
                  <c:v>-13.933333333333332</c:v>
                </c:pt>
                <c:pt idx="4">
                  <c:v>-19.433333333333334</c:v>
                </c:pt>
                <c:pt idx="5">
                  <c:v>-29.666666666666668</c:v>
                </c:pt>
                <c:pt idx="6">
                  <c:v>-32.199999999999996</c:v>
                </c:pt>
                <c:pt idx="7">
                  <c:v>-32.43333333333333</c:v>
                </c:pt>
                <c:pt idx="8">
                  <c:v>-22.599999999999998</c:v>
                </c:pt>
                <c:pt idx="9">
                  <c:v>-19.466666666666669</c:v>
                </c:pt>
                <c:pt idx="10">
                  <c:v>-18.333333333333332</c:v>
                </c:pt>
                <c:pt idx="11">
                  <c:v>-19.433333333333334</c:v>
                </c:pt>
                <c:pt idx="12">
                  <c:v>-14.866666666666667</c:v>
                </c:pt>
                <c:pt idx="13">
                  <c:v>-8.5</c:v>
                </c:pt>
                <c:pt idx="14">
                  <c:v>-12.300000000000002</c:v>
                </c:pt>
                <c:pt idx="15">
                  <c:v>-9.6</c:v>
                </c:pt>
                <c:pt idx="16">
                  <c:v>-12.666666666666666</c:v>
                </c:pt>
                <c:pt idx="17">
                  <c:v>-10.700000000000001</c:v>
                </c:pt>
                <c:pt idx="18">
                  <c:v>-8.4666666666666668</c:v>
                </c:pt>
                <c:pt idx="19">
                  <c:v>-1.4333333333333333</c:v>
                </c:pt>
                <c:pt idx="20">
                  <c:v>-2.5</c:v>
                </c:pt>
                <c:pt idx="21">
                  <c:v>-5.6000000000000005</c:v>
                </c:pt>
                <c:pt idx="22">
                  <c:v>-6.8000000000000007</c:v>
                </c:pt>
              </c:numCache>
            </c:numRef>
          </c:val>
          <c:smooth val="0"/>
          <c:extLst>
            <c:ext xmlns:c16="http://schemas.microsoft.com/office/drawing/2014/chart" uri="{C3380CC4-5D6E-409C-BE32-E72D297353CC}">
              <c16:uniqueId val="{00000006-F667-43E6-B9AD-CF59E5154D38}"/>
            </c:ext>
          </c:extLst>
        </c:ser>
        <c:ser>
          <c:idx val="2"/>
          <c:order val="7"/>
          <c:tx>
            <c:strRef>
              <c:f>'výkonnost odvětví 5a'!$AK$94</c:f>
              <c:strCache>
                <c:ptCount val="1"/>
                <c:pt idx="0">
                  <c:v>Confidence indicator in retail</c:v>
                </c:pt>
              </c:strCache>
            </c:strRef>
          </c:tx>
          <c:spPr>
            <a:ln w="15875">
              <a:solidFill>
                <a:srgbClr val="CC9610"/>
              </a:solidFill>
              <a:prstDash val="sysDot"/>
            </a:ln>
          </c:spPr>
          <c:marker>
            <c:symbol val="diamond"/>
            <c:size val="4"/>
            <c:spPr>
              <a:solidFill>
                <a:srgbClr val="CC9610"/>
              </a:solidFill>
              <a:ln>
                <a:solidFill>
                  <a:srgbClr val="CC9610"/>
                </a:solidFill>
              </a:ln>
            </c:spPr>
          </c:marker>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5a'!$AK$95:$AK$117</c:f>
              <c:numCache>
                <c:formatCode>0.0</c:formatCode>
                <c:ptCount val="23"/>
                <c:pt idx="0">
                  <c:v>2.2333333333333334</c:v>
                </c:pt>
                <c:pt idx="1">
                  <c:v>15.433333333333332</c:v>
                </c:pt>
                <c:pt idx="2">
                  <c:v>19.866666666666667</c:v>
                </c:pt>
                <c:pt idx="3">
                  <c:v>22.333333333333332</c:v>
                </c:pt>
                <c:pt idx="4">
                  <c:v>19.766666666666666</c:v>
                </c:pt>
                <c:pt idx="5">
                  <c:v>17.099999999999998</c:v>
                </c:pt>
                <c:pt idx="6">
                  <c:v>10.200000000000001</c:v>
                </c:pt>
                <c:pt idx="7">
                  <c:v>12.333333333333334</c:v>
                </c:pt>
                <c:pt idx="8">
                  <c:v>11.433333333333332</c:v>
                </c:pt>
                <c:pt idx="9">
                  <c:v>12.533333333333333</c:v>
                </c:pt>
                <c:pt idx="10">
                  <c:v>6.7666666666666666</c:v>
                </c:pt>
                <c:pt idx="11">
                  <c:v>4.2</c:v>
                </c:pt>
                <c:pt idx="12">
                  <c:v>5</c:v>
                </c:pt>
                <c:pt idx="13">
                  <c:v>9.5333333333333332</c:v>
                </c:pt>
                <c:pt idx="14">
                  <c:v>10.533333333333333</c:v>
                </c:pt>
                <c:pt idx="15">
                  <c:v>9.6666666666666661</c:v>
                </c:pt>
                <c:pt idx="16">
                  <c:v>14.466666666666667</c:v>
                </c:pt>
                <c:pt idx="17">
                  <c:v>12.533333333333333</c:v>
                </c:pt>
                <c:pt idx="18">
                  <c:v>13.333333333333334</c:v>
                </c:pt>
                <c:pt idx="19">
                  <c:v>10.933333333333332</c:v>
                </c:pt>
                <c:pt idx="20">
                  <c:v>11.866666666666667</c:v>
                </c:pt>
                <c:pt idx="21">
                  <c:v>7.2333333333333334</c:v>
                </c:pt>
                <c:pt idx="22">
                  <c:v>6.65</c:v>
                </c:pt>
              </c:numCache>
            </c:numRef>
          </c:val>
          <c:smooth val="0"/>
          <c:extLst>
            <c:ext xmlns:c16="http://schemas.microsoft.com/office/drawing/2014/chart" uri="{C3380CC4-5D6E-409C-BE32-E72D297353CC}">
              <c16:uniqueId val="{00000007-F667-43E6-B9AD-CF59E5154D38}"/>
            </c:ext>
          </c:extLst>
        </c:ser>
        <c:dLbls>
          <c:showLegendKey val="0"/>
          <c:showVal val="0"/>
          <c:showCatName val="0"/>
          <c:showSerName val="0"/>
          <c:showPercent val="0"/>
          <c:showBubbleSize val="0"/>
        </c:dLbls>
        <c:marker val="1"/>
        <c:smooth val="0"/>
        <c:axId val="1875570767"/>
        <c:axId val="1875563695"/>
      </c:lineChart>
      <c:catAx>
        <c:axId val="156100864"/>
        <c:scaling>
          <c:orientation val="minMax"/>
        </c:scaling>
        <c:delete val="0"/>
        <c:axPos val="b"/>
        <c:numFmt formatCode="General" sourceLinked="0"/>
        <c:majorTickMark val="out"/>
        <c:minorTickMark val="none"/>
        <c:tickLblPos val="low"/>
        <c:txPr>
          <a:bodyPr/>
          <a:lstStyle/>
          <a:p>
            <a:pPr>
              <a:defRPr sz="800"/>
            </a:pPr>
            <a:endParaRPr lang="cs-CZ"/>
          </a:p>
        </c:txPr>
        <c:crossAx val="156573696"/>
        <c:crosses val="autoZero"/>
        <c:auto val="1"/>
        <c:lblAlgn val="ctr"/>
        <c:lblOffset val="0"/>
        <c:noMultiLvlLbl val="0"/>
      </c:catAx>
      <c:valAx>
        <c:axId val="156573696"/>
        <c:scaling>
          <c:orientation val="minMax"/>
          <c:max val="12"/>
          <c:min val="-10"/>
        </c:scaling>
        <c:delete val="0"/>
        <c:axPos val="l"/>
        <c:majorGridlines>
          <c:spPr>
            <a:ln w="6350">
              <a:solidFill>
                <a:schemeClr val="bg1">
                  <a:lumMod val="75000"/>
                </a:schemeClr>
              </a:solidFill>
            </a:ln>
          </c:spPr>
        </c:majorGridlines>
        <c:title>
          <c:tx>
            <c:rich>
              <a:bodyPr/>
              <a:lstStyle/>
              <a:p>
                <a:pPr>
                  <a:defRPr sz="750" b="0" i="1"/>
                </a:pPr>
                <a:r>
                  <a:rPr lang="cs-CZ" sz="750" b="0" i="1"/>
                  <a:t>Sales</a:t>
                </a:r>
              </a:p>
            </c:rich>
          </c:tx>
          <c:layout>
            <c:manualLayout>
              <c:xMode val="edge"/>
              <c:yMode val="edge"/>
              <c:x val="2.6086636328545598E-3"/>
              <c:y val="0.33528488665857653"/>
            </c:manualLayout>
          </c:layout>
          <c:overlay val="0"/>
        </c:title>
        <c:numFmt formatCode="0" sourceLinked="0"/>
        <c:majorTickMark val="out"/>
        <c:minorTickMark val="none"/>
        <c:tickLblPos val="nextTo"/>
        <c:txPr>
          <a:bodyPr/>
          <a:lstStyle/>
          <a:p>
            <a:pPr>
              <a:defRPr sz="800"/>
            </a:pPr>
            <a:endParaRPr lang="cs-CZ"/>
          </a:p>
        </c:txPr>
        <c:crossAx val="156100864"/>
        <c:crosses val="autoZero"/>
        <c:crossBetween val="between"/>
        <c:majorUnit val="2"/>
      </c:valAx>
      <c:valAx>
        <c:axId val="1875563695"/>
        <c:scaling>
          <c:orientation val="minMax"/>
          <c:max val="120"/>
          <c:min val="-45"/>
        </c:scaling>
        <c:delete val="0"/>
        <c:axPos val="r"/>
        <c:title>
          <c:tx>
            <c:rich>
              <a:bodyPr/>
              <a:lstStyle/>
              <a:p>
                <a:pPr>
                  <a:defRPr sz="750" b="0" i="1"/>
                </a:pPr>
                <a:r>
                  <a:rPr lang="cs-CZ" sz="750" b="0" i="1">
                    <a:latin typeface="Arial" panose="020B0604020202020204" pitchFamily="34" charset="0"/>
                    <a:cs typeface="Arial" panose="020B0604020202020204" pitchFamily="34" charset="0"/>
                  </a:rPr>
                  <a:t>Confidence balance</a:t>
                </a:r>
              </a:p>
            </c:rich>
          </c:tx>
          <c:layout>
            <c:manualLayout>
              <c:xMode val="edge"/>
              <c:yMode val="edge"/>
              <c:x val="0.9689626056699866"/>
              <c:y val="0.27426481384713053"/>
            </c:manualLayout>
          </c:layout>
          <c:overlay val="0"/>
        </c:title>
        <c:numFmt formatCode="#,##0" sourceLinked="0"/>
        <c:majorTickMark val="out"/>
        <c:minorTickMark val="none"/>
        <c:tickLblPos val="nextTo"/>
        <c:txPr>
          <a:bodyPr/>
          <a:lstStyle/>
          <a:p>
            <a:pPr>
              <a:defRPr sz="800"/>
            </a:pPr>
            <a:endParaRPr lang="cs-CZ"/>
          </a:p>
        </c:txPr>
        <c:crossAx val="1875570767"/>
        <c:crosses val="max"/>
        <c:crossBetween val="between"/>
        <c:majorUnit val="15"/>
      </c:valAx>
      <c:catAx>
        <c:axId val="1875570767"/>
        <c:scaling>
          <c:orientation val="minMax"/>
        </c:scaling>
        <c:delete val="1"/>
        <c:axPos val="b"/>
        <c:numFmt formatCode="General" sourceLinked="1"/>
        <c:majorTickMark val="out"/>
        <c:minorTickMark val="none"/>
        <c:tickLblPos val="nextTo"/>
        <c:crossAx val="1875563695"/>
        <c:crosses val="autoZero"/>
        <c:auto val="1"/>
        <c:lblAlgn val="ctr"/>
        <c:lblOffset val="100"/>
        <c:noMultiLvlLbl val="0"/>
      </c:catAx>
      <c:spPr>
        <a:ln w="6350">
          <a:solidFill>
            <a:schemeClr val="tx1"/>
          </a:solidFill>
        </a:ln>
      </c:spPr>
    </c:plotArea>
    <c:legend>
      <c:legendPos val="r"/>
      <c:layout>
        <c:manualLayout>
          <c:xMode val="edge"/>
          <c:yMode val="edge"/>
          <c:x val="1.3148166250944704E-2"/>
          <c:y val="0.83746678121420393"/>
          <c:w val="0.97350248119265426"/>
          <c:h val="0.14798568155784653"/>
        </c:manualLayout>
      </c:layout>
      <c:overlay val="0"/>
      <c:spPr>
        <a:ln w="6350">
          <a:solidFill>
            <a:schemeClr val="tx1"/>
          </a:solidFill>
        </a:ln>
      </c:spPr>
      <c:txPr>
        <a:bodyPr/>
        <a:lstStyle/>
        <a:p>
          <a:pPr>
            <a:defRPr sz="800"/>
          </a:pPr>
          <a:endParaRPr lang="cs-CZ"/>
        </a:p>
      </c:txPr>
    </c:legend>
    <c:plotVisOnly val="1"/>
    <c:dispBlanksAs val="gap"/>
    <c:showDLblsOverMax val="0"/>
  </c:chart>
  <c:spPr>
    <a:ln>
      <a:noFill/>
    </a:ln>
  </c:spPr>
  <c:txPr>
    <a:bodyPr/>
    <a:lstStyle/>
    <a:p>
      <a:pPr>
        <a:defRPr sz="1500" baseline="0">
          <a:latin typeface="Arial" pitchFamily="34" charset="0"/>
        </a:defRPr>
      </a:pPr>
      <a:endParaRPr lang="cs-CZ"/>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BD76F913C5B1A4797255AD7259AA9ED" ma:contentTypeVersion="40" ma:contentTypeDescription="Vytvoří nový dokument" ma:contentTypeScope="" ma:versionID="110421115ddc15f999b8bb81d2de1ec1">
  <xsd:schema xmlns:xsd="http://www.w3.org/2001/XMLSchema" xmlns:xs="http://www.w3.org/2001/XMLSchema" xmlns:p="http://schemas.microsoft.com/office/2006/metadata/properties" xmlns:ns2="8675fb2b-b414-4bad-b4c4-d9349268b5a1" xmlns:ns3="406a38fe-c53c-4047-b0f8-c641386931ae" targetNamespace="http://schemas.microsoft.com/office/2006/metadata/properties" ma:root="true" ma:fieldsID="68ff216229c3f5ed4e0b6e8627bc5742" ns2:_="" ns3:_="">
    <xsd:import namespace="8675fb2b-b414-4bad-b4c4-d9349268b5a1"/>
    <xsd:import namespace="406a38fe-c53c-4047-b0f8-c641386931ae"/>
    <xsd:element name="properties">
      <xsd:complexType>
        <xsd:sequence>
          <xsd:element name="documentManagement">
            <xsd:complexType>
              <xsd:all>
                <xsd:element ref="ns2:Forma" minOccurs="0"/>
                <xsd:element ref="ns2:Verzeform" minOccurs="0"/>
                <xsd:element ref="ns2:Vazbanaproces" minOccurs="0"/>
                <xsd:element ref="ns2:Gestor" minOccurs="0"/>
                <xsd:element ref="ns2:Historieverze" minOccurs="0"/>
                <xsd:element ref="ns2:MediaServiceMetadata" minOccurs="0"/>
                <xsd:element ref="ns2:MediaServiceFastMetadata" minOccurs="0"/>
                <xsd:element ref="ns2:Form_c" minOccurs="0"/>
                <xsd:element ref="ns2:NazevForm" minOccurs="0"/>
                <xsd:element ref="ns2:UcinnostOdForm" minOccurs="0"/>
                <xsd:element ref="ns2:DomenaForm" minOccurs="0"/>
                <xsd:element ref="ns2:PredpisForm" minOccurs="0"/>
                <xsd:element ref="ns2:UstanoveniForm" minOccurs="0"/>
                <xsd:element ref="ns2:PoznForm" minOccurs="0"/>
                <xsd:element ref="ns2:Oznaceni" minOccurs="0"/>
                <xsd:element ref="ns2:UcinnostDoForm" minOccurs="0"/>
                <xsd:element ref="ns2:MediaServiceObjectDetectorVersions" minOccurs="0"/>
                <xsd:element ref="ns2:Platnost" minOccurs="0"/>
                <xsd:element ref="ns2:Odkaz"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iteKnihDok" minOccurs="0"/>
                <xsd:element ref="ns3:ProcDomen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fb2b-b414-4bad-b4c4-d9349268b5a1" elementFormDefault="qualified">
    <xsd:import namespace="http://schemas.microsoft.com/office/2006/documentManagement/types"/>
    <xsd:import namespace="http://schemas.microsoft.com/office/infopath/2007/PartnerControls"/>
    <xsd:element name="Forma" ma:index="8" nillable="true" ma:displayName="Forma" ma:description="Forma formuláře" ma:format="Dropdown" ma:internalName="Forma">
      <xsd:complexType>
        <xsd:complexContent>
          <xsd:extension base="dms:MultiChoice">
            <xsd:sequence>
              <xsd:element name="Value" maxOccurs="unbounded" minOccurs="0" nillable="true">
                <xsd:simpleType>
                  <xsd:restriction base="dms:Choice">
                    <xsd:enumeration value="Listinná  (analogová)"/>
                    <xsd:enumeration value="Elektronická"/>
                    <xsd:enumeration value="Formulář IS"/>
                  </xsd:restriction>
                </xsd:simpleType>
              </xsd:element>
            </xsd:sequence>
          </xsd:extension>
        </xsd:complexContent>
      </xsd:complexType>
    </xsd:element>
    <xsd:element name="Verzeform" ma:index="9" nillable="true" ma:displayName="Ver." ma:format="Dropdown" ma:internalName="Verzeform">
      <xsd:simpleType>
        <xsd:restriction base="dms:Text">
          <xsd:maxLength value="255"/>
        </xsd:restriction>
      </xsd:simpleType>
    </xsd:element>
    <xsd:element name="Vazbanaproces" ma:index="10" nillable="true" ma:displayName="Vazba na proces" ma:format="Dropdown" ma:internalName="Vazbanaproces">
      <xsd:simpleType>
        <xsd:restriction base="dms:Note">
          <xsd:maxLength value="255"/>
        </xsd:restriction>
      </xsd:simpleType>
    </xsd:element>
    <xsd:element name="Gestor" ma:index="11" nillable="true" ma:displayName="Gestor" ma:format="Dropdown" ma:list="UserInfo" ma:SharePointGroup="0" ma:internalName="Ges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istorieverze" ma:index="12" nillable="true" ma:displayName="Historie verze" ma:format="Dropdown" ma:internalName="Historieverz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Form_c" ma:index="15" nillable="true" ma:displayName="Form_c" ma:format="Dropdown" ma:internalName="Form_c" ma:percentage="FALSE">
      <xsd:simpleType>
        <xsd:restriction base="dms:Number"/>
      </xsd:simpleType>
    </xsd:element>
    <xsd:element name="NazevForm" ma:index="16" nillable="true" ma:displayName="Název formuláře" ma:internalName="NazevForm">
      <xsd:simpleType>
        <xsd:restriction base="dms:Text">
          <xsd:maxLength value="255"/>
        </xsd:restriction>
      </xsd:simpleType>
    </xsd:element>
    <xsd:element name="UcinnostOdForm" ma:index="17" nillable="true" ma:displayName="Účinnost od" ma:description="Datum účinnosti formuláře" ma:format="DateOnly" ma:internalName="UcinnostOdForm">
      <xsd:simpleType>
        <xsd:restriction base="dms:DateTime"/>
      </xsd:simpleType>
    </xsd:element>
    <xsd:element name="DomenaForm" ma:index="18" nillable="true" ma:displayName="Doména_old" ma:description="Na formuláře na procesní doménu" ma:format="Dropdown" ma:internalName="DomenaForm">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element name="PredpisForm" ma:index="19" nillable="true" ma:displayName="Definiční předpis" ma:description="Definiční předpis formuláře" ma:format="Dropdown" ma:internalName="PredpisForm">
      <xsd:simpleType>
        <xsd:restriction base="dms:Text">
          <xsd:maxLength value="255"/>
        </xsd:restriction>
      </xsd:simpleType>
    </xsd:element>
    <xsd:element name="UstanoveniForm" ma:index="20" nillable="true" ma:displayName="Ustanovení" ma:description="Ustanovení (čl., odst., písm.)" ma:format="Dropdown" ma:internalName="UstanoveniForm">
      <xsd:simpleType>
        <xsd:restriction base="dms:Note">
          <xsd:maxLength value="255"/>
        </xsd:restriction>
      </xsd:simpleType>
    </xsd:element>
    <xsd:element name="PoznForm" ma:index="21" nillable="true" ma:displayName="Poznámka" ma:description="Poznámka k formuláři" ma:format="Dropdown" ma:internalName="PoznForm">
      <xsd:simpleType>
        <xsd:restriction base="dms:Note">
          <xsd:maxLength value="255"/>
        </xsd:restriction>
      </xsd:simpleType>
    </xsd:element>
    <xsd:element name="Oznaceni" ma:index="22" nillable="true" ma:displayName="Označení" ma:description="Označení formuláře" ma:format="Dropdown" ma:internalName="Oznaceni">
      <xsd:simpleType>
        <xsd:restriction base="dms:Text">
          <xsd:maxLength value="12"/>
        </xsd:restriction>
      </xsd:simpleType>
    </xsd:element>
    <xsd:element name="UcinnostDoForm" ma:index="23" nillable="true" ma:displayName="Účinnost do" ma:format="DateOnly" ma:internalName="UcinnostDoForm">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latnost" ma:index="25" nillable="true" ma:displayName="Platnost" ma:default="1" ma:internalName="Platnost">
      <xsd:simpleType>
        <xsd:restriction base="dms:Boolean"/>
      </xsd:simpleType>
    </xsd:element>
    <xsd:element name="Odkaz" ma:index="26"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a38fe-c53c-4047-b0f8-c641386931ae" elementFormDefault="qualified">
    <xsd:import namespace="http://schemas.microsoft.com/office/2006/documentManagement/types"/>
    <xsd:import namespace="http://schemas.microsoft.com/office/infopath/2007/PartnerControls"/>
    <xsd:element name="SharedWithUsers" ma:index="2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dílené s podrobnostmi" ma:internalName="SharedWithDetails" ma:readOnly="true">
      <xsd:simpleType>
        <xsd:restriction base="dms:Note">
          <xsd:maxLength value="255"/>
        </xsd:restriction>
      </xsd:simpleType>
    </xsd:element>
    <xsd:element name="TaxCatchAll" ma:index="32" nillable="true" ma:displayName="Taxonomy Catch All Column" ma:hidden="true" ma:list="{d4d15468-1f14-4f0d-947e-4bef9f86f2ae}" ma:internalName="TaxCatchAll" ma:showField="CatchAllData" ma:web="406a38fe-c53c-4047-b0f8-c641386931ae">
      <xsd:complexType>
        <xsd:complexContent>
          <xsd:extension base="dms:MultiChoiceLookup">
            <xsd:sequence>
              <xsd:element name="Value" type="dms:Lookup" maxOccurs="unbounded" minOccurs="0" nillable="true"/>
            </xsd:sequence>
          </xsd:extension>
        </xsd:complexContent>
      </xsd:complexType>
    </xsd:element>
    <xsd:element name="SiteKnihDok" ma:index="37" nillable="true" ma:displayName="SiteKnihDok" ma:default="Vnitřní předpisy" ma:description="Seznam knihoven v Site Knihovna dokumentů ČSÚ" ma:format="Dropdown" ma:internalName="SiteKnihDok">
      <xsd:simpleType>
        <xsd:restriction base="dms:Choice">
          <xsd:enumeration value="Vnitřní předpisy"/>
          <xsd:enumeration value="Formuláře"/>
          <xsd:enumeration value="Návody a manuály"/>
          <xsd:enumeration value="Zápisy a reporty"/>
        </xsd:restriction>
      </xsd:simpleType>
    </xsd:element>
    <xsd:element name="ProcDomena" ma:index="38" nillable="true" ma:displayName="Procesní doména" ma:default="P1 Bezpečnost" ma:internalName="ProcDomena">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istorieverze xmlns="8675fb2b-b414-4bad-b4c4-d9349268b5a1" xsi:nil="true"/>
    <Verzeform xmlns="8675fb2b-b414-4bad-b4c4-d9349268b5a1">v1.2</Verzeform>
    <Forma xmlns="8675fb2b-b414-4bad-b4c4-d9349268b5a1">
      <Value>Elektronická</Value>
    </Forma>
    <Vazbanaproces xmlns="8675fb2b-b414-4bad-b4c4-d9349268b5a1">179. Vnější komunikace
</Vazbanaproces>
    <Gestor xmlns="8675fb2b-b414-4bad-b4c4-d9349268b5a1">
      <UserInfo>
        <DisplayName>Novotný Michal</DisplayName>
        <AccountId>24</AccountId>
        <AccountType/>
      </UserInfo>
    </Gestor>
    <Form_c xmlns="8675fb2b-b414-4bad-b4c4-d9349268b5a1">444</Form_c>
    <NazevForm xmlns="8675fb2b-b414-4bad-b4c4-d9349268b5a1">Publikace CZ barevná - regiony a země - analýzy</NazevForm>
    <UcinnostOdForm xmlns="8675fb2b-b414-4bad-b4c4-d9349268b5a1">2026-09-06T22:00:00+00:00</UcinnostOdForm>
    <PredpisForm xmlns="8675fb2b-b414-4bad-b4c4-d9349268b5a1">Manuál značky a jednotného vizuálního stylu Českého statistického úřadu</PredpisForm>
    <UstanoveniForm xmlns="8675fb2b-b414-4bad-b4c4-d9349268b5a1" xsi:nil="true"/>
    <PoznForm xmlns="8675fb2b-b414-4bad-b4c4-d9349268b5a1" xsi:nil="true"/>
    <Oznaceni xmlns="8675fb2b-b414-4bad-b4c4-d9349268b5a1">Form_c444</Oznaceni>
    <UcinnostDoForm xmlns="8675fb2b-b414-4bad-b4c4-d9349268b5a1" xsi:nil="true"/>
    <Platnost xmlns="8675fb2b-b414-4bad-b4c4-d9349268b5a1">true</Platnost>
    <Odkaz xmlns="8675fb2b-b414-4bad-b4c4-d9349268b5a1">
      <Url xsi:nil="true"/>
      <Description xsi:nil="true"/>
    </Odkaz>
    <lcf76f155ced4ddcb4097134ff3c332f xmlns="8675fb2b-b414-4bad-b4c4-d9349268b5a1">
      <Terms xmlns="http://schemas.microsoft.com/office/infopath/2007/PartnerControls"/>
    </lcf76f155ced4ddcb4097134ff3c332f>
    <TaxCatchAll xmlns="406a38fe-c53c-4047-b0f8-c641386931ae" xsi:nil="true"/>
    <ProcDomena xmlns="406a38fe-c53c-4047-b0f8-c641386931ae">
      <Value>P4 Komunikace a propagace</Value>
    </ProcDomena>
    <DomenaForm xmlns="8675fb2b-b414-4bad-b4c4-d9349268b5a1" xsi:nil="true"/>
    <SiteKnihDok xmlns="406a38fe-c53c-4047-b0f8-c641386931ae">Vnitřní předpisy</SiteKnihDo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8A1E1-1E99-4B4F-B9B5-70567730AA3A}">
  <ds:schemaRefs>
    <ds:schemaRef ds:uri="http://schemas.microsoft.com/sharepoint/v3/contenttype/forms"/>
  </ds:schemaRefs>
</ds:datastoreItem>
</file>

<file path=customXml/itemProps2.xml><?xml version="1.0" encoding="utf-8"?>
<ds:datastoreItem xmlns:ds="http://schemas.openxmlformats.org/officeDocument/2006/customXml" ds:itemID="{4520BFF4-F202-41B8-B99D-38B5B951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fb2b-b414-4bad-b4c4-d9349268b5a1"/>
    <ds:schemaRef ds:uri="406a38fe-c53c-4047-b0f8-c6413869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7681AD-41B0-431A-9D34-CF6700A12FAC}">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customXml/itemProps4.xml><?xml version="1.0" encoding="utf-8"?>
<ds:datastoreItem xmlns:ds="http://schemas.openxmlformats.org/officeDocument/2006/customXml" ds:itemID="{BD4A6635-18E5-4C5D-A03B-290B09811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Form_c444_Publikace_regiony a zeme - analyzy.dotx</Template>
  <TotalTime>567</TotalTime>
  <Pages>12</Pages>
  <Words>6010</Words>
  <Characters>35463</Characters>
  <Application>Microsoft Office Word</Application>
  <DocSecurity>0</DocSecurity>
  <Lines>295</Lines>
  <Paragraphs>82</Paragraphs>
  <ScaleCrop>false</ScaleCrop>
  <HeadingPairs>
    <vt:vector size="6" baseType="variant">
      <vt:variant>
        <vt:lpstr>Název</vt:lpstr>
      </vt:variant>
      <vt:variant>
        <vt:i4>1</vt:i4>
      </vt:variant>
      <vt:variant>
        <vt:lpstr>Title</vt:lpstr>
      </vt:variant>
      <vt:variant>
        <vt:i4>1</vt:i4>
      </vt:variant>
      <vt:variant>
        <vt:lpstr>Headings</vt:lpstr>
      </vt:variant>
      <vt:variant>
        <vt:i4>8</vt:i4>
      </vt:variant>
    </vt:vector>
  </HeadingPairs>
  <TitlesOfParts>
    <vt:vector size="10" baseType="lpstr">
      <vt:lpstr/>
      <vt:lpstr/>
      <vt:lpstr>Styl: Nadpis 1</vt:lpstr>
      <vt:lpstr>    Styl: Nadpis 2</vt:lpstr>
      <vt:lpstr>        Styl: Nadpis 3</vt:lpstr>
      <vt:lpstr>        Styl: Nadpis 3</vt:lpstr>
      <vt:lpstr>    Styl: Nadpis 2</vt:lpstr>
      <vt:lpstr>        Styl: Nadpis 3</vt:lpstr>
      <vt:lpstr>    Styl: Nadpis 2</vt:lpstr>
      <vt:lpstr>        Styl: Nadpis 3</vt:lpstr>
    </vt:vector>
  </TitlesOfParts>
  <Company>CSU</Company>
  <LinksUpToDate>false</LinksUpToDate>
  <CharactersWithSpaces>41391</CharactersWithSpaces>
  <SharedDoc>false</SharedDoc>
  <HLinks>
    <vt:vector size="18" baseType="variant">
      <vt:variant>
        <vt:i4>7602181</vt:i4>
      </vt:variant>
      <vt:variant>
        <vt:i4>11092</vt:i4>
      </vt:variant>
      <vt:variant>
        <vt:i4>1025</vt:i4>
      </vt:variant>
      <vt:variant>
        <vt:i4>1</vt:i4>
      </vt:variant>
      <vt:variant>
        <vt:lpwstr>msoFAAF</vt:lpwstr>
      </vt:variant>
      <vt:variant>
        <vt:lpwstr/>
      </vt:variant>
      <vt:variant>
        <vt:i4>7995509</vt:i4>
      </vt:variant>
      <vt:variant>
        <vt:i4>-1</vt:i4>
      </vt:variant>
      <vt:variant>
        <vt:i4>2058</vt:i4>
      </vt:variant>
      <vt:variant>
        <vt:i4>1</vt:i4>
      </vt:variant>
      <vt:variant>
        <vt:lpwstr>CSU RGB CZ logo-02</vt:lpwstr>
      </vt:variant>
      <vt:variant>
        <vt:lpwstr/>
      </vt:variant>
      <vt:variant>
        <vt:i4>7929973</vt:i4>
      </vt:variant>
      <vt:variant>
        <vt:i4>-1</vt:i4>
      </vt:variant>
      <vt:variant>
        <vt:i4>2059</vt:i4>
      </vt:variant>
      <vt:variant>
        <vt:i4>1</vt:i4>
      </vt:variant>
      <vt:variant>
        <vt:lpwstr>CSU RGB CZ logo-01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Publikace CZ barevná - regiony a země - analýzy</dc:title>
  <dc:subject/>
  <dc:creator>Zábojníková Karolína</dc:creator>
  <cp:keywords/>
  <cp:lastModifiedBy>Zábojníková Karolína</cp:lastModifiedBy>
  <cp:revision>70</cp:revision>
  <cp:lastPrinted>2014-07-17T14:07:00Z</cp:lastPrinted>
  <dcterms:created xsi:type="dcterms:W3CDTF">2026-10-09T10:57:00Z</dcterms:created>
  <dcterms:modified xsi:type="dcterms:W3CDTF">2026-10-15T10:17:00Z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0x010100FBD76F913C5B1A4797255AD7259AA9ED</vt:lpwstr>
  </property>
  <property fmtid="{D5CDD505-2E9C-101B-9397-08002B2CF9AE}" pid="3" name="Názevformuláře">
    <vt:lpwstr>Publikace CZ barevné - vícetematické analýzy
</vt:lpwstr>
  </property>
  <property fmtid="{D5CDD505-2E9C-101B-9397-08002B2CF9AE}" pid="4" name="Vazbanaprocesnídoménu">
    <vt:lpwstr>;#4. Komunikace a propagace;#</vt:lpwstr>
  </property>
  <property fmtid="{D5CDD505-2E9C-101B-9397-08002B2CF9AE}" pid="5" name="Vazbanadefiničnípředpis">
    <vt:lpwstr>Manuál ke zveřejňování produktů ČSÚ
</vt:lpwstr>
  </property>
  <property fmtid="{D5CDD505-2E9C-101B-9397-08002B2CF9AE}" pid="6" name="Ustanovení">
    <vt:lpwstr>část první čl. 2, odst. 3b,c; část pátá; příloha 1
</vt:lpwstr>
  </property>
  <property fmtid="{D5CDD505-2E9C-101B-9397-08002B2CF9AE}" pid="7" name="Účinnostod">
    <vt:filetime>2018-04-17T07:00:00Z</vt:filetime>
  </property>
  <property fmtid="{D5CDD505-2E9C-101B-9397-08002B2CF9AE}" pid="8" name="Označení">
    <vt:lpwstr>Form_c444</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MSIP_Label_29db9e61-aac5-4f6e-805d-ceb8cb9983a1_Enabled">
    <vt:lpwstr>true</vt:lpwstr>
  </property>
  <property fmtid="{D5CDD505-2E9C-101B-9397-08002B2CF9AE}" pid="17" name="MSIP_Label_29db9e61-aac5-4f6e-805d-ceb8cb9983a1_SetDate">
    <vt:lpwstr>2026-09-16T09:02:17Z</vt:lpwstr>
  </property>
  <property fmtid="{D5CDD505-2E9C-101B-9397-08002B2CF9AE}" pid="18" name="MSIP_Label_29db9e61-aac5-4f6e-805d-ceb8cb9983a1_Method">
    <vt:lpwstr>Standard</vt:lpwstr>
  </property>
  <property fmtid="{D5CDD505-2E9C-101B-9397-08002B2CF9AE}" pid="19" name="MSIP_Label_29db9e61-aac5-4f6e-805d-ceb8cb9983a1_Name">
    <vt:lpwstr>UniCredit - Internal Use Only - no visual markings</vt:lpwstr>
  </property>
  <property fmtid="{D5CDD505-2E9C-101B-9397-08002B2CF9AE}" pid="20" name="MSIP_Label_29db9e61-aac5-4f6e-805d-ceb8cb9983a1_SiteId">
    <vt:lpwstr>2cc49ce9-66a1-41ac-a96b-bdc54247696a</vt:lpwstr>
  </property>
  <property fmtid="{D5CDD505-2E9C-101B-9397-08002B2CF9AE}" pid="21" name="MSIP_Label_29db9e61-aac5-4f6e-805d-ceb8cb9983a1_ActionId">
    <vt:lpwstr>dd88b259-0c19-43b2-b8a9-ca92370eeaec</vt:lpwstr>
  </property>
  <property fmtid="{D5CDD505-2E9C-101B-9397-08002B2CF9AE}" pid="22" name="MSIP_Label_29db9e61-aac5-4f6e-805d-ceb8cb9983a1_ContentBits">
    <vt:lpwstr>0</vt:lpwstr>
  </property>
  <property fmtid="{D5CDD505-2E9C-101B-9397-08002B2CF9AE}" pid="23" name="MSIP_Label_29db9e61-aac5-4f6e-805d-ceb8cb9983a1_Tag">
    <vt:lpwstr>10, 3, 0, 1</vt:lpwstr>
  </property>
</Properties>
</file>