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6D" w:rsidRPr="007E296D" w:rsidRDefault="007E296D" w:rsidP="007E296D">
      <w:pPr>
        <w:pStyle w:val="Nzev"/>
        <w:spacing w:before="120"/>
        <w:rPr>
          <w:caps/>
        </w:rPr>
      </w:pPr>
      <w:r w:rsidRPr="007E296D">
        <w:rPr>
          <w:caps/>
        </w:rPr>
        <w:t>Meziroční index spotřebitelských cen zvolna roste</w:t>
      </w:r>
    </w:p>
    <w:p w:rsidR="007E296D" w:rsidRPr="007E296D" w:rsidRDefault="007E296D" w:rsidP="007E296D">
      <w:pPr>
        <w:pStyle w:val="Podtitulek"/>
        <w:spacing w:before="120" w:line="240" w:lineRule="auto"/>
        <w:jc w:val="center"/>
        <w:rPr>
          <w:sz w:val="24"/>
          <w:szCs w:val="24"/>
        </w:rPr>
      </w:pPr>
      <w:r w:rsidRPr="007E296D">
        <w:rPr>
          <w:sz w:val="24"/>
          <w:szCs w:val="24"/>
        </w:rPr>
        <w:t>Indexy spotřebitelských cen – inflace – září 2014</w:t>
      </w:r>
    </w:p>
    <w:p w:rsidR="007E296D" w:rsidRPr="00E12F22" w:rsidRDefault="007E296D" w:rsidP="007E296D">
      <w:pPr>
        <w:pStyle w:val="Perex"/>
        <w:spacing w:before="120" w:line="240" w:lineRule="auto"/>
      </w:pPr>
      <w:r w:rsidRPr="00E12F22">
        <w:t>Spotřebitelské ceny klesly v září proti srpnu o 0,2 %. Tento pokles ovlivnilo zejména snížení cen v oddíle rekreace a kultura. Meziročně vzrostly spotřebitelské ceny v září o 0,7</w:t>
      </w:r>
      <w:r>
        <w:t> %, což je o 0,1 procentního bodu více než v srpnu a nejvíce od počátku letošního roku</w:t>
      </w:r>
      <w:r w:rsidRPr="00E12F22">
        <w:t>.</w:t>
      </w:r>
    </w:p>
    <w:p w:rsidR="007E296D" w:rsidRDefault="007E296D" w:rsidP="007E296D">
      <w:pPr>
        <w:spacing w:before="120" w:line="240" w:lineRule="auto"/>
        <w:rPr>
          <w:rFonts w:cs="Arial"/>
        </w:rPr>
      </w:pPr>
      <w:r>
        <w:rPr>
          <w:rFonts w:cs="Arial"/>
          <w:b/>
          <w:bCs/>
        </w:rPr>
        <w:t xml:space="preserve">Meziměsíční </w:t>
      </w:r>
      <w:r>
        <w:rPr>
          <w:rFonts w:cs="Arial"/>
        </w:rPr>
        <w:t>pokles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spotřebitelských cen v oddíle rekreace a kultura ovlivnilo podobně jako v minulých letech hlavně snížení cen dovolených s komplexními službami o 14,1 % v důsledku končící letní sezóny. V oddíle bytové vybavení a zařízení domácnosti klesly </w:t>
      </w:r>
      <w:r w:rsidRPr="006F2B47">
        <w:rPr>
          <w:rFonts w:cs="Arial"/>
        </w:rPr>
        <w:t xml:space="preserve">především </w:t>
      </w:r>
      <w:r>
        <w:rPr>
          <w:rFonts w:cs="Arial"/>
        </w:rPr>
        <w:t>ceny spotřebního zboží pro domácnost o 1,5 %. Z potravin klesly především ceny jogurtů o 7,0 %, jablek o 8,7 %, brambor o 3,7 %, ostatní zeleniny o 4,6 %, chleba o 1,7 %.</w:t>
      </w:r>
    </w:p>
    <w:p w:rsidR="007E296D" w:rsidRPr="007A16FF" w:rsidRDefault="007E296D" w:rsidP="007E296D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7A16FF">
        <w:rPr>
          <w:rFonts w:cs="Arial"/>
          <w:i w:val="0"/>
          <w:sz w:val="20"/>
          <w:szCs w:val="20"/>
        </w:rPr>
        <w:t>Na zvyšování celkové úrovně spotřebitelských cen v září působilo zejména zvýšení</w:t>
      </w:r>
      <w:r w:rsidR="004B6B71">
        <w:rPr>
          <w:rFonts w:cs="Arial"/>
          <w:i w:val="0"/>
          <w:sz w:val="20"/>
          <w:szCs w:val="20"/>
        </w:rPr>
        <w:t xml:space="preserve"> cen v oddíle odívání a </w:t>
      </w:r>
      <w:r w:rsidRPr="007A16FF">
        <w:rPr>
          <w:rFonts w:cs="Arial"/>
          <w:i w:val="0"/>
          <w:sz w:val="20"/>
          <w:szCs w:val="20"/>
        </w:rPr>
        <w:t>obuv, kde vzrostly ceny oděvů o 1,9 % a obuvi o 4,5 %.</w:t>
      </w:r>
      <w:r>
        <w:rPr>
          <w:rFonts w:cs="Arial"/>
          <w:i w:val="0"/>
          <w:sz w:val="20"/>
          <w:szCs w:val="20"/>
        </w:rPr>
        <w:t xml:space="preserve"> V oddíle ostatní zboží a </w:t>
      </w:r>
      <w:r w:rsidRPr="007A16FF">
        <w:rPr>
          <w:rFonts w:cs="Arial"/>
          <w:i w:val="0"/>
          <w:sz w:val="20"/>
          <w:szCs w:val="20"/>
        </w:rPr>
        <w:t xml:space="preserve">služby došlo ke zvýšení cen finančních služeb o 2,5 %. V oddíle alkoholické nápoje a tabák vzrostly ceny lihovin o 0,9 %, vína o 0,7 %, zatímco ceny piva klesly o 0,6 %. V oddíle bydlení se zvýšily ceny elektřiny </w:t>
      </w:r>
      <w:r w:rsidRPr="007A16FF">
        <w:rPr>
          <w:i w:val="0"/>
          <w:sz w:val="20"/>
          <w:szCs w:val="20"/>
        </w:rPr>
        <w:t xml:space="preserve">o 0,2 %. </w:t>
      </w:r>
      <w:r>
        <w:rPr>
          <w:i w:val="0"/>
          <w:sz w:val="20"/>
          <w:szCs w:val="20"/>
        </w:rPr>
        <w:t>V oddíle potraviny a </w:t>
      </w:r>
      <w:r w:rsidRPr="007A16FF">
        <w:rPr>
          <w:i w:val="0"/>
          <w:sz w:val="20"/>
          <w:szCs w:val="20"/>
        </w:rPr>
        <w:t xml:space="preserve">nealkoholické nápoje </w:t>
      </w:r>
      <w:r w:rsidRPr="007A16FF">
        <w:rPr>
          <w:rFonts w:cs="Arial"/>
          <w:i w:val="0"/>
          <w:sz w:val="20"/>
          <w:szCs w:val="20"/>
        </w:rPr>
        <w:t>byly v září vyšší než v srpnu zejména ceny plodo</w:t>
      </w:r>
      <w:r w:rsidR="004B6B71">
        <w:rPr>
          <w:rFonts w:cs="Arial"/>
          <w:i w:val="0"/>
          <w:sz w:val="20"/>
          <w:szCs w:val="20"/>
        </w:rPr>
        <w:t>vé zeleniny o 34,6 %, citrusů o </w:t>
      </w:r>
      <w:r w:rsidRPr="007A16FF">
        <w:rPr>
          <w:rFonts w:cs="Arial"/>
          <w:i w:val="0"/>
          <w:sz w:val="20"/>
          <w:szCs w:val="20"/>
        </w:rPr>
        <w:t>14,3</w:t>
      </w:r>
      <w:r w:rsidR="004B6B71">
        <w:rPr>
          <w:rFonts w:cs="Arial"/>
          <w:i w:val="0"/>
          <w:sz w:val="20"/>
          <w:szCs w:val="20"/>
        </w:rPr>
        <w:t> </w:t>
      </w:r>
      <w:r w:rsidRPr="007A16FF">
        <w:rPr>
          <w:rFonts w:cs="Arial"/>
          <w:i w:val="0"/>
          <w:sz w:val="20"/>
          <w:szCs w:val="20"/>
        </w:rPr>
        <w:t xml:space="preserve">%, sýrů o 1,1 %, ostatních mléčných výrobků </w:t>
      </w:r>
      <w:r w:rsidRPr="007A16FF">
        <w:rPr>
          <w:i w:val="0"/>
          <w:sz w:val="20"/>
          <w:szCs w:val="20"/>
        </w:rPr>
        <w:t>o 1,2 %, čokolády</w:t>
      </w:r>
      <w:r w:rsidRPr="007A16FF">
        <w:rPr>
          <w:rFonts w:cs="Arial"/>
          <w:i w:val="0"/>
          <w:sz w:val="20"/>
          <w:szCs w:val="20"/>
        </w:rPr>
        <w:t xml:space="preserve"> a čokoládových výrobků o 2,3</w:t>
      </w:r>
      <w:r w:rsidR="004B6B71">
        <w:rPr>
          <w:rFonts w:cs="Arial"/>
          <w:i w:val="0"/>
          <w:sz w:val="20"/>
          <w:szCs w:val="20"/>
        </w:rPr>
        <w:t> </w:t>
      </w:r>
      <w:r w:rsidRPr="00A436BA">
        <w:rPr>
          <w:rFonts w:cs="Arial"/>
          <w:i w:val="0"/>
          <w:sz w:val="20"/>
          <w:szCs w:val="20"/>
        </w:rPr>
        <w:t>%. V souvislosti se zahájením nového školního roku vzrostly poplatky v mateřských školách o 1,7</w:t>
      </w:r>
      <w:r w:rsidR="004B6B71">
        <w:rPr>
          <w:rFonts w:cs="Arial"/>
          <w:i w:val="0"/>
          <w:sz w:val="20"/>
          <w:szCs w:val="20"/>
        </w:rPr>
        <w:t> </w:t>
      </w:r>
      <w:r w:rsidRPr="00A436BA">
        <w:rPr>
          <w:rFonts w:cs="Arial"/>
          <w:i w:val="0"/>
          <w:sz w:val="20"/>
          <w:szCs w:val="20"/>
        </w:rPr>
        <w:t>%, ve školních družinách o 4,4 %, školné na veřejn</w:t>
      </w:r>
      <w:r>
        <w:rPr>
          <w:rFonts w:cs="Arial"/>
          <w:i w:val="0"/>
          <w:sz w:val="20"/>
          <w:szCs w:val="20"/>
        </w:rPr>
        <w:t>ých</w:t>
      </w:r>
      <w:r w:rsidRPr="00A436BA">
        <w:rPr>
          <w:rFonts w:cs="Arial"/>
          <w:i w:val="0"/>
          <w:sz w:val="20"/>
          <w:szCs w:val="20"/>
        </w:rPr>
        <w:t xml:space="preserve"> vysok</w:t>
      </w:r>
      <w:r>
        <w:rPr>
          <w:rFonts w:cs="Arial"/>
          <w:i w:val="0"/>
          <w:sz w:val="20"/>
          <w:szCs w:val="20"/>
        </w:rPr>
        <w:t>ých</w:t>
      </w:r>
      <w:r w:rsidRPr="00A436BA">
        <w:rPr>
          <w:rFonts w:cs="Arial"/>
          <w:i w:val="0"/>
          <w:sz w:val="20"/>
          <w:szCs w:val="20"/>
        </w:rPr>
        <w:t xml:space="preserve"> škol</w:t>
      </w:r>
      <w:r>
        <w:rPr>
          <w:rFonts w:cs="Arial"/>
          <w:i w:val="0"/>
          <w:sz w:val="20"/>
          <w:szCs w:val="20"/>
        </w:rPr>
        <w:t>ách</w:t>
      </w:r>
      <w:r w:rsidRPr="00A436BA">
        <w:rPr>
          <w:rFonts w:cs="Arial"/>
          <w:i w:val="0"/>
          <w:sz w:val="20"/>
          <w:szCs w:val="20"/>
        </w:rPr>
        <w:t xml:space="preserve"> o 7,8 %. Podobně v oddíle stravování a ubytování vzrostly ceny ve školních jídelnách o 1,5 %, za ub</w:t>
      </w:r>
      <w:r>
        <w:rPr>
          <w:rFonts w:cs="Arial"/>
          <w:i w:val="0"/>
          <w:sz w:val="20"/>
          <w:szCs w:val="20"/>
        </w:rPr>
        <w:t>ytování v internátech o 0,7 % a </w:t>
      </w:r>
      <w:r w:rsidRPr="00A436BA">
        <w:rPr>
          <w:rFonts w:cs="Arial"/>
          <w:i w:val="0"/>
          <w:sz w:val="20"/>
          <w:szCs w:val="20"/>
        </w:rPr>
        <w:t>na vysokoškolsk</w:t>
      </w:r>
      <w:r>
        <w:rPr>
          <w:rFonts w:cs="Arial"/>
          <w:i w:val="0"/>
          <w:sz w:val="20"/>
          <w:szCs w:val="20"/>
        </w:rPr>
        <w:t>ých</w:t>
      </w:r>
      <w:r w:rsidRPr="00A436BA">
        <w:rPr>
          <w:rFonts w:cs="Arial"/>
          <w:i w:val="0"/>
          <w:sz w:val="20"/>
          <w:szCs w:val="20"/>
        </w:rPr>
        <w:t xml:space="preserve"> kolej</w:t>
      </w:r>
      <w:r>
        <w:rPr>
          <w:rFonts w:cs="Arial"/>
          <w:i w:val="0"/>
          <w:sz w:val="20"/>
          <w:szCs w:val="20"/>
        </w:rPr>
        <w:t>ích</w:t>
      </w:r>
      <w:r w:rsidRPr="00A436BA">
        <w:rPr>
          <w:rFonts w:cs="Arial"/>
          <w:i w:val="0"/>
          <w:sz w:val="20"/>
          <w:szCs w:val="20"/>
        </w:rPr>
        <w:t xml:space="preserve"> o 0,9 %.</w:t>
      </w:r>
    </w:p>
    <w:p w:rsidR="007E296D" w:rsidRPr="000C78D5" w:rsidRDefault="007E296D" w:rsidP="007E296D">
      <w:pPr>
        <w:pStyle w:val="Zkladntextodsazen2"/>
        <w:spacing w:before="120" w:after="0" w:line="240" w:lineRule="auto"/>
        <w:ind w:left="0"/>
        <w:rPr>
          <w:rFonts w:cs="Arial"/>
          <w:szCs w:val="20"/>
        </w:rPr>
      </w:pPr>
      <w:bookmarkStart w:id="0" w:name="_GoBack"/>
      <w:bookmarkEnd w:id="0"/>
      <w:r w:rsidRPr="000C78D5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0C78D5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2</w:t>
      </w:r>
      <w:r w:rsidRPr="000C78D5">
        <w:rPr>
          <w:rFonts w:cs="Arial"/>
          <w:szCs w:val="20"/>
        </w:rPr>
        <w:t> %</w:t>
      </w:r>
      <w:r w:rsidRPr="000C78D5">
        <w:t xml:space="preserve">, zatímco </w:t>
      </w:r>
      <w:r w:rsidRPr="000C78D5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>klesly o 0,8 %.</w:t>
      </w:r>
    </w:p>
    <w:p w:rsidR="007E296D" w:rsidRDefault="007E296D" w:rsidP="007E296D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BB0EAC">
        <w:rPr>
          <w:rFonts w:cs="Arial"/>
          <w:b/>
          <w:i w:val="0"/>
          <w:sz w:val="20"/>
          <w:szCs w:val="20"/>
        </w:rPr>
        <w:t>Mez</w:t>
      </w:r>
      <w:r w:rsidRPr="000C78D5">
        <w:rPr>
          <w:rFonts w:cs="Arial"/>
          <w:b/>
          <w:i w:val="0"/>
          <w:sz w:val="20"/>
          <w:szCs w:val="20"/>
        </w:rPr>
        <w:t>iročně</w:t>
      </w:r>
      <w:r w:rsidRPr="000C78D5">
        <w:rPr>
          <w:rFonts w:cs="Arial"/>
          <w:i w:val="0"/>
          <w:sz w:val="20"/>
          <w:szCs w:val="20"/>
        </w:rPr>
        <w:t xml:space="preserve"> vzrostly spotřebitelské ceny v </w:t>
      </w:r>
      <w:r>
        <w:rPr>
          <w:rFonts w:cs="Arial"/>
          <w:i w:val="0"/>
          <w:sz w:val="20"/>
          <w:szCs w:val="20"/>
        </w:rPr>
        <w:t>září</w:t>
      </w:r>
      <w:r w:rsidRPr="000C78D5">
        <w:rPr>
          <w:rFonts w:cs="Arial"/>
          <w:i w:val="0"/>
          <w:sz w:val="20"/>
          <w:szCs w:val="20"/>
        </w:rPr>
        <w:t xml:space="preserve"> o 0,</w:t>
      </w:r>
      <w:r>
        <w:rPr>
          <w:rFonts w:cs="Arial"/>
          <w:i w:val="0"/>
          <w:sz w:val="20"/>
          <w:szCs w:val="20"/>
        </w:rPr>
        <w:t>7</w:t>
      </w:r>
      <w:r w:rsidRPr="000C78D5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>, což je o 0,1 procentního bodu více než v srpnu.</w:t>
      </w:r>
      <w:r w:rsidRPr="000C78D5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Zrychlení meziročního cenového růstu nastalo především v oddíle potraviny a nealkoholické nápoje, kde ceny ovoce přešly ze srpnového poklesu o 4,2 % v růst o 2,4 % v září. Důvodem bylo především zvýšení cen </w:t>
      </w:r>
      <w:r w:rsidRPr="003C772A">
        <w:rPr>
          <w:rFonts w:cs="Arial"/>
          <w:i w:val="0"/>
          <w:sz w:val="20"/>
          <w:szCs w:val="20"/>
        </w:rPr>
        <w:t>citrusů o 17,9 %.</w:t>
      </w:r>
      <w:r>
        <w:rPr>
          <w:rFonts w:cs="Arial"/>
          <w:i w:val="0"/>
          <w:sz w:val="20"/>
          <w:szCs w:val="20"/>
        </w:rPr>
        <w:t xml:space="preserve"> U cen zeleniny došlo v září ke zmírnění jejich poklesu na 1,0 % (v srpnu pokles o 11,0 %). Tento vývoj ovlivnily především ceny plodové zeleniny, které byly meziročně vyšší </w:t>
      </w:r>
      <w:r w:rsidRPr="005D4283">
        <w:rPr>
          <w:rFonts w:cs="Arial"/>
          <w:i w:val="0"/>
          <w:sz w:val="20"/>
          <w:szCs w:val="20"/>
        </w:rPr>
        <w:t>o</w:t>
      </w:r>
      <w:r w:rsidRPr="005D4283">
        <w:rPr>
          <w:i w:val="0"/>
          <w:sz w:val="20"/>
          <w:szCs w:val="20"/>
        </w:rPr>
        <w:t> 31,3 % (v srpnu o</w:t>
      </w:r>
      <w:r>
        <w:rPr>
          <w:i w:val="0"/>
          <w:sz w:val="20"/>
          <w:szCs w:val="20"/>
        </w:rPr>
        <w:t> 1,0 %) a ceny brambor, u kterých zmírnil jejich pokles v září na 34,7 % ze 41,1 % v srpnu</w:t>
      </w:r>
      <w:r w:rsidRPr="007D1975">
        <w:rPr>
          <w:i w:val="0"/>
          <w:sz w:val="20"/>
          <w:szCs w:val="20"/>
        </w:rPr>
        <w:t xml:space="preserve">. </w:t>
      </w:r>
      <w:r w:rsidRPr="007D1975">
        <w:rPr>
          <w:rFonts w:cs="Arial"/>
          <w:i w:val="0"/>
          <w:sz w:val="20"/>
          <w:szCs w:val="20"/>
        </w:rPr>
        <w:t>Ke zrychlení meziročního cenového růstu došlo i v oddíle ostatní zboží a služby v důsledku zvýšení cen finančních služeb o 5,0 % (v srpnu o 2,</w:t>
      </w:r>
      <w:r>
        <w:rPr>
          <w:rFonts w:cs="Arial"/>
          <w:i w:val="0"/>
          <w:sz w:val="20"/>
          <w:szCs w:val="20"/>
        </w:rPr>
        <w:t>1</w:t>
      </w:r>
      <w:r w:rsidRPr="007D1975">
        <w:rPr>
          <w:rFonts w:cs="Arial"/>
          <w:i w:val="0"/>
          <w:sz w:val="20"/>
          <w:szCs w:val="20"/>
        </w:rPr>
        <w:t> %). Naopak v oddíle odívání a obuv zpomalil růst cen vlivem zmírnění růstu cen obuvi v</w:t>
      </w:r>
      <w:r w:rsidR="004B6B71">
        <w:rPr>
          <w:rFonts w:cs="Arial"/>
          <w:i w:val="0"/>
          <w:sz w:val="20"/>
          <w:szCs w:val="20"/>
        </w:rPr>
        <w:t> září na </w:t>
      </w:r>
      <w:r w:rsidRPr="007D1975">
        <w:rPr>
          <w:rFonts w:cs="Arial"/>
          <w:i w:val="0"/>
          <w:sz w:val="20"/>
          <w:szCs w:val="20"/>
        </w:rPr>
        <w:t>3,9 % ze 4,9 % v srpnu. Také v oddíle rekreace a kultura zpomalil meziroční růst cen zejména vlivem snížení růstu cen dovolených s komplexními službami v září na 3,8 % ze 4,6 % v srpnu.</w:t>
      </w:r>
    </w:p>
    <w:p w:rsidR="007E296D" w:rsidRDefault="007E296D" w:rsidP="007E296D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0C78D5">
        <w:rPr>
          <w:rFonts w:cs="Arial"/>
          <w:i w:val="0"/>
          <w:sz w:val="20"/>
          <w:szCs w:val="20"/>
        </w:rPr>
        <w:t>Největší vliv na meziroční růst spotřebitelských cen</w:t>
      </w:r>
      <w:r>
        <w:rPr>
          <w:rFonts w:cs="Arial"/>
          <w:i w:val="0"/>
          <w:sz w:val="20"/>
          <w:szCs w:val="20"/>
        </w:rPr>
        <w:t xml:space="preserve">, který v září zesílil především vlivem </w:t>
      </w:r>
      <w:r w:rsidR="004B6B71">
        <w:rPr>
          <w:rFonts w:cs="Arial"/>
          <w:i w:val="0"/>
          <w:sz w:val="20"/>
          <w:szCs w:val="20"/>
        </w:rPr>
        <w:t>cen ovoce a </w:t>
      </w:r>
      <w:r>
        <w:rPr>
          <w:rFonts w:cs="Arial"/>
          <w:i w:val="0"/>
          <w:sz w:val="20"/>
          <w:szCs w:val="20"/>
        </w:rPr>
        <w:t xml:space="preserve">zeleniny, </w:t>
      </w:r>
      <w:r w:rsidRPr="000C78D5">
        <w:rPr>
          <w:rFonts w:cs="Arial"/>
          <w:i w:val="0"/>
          <w:sz w:val="20"/>
          <w:szCs w:val="20"/>
        </w:rPr>
        <w:t>měly ceny v</w:t>
      </w:r>
      <w:r>
        <w:rPr>
          <w:rFonts w:cs="Arial"/>
          <w:i w:val="0"/>
          <w:sz w:val="20"/>
          <w:szCs w:val="20"/>
        </w:rPr>
        <w:t> oddíle potraviny a </w:t>
      </w:r>
      <w:r w:rsidRPr="000C78D5">
        <w:rPr>
          <w:rFonts w:cs="Arial"/>
          <w:i w:val="0"/>
          <w:sz w:val="20"/>
          <w:szCs w:val="20"/>
        </w:rPr>
        <w:t>nealkoholické nápoje</w:t>
      </w:r>
      <w:r>
        <w:rPr>
          <w:rFonts w:cs="Arial"/>
          <w:i w:val="0"/>
          <w:sz w:val="20"/>
          <w:szCs w:val="20"/>
        </w:rPr>
        <w:t>. Ceny mléka vzrostly meziročně o 4,6 %, sýrů o 5,1 %, jogurtů o 8,8 %, vajec o 13,6 %, čokolády a čokoládových výrobků o 10,9 %, medu o 7,5 %, kakaa o 5,5 %. V oddíle alkoholické nápoje a tabák vzrostly ceny alkoholických nápojů o 3,4 % a tabákových výrobků o 1,7 %. V oddíle stravování a </w:t>
      </w:r>
      <w:r w:rsidRPr="000C78D5">
        <w:rPr>
          <w:rFonts w:cs="Arial"/>
          <w:i w:val="0"/>
          <w:sz w:val="20"/>
          <w:szCs w:val="20"/>
        </w:rPr>
        <w:t>ubytování</w:t>
      </w:r>
      <w:r>
        <w:rPr>
          <w:rFonts w:cs="Arial"/>
          <w:i w:val="0"/>
          <w:sz w:val="20"/>
          <w:szCs w:val="20"/>
        </w:rPr>
        <w:t xml:space="preserve"> se zvýšily </w:t>
      </w:r>
      <w:r w:rsidRPr="000C78D5">
        <w:rPr>
          <w:rFonts w:cs="Arial"/>
          <w:i w:val="0"/>
          <w:sz w:val="20"/>
          <w:szCs w:val="20"/>
        </w:rPr>
        <w:t>ceny stravovacích služeb o 2,0 %</w:t>
      </w:r>
      <w:r>
        <w:rPr>
          <w:rFonts w:cs="Arial"/>
          <w:i w:val="0"/>
          <w:sz w:val="20"/>
          <w:szCs w:val="20"/>
        </w:rPr>
        <w:t xml:space="preserve"> a ubytovacích o 0,9 %.</w:t>
      </w:r>
    </w:p>
    <w:p w:rsidR="007E296D" w:rsidRPr="000C78D5" w:rsidRDefault="007E296D" w:rsidP="007E296D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0C78D5">
        <w:rPr>
          <w:rFonts w:cs="Arial"/>
          <w:i w:val="0"/>
          <w:sz w:val="20"/>
          <w:szCs w:val="20"/>
        </w:rPr>
        <w:t xml:space="preserve">Na snižování meziročního cenového růstu působil pokles cen v oddíle bydlení vlivem poklesu cen </w:t>
      </w:r>
      <w:r>
        <w:rPr>
          <w:rFonts w:cs="Arial"/>
          <w:i w:val="0"/>
          <w:sz w:val="20"/>
          <w:szCs w:val="20"/>
        </w:rPr>
        <w:t>elektřiny o 10,2</w:t>
      </w:r>
      <w:r w:rsidRPr="000C78D5">
        <w:rPr>
          <w:rFonts w:cs="Arial"/>
          <w:i w:val="0"/>
          <w:sz w:val="20"/>
          <w:szCs w:val="20"/>
        </w:rPr>
        <w:t> %.</w:t>
      </w:r>
      <w:r>
        <w:rPr>
          <w:rFonts w:cs="Arial"/>
          <w:i w:val="0"/>
          <w:sz w:val="20"/>
          <w:szCs w:val="20"/>
        </w:rPr>
        <w:t xml:space="preserve"> Ceny </w:t>
      </w:r>
      <w:r w:rsidRPr="009160BC">
        <w:rPr>
          <w:rFonts w:cs="Arial"/>
          <w:i w:val="0"/>
          <w:sz w:val="20"/>
          <w:szCs w:val="20"/>
        </w:rPr>
        <w:t xml:space="preserve">zemního plynu </w:t>
      </w:r>
      <w:r>
        <w:rPr>
          <w:rFonts w:cs="Arial"/>
          <w:i w:val="0"/>
          <w:sz w:val="20"/>
          <w:szCs w:val="20"/>
        </w:rPr>
        <w:t>se zvýšily o 2,4</w:t>
      </w:r>
      <w:r w:rsidRPr="009160BC">
        <w:rPr>
          <w:rFonts w:cs="Arial"/>
          <w:i w:val="0"/>
          <w:sz w:val="20"/>
          <w:szCs w:val="20"/>
        </w:rPr>
        <w:t xml:space="preserve"> %</w:t>
      </w:r>
      <w:r>
        <w:rPr>
          <w:rFonts w:cs="Arial"/>
          <w:i w:val="0"/>
          <w:sz w:val="20"/>
          <w:szCs w:val="20"/>
        </w:rPr>
        <w:t xml:space="preserve">, </w:t>
      </w:r>
      <w:r w:rsidRPr="009160BC">
        <w:rPr>
          <w:rFonts w:cs="Arial"/>
          <w:i w:val="0"/>
          <w:sz w:val="20"/>
          <w:szCs w:val="20"/>
        </w:rPr>
        <w:t xml:space="preserve">čistého nájemného o </w:t>
      </w:r>
      <w:r>
        <w:rPr>
          <w:rFonts w:cs="Arial"/>
          <w:i w:val="0"/>
          <w:sz w:val="20"/>
          <w:szCs w:val="20"/>
        </w:rPr>
        <w:t>0</w:t>
      </w:r>
      <w:r w:rsidRPr="009160BC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9</w:t>
      </w:r>
      <w:r w:rsidRPr="009160BC">
        <w:rPr>
          <w:rFonts w:cs="Arial"/>
          <w:i w:val="0"/>
          <w:sz w:val="20"/>
          <w:szCs w:val="20"/>
        </w:rPr>
        <w:t xml:space="preserve"> %, vodného o 3,4 %, stočného o</w:t>
      </w:r>
      <w:r>
        <w:rPr>
          <w:rFonts w:cs="Arial"/>
          <w:i w:val="0"/>
          <w:sz w:val="20"/>
          <w:szCs w:val="20"/>
        </w:rPr>
        <w:t> 3,2 %, tepla a teplé vody o 0,7</w:t>
      </w:r>
      <w:r w:rsidRPr="009160BC">
        <w:rPr>
          <w:rFonts w:cs="Arial"/>
          <w:i w:val="0"/>
          <w:sz w:val="20"/>
          <w:szCs w:val="20"/>
        </w:rPr>
        <w:t xml:space="preserve"> %. </w:t>
      </w:r>
      <w:r w:rsidRPr="000C78D5">
        <w:rPr>
          <w:rFonts w:cs="Arial"/>
          <w:i w:val="0"/>
          <w:sz w:val="20"/>
          <w:szCs w:val="20"/>
        </w:rPr>
        <w:t>Meziroční pokles cen pokračoval v oddíle pošty a telekomunikace v důsledku snížení cen telefonic</w:t>
      </w:r>
      <w:r>
        <w:rPr>
          <w:rFonts w:cs="Arial"/>
          <w:i w:val="0"/>
          <w:sz w:val="20"/>
          <w:szCs w:val="20"/>
        </w:rPr>
        <w:t>kých a telefaxových služeb o 2,2</w:t>
      </w:r>
      <w:r w:rsidRPr="000C78D5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 a mobilních telefonů o 17,7 %</w:t>
      </w:r>
      <w:r w:rsidRPr="000C78D5">
        <w:rPr>
          <w:rFonts w:cs="Arial"/>
          <w:i w:val="0"/>
          <w:sz w:val="20"/>
          <w:szCs w:val="20"/>
        </w:rPr>
        <w:t>.</w:t>
      </w:r>
    </w:p>
    <w:p w:rsidR="007E296D" w:rsidRPr="000C78D5" w:rsidRDefault="007E296D" w:rsidP="007E296D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0C78D5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vzrostly o 0,5</w:t>
      </w:r>
      <w:r w:rsidRPr="000C78D5">
        <w:rPr>
          <w:rFonts w:cs="Arial"/>
          <w:i w:val="0"/>
          <w:sz w:val="20"/>
          <w:szCs w:val="20"/>
        </w:rPr>
        <w:t> % a ceny služeb o 1,</w:t>
      </w:r>
      <w:r>
        <w:rPr>
          <w:rFonts w:cs="Arial"/>
          <w:i w:val="0"/>
          <w:sz w:val="20"/>
          <w:szCs w:val="20"/>
        </w:rPr>
        <w:t>2</w:t>
      </w:r>
      <w:r w:rsidRPr="000C78D5">
        <w:rPr>
          <w:rFonts w:cs="Arial"/>
          <w:i w:val="0"/>
          <w:sz w:val="20"/>
          <w:szCs w:val="20"/>
        </w:rPr>
        <w:t> %. Úhrnný index spotřebitelských cen bez započtení imputovaného nájemného byl meziročně 100,</w:t>
      </w:r>
      <w:r>
        <w:rPr>
          <w:rFonts w:cs="Arial"/>
          <w:i w:val="0"/>
          <w:sz w:val="20"/>
          <w:szCs w:val="20"/>
        </w:rPr>
        <w:t>7</w:t>
      </w:r>
      <w:r w:rsidRPr="000C78D5">
        <w:rPr>
          <w:rFonts w:cs="Arial"/>
          <w:i w:val="0"/>
          <w:sz w:val="20"/>
          <w:szCs w:val="20"/>
        </w:rPr>
        <w:t> %.</w:t>
      </w:r>
    </w:p>
    <w:p w:rsidR="007E296D" w:rsidRPr="000C78D5" w:rsidRDefault="007E296D" w:rsidP="007E296D">
      <w:pPr>
        <w:pStyle w:val="Zkladntext"/>
        <w:spacing w:before="120"/>
        <w:rPr>
          <w:rFonts w:cs="Arial"/>
          <w:bCs/>
          <w:i w:val="0"/>
          <w:sz w:val="20"/>
          <w:szCs w:val="20"/>
        </w:rPr>
      </w:pPr>
      <w:r w:rsidRPr="000C78D5">
        <w:rPr>
          <w:rFonts w:cs="Arial"/>
          <w:i w:val="0"/>
          <w:sz w:val="20"/>
          <w:szCs w:val="20"/>
        </w:rPr>
        <w:t xml:space="preserve">Míra inflace vyjádřená přírůstkem </w:t>
      </w:r>
      <w:r w:rsidRPr="000C78D5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</w:t>
      </w:r>
      <w:r>
        <w:rPr>
          <w:rFonts w:cs="Arial"/>
          <w:bCs/>
          <w:i w:val="0"/>
          <w:sz w:val="20"/>
          <w:szCs w:val="20"/>
        </w:rPr>
        <w:t>září 0,5</w:t>
      </w:r>
      <w:r w:rsidRPr="000C78D5">
        <w:rPr>
          <w:rFonts w:cs="Arial"/>
          <w:bCs/>
          <w:i w:val="0"/>
          <w:sz w:val="20"/>
          <w:szCs w:val="20"/>
        </w:rPr>
        <w:t xml:space="preserve"> %.</w:t>
      </w:r>
    </w:p>
    <w:p w:rsidR="00297D47" w:rsidRDefault="007E296D" w:rsidP="007E296D">
      <w:pPr>
        <w:pStyle w:val="Zkladntextodsazen3"/>
        <w:spacing w:before="120" w:after="0" w:line="240" w:lineRule="auto"/>
        <w:ind w:left="0"/>
        <w:rPr>
          <w:rFonts w:cs="Arial"/>
          <w:sz w:val="20"/>
          <w:szCs w:val="20"/>
        </w:rPr>
      </w:pPr>
      <w:r w:rsidRPr="000C78D5">
        <w:rPr>
          <w:rFonts w:cs="Arial"/>
          <w:sz w:val="20"/>
          <w:szCs w:val="20"/>
        </w:rPr>
        <w:t xml:space="preserve">Meziroční přírůstek průměrného </w:t>
      </w:r>
      <w:r w:rsidRPr="000C78D5">
        <w:rPr>
          <w:rFonts w:cs="Arial"/>
          <w:b/>
          <w:bCs/>
          <w:sz w:val="20"/>
          <w:szCs w:val="20"/>
        </w:rPr>
        <w:t>harmonizovaného indexu spotřebitelských cen</w:t>
      </w:r>
      <w:r w:rsidRPr="000C78D5">
        <w:rPr>
          <w:rFonts w:cs="Arial"/>
          <w:sz w:val="20"/>
          <w:szCs w:val="20"/>
        </w:rPr>
        <w:t xml:space="preserve"> (HICP)</w:t>
      </w:r>
      <w:r w:rsidRPr="000C78D5">
        <w:rPr>
          <w:rStyle w:val="Znakapoznpodarou"/>
          <w:rFonts w:cs="Arial"/>
          <w:sz w:val="20"/>
          <w:szCs w:val="20"/>
        </w:rPr>
        <w:footnoteReference w:id="1"/>
      </w:r>
      <w:r w:rsidRPr="000C78D5">
        <w:rPr>
          <w:rFonts w:cs="Arial"/>
          <w:sz w:val="20"/>
          <w:szCs w:val="20"/>
          <w:vertAlign w:val="superscript"/>
        </w:rPr>
        <w:t>)</w:t>
      </w:r>
      <w:r w:rsidRPr="000C78D5">
        <w:rPr>
          <w:rFonts w:cs="Arial"/>
          <w:sz w:val="20"/>
          <w:szCs w:val="20"/>
        </w:rPr>
        <w:t xml:space="preserve"> </w:t>
      </w:r>
      <w:r w:rsidRPr="000C78D5">
        <w:rPr>
          <w:rFonts w:cs="Arial"/>
          <w:b/>
          <w:bCs/>
          <w:sz w:val="20"/>
          <w:szCs w:val="20"/>
        </w:rPr>
        <w:t>28 členských zemí EU</w:t>
      </w:r>
      <w:r w:rsidRPr="000C78D5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0C78D5">
        <w:rPr>
          <w:rFonts w:cs="Arial"/>
          <w:sz w:val="20"/>
          <w:szCs w:val="20"/>
        </w:rPr>
        <w:t>Eurostatu</w:t>
      </w:r>
      <w:proofErr w:type="spellEnd"/>
      <w:r w:rsidRPr="000C78D5">
        <w:rPr>
          <w:rFonts w:cs="Arial"/>
          <w:sz w:val="20"/>
          <w:szCs w:val="20"/>
        </w:rPr>
        <w:t xml:space="preserve"> </w:t>
      </w:r>
      <w:r w:rsidRPr="000C78D5">
        <w:rPr>
          <w:rFonts w:cs="Arial"/>
          <w:b/>
          <w:sz w:val="20"/>
          <w:szCs w:val="20"/>
        </w:rPr>
        <w:t>v</w:t>
      </w:r>
      <w:r>
        <w:rPr>
          <w:rFonts w:cs="Arial"/>
          <w:b/>
          <w:sz w:val="20"/>
          <w:szCs w:val="20"/>
        </w:rPr>
        <w:t xml:space="preserve"> srpnu </w:t>
      </w:r>
      <w:r w:rsidRPr="00D7473A">
        <w:rPr>
          <w:rFonts w:cs="Arial"/>
          <w:sz w:val="20"/>
          <w:szCs w:val="20"/>
        </w:rPr>
        <w:t>stejně jako v červenci</w:t>
      </w:r>
      <w:r w:rsidRPr="000C78D5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0,5</w:t>
      </w:r>
      <w:r>
        <w:rPr>
          <w:rFonts w:cs="Arial"/>
          <w:b/>
          <w:sz w:val="20"/>
          <w:szCs w:val="20"/>
        </w:rPr>
        <w:t xml:space="preserve"> %. </w:t>
      </w:r>
      <w:r w:rsidRPr="000C78D5">
        <w:rPr>
          <w:rFonts w:cs="Arial"/>
          <w:sz w:val="20"/>
          <w:szCs w:val="20"/>
        </w:rPr>
        <w:t xml:space="preserve">Nejvíce vzrostly ceny </w:t>
      </w:r>
      <w:r w:rsidRPr="003C44A3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</w:t>
      </w:r>
      <w:r w:rsidRPr="003C44A3">
        <w:rPr>
          <w:rFonts w:cs="Arial"/>
          <w:sz w:val="20"/>
          <w:szCs w:val="20"/>
        </w:rPr>
        <w:t>Rakousku</w:t>
      </w:r>
      <w:r>
        <w:rPr>
          <w:rFonts w:cs="Arial"/>
          <w:sz w:val="20"/>
          <w:szCs w:val="20"/>
        </w:rPr>
        <w:t xml:space="preserve"> a ve Spojeném království (shodně o 1,5</w:t>
      </w:r>
      <w:r w:rsidRPr="003C44A3">
        <w:rPr>
          <w:rFonts w:cs="Arial"/>
          <w:sz w:val="20"/>
          <w:szCs w:val="20"/>
        </w:rPr>
        <w:t> %)</w:t>
      </w:r>
      <w:r>
        <w:rPr>
          <w:rFonts w:cs="Arial"/>
          <w:sz w:val="20"/>
          <w:szCs w:val="20"/>
        </w:rPr>
        <w:t xml:space="preserve">. </w:t>
      </w:r>
      <w:r w:rsidRPr="003C44A3">
        <w:rPr>
          <w:rFonts w:cs="Arial"/>
          <w:sz w:val="20"/>
          <w:szCs w:val="20"/>
        </w:rPr>
        <w:t xml:space="preserve">Naopak </w:t>
      </w:r>
      <w:r>
        <w:rPr>
          <w:rFonts w:cs="Arial"/>
          <w:sz w:val="20"/>
          <w:szCs w:val="20"/>
        </w:rPr>
        <w:t xml:space="preserve">největší </w:t>
      </w:r>
      <w:r w:rsidRPr="003C44A3">
        <w:rPr>
          <w:rFonts w:cs="Arial"/>
          <w:sz w:val="20"/>
          <w:szCs w:val="20"/>
        </w:rPr>
        <w:t>pokles cen nastal v Bulharsku o 1,</w:t>
      </w:r>
      <w:r>
        <w:rPr>
          <w:rFonts w:cs="Arial"/>
          <w:sz w:val="20"/>
          <w:szCs w:val="20"/>
        </w:rPr>
        <w:t>0 </w:t>
      </w:r>
      <w:r w:rsidRPr="003C44A3">
        <w:rPr>
          <w:rFonts w:cs="Arial"/>
          <w:sz w:val="20"/>
          <w:szCs w:val="20"/>
        </w:rPr>
        <w:t>%</w:t>
      </w:r>
      <w:r>
        <w:rPr>
          <w:rFonts w:cs="Arial"/>
          <w:sz w:val="20"/>
          <w:szCs w:val="20"/>
        </w:rPr>
        <w:t xml:space="preserve"> a ve Španělsku o 0,5 %</w:t>
      </w:r>
      <w:r w:rsidRPr="003C44A3">
        <w:rPr>
          <w:rFonts w:cs="Arial"/>
          <w:sz w:val="20"/>
          <w:szCs w:val="20"/>
        </w:rPr>
        <w:t xml:space="preserve">. Na Slovensku </w:t>
      </w:r>
      <w:r>
        <w:rPr>
          <w:rFonts w:cs="Arial"/>
          <w:sz w:val="20"/>
          <w:szCs w:val="20"/>
        </w:rPr>
        <w:t>klesly ceny v červenci i v srpnu o 0,2 %.</w:t>
      </w:r>
      <w:r w:rsidRPr="003C44A3">
        <w:rPr>
          <w:rFonts w:cs="Arial"/>
          <w:sz w:val="20"/>
          <w:szCs w:val="20"/>
        </w:rPr>
        <w:t xml:space="preserve"> V Německu </w:t>
      </w:r>
      <w:r>
        <w:rPr>
          <w:rFonts w:cs="Arial"/>
          <w:sz w:val="20"/>
          <w:szCs w:val="20"/>
        </w:rPr>
        <w:t>zůstal meziroční</w:t>
      </w:r>
      <w:r w:rsidRPr="003C44A3">
        <w:rPr>
          <w:rFonts w:cs="Arial"/>
          <w:sz w:val="20"/>
          <w:szCs w:val="20"/>
        </w:rPr>
        <w:t xml:space="preserve"> růst cen </w:t>
      </w:r>
      <w:r>
        <w:rPr>
          <w:rFonts w:cs="Arial"/>
          <w:sz w:val="20"/>
          <w:szCs w:val="20"/>
        </w:rPr>
        <w:t xml:space="preserve">v srpnu stejný jako </w:t>
      </w:r>
      <w:r w:rsidRPr="003C44A3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červenci, tj. 0,8</w:t>
      </w:r>
      <w:r w:rsidRPr="003C44A3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. </w:t>
      </w:r>
      <w:r w:rsidRPr="003C44A3">
        <w:rPr>
          <w:rFonts w:cs="Arial"/>
          <w:sz w:val="20"/>
          <w:szCs w:val="20"/>
        </w:rPr>
        <w:t xml:space="preserve">Podle předběžných výpočtů </w:t>
      </w:r>
      <w:r>
        <w:rPr>
          <w:rFonts w:cs="Arial"/>
          <w:sz w:val="20"/>
          <w:szCs w:val="20"/>
        </w:rPr>
        <w:t>klesl</w:t>
      </w:r>
      <w:r w:rsidRPr="003C44A3">
        <w:rPr>
          <w:rFonts w:cs="Arial"/>
          <w:sz w:val="20"/>
          <w:szCs w:val="20"/>
        </w:rPr>
        <w:t xml:space="preserve"> </w:t>
      </w:r>
      <w:r w:rsidRPr="003C44A3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září</w:t>
      </w:r>
      <w:r w:rsidRPr="003C44A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HICP v ČR </w:t>
      </w:r>
      <w:r w:rsidRPr="003C44A3">
        <w:rPr>
          <w:rFonts w:cs="Arial"/>
          <w:b/>
          <w:sz w:val="20"/>
          <w:szCs w:val="20"/>
        </w:rPr>
        <w:t>meziměsíčn</w:t>
      </w:r>
      <w:r>
        <w:rPr>
          <w:rFonts w:cs="Arial"/>
          <w:b/>
          <w:sz w:val="20"/>
          <w:szCs w:val="20"/>
        </w:rPr>
        <w:t>ě</w:t>
      </w:r>
      <w:r w:rsidRPr="003C44A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o 0,2 % a </w:t>
      </w:r>
      <w:r w:rsidRPr="003C44A3">
        <w:rPr>
          <w:rFonts w:cs="Arial"/>
          <w:b/>
          <w:sz w:val="20"/>
          <w:szCs w:val="20"/>
        </w:rPr>
        <w:t>meziročn</w:t>
      </w:r>
      <w:r>
        <w:rPr>
          <w:rFonts w:cs="Arial"/>
          <w:b/>
          <w:sz w:val="20"/>
          <w:szCs w:val="20"/>
        </w:rPr>
        <w:t>ě</w:t>
      </w:r>
      <w:r>
        <w:rPr>
          <w:rFonts w:cs="Arial"/>
          <w:sz w:val="20"/>
          <w:szCs w:val="20"/>
        </w:rPr>
        <w:t xml:space="preserve"> vzrostl o 0</w:t>
      </w:r>
      <w:r w:rsidRPr="003C44A3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8</w:t>
      </w:r>
      <w:r w:rsidRPr="003C44A3">
        <w:rPr>
          <w:rFonts w:cs="Arial"/>
          <w:sz w:val="20"/>
          <w:szCs w:val="20"/>
        </w:rPr>
        <w:t> %</w:t>
      </w:r>
      <w:r w:rsidRPr="003C44A3">
        <w:rPr>
          <w:rFonts w:cs="Arial"/>
          <w:bCs/>
          <w:sz w:val="20"/>
          <w:szCs w:val="20"/>
        </w:rPr>
        <w:t xml:space="preserve"> (v </w:t>
      </w:r>
      <w:r>
        <w:rPr>
          <w:rFonts w:cs="Arial"/>
          <w:bCs/>
          <w:sz w:val="20"/>
          <w:szCs w:val="20"/>
        </w:rPr>
        <w:t>srpnu o </w:t>
      </w:r>
      <w:r w:rsidRPr="003C44A3">
        <w:rPr>
          <w:rFonts w:cs="Arial"/>
          <w:bCs/>
          <w:sz w:val="20"/>
          <w:szCs w:val="20"/>
        </w:rPr>
        <w:t>0,</w:t>
      </w:r>
      <w:r>
        <w:rPr>
          <w:rFonts w:cs="Arial"/>
          <w:bCs/>
          <w:sz w:val="20"/>
          <w:szCs w:val="20"/>
        </w:rPr>
        <w:t>7</w:t>
      </w:r>
      <w:r w:rsidRPr="003C44A3">
        <w:rPr>
          <w:rFonts w:cs="Arial"/>
          <w:bCs/>
          <w:sz w:val="20"/>
          <w:szCs w:val="20"/>
        </w:rPr>
        <w:t xml:space="preserve"> %). </w:t>
      </w:r>
      <w:r w:rsidRPr="003C44A3">
        <w:rPr>
          <w:rFonts w:cs="Arial"/>
          <w:sz w:val="20"/>
          <w:szCs w:val="20"/>
        </w:rPr>
        <w:t>Bles</w:t>
      </w:r>
      <w:r>
        <w:rPr>
          <w:rFonts w:cs="Arial"/>
          <w:sz w:val="20"/>
          <w:szCs w:val="20"/>
        </w:rPr>
        <w:t xml:space="preserve">kový odhad meziroční změny HICP </w:t>
      </w:r>
      <w:r w:rsidRPr="003C44A3">
        <w:rPr>
          <w:rFonts w:cs="Arial"/>
          <w:sz w:val="20"/>
          <w:szCs w:val="20"/>
        </w:rPr>
        <w:t>pro</w:t>
      </w:r>
      <w:r>
        <w:rPr>
          <w:rFonts w:cs="Arial"/>
          <w:b/>
          <w:bCs/>
          <w:sz w:val="20"/>
          <w:szCs w:val="20"/>
        </w:rPr>
        <w:t> </w:t>
      </w:r>
      <w:proofErr w:type="spellStart"/>
      <w:r>
        <w:rPr>
          <w:rFonts w:cs="Arial"/>
          <w:b/>
          <w:bCs/>
          <w:sz w:val="20"/>
          <w:szCs w:val="20"/>
        </w:rPr>
        <w:t>eurozónu</w:t>
      </w:r>
      <w:proofErr w:type="spellEnd"/>
      <w:r>
        <w:rPr>
          <w:rFonts w:cs="Arial"/>
          <w:b/>
          <w:bCs/>
          <w:sz w:val="20"/>
          <w:szCs w:val="20"/>
        </w:rPr>
        <w:t xml:space="preserve"> </w:t>
      </w:r>
      <w:r w:rsidRPr="003C44A3">
        <w:rPr>
          <w:rFonts w:cs="Arial"/>
          <w:b/>
          <w:sz w:val="20"/>
          <w:szCs w:val="20"/>
        </w:rPr>
        <w:t>za</w:t>
      </w:r>
      <w:r w:rsidRPr="003C44A3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>září</w:t>
      </w:r>
      <w:r w:rsidRPr="003C44A3">
        <w:rPr>
          <w:rFonts w:cs="Arial"/>
          <w:b/>
          <w:bCs/>
          <w:sz w:val="20"/>
          <w:szCs w:val="20"/>
        </w:rPr>
        <w:t xml:space="preserve"> 2014</w:t>
      </w:r>
      <w:r w:rsidRPr="003C44A3">
        <w:rPr>
          <w:rFonts w:cs="Arial"/>
          <w:sz w:val="20"/>
          <w:szCs w:val="20"/>
        </w:rPr>
        <w:t xml:space="preserve"> je </w:t>
      </w:r>
      <w:r w:rsidRPr="00A178E3">
        <w:rPr>
          <w:rFonts w:cs="Arial"/>
          <w:sz w:val="20"/>
          <w:szCs w:val="20"/>
        </w:rPr>
        <w:t>0,3</w:t>
      </w:r>
      <w:r>
        <w:rPr>
          <w:rFonts w:cs="Arial"/>
          <w:sz w:val="20"/>
          <w:szCs w:val="20"/>
        </w:rPr>
        <w:t> </w:t>
      </w:r>
      <w:r w:rsidRPr="009F55AA">
        <w:rPr>
          <w:rFonts w:cs="Arial"/>
          <w:sz w:val="20"/>
          <w:szCs w:val="20"/>
        </w:rPr>
        <w:t xml:space="preserve">%, jak uvedl </w:t>
      </w:r>
      <w:proofErr w:type="spellStart"/>
      <w:r w:rsidRPr="009F55AA">
        <w:rPr>
          <w:rFonts w:cs="Arial"/>
          <w:sz w:val="20"/>
          <w:szCs w:val="20"/>
        </w:rPr>
        <w:t>Eurostat</w:t>
      </w:r>
      <w:proofErr w:type="spellEnd"/>
      <w:r w:rsidRPr="009F55A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9F55AA">
        <w:rPr>
          <w:rFonts w:cs="Arial"/>
          <w:sz w:val="20"/>
          <w:szCs w:val="20"/>
        </w:rPr>
        <w:t>Eurostatu</w:t>
      </w:r>
      <w:proofErr w:type="spellEnd"/>
      <w:r w:rsidRPr="009F55AA">
        <w:rPr>
          <w:rFonts w:cs="Arial"/>
          <w:sz w:val="20"/>
          <w:szCs w:val="20"/>
        </w:rPr>
        <w:t xml:space="preserve">: </w:t>
      </w:r>
      <w:hyperlink r:id="rId6" w:history="1">
        <w:r w:rsidRPr="009F55AA">
          <w:rPr>
            <w:rStyle w:val="Hypertextovodkaz"/>
            <w:sz w:val="20"/>
            <w:szCs w:val="20"/>
          </w:rPr>
          <w:t>HICP</w:t>
        </w:r>
      </w:hyperlink>
      <w:r w:rsidRPr="009F55AA">
        <w:rPr>
          <w:rFonts w:cs="Arial"/>
          <w:sz w:val="20"/>
          <w:szCs w:val="20"/>
        </w:rPr>
        <w:t>).</w:t>
      </w:r>
    </w:p>
    <w:p w:rsidR="003906E7" w:rsidRDefault="003906E7" w:rsidP="003906E7">
      <w:pPr>
        <w:pStyle w:val="Zkladntext"/>
        <w:rPr>
          <w:rFonts w:cs="Arial"/>
          <w:i w:val="0"/>
          <w:sz w:val="20"/>
        </w:rPr>
      </w:pPr>
      <w:r w:rsidRPr="003906E7">
        <w:rPr>
          <w:rFonts w:cs="Arial"/>
          <w:i w:val="0"/>
          <w:sz w:val="20"/>
        </w:rPr>
        <w:lastRenderedPageBreak/>
        <w:t xml:space="preserve">Spotřebitelské ceny v září u </w:t>
      </w:r>
      <w:r w:rsidRPr="003906E7">
        <w:rPr>
          <w:rFonts w:cs="Arial"/>
          <w:b/>
          <w:bCs/>
          <w:i w:val="0"/>
          <w:sz w:val="20"/>
        </w:rPr>
        <w:t>domácností důchodců</w:t>
      </w:r>
      <w:r w:rsidRPr="003906E7">
        <w:rPr>
          <w:rFonts w:cs="Arial"/>
          <w:i w:val="0"/>
          <w:sz w:val="20"/>
        </w:rPr>
        <w:t xml:space="preserve"> klesly ve srovnání s předcházejícím měsícem o 0,2</w:t>
      </w:r>
      <w:r w:rsidR="000B3167">
        <w:rPr>
          <w:rFonts w:cs="Arial"/>
          <w:i w:val="0"/>
          <w:sz w:val="20"/>
        </w:rPr>
        <w:t> </w:t>
      </w:r>
      <w:r w:rsidRPr="003906E7">
        <w:rPr>
          <w:rFonts w:cs="Arial"/>
          <w:i w:val="0"/>
          <w:sz w:val="20"/>
        </w:rPr>
        <w:t>%. V oddíle rekreace a kultura se snížil index spotřebitelských cen o 3,2 %. Pokles byl způsoben hlavně cenami rekreace zahraniční a tuzemské. V oddíle bytové vybavení, zařízení domácností, opravy došlo ke snížení cen o 0,5 %. Klesly zejména ceny pracích prostředků. Snížení celkového indexu spotřebitelských cen bylo též ovlivněno poklesem cen v oddíle doprava o 0,3</w:t>
      </w:r>
      <w:r w:rsidR="000B3167">
        <w:rPr>
          <w:rFonts w:cs="Arial"/>
          <w:i w:val="0"/>
          <w:sz w:val="20"/>
        </w:rPr>
        <w:t> </w:t>
      </w:r>
      <w:r w:rsidRPr="003906E7">
        <w:rPr>
          <w:rFonts w:cs="Arial"/>
          <w:i w:val="0"/>
          <w:sz w:val="20"/>
        </w:rPr>
        <w:t xml:space="preserve">%. Došlo ke snížení cen zejména letecké osobní dopravy </w:t>
      </w:r>
      <w:r>
        <w:rPr>
          <w:rFonts w:cs="Arial"/>
          <w:i w:val="0"/>
          <w:sz w:val="20"/>
        </w:rPr>
        <w:t>a </w:t>
      </w:r>
      <w:r w:rsidRPr="003906E7">
        <w:rPr>
          <w:rFonts w:cs="Arial"/>
          <w:i w:val="0"/>
          <w:sz w:val="20"/>
        </w:rPr>
        <w:t>automobilů ojetých. Na druhé straně se projevilo zvýšení cen v oddíle odívání a obuv o 2,2</w:t>
      </w:r>
      <w:r w:rsidR="000B3167">
        <w:rPr>
          <w:rFonts w:cs="Arial"/>
          <w:i w:val="0"/>
          <w:sz w:val="20"/>
        </w:rPr>
        <w:t> </w:t>
      </w:r>
      <w:r w:rsidRPr="003906E7">
        <w:rPr>
          <w:rFonts w:cs="Arial"/>
          <w:i w:val="0"/>
          <w:sz w:val="20"/>
        </w:rPr>
        <w:t xml:space="preserve">%. Růst byl způsoben hlavně vyššími cenami obuvi. </w:t>
      </w:r>
    </w:p>
    <w:p w:rsidR="003906E7" w:rsidRPr="003906E7" w:rsidRDefault="003906E7" w:rsidP="003906E7">
      <w:pPr>
        <w:pStyle w:val="Zkladntext"/>
        <w:rPr>
          <w:rFonts w:cs="Arial"/>
          <w:i w:val="0"/>
          <w:sz w:val="20"/>
        </w:rPr>
      </w:pPr>
    </w:p>
    <w:p w:rsidR="003906E7" w:rsidRPr="003906E7" w:rsidRDefault="003906E7" w:rsidP="003906E7">
      <w:pPr>
        <w:pStyle w:val="Zkladntext"/>
        <w:rPr>
          <w:rFonts w:cs="Arial"/>
          <w:b/>
          <w:bCs/>
          <w:i w:val="0"/>
          <w:sz w:val="20"/>
        </w:rPr>
      </w:pPr>
      <w:r w:rsidRPr="003906E7">
        <w:rPr>
          <w:rFonts w:cs="Arial"/>
          <w:b/>
          <w:bCs/>
          <w:i w:val="0"/>
          <w:sz w:val="20"/>
        </w:rPr>
        <w:t>V hlavním městě Praze</w:t>
      </w:r>
      <w:r w:rsidRPr="003906E7">
        <w:rPr>
          <w:rFonts w:cs="Arial"/>
          <w:i w:val="0"/>
          <w:sz w:val="20"/>
        </w:rPr>
        <w:t xml:space="preserve"> se úhrnný index spotřebitelských cen (životních nákladů) ve srovnání s minulým měsícem snížil o 0,2 % (-0,2 % také v celé ČR). Na tento vývoj působil pokles indexu spotřebitelských cen v oddíle rekreace a kultura o 3,8 % (-3,8 % též v ČR). Jednalo se hlavně o důsledek snížení cen zahraniční </w:t>
      </w:r>
      <w:r>
        <w:rPr>
          <w:rFonts w:cs="Arial"/>
          <w:i w:val="0"/>
          <w:sz w:val="20"/>
        </w:rPr>
        <w:t>a </w:t>
      </w:r>
      <w:r w:rsidRPr="003906E7">
        <w:rPr>
          <w:rFonts w:cs="Arial"/>
          <w:i w:val="0"/>
          <w:sz w:val="20"/>
        </w:rPr>
        <w:t xml:space="preserve">tuzemské rekreace. Dále byl v Praze zaznamenán pokles hladiny spotřebitelských cen v oddíle doprava </w:t>
      </w:r>
      <w:r>
        <w:rPr>
          <w:rFonts w:cs="Arial"/>
          <w:i w:val="0"/>
          <w:sz w:val="20"/>
        </w:rPr>
        <w:t>o </w:t>
      </w:r>
      <w:r w:rsidRPr="003906E7">
        <w:rPr>
          <w:rFonts w:cs="Arial"/>
          <w:i w:val="0"/>
          <w:sz w:val="20"/>
        </w:rPr>
        <w:t xml:space="preserve">0,6 % (-0,3 % v ČR). V tomto oddíle se snížily zejména ceny letenek v letecké osobní dopravě a ceny automobilů ojetých. Na druhé straně bylo zjištěno zvýšení indexu spotřebitelských cen v oddíle odívání a obuv o 4,0 % (2,4 % v ČR), přičemž vzrostly zejména ceny obuvi. V oddíle ostatní zboží a služby se zvýšily spotřebitelské ceny o 0,9 % (0,6 % v ČR). V Praze vzrostly ceny kosmetického zboží a finančních služeb.  </w:t>
      </w:r>
    </w:p>
    <w:p w:rsidR="003906E7" w:rsidRPr="003906E7" w:rsidRDefault="003906E7" w:rsidP="007E296D">
      <w:pPr>
        <w:pStyle w:val="Zkladntextodsazen3"/>
        <w:spacing w:before="120" w:after="0" w:line="240" w:lineRule="auto"/>
        <w:ind w:left="0"/>
        <w:rPr>
          <w:rFonts w:cs="Arial"/>
          <w:sz w:val="20"/>
          <w:szCs w:val="20"/>
        </w:rPr>
      </w:pPr>
    </w:p>
    <w:sectPr w:rsidR="003906E7" w:rsidRPr="003906E7" w:rsidSect="004B6B71">
      <w:footerReference w:type="default" r:id="rId7"/>
      <w:pgSz w:w="11906" w:h="16838"/>
      <w:pgMar w:top="1077" w:right="1077" w:bottom="1077" w:left="107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06E" w:rsidRDefault="002E006E" w:rsidP="008C3834">
      <w:pPr>
        <w:spacing w:line="240" w:lineRule="auto"/>
      </w:pPr>
      <w:r>
        <w:separator/>
      </w:r>
    </w:p>
  </w:endnote>
  <w:endnote w:type="continuationSeparator" w:id="0">
    <w:p w:rsidR="002E006E" w:rsidRDefault="002E006E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  <w:jc w:val="center"/>
    </w:pPr>
    <w:r>
      <w:t>3</w:t>
    </w:r>
  </w:p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06E" w:rsidRDefault="002E006E" w:rsidP="008C3834">
      <w:pPr>
        <w:spacing w:line="240" w:lineRule="auto"/>
      </w:pPr>
      <w:r>
        <w:separator/>
      </w:r>
    </w:p>
  </w:footnote>
  <w:footnote w:type="continuationSeparator" w:id="0">
    <w:p w:rsidR="002E006E" w:rsidRDefault="002E006E" w:rsidP="008C3834">
      <w:pPr>
        <w:spacing w:line="240" w:lineRule="auto"/>
      </w:pPr>
      <w:r>
        <w:continuationSeparator/>
      </w:r>
    </w:p>
  </w:footnote>
  <w:footnote w:id="1">
    <w:p w:rsidR="007E296D" w:rsidRDefault="007E296D" w:rsidP="007E296D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13C77"/>
    <w:rsid w:val="00020834"/>
    <w:rsid w:val="00023D3B"/>
    <w:rsid w:val="00071B2F"/>
    <w:rsid w:val="000B3167"/>
    <w:rsid w:val="000E345D"/>
    <w:rsid w:val="001145D6"/>
    <w:rsid w:val="00150AD2"/>
    <w:rsid w:val="001771EA"/>
    <w:rsid w:val="0018077B"/>
    <w:rsid w:val="0018137E"/>
    <w:rsid w:val="001858EF"/>
    <w:rsid w:val="001C0EBA"/>
    <w:rsid w:val="001C4722"/>
    <w:rsid w:val="001E3FE3"/>
    <w:rsid w:val="0023409C"/>
    <w:rsid w:val="00246975"/>
    <w:rsid w:val="002804EA"/>
    <w:rsid w:val="00296046"/>
    <w:rsid w:val="00297D47"/>
    <w:rsid w:val="002A3D94"/>
    <w:rsid w:val="002A6AA2"/>
    <w:rsid w:val="002D63C4"/>
    <w:rsid w:val="002E006E"/>
    <w:rsid w:val="002F0EF4"/>
    <w:rsid w:val="00312409"/>
    <w:rsid w:val="00323EB0"/>
    <w:rsid w:val="00380909"/>
    <w:rsid w:val="00384E86"/>
    <w:rsid w:val="003906E7"/>
    <w:rsid w:val="003B78D7"/>
    <w:rsid w:val="003B79CC"/>
    <w:rsid w:val="003D1F96"/>
    <w:rsid w:val="003E0C74"/>
    <w:rsid w:val="004102C7"/>
    <w:rsid w:val="004127A6"/>
    <w:rsid w:val="004828D6"/>
    <w:rsid w:val="00485B53"/>
    <w:rsid w:val="004A191B"/>
    <w:rsid w:val="004A23B0"/>
    <w:rsid w:val="004B6B71"/>
    <w:rsid w:val="004E157A"/>
    <w:rsid w:val="004E42A1"/>
    <w:rsid w:val="005B4698"/>
    <w:rsid w:val="005C742B"/>
    <w:rsid w:val="005F7A6D"/>
    <w:rsid w:val="006018E5"/>
    <w:rsid w:val="006469B4"/>
    <w:rsid w:val="0066105E"/>
    <w:rsid w:val="0067046B"/>
    <w:rsid w:val="006B6F19"/>
    <w:rsid w:val="006E6E86"/>
    <w:rsid w:val="00705EC3"/>
    <w:rsid w:val="0070777D"/>
    <w:rsid w:val="0073782D"/>
    <w:rsid w:val="007E296D"/>
    <w:rsid w:val="007E69C2"/>
    <w:rsid w:val="00803C0D"/>
    <w:rsid w:val="00820ECF"/>
    <w:rsid w:val="008C3834"/>
    <w:rsid w:val="008E23B3"/>
    <w:rsid w:val="00900D08"/>
    <w:rsid w:val="00910650"/>
    <w:rsid w:val="00954772"/>
    <w:rsid w:val="00986BAE"/>
    <w:rsid w:val="00987D8E"/>
    <w:rsid w:val="009D7280"/>
    <w:rsid w:val="009E320A"/>
    <w:rsid w:val="00A63746"/>
    <w:rsid w:val="00AE5A76"/>
    <w:rsid w:val="00B04D86"/>
    <w:rsid w:val="00B67728"/>
    <w:rsid w:val="00BF1447"/>
    <w:rsid w:val="00C026A2"/>
    <w:rsid w:val="00C06D31"/>
    <w:rsid w:val="00C15407"/>
    <w:rsid w:val="00C51FC0"/>
    <w:rsid w:val="00C708E7"/>
    <w:rsid w:val="00C75051"/>
    <w:rsid w:val="00CF291B"/>
    <w:rsid w:val="00D839A7"/>
    <w:rsid w:val="00D93B6C"/>
    <w:rsid w:val="00DA31FA"/>
    <w:rsid w:val="00DD0447"/>
    <w:rsid w:val="00DF6361"/>
    <w:rsid w:val="00DF7C28"/>
    <w:rsid w:val="00E31EA7"/>
    <w:rsid w:val="00E9287C"/>
    <w:rsid w:val="00E9477D"/>
    <w:rsid w:val="00E96BFA"/>
    <w:rsid w:val="00EB4260"/>
    <w:rsid w:val="00EE79EB"/>
    <w:rsid w:val="00EF15EB"/>
    <w:rsid w:val="00F04AED"/>
    <w:rsid w:val="00F2499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933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6429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3</cp:revision>
  <dcterms:created xsi:type="dcterms:W3CDTF">2014-10-15T13:05:00Z</dcterms:created>
  <dcterms:modified xsi:type="dcterms:W3CDTF">2014-10-15T13:05:00Z</dcterms:modified>
</cp:coreProperties>
</file>