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0182" w14:textId="77777777" w:rsidR="003B7AFA" w:rsidRPr="009110F7" w:rsidRDefault="003B7AFA" w:rsidP="003B7AFA">
      <w:pPr>
        <w:pStyle w:val="Nadpis1"/>
      </w:pPr>
      <w:bookmarkStart w:id="0" w:name="_Toc137233031"/>
      <w:bookmarkStart w:id="1" w:name="_Toc200969289"/>
      <w:bookmarkStart w:id="2" w:name="_Toc169258116"/>
      <w:bookmarkStart w:id="3" w:name="_Toc153531176"/>
      <w:bookmarkStart w:id="4" w:name="_Toc176767107"/>
      <w:bookmarkStart w:id="5" w:name="_Toc161914427"/>
      <w:r>
        <w:t>2. Souhrnná výkonnost</w:t>
      </w:r>
      <w:bookmarkEnd w:id="1"/>
    </w:p>
    <w:tbl>
      <w:tblPr>
        <w:tblW w:w="9639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6"/>
        <w:gridCol w:w="210"/>
        <w:gridCol w:w="7623"/>
      </w:tblGrid>
      <w:tr w:rsidR="003B7AFA" w:rsidRPr="009110F7" w14:paraId="110E2261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20BFADCC" w14:textId="77777777" w:rsidR="003B7AFA" w:rsidRDefault="003B7AFA" w:rsidP="003B7AFA">
            <w:pPr>
              <w:pStyle w:val="Marginlie"/>
            </w:pPr>
            <w:r>
              <w:t>Růst HDP v Česku zrychlil.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747B2F37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34CF5574" w14:textId="77777777" w:rsidR="003B7AFA" w:rsidRPr="00014ED0" w:rsidRDefault="003B7AFA" w:rsidP="003B7AFA">
            <w:pPr>
              <w:rPr>
                <w:spacing w:val="-2"/>
              </w:rPr>
            </w:pPr>
            <w:r>
              <w:rPr>
                <w:spacing w:val="-2"/>
              </w:rPr>
              <w:t>Česká ekonomika v 1. čtvrtletí 2025 pokračovala v růstu. Hrubý domácí produkt</w:t>
            </w:r>
            <w:r w:rsidRPr="00014ED0">
              <w:rPr>
                <w:rStyle w:val="Znakapoznpodarou"/>
                <w:rFonts w:cs="Arial"/>
                <w:spacing w:val="-2"/>
              </w:rPr>
              <w:footnoteReference w:id="1"/>
            </w:r>
            <w:r>
              <w:rPr>
                <w:spacing w:val="-2"/>
              </w:rPr>
              <w:t xml:space="preserve"> (HDP) se mezičtvrtletně zvýšil o 0,8 % a přírůstek potřetí v řadě posílil. Příznivě k tomu přispěl zejména vývoj tvorby hrubého kapitálu. Došlo totiž k oživení investiční aktivity a pozitivně působila i změna zásob. K mezičtvrtletnímu růstu HDP přispěla také spotřeba domácností</w:t>
            </w:r>
            <w:r w:rsidRPr="00014ED0">
              <w:rPr>
                <w:rStyle w:val="Znakapoznpodarou"/>
                <w:spacing w:val="-2"/>
              </w:rPr>
              <w:footnoteReference w:id="2"/>
            </w:r>
            <w:r>
              <w:rPr>
                <w:spacing w:val="-2"/>
              </w:rPr>
              <w:t>. Naopak klesala spotřeba vládních institucí a nulový byl efekt bilance zahraničního obchodu. Díky pokračující solidní mezikvartální dynamice HDP posiloval také jeho meziroční růst. Přírůstek ve výši 2,2 % byl nejvyšší od 2. čtvrtletí 2022. K růstu HDP nejvíce přispívala domácí spotřeba a dále změna zásob. Naopak klesla investiční aktivita a negativně působila bilance zahraničního obchodu.</w:t>
            </w:r>
          </w:p>
        </w:tc>
      </w:tr>
      <w:tr w:rsidR="003B7AFA" w:rsidRPr="009110F7" w14:paraId="3C9F872F" w14:textId="77777777" w:rsidTr="003B7AFA">
        <w:trPr>
          <w:trHeight w:val="170"/>
        </w:trPr>
        <w:tc>
          <w:tcPr>
            <w:tcW w:w="1806" w:type="dxa"/>
            <w:vMerge w:val="restart"/>
            <w:shd w:val="clear" w:color="auto" w:fill="auto"/>
            <w:tcMar>
              <w:left w:w="0" w:type="dxa"/>
            </w:tcMar>
          </w:tcPr>
          <w:p w14:paraId="6649918B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 w:val="restart"/>
            <w:shd w:val="clear" w:color="auto" w:fill="auto"/>
            <w:tcMar>
              <w:left w:w="0" w:type="dxa"/>
            </w:tcMar>
          </w:tcPr>
          <w:p w14:paraId="2F616514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466F731A" w14:textId="77777777" w:rsidR="003B7AFA" w:rsidRPr="00D721B4" w:rsidRDefault="003B7AFA" w:rsidP="003B7AFA">
            <w:pPr>
              <w:spacing w:after="0"/>
              <w:rPr>
                <w:b/>
                <w:szCs w:val="20"/>
              </w:rPr>
            </w:pPr>
            <w:r w:rsidRPr="00D721B4">
              <w:rPr>
                <w:rFonts w:cs="Arial"/>
                <w:b/>
                <w:bCs/>
                <w:color w:val="000000"/>
                <w:szCs w:val="20"/>
              </w:rPr>
              <w:t>Graf č. 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HDP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očištěno o sezónní a kalendářní vlivy,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3B7AFA" w:rsidRPr="009110F7" w14:paraId="62C267B9" w14:textId="77777777" w:rsidTr="004C5B81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4F11EEA4" w14:textId="77777777" w:rsidR="003B7AFA" w:rsidRPr="009110F7" w:rsidRDefault="003B7AFA" w:rsidP="003B7AFA">
            <w:pPr>
              <w:pStyle w:val="Marginlie"/>
            </w:pPr>
          </w:p>
        </w:tc>
        <w:tc>
          <w:tcPr>
            <w:tcW w:w="210" w:type="dxa"/>
            <w:vMerge/>
          </w:tcPr>
          <w:p w14:paraId="7DFCD7E0" w14:textId="77777777" w:rsidR="003B7AFA" w:rsidRPr="009110F7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</w:tcPr>
          <w:p w14:paraId="67F2A575" w14:textId="5DF8C9B1" w:rsidR="003B7AFA" w:rsidRPr="009110F7" w:rsidRDefault="004C5B81" w:rsidP="003B7AF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C5E7F97" wp14:editId="7882ED64">
                  <wp:extent cx="4737600" cy="3553200"/>
                  <wp:effectExtent l="0" t="0" r="6350" b="0"/>
                  <wp:docPr id="37" name="Graf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B7AFA" w:rsidRPr="009110F7" w14:paraId="526795E8" w14:textId="77777777" w:rsidTr="003B7AFA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57120576" w14:textId="77777777" w:rsidR="003B7AFA" w:rsidRPr="009110F7" w:rsidRDefault="003B7AFA" w:rsidP="003B7AFA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6968773A" w14:textId="77777777" w:rsidR="003B7AFA" w:rsidRPr="009110F7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67B2D378" w14:textId="77777777" w:rsidR="003B7AFA" w:rsidRPr="009110F7" w:rsidRDefault="003B7AFA" w:rsidP="003B7AFA">
            <w:pPr>
              <w:spacing w:after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ČSÚ, Eurostat</w:t>
            </w:r>
          </w:p>
        </w:tc>
      </w:tr>
      <w:tr w:rsidR="003B7AFA" w:rsidRPr="009110F7" w14:paraId="04E277A7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6AEED406" w14:textId="765270DA" w:rsidR="003B7AFA" w:rsidRDefault="003B7AFA" w:rsidP="003B7AFA">
            <w:pPr>
              <w:pStyle w:val="Marginlie"/>
            </w:pPr>
            <w:r>
              <w:t xml:space="preserve">Německý </w:t>
            </w:r>
            <w:r w:rsidR="008304D1">
              <w:t xml:space="preserve">ekonomický </w:t>
            </w:r>
            <w:r>
              <w:t>pokles se zastavil.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6748D5D9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7040E6C8" w14:textId="3FC1AF94" w:rsidR="003B7AFA" w:rsidRDefault="003B7AFA" w:rsidP="008304D1">
            <w:r>
              <w:t xml:space="preserve">Mezičtvrtletní růst HDP v Evropské unii </w:t>
            </w:r>
            <w:r w:rsidR="008304D1">
              <w:t>zrychlil</w:t>
            </w:r>
            <w:r>
              <w:t xml:space="preserve"> a dosáhl v 1. čtvrtletí 0,</w:t>
            </w:r>
            <w:r w:rsidR="008304D1">
              <w:t>6</w:t>
            </w:r>
            <w:r>
              <w:t xml:space="preserve"> %. Nejsilněji se mezičtvrtletně zvyšoval HDP v Irsku (</w:t>
            </w:r>
            <w:r w:rsidR="008304D1">
              <w:t>9,7</w:t>
            </w:r>
            <w:r>
              <w:t xml:space="preserve"> %), na Maltě (2,1 %) a na Kypru (1,3 %). Česko podle dostupných údajů zaznamenalo čtvrtý nejvyšší mezičtvrtletní přírůstek HDP v EU. Pokles HDP byl zaznamenán v</w:t>
            </w:r>
            <w:r w:rsidR="008304D1">
              <w:t xml:space="preserve"> sedmi</w:t>
            </w:r>
            <w:r>
              <w:t xml:space="preserve"> zemích EU – </w:t>
            </w:r>
            <w:r w:rsidR="008304D1">
              <w:t xml:space="preserve">Lucembursku (-1,0 %), </w:t>
            </w:r>
            <w:r>
              <w:t xml:space="preserve">Slovinsku (−0,8 %), </w:t>
            </w:r>
            <w:r w:rsidR="008304D1">
              <w:t xml:space="preserve">Dánsku a </w:t>
            </w:r>
            <w:r>
              <w:t>Portugalsku (</w:t>
            </w:r>
            <w:r w:rsidR="008304D1">
              <w:t xml:space="preserve">shodně </w:t>
            </w:r>
            <w:r>
              <w:t>−0,5 %), Estonsku (−0,3 %) a</w:t>
            </w:r>
            <w:r w:rsidR="008304D1">
              <w:t> </w:t>
            </w:r>
            <w:r>
              <w:t xml:space="preserve">Maďarsku </w:t>
            </w:r>
            <w:r w:rsidR="008304D1">
              <w:t xml:space="preserve">a Švédsku </w:t>
            </w:r>
            <w:r>
              <w:t>(</w:t>
            </w:r>
            <w:r w:rsidR="008304D1">
              <w:t xml:space="preserve">shodně o </w:t>
            </w:r>
            <w:r>
              <w:t xml:space="preserve">−0,2 %). Solidně se HDP mezičtvrtletně zvýšil v Německu (0,4 %, nejvyšší přírůstek od 3. čtvrtletí 2022), které v posledních dvou letech zažívalo ekonomické zpomalení. Meziroční růst HDP v EU v 1. čtvrtletí </w:t>
            </w:r>
            <w:r w:rsidR="008304D1">
              <w:t xml:space="preserve">mírně zrychlil </w:t>
            </w:r>
            <w:r>
              <w:t>na 1,</w:t>
            </w:r>
            <w:r w:rsidR="008304D1">
              <w:t>6</w:t>
            </w:r>
            <w:r>
              <w:t xml:space="preserve"> %. Nejsilnější přírůstky vykázaly ekonomiky Irska (</w:t>
            </w:r>
            <w:r w:rsidR="008304D1">
              <w:t>21,1</w:t>
            </w:r>
            <w:r>
              <w:t xml:space="preserve"> %), Polska (3,7 %) a Dánska (3,6 %). V</w:t>
            </w:r>
            <w:r w:rsidR="008304D1">
              <w:t xml:space="preserve"> pěti</w:t>
            </w:r>
            <w:r>
              <w:t xml:space="preserve"> zemích HDP meziročně zaostával – ve Slovinsku (−0,8</w:t>
            </w:r>
            <w:r w:rsidR="008304D1">
              <w:t> </w:t>
            </w:r>
            <w:r>
              <w:t xml:space="preserve">%), </w:t>
            </w:r>
            <w:r w:rsidR="008304D1">
              <w:t xml:space="preserve">Lucembursku, </w:t>
            </w:r>
            <w:r>
              <w:t xml:space="preserve">Rakousku </w:t>
            </w:r>
            <w:r w:rsidR="008304D1">
              <w:t xml:space="preserve">a </w:t>
            </w:r>
            <w:r>
              <w:t>Maďarsku (</w:t>
            </w:r>
            <w:r w:rsidR="008304D1">
              <w:t xml:space="preserve">shodně o </w:t>
            </w:r>
            <w:r>
              <w:t>−0,4 %) a Lotyšsku (−0,3</w:t>
            </w:r>
            <w:r w:rsidR="008304D1">
              <w:t> </w:t>
            </w:r>
            <w:r>
              <w:t xml:space="preserve">%). Ekonomicky dominantní Německo po šesti </w:t>
            </w:r>
            <w:r w:rsidR="008304D1">
              <w:t xml:space="preserve">předchozích </w:t>
            </w:r>
            <w:r>
              <w:t xml:space="preserve">poklesech </w:t>
            </w:r>
            <w:r w:rsidR="008304D1">
              <w:t xml:space="preserve">v 1. čtvrtletí </w:t>
            </w:r>
            <w:r>
              <w:t>stagnovalo.</w:t>
            </w:r>
          </w:p>
        </w:tc>
      </w:tr>
      <w:tr w:rsidR="003B7AFA" w:rsidRPr="009110F7" w14:paraId="6981E424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7F14F1D8" w14:textId="77777777" w:rsidR="003B7AFA" w:rsidRDefault="003B7AFA" w:rsidP="003B7AFA">
            <w:pPr>
              <w:pStyle w:val="Marginlie"/>
            </w:pPr>
            <w:r>
              <w:lastRenderedPageBreak/>
              <w:t>Mzdy a platy mezičtvrtletně rostly.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618EE3CD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41C624E3" w14:textId="77777777" w:rsidR="003B7AFA" w:rsidRPr="00014ED0" w:rsidRDefault="003B7AFA" w:rsidP="003B7AFA">
            <w:r>
              <w:t>Objem vyplacených mezd a platů se v 1. čtvrtletí 2025 mezičtvrtletně zvýšil o 2,0 % při navýšení zaměstnanosti</w:t>
            </w:r>
            <w:r w:rsidRPr="00014ED0">
              <w:rPr>
                <w:rStyle w:val="Znakapoznpodarou"/>
                <w:spacing w:val="-2"/>
              </w:rPr>
              <w:footnoteReference w:id="3"/>
            </w:r>
            <w:r>
              <w:t xml:space="preserve"> o 0,7 %. Reálně se mzdy a platy zvýšily o 0,9 %</w:t>
            </w:r>
            <w:r>
              <w:rPr>
                <w:rStyle w:val="Znakapoznpodarou"/>
                <w:spacing w:val="-2"/>
              </w:rPr>
              <w:footnoteReference w:id="4"/>
            </w:r>
            <w:r>
              <w:t>. Silné mezičtvrtletní navýšení objemu vyplacených mezd a platů byl zaznamenáno ve stavebnictví (5,9 % při růstu zaměstnanosti o 0,6 %) a v ostatních činnostech</w:t>
            </w:r>
            <w:r>
              <w:rPr>
                <w:rStyle w:val="Znakapoznpodarou"/>
                <w:spacing w:val="-2"/>
              </w:rPr>
              <w:footnoteReference w:id="5"/>
            </w:r>
            <w:r>
              <w:t xml:space="preserve"> (5,5 %, zaměstnanost −0,1 %). Mzdy a platy rostly nadprůměrně rovněž v dalších odvětvích služeb – v profesních, vědeckých, technických a administrativních činnostech (2,8 %, zaměstnanost 1,3 %), informačních a komunikačních činnostech (2,6 %, zaměstnanost o 5,6 %) a v uskupení obchod, doprava, ubytování a pohostinství (2,2 %, zaměstnanost 1,6 %). Mírněji se zvyšovaly vyplacené mzdy a platy v průmyslu (1,6 %, zaměstnanost −0,1 %), v</w:t>
            </w:r>
            <w:r w:rsidRPr="00A21E0B">
              <w:t>eřejn</w:t>
            </w:r>
            <w:r>
              <w:t>é</w:t>
            </w:r>
            <w:r w:rsidRPr="00A21E0B">
              <w:t xml:space="preserve"> správ</w:t>
            </w:r>
            <w:r>
              <w:t>ě</w:t>
            </w:r>
            <w:r w:rsidRPr="00A21E0B">
              <w:t xml:space="preserve"> a obran</w:t>
            </w:r>
            <w:r>
              <w:t>ě</w:t>
            </w:r>
            <w:r w:rsidRPr="00A21E0B">
              <w:t>, vzděl</w:t>
            </w:r>
            <w:r>
              <w:t>ávání, zdravotní a sociální péči (1,4 %, zaměstnanost −0,3 %) a peněžnictví a pojišťovnictví (0,9 %, zaměstnanost 0,2 %).</w:t>
            </w:r>
          </w:p>
        </w:tc>
      </w:tr>
      <w:tr w:rsidR="003B7AFA" w:rsidRPr="009110F7" w14:paraId="67E981A3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371A2474" w14:textId="77777777" w:rsidR="003B7AFA" w:rsidRDefault="003B7AFA" w:rsidP="003B7AFA">
            <w:pPr>
              <w:pStyle w:val="Marginlie"/>
            </w:pPr>
            <w:r>
              <w:t>Dynamice mezd dominovaly služby, do popředí se dostalo také stavebnictví.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00F534C9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9F6B0CD" w14:textId="77777777" w:rsidR="003B7AFA" w:rsidRDefault="003B7AFA" w:rsidP="003B7AFA">
            <w:r>
              <w:t>Meziroční přírůstek mezd a platů v 1. čtvrtletí dosáhl 7,0 % při navýšení zaměstnanosti o 1,1 %. Reálný přírůstek zůstal stejný jako v předchozím kvartálu (4,1 %). Nejvyšší meziroční nárůst byl zaznamenán u činností v oblasti nemovitostí (22,4 %, zaměstnanost 4,7 %) a přes desetinu vzrostly mzdy a platy také u profesních, vědeckých, technických a administrativních činností (12,3 %, zaměstnanost 1,8 %) a ostatních činností (11,8 %, zaměstnanost 2,8 %). Ve službách se nadprůměrně zvýšily mzdy a platy ještě také v informačních a komunikačních činnostech (8,9 %, zaměstnanost 0,6 %) a v obchodě, dopravě, ubytování a pohostinství (7,2 %, zaměstnanost 0,9 %). Značně posílil meziroční růst mezd a platů ve stavebnictví (9,7 %, zaměstnanost se zvýšila o 2,4 %). Podprůměrnou dynamiku měly v 1. čtvrtletí mzdy a platy ve v</w:t>
            </w:r>
            <w:r w:rsidRPr="00A21E0B">
              <w:t>eřejn</w:t>
            </w:r>
            <w:r>
              <w:t>é</w:t>
            </w:r>
            <w:r w:rsidRPr="00A21E0B">
              <w:t xml:space="preserve"> správ</w:t>
            </w:r>
            <w:r>
              <w:t>ě</w:t>
            </w:r>
            <w:r w:rsidRPr="00A21E0B">
              <w:t xml:space="preserve"> a obran</w:t>
            </w:r>
            <w:r>
              <w:t>ě</w:t>
            </w:r>
            <w:r w:rsidRPr="00A21E0B">
              <w:t>, vzděl</w:t>
            </w:r>
            <w:r>
              <w:t xml:space="preserve">ávání, zdravotní a sociální péči (6,7 %, zaměstnanost 1,8 %), v peněžnictví a pojišťovnictví (6,3 %, zaměstnanost 0,8 %). Průmysl zaostával za zbytkem ekonomiky v dynamice mezd a platů – objem se meziročně zvýšil o 3,9 % při poklesu zaměstnanosti o 0,3 %. </w:t>
            </w:r>
          </w:p>
        </w:tc>
      </w:tr>
      <w:tr w:rsidR="003B7AFA" w:rsidRPr="009110F7" w14:paraId="185A3EB7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041F355E" w14:textId="77777777" w:rsidR="003B7AFA" w:rsidRDefault="003B7AFA" w:rsidP="003B7AFA">
            <w:pPr>
              <w:pStyle w:val="Marginlie"/>
            </w:pPr>
            <w:r>
              <w:t>Růst spotřeby domácností se zmírnil.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3C4F00E2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3DE1BE9C" w14:textId="77777777" w:rsidR="003B7AFA" w:rsidRPr="004B6F8C" w:rsidRDefault="003B7AFA" w:rsidP="003B7AFA">
            <w:pPr>
              <w:rPr>
                <w:spacing w:val="-2"/>
              </w:rPr>
            </w:pPr>
            <w:r>
              <w:rPr>
                <w:spacing w:val="-2"/>
              </w:rPr>
              <w:t>Vývoj domácí spotřeby se po pěti kvartálech mezičtvrtletního růstu zabrzdil. Celkově spotřeba v 1. čtvrtletí mezičtvrtletně klesla o 0,4 %. K tomu přispěly zejména výdaje vládních institucí (−1,5 %), zatímco u domácností spotřeba v zásadě stagnovala (0,1 %). Členění spotřeby podle trvanlivosti</w:t>
            </w:r>
            <w:r>
              <w:rPr>
                <w:rStyle w:val="Znakapoznpodarou"/>
              </w:rPr>
              <w:footnoteReference w:id="6"/>
            </w:r>
            <w:r>
              <w:rPr>
                <w:spacing w:val="-2"/>
              </w:rPr>
              <w:t xml:space="preserve"> v 1. čtvrtletí ukázalo po loňském oživení na výrazný mezičtvrtletní pokles výdajů na předměty střednědobé (−7,8 %) a dlouhodobé (−3,4 %) spotřeby. Nižší byla také spotřeba služeb (−0,3 %). Naopak krátkodobá spotřeba se zvýšila mezičtvrtletně o 2,1 %. Meziroční růst spotřeby v 1. čtvrtletí 2025 zpomalil na 2,3 %. Mírnější byl přírůstek u domácností (2,5 %) i vládních institucí (1,9 %). Meziročně vyšší byly výdaje domácností na služby (2,5 %) i předměty střednědobé (2,8 %) a krátkodobé (2,1 %) spotřeby. Na čtyři meziroční poklesy navázala dlouhodobá spotřeba stagnací v 1. čtvrtletí.</w:t>
            </w:r>
          </w:p>
        </w:tc>
      </w:tr>
      <w:tr w:rsidR="003B7AFA" w:rsidRPr="009110F7" w14:paraId="4CC37DCA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5924B65D" w14:textId="77777777" w:rsidR="003B7AFA" w:rsidRDefault="003B7AFA" w:rsidP="003B7AFA">
            <w:pPr>
              <w:pStyle w:val="Marginlie"/>
            </w:pPr>
            <w:r>
              <w:t>Zásoby výrazně podpořily ekonomický růst.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7074FD5A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328514B" w14:textId="77777777" w:rsidR="003B7AFA" w:rsidRDefault="003B7AFA" w:rsidP="003B7AFA">
            <w:pPr>
              <w:rPr>
                <w:spacing w:val="-2"/>
              </w:rPr>
            </w:pPr>
            <w:r>
              <w:t>Výdaje na tvorbu hrubého kapitálu v 1. čtvrtletí mezičtvrtletně vzrostly o 1,7 %. Na oživení se podílela tvorba hrubého fixního kapitálu (1,1 %) i vývoj tvorby zásob</w:t>
            </w:r>
            <w:r>
              <w:rPr>
                <w:rStyle w:val="Znakapoznpodarou"/>
              </w:rPr>
              <w:footnoteReference w:id="7"/>
            </w:r>
            <w:r>
              <w:t xml:space="preserve">. V předchozím roce a půl docházelo k postupnému rozpouštění dříve naakumulovaných zásob, ale celková nejistota ohledně dalšího směřování globálního obchodu může podniky vést k přípravám na případné komplikace v dodávkách. Mezičtvrtletní oživení investiční aktivity v 1. čtvrtletí podpořily výdaje v oblasti obydlí (1,6 %) i ostatních budov a staveb (5,9 %). Rostly také investice do ICT a ostatních strojů a zařízení (1,0 %). Naopak mezičtvrtletní propad byl zaznamenán u výdajů na dopravní prostředky a zařízení (−5,2 %) a produkty duševního vlastnictví (−1,5 %). Meziročně se výdaje na </w:t>
            </w:r>
            <w:r>
              <w:lastRenderedPageBreak/>
              <w:t xml:space="preserve">tvorbu hrubého kapitálu zvýšily o 4,1 % a přírůstek tak posílil, a to zejména díky vývoji zásob. Samotná tvorba hrubého fixního kapitálu byla nižší o 0,6 %. Zaostávaly zejména investice do dopravních prostředků a zařízení (−6,2 %), strojů a zařízení (−1,4 %) a produktů duševního vlastnictví (−1,1 %). Komplikovaná zůstávala situace v oblasti investic do obydlí (−0,2 %), ale u ostatních budov a staveb byl zaznamenán meziroční nárůst výdajů o 2,9 %.     </w:t>
            </w:r>
          </w:p>
        </w:tc>
      </w:tr>
      <w:tr w:rsidR="003B7AFA" w:rsidRPr="009110F7" w14:paraId="67116AAA" w14:textId="77777777" w:rsidTr="003B7AFA">
        <w:trPr>
          <w:trHeight w:val="154"/>
        </w:trPr>
        <w:tc>
          <w:tcPr>
            <w:tcW w:w="1806" w:type="dxa"/>
            <w:vMerge w:val="restart"/>
            <w:shd w:val="clear" w:color="auto" w:fill="auto"/>
            <w:tcMar>
              <w:left w:w="0" w:type="dxa"/>
            </w:tcMar>
          </w:tcPr>
          <w:p w14:paraId="02BD9C88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 w:val="restart"/>
            <w:shd w:val="clear" w:color="auto" w:fill="auto"/>
            <w:tcMar>
              <w:left w:w="0" w:type="dxa"/>
            </w:tcMar>
          </w:tcPr>
          <w:p w14:paraId="3F2AC155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6647AEFF" w14:textId="77777777" w:rsidR="003B7AFA" w:rsidRDefault="003B7AFA" w:rsidP="003B7AFA">
            <w:pPr>
              <w:spacing w:after="0"/>
            </w:pPr>
            <w:r w:rsidRPr="00D721B4">
              <w:rPr>
                <w:b/>
                <w:szCs w:val="20"/>
              </w:rPr>
              <w:t>Graf č. 2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výdajových složek k reálné změně HDP*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růst, příspěvky v p. b., HDP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3B7AFA" w:rsidRPr="009110F7" w14:paraId="36804586" w14:textId="77777777" w:rsidTr="003B7AFA">
        <w:tblPrEx>
          <w:tblCellMar>
            <w:left w:w="70" w:type="dxa"/>
            <w:right w:w="70" w:type="dxa"/>
          </w:tblCellMar>
        </w:tblPrEx>
        <w:trPr>
          <w:trHeight w:val="154"/>
        </w:trPr>
        <w:tc>
          <w:tcPr>
            <w:tcW w:w="1806" w:type="dxa"/>
            <w:vMerge/>
          </w:tcPr>
          <w:p w14:paraId="2235E988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/>
          </w:tcPr>
          <w:p w14:paraId="094CBDDB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</w:tcPr>
          <w:p w14:paraId="601C3DEB" w14:textId="77777777" w:rsidR="003B7AFA" w:rsidRDefault="003B7AFA" w:rsidP="003B7AF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74D6460" wp14:editId="5F107DE8">
                  <wp:extent cx="4737600" cy="3553200"/>
                  <wp:effectExtent l="0" t="0" r="6350" b="0"/>
                  <wp:docPr id="19" name="Graf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3B7AFA" w:rsidRPr="009110F7" w14:paraId="77D6F7DE" w14:textId="77777777" w:rsidTr="003B7AFA">
        <w:trPr>
          <w:trHeight w:val="154"/>
        </w:trPr>
        <w:tc>
          <w:tcPr>
            <w:tcW w:w="1806" w:type="dxa"/>
            <w:vMerge/>
            <w:tcMar>
              <w:left w:w="0" w:type="dxa"/>
            </w:tcMar>
          </w:tcPr>
          <w:p w14:paraId="71F807C2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534E94C3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08ADDD47" w14:textId="77777777" w:rsidR="003B7AFA" w:rsidRDefault="003B7AFA" w:rsidP="003B7AFA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Zdroj: ČSÚ</w:t>
            </w:r>
          </w:p>
          <w:p w14:paraId="110E9781" w14:textId="77777777" w:rsidR="003B7AFA" w:rsidRDefault="003B7AFA" w:rsidP="003B7AFA">
            <w:r>
              <w:rPr>
                <w:sz w:val="14"/>
                <w:szCs w:val="14"/>
              </w:rPr>
              <w:t>* po vyloučení dovozu pro konečné užití</w:t>
            </w:r>
          </w:p>
        </w:tc>
      </w:tr>
      <w:tr w:rsidR="003B7AFA" w:rsidRPr="009110F7" w14:paraId="42C26CFB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0CEFEED8" w14:textId="77777777" w:rsidR="003B7AFA" w:rsidRDefault="003B7AFA" w:rsidP="003B7AFA">
            <w:pPr>
              <w:pStyle w:val="Marginlie"/>
            </w:pPr>
            <w:r>
              <w:t>Bilance zahraničního obchodu dosáhla rekordně vysokého přebytku.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6BAA9D39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0B5E7BDC" w14:textId="77777777" w:rsidR="003B7AFA" w:rsidRDefault="003B7AFA" w:rsidP="003B7AFA">
            <w:r>
              <w:t>Na mírný útlum z konce loňského roku navázal zahraniční obchod se zbožím a službami novým reálným oživením, především v oblasti obchodu se zbožím. Vývoz</w:t>
            </w:r>
            <w:r w:rsidRPr="009110F7">
              <w:rPr>
                <w:rStyle w:val="Znakapoznpodarou"/>
              </w:rPr>
              <w:footnoteReference w:id="8"/>
            </w:r>
            <w:r>
              <w:t xml:space="preserve"> se celkově mezičtvrtletně zvýšil o 2,8 %: rostl jak export zboží (3,1 %), tak i služeb (1,0 %). Dovoz se zvýšil o 2,1 %, především pod vlivem importu zboží (2,8 %). Solidní byla v 1. čtvrtletí také meziroční dynamika exportu (3,6 %) – stejnou měrou se zvýšil vývoz zboží i služeb. Dovoz meziročně vzrostl o 4,6 %. Bilance zahraničního obchodu se zbožím a službami v 1. čtvrtletí dosáhla přebytku 140,8 mld. korun, což byl rekord pro toto období roku. Vysokou úroveň si ale přebytky zahraničního obchodu drží od konce roku 2023, takže se přebytek v 1. kvartálu meziročně zvýšil jen o 3,3 mld. korun, a to výhradně díky růstu kladného salda obchodu se zbožím (+3,4 mld.).  </w:t>
            </w:r>
          </w:p>
        </w:tc>
      </w:tr>
      <w:tr w:rsidR="003B7AFA" w:rsidRPr="009110F7" w14:paraId="4EEFC97C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37DBACA8" w14:textId="77777777" w:rsidR="003B7AFA" w:rsidRDefault="003B7AFA" w:rsidP="003B7AFA">
            <w:pPr>
              <w:pStyle w:val="Marginlie"/>
            </w:pPr>
            <w:r>
              <w:t>Dařilo se službám.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017B69D9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769861E0" w14:textId="77777777" w:rsidR="003B7AFA" w:rsidRDefault="003B7AFA" w:rsidP="003B7AFA">
            <w:r>
              <w:t>Hrubá přidaná hodnota (HPH) se v 1. čtvrtletí mezičtvrtletně zvýšila o 1,3 %. K růstu celkově silně přispěly služby, zejména peněžnictví a pojišťovnictví (mezičtvrtletní růst HPH o 5,9 %), ostatní činnosti (5,1 %) a informační a komunikační činnosti (2,0 %). Mezičtvrtletně rostly také profesní, vědecké, technické a administrativní činnosti (1,5 %) a v</w:t>
            </w:r>
            <w:r w:rsidRPr="007C34D4">
              <w:t>eřejná správa a obrana, vzdělávání, zdravotní a sociální péče</w:t>
            </w:r>
            <w:r>
              <w:t xml:space="preserve"> (1,2 %). Dařilo se stavebnictví (3,4 %) a vyšší byla i HPH v průmyslu jako celku (1,6 %), ačkoli samotný zpracovatelský průmysl v 1. čtvrtletí zaznamenal pokles HPH o 0,7 %. V rámci služeb </w:t>
            </w:r>
            <w:r>
              <w:lastRenderedPageBreak/>
              <w:t>mezičtvrtletně klesala HPH jen v uskupení obchod, doprava, ubytování a pohostinství (−0,6 %).</w:t>
            </w:r>
          </w:p>
        </w:tc>
      </w:tr>
      <w:tr w:rsidR="003B7AFA" w:rsidRPr="009110F7" w14:paraId="4734DBDD" w14:textId="77777777" w:rsidTr="003B7AFA">
        <w:trPr>
          <w:trHeight w:val="170"/>
        </w:trPr>
        <w:tc>
          <w:tcPr>
            <w:tcW w:w="1806" w:type="dxa"/>
            <w:vMerge w:val="restart"/>
            <w:shd w:val="clear" w:color="auto" w:fill="auto"/>
            <w:tcMar>
              <w:left w:w="0" w:type="dxa"/>
            </w:tcMar>
          </w:tcPr>
          <w:p w14:paraId="601169D8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 w:val="restart"/>
            <w:shd w:val="clear" w:color="auto" w:fill="auto"/>
            <w:tcMar>
              <w:left w:w="0" w:type="dxa"/>
            </w:tcMar>
          </w:tcPr>
          <w:p w14:paraId="17166E78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298B3C1" w14:textId="77777777" w:rsidR="003B7AFA" w:rsidRDefault="003B7AFA" w:rsidP="003B7AFA">
            <w:pPr>
              <w:spacing w:after="0"/>
            </w:pPr>
            <w:r w:rsidRPr="00D721B4">
              <w:rPr>
                <w:b/>
                <w:szCs w:val="20"/>
              </w:rPr>
              <w:t>Graf č. 3</w:t>
            </w:r>
            <w:r>
              <w:rPr>
                <w:b/>
                <w:szCs w:val="20"/>
              </w:rPr>
              <w:t xml:space="preserve"> </w:t>
            </w:r>
            <w:r w:rsidRPr="00D721B4">
              <w:rPr>
                <w:rFonts w:cs="Arial"/>
                <w:b/>
                <w:szCs w:val="20"/>
                <w:lang w:eastAsia="en-US"/>
              </w:rPr>
              <w:t xml:space="preserve">Příspěvky odvětví k reálné změně HPH </w:t>
            </w:r>
            <w:r w:rsidRPr="00D721B4">
              <w:rPr>
                <w:rFonts w:cs="Arial"/>
                <w:bCs/>
                <w:szCs w:val="20"/>
                <w:lang w:eastAsia="en-US"/>
              </w:rPr>
              <w:t>(objemové indexy, meziroční příspěvky v p. b., HPH v</w:t>
            </w:r>
            <w:r>
              <w:rPr>
                <w:rFonts w:cs="Arial"/>
                <w:bCs/>
                <w:szCs w:val="20"/>
                <w:lang w:eastAsia="en-US"/>
              </w:rPr>
              <w:t> %</w:t>
            </w:r>
            <w:r w:rsidRPr="00D721B4">
              <w:rPr>
                <w:rFonts w:cs="Arial"/>
                <w:bCs/>
                <w:szCs w:val="20"/>
                <w:lang w:eastAsia="en-US"/>
              </w:rPr>
              <w:t>)</w:t>
            </w:r>
          </w:p>
        </w:tc>
      </w:tr>
      <w:tr w:rsidR="003B7AFA" w:rsidRPr="009110F7" w14:paraId="206D3855" w14:textId="77777777" w:rsidTr="003B7AFA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6" w:type="dxa"/>
            <w:vMerge/>
          </w:tcPr>
          <w:p w14:paraId="51E38493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/>
          </w:tcPr>
          <w:p w14:paraId="2061ECB2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</w:tcPr>
          <w:p w14:paraId="67C234B7" w14:textId="77777777" w:rsidR="003B7AFA" w:rsidRDefault="003B7AFA" w:rsidP="003B7AFA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6BB0E9E" wp14:editId="212C7501">
                  <wp:extent cx="4737600" cy="3486525"/>
                  <wp:effectExtent l="0" t="0" r="6350" b="0"/>
                  <wp:docPr id="20" name="Graf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B7AFA" w:rsidRPr="009110F7" w14:paraId="00382BA6" w14:textId="77777777" w:rsidTr="003B7AFA">
        <w:trPr>
          <w:trHeight w:val="170"/>
        </w:trPr>
        <w:tc>
          <w:tcPr>
            <w:tcW w:w="1806" w:type="dxa"/>
            <w:vMerge/>
            <w:tcMar>
              <w:left w:w="0" w:type="dxa"/>
            </w:tcMar>
          </w:tcPr>
          <w:p w14:paraId="1916E548" w14:textId="77777777" w:rsidR="003B7AFA" w:rsidRDefault="003B7AFA" w:rsidP="003B7AFA">
            <w:pPr>
              <w:pStyle w:val="Marginlie"/>
            </w:pPr>
          </w:p>
        </w:tc>
        <w:tc>
          <w:tcPr>
            <w:tcW w:w="210" w:type="dxa"/>
            <w:vMerge/>
            <w:tcMar>
              <w:left w:w="0" w:type="dxa"/>
            </w:tcMar>
          </w:tcPr>
          <w:p w14:paraId="1E66AAD0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63B3B51E" w14:textId="77777777" w:rsidR="003B7AFA" w:rsidRDefault="003B7AFA" w:rsidP="003B7AFA">
            <w:r w:rsidRPr="00A85DE1">
              <w:rPr>
                <w:sz w:val="14"/>
                <w:szCs w:val="14"/>
              </w:rPr>
              <w:t>Zdroj: ČSÚ</w:t>
            </w:r>
          </w:p>
        </w:tc>
      </w:tr>
      <w:tr w:rsidR="003B7AFA" w:rsidRPr="009110F7" w14:paraId="60ECCB6A" w14:textId="77777777" w:rsidTr="003B7AFA">
        <w:trPr>
          <w:trHeight w:val="145"/>
        </w:trPr>
        <w:tc>
          <w:tcPr>
            <w:tcW w:w="1806" w:type="dxa"/>
            <w:shd w:val="clear" w:color="auto" w:fill="auto"/>
            <w:tcMar>
              <w:left w:w="0" w:type="dxa"/>
            </w:tcMar>
          </w:tcPr>
          <w:p w14:paraId="05EF3A6D" w14:textId="77777777" w:rsidR="003B7AFA" w:rsidRDefault="003B7AFA" w:rsidP="003B7AFA">
            <w:pPr>
              <w:pStyle w:val="Marginlie"/>
            </w:pPr>
            <w:r>
              <w:t>Stavebnictví zažívá po dlouhé době oživení.</w:t>
            </w:r>
          </w:p>
        </w:tc>
        <w:tc>
          <w:tcPr>
            <w:tcW w:w="210" w:type="dxa"/>
            <w:shd w:val="clear" w:color="auto" w:fill="auto"/>
            <w:tcMar>
              <w:left w:w="0" w:type="dxa"/>
            </w:tcMar>
          </w:tcPr>
          <w:p w14:paraId="45A12723" w14:textId="77777777" w:rsidR="003B7AFA" w:rsidRDefault="003B7AFA" w:rsidP="003B7AFA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623" w:type="dxa"/>
            <w:shd w:val="clear" w:color="auto" w:fill="auto"/>
            <w:tcMar>
              <w:left w:w="0" w:type="dxa"/>
            </w:tcMar>
          </w:tcPr>
          <w:p w14:paraId="52675320" w14:textId="77777777" w:rsidR="003B7AFA" w:rsidRDefault="003B7AFA" w:rsidP="003B7AFA">
            <w:r>
              <w:t>Meziroční růst HPH v 1. čtvrtletí 2025 posílil na 2,5 %. K meziročnímu navýšení HPH rovněž dominantně přispívala odvětví služeb, nejsilněji váhově významné uskupení obchod, doprava, ubytování a pohostinství (růst HPH o 2,8 %). Nejvíce se zvýšila HPH v peněžnictví a pojišťovnictví (8,4 %), ostatních činnostech (7,2 %) a v informačních a komunikačních činnostech (4,0 %) a meziroční přírůstek zaznamenaly i profesní, vědecké, technické a administrativní činnosti (2,8 %), činnosti v oblasti nemovitostí (2,2 %) a veřejná správa a obrana, vzdělávání, zdravotní a sociální péče (1,6 %). Posílil meziroční přírůstek HPH ve stavebnictví (3,8 %) a odvětví tak vzrostlo počtvrté v řadě.</w:t>
            </w:r>
            <w:r>
              <w:rPr>
                <w:rStyle w:val="Znakapoznpodarou"/>
              </w:rPr>
              <w:footnoteReference w:id="9"/>
            </w:r>
            <w:r>
              <w:t xml:space="preserve"> Jen mírný byl meziroční přírůstek HPH v průmyslu (1,4 %). Z toho zpracovatelský průmysl vzrostl o 1,0 %.</w:t>
            </w:r>
          </w:p>
        </w:tc>
      </w:tr>
    </w:tbl>
    <w:p w14:paraId="2143296F" w14:textId="1754FC9B" w:rsidR="00A50D73" w:rsidRPr="00A04CEF" w:rsidRDefault="00A50D73" w:rsidP="00473B0E">
      <w:pPr>
        <w:pStyle w:val="Nadpis1"/>
        <w:rPr>
          <w:sz w:val="2"/>
          <w:szCs w:val="2"/>
        </w:rPr>
      </w:pPr>
      <w:bookmarkStart w:id="6" w:name="_GoBack"/>
      <w:bookmarkEnd w:id="2"/>
      <w:bookmarkEnd w:id="3"/>
      <w:bookmarkEnd w:id="4"/>
      <w:bookmarkEnd w:id="0"/>
      <w:bookmarkEnd w:id="5"/>
      <w:bookmarkEnd w:id="6"/>
    </w:p>
    <w:sectPr w:rsidR="00A50D73" w:rsidRPr="00A04CEF" w:rsidSect="00473B0E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1AD60ADE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473B0E">
      <w:rPr>
        <w:szCs w:val="16"/>
      </w:rPr>
      <w:t>8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5B636B07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473B0E">
      <w:rPr>
        <w:rStyle w:val="ZpatChar"/>
        <w:szCs w:val="16"/>
      </w:rPr>
      <w:t>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41916448" w14:textId="77777777" w:rsidR="00A04CEF" w:rsidRPr="003879FE" w:rsidRDefault="00A04CEF" w:rsidP="003B7AFA">
      <w:pPr>
        <w:pStyle w:val="Textpoznpodarou"/>
        <w:rPr>
          <w:sz w:val="16"/>
          <w:szCs w:val="16"/>
        </w:rPr>
      </w:pPr>
      <w:r w:rsidRPr="000348AF">
        <w:rPr>
          <w:rStyle w:val="Znakapoznpodarou"/>
          <w:sz w:val="16"/>
          <w:szCs w:val="16"/>
        </w:rPr>
        <w:footnoteRef/>
      </w:r>
      <w:r w:rsidRPr="000348AF">
        <w:rPr>
          <w:sz w:val="16"/>
          <w:szCs w:val="16"/>
        </w:rPr>
        <w:t xml:space="preserve"> Vývoj HDP, hrubé přidané hodnoty a jejich složek je vyjádřen prostřednictvím objemových indexů (tj. očištěn o vliv cen) a po očištění o sezónní a kalendářní vlivy. Údaje jsou platné k</w:t>
      </w:r>
      <w:r>
        <w:rPr>
          <w:sz w:val="16"/>
          <w:szCs w:val="16"/>
        </w:rPr>
        <w:t xml:space="preserve"> 30. 5. </w:t>
      </w:r>
      <w:r w:rsidRPr="000348AF">
        <w:rPr>
          <w:sz w:val="16"/>
          <w:szCs w:val="16"/>
        </w:rPr>
        <w:t>202</w:t>
      </w:r>
      <w:r>
        <w:rPr>
          <w:sz w:val="16"/>
          <w:szCs w:val="16"/>
        </w:rPr>
        <w:t>5</w:t>
      </w:r>
      <w:r w:rsidRPr="000348AF">
        <w:rPr>
          <w:sz w:val="16"/>
          <w:szCs w:val="16"/>
        </w:rPr>
        <w:t>.</w:t>
      </w:r>
    </w:p>
  </w:footnote>
  <w:footnote w:id="2">
    <w:p w14:paraId="01C0EB7D" w14:textId="77777777" w:rsidR="00A04CEF" w:rsidRPr="009C6EA8" w:rsidRDefault="00A04CEF" w:rsidP="003B7AFA">
      <w:pPr>
        <w:pStyle w:val="Textpoznpodarou"/>
        <w:rPr>
          <w:sz w:val="16"/>
          <w:szCs w:val="16"/>
        </w:rPr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Příspěvky ke změně HDP po vyloučení dovozu pro konečné užití.</w:t>
      </w:r>
    </w:p>
  </w:footnote>
  <w:footnote w:id="3">
    <w:p w14:paraId="3FC0735A" w14:textId="77777777" w:rsidR="00A04CEF" w:rsidRDefault="00A04CEF" w:rsidP="003B7AFA">
      <w:pPr>
        <w:pStyle w:val="Textpoznpodarou"/>
      </w:pPr>
      <w:r w:rsidRPr="009C6EA8">
        <w:rPr>
          <w:rStyle w:val="Znakapoznpodarou"/>
          <w:sz w:val="16"/>
          <w:szCs w:val="16"/>
        </w:rPr>
        <w:footnoteRef/>
      </w:r>
      <w:r w:rsidRPr="009C6EA8">
        <w:rPr>
          <w:sz w:val="16"/>
          <w:szCs w:val="16"/>
        </w:rPr>
        <w:t xml:space="preserve"> </w:t>
      </w:r>
      <w:r>
        <w:rPr>
          <w:sz w:val="16"/>
          <w:szCs w:val="16"/>
        </w:rPr>
        <w:t>Zaměstnanost v</w:t>
      </w:r>
      <w:r w:rsidRPr="009C6EA8">
        <w:rPr>
          <w:sz w:val="16"/>
          <w:szCs w:val="16"/>
        </w:rPr>
        <w:t> pojetí národních účtů</w:t>
      </w:r>
      <w:r>
        <w:rPr>
          <w:sz w:val="16"/>
          <w:szCs w:val="16"/>
        </w:rPr>
        <w:t xml:space="preserve"> (osoby)</w:t>
      </w:r>
      <w:r w:rsidRPr="009C6EA8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údaj je </w:t>
      </w:r>
      <w:r w:rsidRPr="009C6EA8">
        <w:rPr>
          <w:sz w:val="16"/>
          <w:szCs w:val="16"/>
        </w:rPr>
        <w:t>sezónně očištěn</w:t>
      </w:r>
      <w:r w:rsidRPr="00004BA8">
        <w:rPr>
          <w:sz w:val="16"/>
        </w:rPr>
        <w:t>.</w:t>
      </w:r>
    </w:p>
  </w:footnote>
  <w:footnote w:id="4">
    <w:p w14:paraId="551610B8" w14:textId="77777777" w:rsidR="00A04CEF" w:rsidRPr="005F75B1" w:rsidRDefault="00A04CEF" w:rsidP="003B7AFA">
      <w:pPr>
        <w:pStyle w:val="Textpoznpodarou"/>
        <w:rPr>
          <w:sz w:val="16"/>
          <w:szCs w:val="16"/>
        </w:rPr>
      </w:pPr>
      <w:r w:rsidRPr="005F75B1">
        <w:rPr>
          <w:rStyle w:val="Znakapoznpodarou"/>
          <w:sz w:val="16"/>
          <w:szCs w:val="16"/>
        </w:rPr>
        <w:footnoteRef/>
      </w:r>
      <w:r w:rsidRPr="005F75B1">
        <w:rPr>
          <w:sz w:val="16"/>
          <w:szCs w:val="16"/>
        </w:rPr>
        <w:t xml:space="preserve"> Do reálného vyjádření převedeno s pomocí deflátoru spotřeby domácností.</w:t>
      </w:r>
    </w:p>
  </w:footnote>
  <w:footnote w:id="5">
    <w:p w14:paraId="4A8C588E" w14:textId="77777777" w:rsidR="00A04CEF" w:rsidRPr="0053191D" w:rsidRDefault="00A04CEF" w:rsidP="003B7AFA">
      <w:pPr>
        <w:pStyle w:val="Textpoznpodarou"/>
        <w:rPr>
          <w:sz w:val="16"/>
          <w:szCs w:val="16"/>
        </w:rPr>
      </w:pPr>
      <w:r w:rsidRPr="0053191D">
        <w:rPr>
          <w:rStyle w:val="Znakapoznpodarou"/>
          <w:sz w:val="16"/>
          <w:szCs w:val="16"/>
        </w:rPr>
        <w:footnoteRef/>
      </w:r>
      <w:r w:rsidRPr="0053191D">
        <w:rPr>
          <w:sz w:val="16"/>
          <w:szCs w:val="16"/>
        </w:rPr>
        <w:t xml:space="preserve"> Tato sekce zahrnuje činnosti organizací sdružujících osoby za účelem prosazování společných zájmů, opravy počítačů a výrobků pro osobní potřebu a převážně pro domácnost a řadu jiných osobních služeb</w:t>
      </w:r>
      <w:r>
        <w:rPr>
          <w:sz w:val="16"/>
          <w:szCs w:val="16"/>
        </w:rPr>
        <w:t xml:space="preserve"> (kosmetické, kadeřnické apod.).</w:t>
      </w:r>
    </w:p>
  </w:footnote>
  <w:footnote w:id="6">
    <w:p w14:paraId="052E2724" w14:textId="77777777" w:rsidR="00A04CEF" w:rsidRPr="00954992" w:rsidRDefault="00A04CEF" w:rsidP="003B7AFA">
      <w:pPr>
        <w:pStyle w:val="Textpoznpodarou"/>
        <w:rPr>
          <w:sz w:val="16"/>
          <w:szCs w:val="16"/>
        </w:rPr>
      </w:pPr>
      <w:r w:rsidRPr="00954992">
        <w:rPr>
          <w:rStyle w:val="Znakapoznpodarou"/>
          <w:sz w:val="16"/>
          <w:szCs w:val="16"/>
        </w:rPr>
        <w:footnoteRef/>
      </w:r>
      <w:r w:rsidRPr="00954992">
        <w:rPr>
          <w:sz w:val="16"/>
          <w:szCs w:val="16"/>
        </w:rPr>
        <w:t xml:space="preserve"> Údaje o</w:t>
      </w:r>
      <w:r>
        <w:rPr>
          <w:sz w:val="16"/>
          <w:szCs w:val="16"/>
        </w:rPr>
        <w:t> </w:t>
      </w:r>
      <w:r w:rsidRPr="00954992">
        <w:rPr>
          <w:sz w:val="16"/>
          <w:szCs w:val="16"/>
        </w:rPr>
        <w:t>spotřebě dle trvanlivosti jsou v domácím pojetí</w:t>
      </w:r>
      <w:r>
        <w:rPr>
          <w:sz w:val="16"/>
          <w:szCs w:val="16"/>
        </w:rPr>
        <w:t>.</w:t>
      </w:r>
    </w:p>
  </w:footnote>
  <w:footnote w:id="7">
    <w:p w14:paraId="56A0449A" w14:textId="77777777" w:rsidR="00A04CEF" w:rsidRPr="004831F6" w:rsidRDefault="00A04CEF" w:rsidP="003B7AFA">
      <w:pPr>
        <w:pStyle w:val="Textpoznpodarou"/>
        <w:rPr>
          <w:sz w:val="16"/>
          <w:szCs w:val="16"/>
        </w:rPr>
      </w:pPr>
      <w:r w:rsidRPr="004831F6">
        <w:rPr>
          <w:rStyle w:val="Znakapoznpodarou"/>
          <w:sz w:val="16"/>
          <w:szCs w:val="16"/>
        </w:rPr>
        <w:footnoteRef/>
      </w:r>
      <w:r w:rsidRPr="004831F6">
        <w:rPr>
          <w:sz w:val="16"/>
          <w:szCs w:val="16"/>
        </w:rPr>
        <w:t xml:space="preserve"> Změna zásob</w:t>
      </w:r>
      <w:r>
        <w:rPr>
          <w:sz w:val="16"/>
          <w:szCs w:val="16"/>
        </w:rPr>
        <w:t xml:space="preserve"> (v běžných cenách a sezónně neočištěná)</w:t>
      </w:r>
      <w:r w:rsidRPr="004831F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1. čtvrtletí 2025 činila −4,6 mld. korun. Ačkoli šlo o úbytek, oproti stejnému období roku 2024 (−18,2 mld.) i konci roku (−76,2 mld.) měl výsledek příznivý efekt na vývoj HDP. </w:t>
      </w:r>
    </w:p>
  </w:footnote>
  <w:footnote w:id="8">
    <w:p w14:paraId="5D74AE72" w14:textId="77777777" w:rsidR="00A04CEF" w:rsidRPr="00167B30" w:rsidRDefault="00A04CEF" w:rsidP="003B7AFA">
      <w:pPr>
        <w:pStyle w:val="Textpoznpodarou"/>
        <w:rPr>
          <w:sz w:val="16"/>
          <w:szCs w:val="16"/>
        </w:rPr>
      </w:pPr>
      <w:r w:rsidRPr="00167B30">
        <w:rPr>
          <w:rStyle w:val="Znakapoznpodarou"/>
          <w:sz w:val="16"/>
          <w:szCs w:val="16"/>
        </w:rPr>
        <w:footnoteRef/>
      </w:r>
      <w:r w:rsidRPr="00167B30">
        <w:rPr>
          <w:sz w:val="16"/>
          <w:szCs w:val="16"/>
        </w:rPr>
        <w:t xml:space="preserve"> Podle metodiky čtvrtletních národních účtů (vývoz a</w:t>
      </w:r>
      <w:r>
        <w:rPr>
          <w:sz w:val="16"/>
          <w:szCs w:val="16"/>
        </w:rPr>
        <w:t> </w:t>
      </w:r>
      <w:r w:rsidRPr="00167B30">
        <w:rPr>
          <w:sz w:val="16"/>
          <w:szCs w:val="16"/>
        </w:rPr>
        <w:t>dovoz v ocenění FOB/FOB)</w:t>
      </w:r>
      <w:r>
        <w:rPr>
          <w:sz w:val="16"/>
          <w:szCs w:val="16"/>
        </w:rPr>
        <w:t xml:space="preserve">. Bilance zahraničního obchodu v běžných cenách </w:t>
      </w:r>
      <w:r>
        <w:rPr>
          <w:sz w:val="16"/>
          <w:szCs w:val="16"/>
        </w:rPr>
        <w:br/>
        <w:t>a po sezónním očištění.</w:t>
      </w:r>
    </w:p>
  </w:footnote>
  <w:footnote w:id="9">
    <w:p w14:paraId="605537D5" w14:textId="77777777" w:rsidR="00A04CEF" w:rsidRPr="00146CFE" w:rsidRDefault="00A04CEF" w:rsidP="003B7AFA">
      <w:pPr>
        <w:pStyle w:val="Textpoznpodarou"/>
        <w:rPr>
          <w:sz w:val="16"/>
          <w:szCs w:val="16"/>
        </w:rPr>
      </w:pPr>
      <w:r w:rsidRPr="00146CFE">
        <w:rPr>
          <w:rStyle w:val="Znakapoznpodarou"/>
          <w:sz w:val="16"/>
          <w:szCs w:val="16"/>
        </w:rPr>
        <w:footnoteRef/>
      </w:r>
      <w:r w:rsidRPr="00146CFE">
        <w:rPr>
          <w:sz w:val="16"/>
          <w:szCs w:val="16"/>
        </w:rPr>
        <w:t xml:space="preserve"> Stavebnictví od 3. čtvrtletí 2018 do 1. čtvrtletí 2024 zaznamenalo nepřetržitou sérii meziročních poklesů HPH.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3B0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324257007767645E-2"/>
          <c:y val="2.3046636085626952E-2"/>
          <c:w val="0.92008633063154344"/>
          <c:h val="0.74192840256671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'souhrnná výkonnost 1'!$C$4</c:f>
              <c:strCache>
                <c:ptCount val="1"/>
                <c:pt idx="0">
                  <c:v>ČR meziroční změna</c:v>
                </c:pt>
              </c:strCache>
            </c:strRef>
          </c:tx>
          <c:spPr>
            <a:solidFill>
              <a:srgbClr val="A6A6A6"/>
            </a:solidFill>
            <a:ln>
              <a:noFill/>
            </a:ln>
          </c:spPr>
          <c:invertIfNegative val="0"/>
          <c:cat>
            <c:multiLvlStrRef>
              <c:f>'souhrnná výkonnost 1'!$A$13:$B$33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1'!$C$13:$C$33</c:f>
              <c:numCache>
                <c:formatCode>0.0</c:formatCode>
                <c:ptCount val="21"/>
                <c:pt idx="0">
                  <c:v>-1.5501786832516729</c:v>
                </c:pt>
                <c:pt idx="1">
                  <c:v>-10.594932915034789</c:v>
                </c:pt>
                <c:pt idx="2">
                  <c:v>-4.7011751782364399</c:v>
                </c:pt>
                <c:pt idx="3">
                  <c:v>-4.4366398308301314</c:v>
                </c:pt>
                <c:pt idx="4">
                  <c:v>-1.2288638498452684</c:v>
                </c:pt>
                <c:pt idx="5">
                  <c:v>9.7404575003667162</c:v>
                </c:pt>
                <c:pt idx="6">
                  <c:v>3.9736849039729805</c:v>
                </c:pt>
                <c:pt idx="7">
                  <c:v>3.9029603596385698</c:v>
                </c:pt>
                <c:pt idx="8">
                  <c:v>4.8437098358771209</c:v>
                </c:pt>
                <c:pt idx="9">
                  <c:v>3.6483773841026448</c:v>
                </c:pt>
                <c:pt idx="10">
                  <c:v>2.0520198238941418</c:v>
                </c:pt>
                <c:pt idx="11">
                  <c:v>0.95157210327245423</c:v>
                </c:pt>
                <c:pt idx="12">
                  <c:v>0.30014334247493935</c:v>
                </c:pt>
                <c:pt idx="13">
                  <c:v>0.20720793280359828</c:v>
                </c:pt>
                <c:pt idx="14">
                  <c:v>-0.34013313783994192</c:v>
                </c:pt>
                <c:pt idx="15">
                  <c:v>9.2684914641580463E-2</c:v>
                </c:pt>
                <c:pt idx="16">
                  <c:v>0.37034189234461223</c:v>
                </c:pt>
                <c:pt idx="17">
                  <c:v>0.42261187980723491</c:v>
                </c:pt>
                <c:pt idx="18">
                  <c:v>1.4259580488967316</c:v>
                </c:pt>
                <c:pt idx="19">
                  <c:v>1.7842298713041345</c:v>
                </c:pt>
                <c:pt idx="20">
                  <c:v>2.2382477887071843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71-49AB-AB42-5E37F36F01B4}"/>
            </c:ext>
          </c:extLst>
        </c:ser>
        <c:ser>
          <c:idx val="1"/>
          <c:order val="1"/>
          <c:tx>
            <c:strRef>
              <c:f>'souhrnná výkonnost 1'!$D$4</c:f>
              <c:strCache>
                <c:ptCount val="1"/>
                <c:pt idx="0">
                  <c:v>EU27 meziroční změna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</c:spPr>
          <c:invertIfNegative val="0"/>
          <c:cat>
            <c:multiLvlStrRef>
              <c:f>'souhrnná výkonnost 1'!$A$13:$B$33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1'!$D$13:$D$33</c:f>
              <c:numCache>
                <c:formatCode>#\ ##0.##########</c:formatCode>
                <c:ptCount val="21"/>
                <c:pt idx="0">
                  <c:v>-2.2000000000000002</c:v>
                </c:pt>
                <c:pt idx="1">
                  <c:v>-13.1</c:v>
                </c:pt>
                <c:pt idx="2">
                  <c:v>-3.9</c:v>
                </c:pt>
                <c:pt idx="3">
                  <c:v>-3.6</c:v>
                </c:pt>
                <c:pt idx="4">
                  <c:v>0.2</c:v>
                </c:pt>
                <c:pt idx="5">
                  <c:v>14.7</c:v>
                </c:pt>
                <c:pt idx="6">
                  <c:v>5.2</c:v>
                </c:pt>
                <c:pt idx="7">
                  <c:v>5.8</c:v>
                </c:pt>
                <c:pt idx="8">
                  <c:v>5.6</c:v>
                </c:pt>
                <c:pt idx="9">
                  <c:v>4.0999999999999996</c:v>
                </c:pt>
                <c:pt idx="10">
                  <c:v>2.9</c:v>
                </c:pt>
                <c:pt idx="11">
                  <c:v>1.8</c:v>
                </c:pt>
                <c:pt idx="12">
                  <c:v>1.3</c:v>
                </c:pt>
                <c:pt idx="13">
                  <c:v>0.6</c:v>
                </c:pt>
                <c:pt idx="14">
                  <c:v>0.3</c:v>
                </c:pt>
                <c:pt idx="15">
                  <c:v>0.4</c:v>
                </c:pt>
                <c:pt idx="16">
                  <c:v>0.6</c:v>
                </c:pt>
                <c:pt idx="17">
                  <c:v>0.8</c:v>
                </c:pt>
                <c:pt idx="18" formatCode="#\ ##0.0">
                  <c:v>1</c:v>
                </c:pt>
                <c:pt idx="19">
                  <c:v>1.4</c:v>
                </c:pt>
                <c:pt idx="20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71-49AB-AB42-5E37F36F0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7753344"/>
        <c:axId val="267767808"/>
      </c:barChart>
      <c:lineChart>
        <c:grouping val="standard"/>
        <c:varyColors val="0"/>
        <c:ser>
          <c:idx val="2"/>
          <c:order val="2"/>
          <c:tx>
            <c:strRef>
              <c:f>'souhrnná výkonnost 1'!$E$4</c:f>
              <c:strCache>
                <c:ptCount val="1"/>
                <c:pt idx="0">
                  <c:v>ČR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0071BC"/>
              </a:solidFill>
              <a:ln>
                <a:noFill/>
              </a:ln>
            </c:spPr>
          </c:marker>
          <c:cat>
            <c:multiLvlStrRef>
              <c:f>'souhrnná výkonnost 1'!$A$13:$B$33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1'!$E$13:$E$33</c:f>
              <c:numCache>
                <c:formatCode>0.0</c:formatCode>
                <c:ptCount val="21"/>
                <c:pt idx="0">
                  <c:v>-3.4680711506351827</c:v>
                </c:pt>
                <c:pt idx="1">
                  <c:v>-8.7358630828085069</c:v>
                </c:pt>
                <c:pt idx="2">
                  <c:v>7.3756119585801656</c:v>
                </c:pt>
                <c:pt idx="3">
                  <c:v>1.0216888693163071</c:v>
                </c:pt>
                <c:pt idx="4">
                  <c:v>-0.22778321796964462</c:v>
                </c:pt>
                <c:pt idx="5">
                  <c:v>1.3997462117176838</c:v>
                </c:pt>
                <c:pt idx="6">
                  <c:v>1.7331100894615759</c:v>
                </c:pt>
                <c:pt idx="7">
                  <c:v>0.95297231935684579</c:v>
                </c:pt>
                <c:pt idx="8">
                  <c:v>0.67556602593998605</c:v>
                </c:pt>
                <c:pt idx="9">
                  <c:v>0.24367869523720742</c:v>
                </c:pt>
                <c:pt idx="10">
                  <c:v>0.16625083402912821</c:v>
                </c:pt>
                <c:pt idx="11">
                  <c:v>-0.13562414811659096</c:v>
                </c:pt>
                <c:pt idx="12">
                  <c:v>2.5918300278277684E-2</c:v>
                </c:pt>
                <c:pt idx="13">
                  <c:v>0.15079560418620019</c:v>
                </c:pt>
                <c:pt idx="14">
                  <c:v>-0.38086652513939612</c:v>
                </c:pt>
                <c:pt idx="15">
                  <c:v>0.29808207716142476</c:v>
                </c:pt>
                <c:pt idx="16">
                  <c:v>0.30339006747995256</c:v>
                </c:pt>
                <c:pt idx="17">
                  <c:v>0.20295125825600735</c:v>
                </c:pt>
                <c:pt idx="18">
                  <c:v>0.61445190035271935</c:v>
                </c:pt>
                <c:pt idx="19">
                  <c:v>0.65236984866491809</c:v>
                </c:pt>
                <c:pt idx="20">
                  <c:v>0.75080256276022794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71-49AB-AB42-5E37F36F01B4}"/>
            </c:ext>
          </c:extLst>
        </c:ser>
        <c:ser>
          <c:idx val="3"/>
          <c:order val="3"/>
          <c:tx>
            <c:strRef>
              <c:f>'souhrnná výkonnost 1'!$F$4</c:f>
              <c:strCache>
                <c:ptCount val="1"/>
                <c:pt idx="0">
                  <c:v>EU27 mezičtvrtletní změna</c:v>
                </c:pt>
              </c:strCache>
            </c:strRef>
          </c:tx>
          <c:spPr>
            <a:ln w="19050">
              <a:noFill/>
            </a:ln>
          </c:spPr>
          <c:marker>
            <c:symbol val="dash"/>
            <c:size val="8"/>
            <c:spPr>
              <a:solidFill>
                <a:srgbClr val="BD1B21"/>
              </a:solidFill>
              <a:ln>
                <a:noFill/>
              </a:ln>
            </c:spPr>
          </c:marker>
          <c:cat>
            <c:multiLvlStrRef>
              <c:f>'souhrnná výkonnost 1'!$A$13:$B$33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1'!$F$13:$F$33</c:f>
              <c:numCache>
                <c:formatCode>#\ ##0.##########</c:formatCode>
                <c:ptCount val="21"/>
                <c:pt idx="0" formatCode="#\ ##0.0">
                  <c:v>-3</c:v>
                </c:pt>
                <c:pt idx="1">
                  <c:v>-10.8</c:v>
                </c:pt>
                <c:pt idx="2">
                  <c:v>10.8</c:v>
                </c:pt>
                <c:pt idx="3">
                  <c:v>0.5</c:v>
                </c:pt>
                <c:pt idx="4">
                  <c:v>0.8</c:v>
                </c:pt>
                <c:pt idx="5">
                  <c:v>2.2000000000000002</c:v>
                </c:pt>
                <c:pt idx="6">
                  <c:v>1.7</c:v>
                </c:pt>
                <c:pt idx="7" formatCode="#\ ##0.0">
                  <c:v>1</c:v>
                </c:pt>
                <c:pt idx="8">
                  <c:v>0.6</c:v>
                </c:pt>
                <c:pt idx="9">
                  <c:v>0.8</c:v>
                </c:pt>
                <c:pt idx="10">
                  <c:v>0.5</c:v>
                </c:pt>
                <c:pt idx="11">
                  <c:v>-0.1</c:v>
                </c:pt>
                <c:pt idx="12">
                  <c:v>0.1</c:v>
                </c:pt>
                <c:pt idx="13">
                  <c:v>0.1</c:v>
                </c:pt>
                <c:pt idx="14">
                  <c:v>0.2</c:v>
                </c:pt>
                <c:pt idx="15">
                  <c:v>0.1</c:v>
                </c:pt>
                <c:pt idx="16">
                  <c:v>0.3</c:v>
                </c:pt>
                <c:pt idx="17">
                  <c:v>0.3</c:v>
                </c:pt>
                <c:pt idx="18">
                  <c:v>0.4</c:v>
                </c:pt>
                <c:pt idx="19">
                  <c:v>0.4</c:v>
                </c:pt>
                <c:pt idx="20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871-49AB-AB42-5E37F36F0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753344"/>
        <c:axId val="267767808"/>
      </c:lineChart>
      <c:catAx>
        <c:axId val="267753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767808"/>
        <c:crosses val="autoZero"/>
        <c:auto val="1"/>
        <c:lblAlgn val="ctr"/>
        <c:lblOffset val="100"/>
        <c:noMultiLvlLbl val="0"/>
      </c:catAx>
      <c:valAx>
        <c:axId val="267767808"/>
        <c:scaling>
          <c:orientation val="minMax"/>
          <c:max val="15"/>
          <c:min val="-1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75334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8431906450523471E-2"/>
          <c:y val="0.89437255125717996"/>
          <c:w val="0.91838441404930771"/>
          <c:h val="9.0301755758791014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629137115839245E-2"/>
          <c:y val="2.8458510079622041E-2"/>
          <c:w val="0.93688386524822698"/>
          <c:h val="0.67476668918158278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'souhrnná výkonnost 3'!$F$5</c:f>
              <c:strCache>
                <c:ptCount val="1"/>
                <c:pt idx="0">
                  <c:v>Bilance zahraničního obchodu</c:v>
                </c:pt>
              </c:strCache>
            </c:strRef>
          </c:tx>
          <c:spPr>
            <a:solidFill>
              <a:srgbClr val="7DBB2D"/>
            </a:solidFill>
            <a:ln>
              <a:noFill/>
            </a:ln>
          </c:spPr>
          <c:invertIfNegative val="0"/>
          <c:cat>
            <c:multiLvlStrRef>
              <c:f>'souhrnná výkonnost 3'!$A$14:$B$34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3'!$F$14:$F$34</c:f>
              <c:numCache>
                <c:formatCode>#\ ##0.0</c:formatCode>
                <c:ptCount val="21"/>
                <c:pt idx="0">
                  <c:v>-1.5054961152095412</c:v>
                </c:pt>
                <c:pt idx="1">
                  <c:v>-8.5652935026312509</c:v>
                </c:pt>
                <c:pt idx="2">
                  <c:v>-0.91701615307186923</c:v>
                </c:pt>
                <c:pt idx="3">
                  <c:v>1.6441945082634004</c:v>
                </c:pt>
                <c:pt idx="4">
                  <c:v>0.90880127021110413</c:v>
                </c:pt>
                <c:pt idx="5">
                  <c:v>6.124141351147399</c:v>
                </c:pt>
                <c:pt idx="6">
                  <c:v>-3.6522086207896334</c:v>
                </c:pt>
                <c:pt idx="7">
                  <c:v>-3.5019135769376728</c:v>
                </c:pt>
                <c:pt idx="8">
                  <c:v>-1.6832006565895616</c:v>
                </c:pt>
                <c:pt idx="9">
                  <c:v>-0.3806378126415233</c:v>
                </c:pt>
                <c:pt idx="10">
                  <c:v>3.408239118939032</c:v>
                </c:pt>
                <c:pt idx="11">
                  <c:v>1.4700226511684527</c:v>
                </c:pt>
                <c:pt idx="12">
                  <c:v>1.022488471508463</c:v>
                </c:pt>
                <c:pt idx="13">
                  <c:v>1.5790857204776438</c:v>
                </c:pt>
                <c:pt idx="14">
                  <c:v>-0.52223441293462458</c:v>
                </c:pt>
                <c:pt idx="15">
                  <c:v>1.6834125414664634</c:v>
                </c:pt>
                <c:pt idx="16">
                  <c:v>0.81363934504165614</c:v>
                </c:pt>
                <c:pt idx="17">
                  <c:v>0.2262941194985631</c:v>
                </c:pt>
                <c:pt idx="18">
                  <c:v>4.7891761749056627E-2</c:v>
                </c:pt>
                <c:pt idx="19">
                  <c:v>-1.6544795380109152</c:v>
                </c:pt>
                <c:pt idx="20">
                  <c:v>-0.66286470301035028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84-4E39-9995-EE65C68B0E20}"/>
            </c:ext>
          </c:extLst>
        </c:ser>
        <c:ser>
          <c:idx val="2"/>
          <c:order val="2"/>
          <c:tx>
            <c:strRef>
              <c:f>'souhrnná výkonnost 3'!$H$5</c:f>
              <c:strCache>
                <c:ptCount val="1"/>
                <c:pt idx="0">
                  <c:v>Změna zásob</c:v>
                </c:pt>
              </c:strCache>
            </c:strRef>
          </c:tx>
          <c:spPr>
            <a:solidFill>
              <a:srgbClr val="E8AFB2"/>
            </a:solidFill>
            <a:ln>
              <a:noFill/>
            </a:ln>
          </c:spPr>
          <c:invertIfNegative val="0"/>
          <c:cat>
            <c:multiLvlStrRef>
              <c:f>'souhrnná výkonnost 3'!$A$14:$B$34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3'!$H$14:$H$34</c:f>
              <c:numCache>
                <c:formatCode>#\ ##0.0</c:formatCode>
                <c:ptCount val="21"/>
                <c:pt idx="0">
                  <c:v>-0.40340689033643318</c:v>
                </c:pt>
                <c:pt idx="1">
                  <c:v>0.49746610716149758</c:v>
                </c:pt>
                <c:pt idx="2">
                  <c:v>-1.209597715652736</c:v>
                </c:pt>
                <c:pt idx="3">
                  <c:v>-2.2124027001017974</c:v>
                </c:pt>
                <c:pt idx="4">
                  <c:v>0.41264966656715685</c:v>
                </c:pt>
                <c:pt idx="5">
                  <c:v>0.57206005966288753</c:v>
                </c:pt>
                <c:pt idx="6">
                  <c:v>2.5716584196045469</c:v>
                </c:pt>
                <c:pt idx="7">
                  <c:v>1.3737502139548177</c:v>
                </c:pt>
                <c:pt idx="8">
                  <c:v>0.60915917645428019</c:v>
                </c:pt>
                <c:pt idx="9">
                  <c:v>1.6317613698141717</c:v>
                </c:pt>
                <c:pt idx="10">
                  <c:v>-0.7854278742999391</c:v>
                </c:pt>
                <c:pt idx="11">
                  <c:v>1.1886488133455293</c:v>
                </c:pt>
                <c:pt idx="12">
                  <c:v>0.46116231627019716</c:v>
                </c:pt>
                <c:pt idx="13">
                  <c:v>-1.2917995308852055</c:v>
                </c:pt>
                <c:pt idx="14">
                  <c:v>-0.14316789428080012</c:v>
                </c:pt>
                <c:pt idx="15">
                  <c:v>-3.4609784581327441</c:v>
                </c:pt>
                <c:pt idx="16">
                  <c:v>-2.7015457994692378</c:v>
                </c:pt>
                <c:pt idx="17">
                  <c:v>-1.5020085355293893</c:v>
                </c:pt>
                <c:pt idx="18">
                  <c:v>-0.59432165629001166</c:v>
                </c:pt>
                <c:pt idx="19">
                  <c:v>1.7308347187458406</c:v>
                </c:pt>
                <c:pt idx="20">
                  <c:v>1.2891168893980209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84-4E39-9995-EE65C68B0E20}"/>
            </c:ext>
          </c:extLst>
        </c:ser>
        <c:ser>
          <c:idx val="3"/>
          <c:order val="3"/>
          <c:tx>
            <c:strRef>
              <c:f>'souhrnná výkonnost 3'!$G$5</c:f>
              <c:strCache>
                <c:ptCount val="1"/>
                <c:pt idx="0">
                  <c:v>Tvorba hrubého fixního kapitálu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'souhrnná výkonnost 3'!$A$14:$B$34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3'!$G$14:$G$34</c:f>
              <c:numCache>
                <c:formatCode>#\ ##0.0</c:formatCode>
                <c:ptCount val="21"/>
                <c:pt idx="0">
                  <c:v>-0.26111659305966983</c:v>
                </c:pt>
                <c:pt idx="1">
                  <c:v>0.14044234588323476</c:v>
                </c:pt>
                <c:pt idx="2">
                  <c:v>-1.1114194663634265</c:v>
                </c:pt>
                <c:pt idx="3">
                  <c:v>-1.2151629007980274</c:v>
                </c:pt>
                <c:pt idx="4">
                  <c:v>0.15781509790362797</c:v>
                </c:pt>
                <c:pt idx="5">
                  <c:v>7.3809702465127386E-2</c:v>
                </c:pt>
                <c:pt idx="6">
                  <c:v>1.9668146761327148</c:v>
                </c:pt>
                <c:pt idx="7">
                  <c:v>2.0385637566612256</c:v>
                </c:pt>
                <c:pt idx="8">
                  <c:v>2.1230773688868023</c:v>
                </c:pt>
                <c:pt idx="9">
                  <c:v>1.4912941413364145</c:v>
                </c:pt>
                <c:pt idx="10">
                  <c:v>0.94577481141240138</c:v>
                </c:pt>
                <c:pt idx="11">
                  <c:v>0.73322343987834782</c:v>
                </c:pt>
                <c:pt idx="12">
                  <c:v>0.4931548683888316</c:v>
                </c:pt>
                <c:pt idx="13">
                  <c:v>0.88885696316389462</c:v>
                </c:pt>
                <c:pt idx="14">
                  <c:v>0.75388563584657375</c:v>
                </c:pt>
                <c:pt idx="15">
                  <c:v>0.85504091001870042</c:v>
                </c:pt>
                <c:pt idx="16">
                  <c:v>0.17807308743022188</c:v>
                </c:pt>
                <c:pt idx="17">
                  <c:v>-0.17717294664922381</c:v>
                </c:pt>
                <c:pt idx="18">
                  <c:v>-0.23011741416303724</c:v>
                </c:pt>
                <c:pt idx="19">
                  <c:v>-0.87836264461706726</c:v>
                </c:pt>
                <c:pt idx="20">
                  <c:v>-0.25148696710586277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84-4E39-9995-EE65C68B0E20}"/>
            </c:ext>
          </c:extLst>
        </c:ser>
        <c:ser>
          <c:idx val="5"/>
          <c:order val="4"/>
          <c:tx>
            <c:strRef>
              <c:f>'souhrnná výkonnost 3'!$D$5</c:f>
              <c:strCache>
                <c:ptCount val="1"/>
                <c:pt idx="0">
                  <c:v>Výdaje na konečnou spotřebu domácností (vč. nezisk. inst.)</c:v>
                </c:pt>
              </c:strCache>
            </c:strRef>
          </c:tx>
          <c:spPr>
            <a:solidFill>
              <a:srgbClr val="0071BC"/>
            </a:solidFill>
            <a:ln>
              <a:noFill/>
            </a:ln>
          </c:spPr>
          <c:invertIfNegative val="0"/>
          <c:cat>
            <c:multiLvlStrRef>
              <c:f>'souhrnná výkonnost 3'!$A$14:$B$34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3'!$D$14:$D$34</c:f>
              <c:numCache>
                <c:formatCode>#\ ##0.0</c:formatCode>
                <c:ptCount val="21"/>
                <c:pt idx="0">
                  <c:v>-0.2398228716655057</c:v>
                </c:pt>
                <c:pt idx="1">
                  <c:v>-3.2567035122644707</c:v>
                </c:pt>
                <c:pt idx="2">
                  <c:v>-1.7740710022653545</c:v>
                </c:pt>
                <c:pt idx="3">
                  <c:v>-4.0888509658039061</c:v>
                </c:pt>
                <c:pt idx="4">
                  <c:v>-2.6303429796363251</c:v>
                </c:pt>
                <c:pt idx="5">
                  <c:v>3.0130078291252422</c:v>
                </c:pt>
                <c:pt idx="6">
                  <c:v>1.9847068901687124</c:v>
                </c:pt>
                <c:pt idx="7">
                  <c:v>3.7365176773416025</c:v>
                </c:pt>
                <c:pt idx="8">
                  <c:v>3.291044005952056</c:v>
                </c:pt>
                <c:pt idx="9">
                  <c:v>0.17808535886856286</c:v>
                </c:pt>
                <c:pt idx="10">
                  <c:v>-1.2688125161868613</c:v>
                </c:pt>
                <c:pt idx="11">
                  <c:v>-2.1014518367129478</c:v>
                </c:pt>
                <c:pt idx="12">
                  <c:v>-2.2945919860755861</c:v>
                </c:pt>
                <c:pt idx="13">
                  <c:v>-1.454021228197774</c:v>
                </c:pt>
                <c:pt idx="14">
                  <c:v>-1.0668314458195665</c:v>
                </c:pt>
                <c:pt idx="15">
                  <c:v>0.21502428719941008</c:v>
                </c:pt>
                <c:pt idx="16">
                  <c:v>1.6172563556043136</c:v>
                </c:pt>
                <c:pt idx="17">
                  <c:v>1.0527472753135581</c:v>
                </c:pt>
                <c:pt idx="18">
                  <c:v>1.4720777793071906</c:v>
                </c:pt>
                <c:pt idx="19">
                  <c:v>1.9089629991514188</c:v>
                </c:pt>
                <c:pt idx="20">
                  <c:v>1.4503574527475016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C84-4E39-9995-EE65C68B0E20}"/>
            </c:ext>
          </c:extLst>
        </c:ser>
        <c:ser>
          <c:idx val="4"/>
          <c:order val="5"/>
          <c:tx>
            <c:strRef>
              <c:f>'souhrnná výkonnost 3'!$E$5</c:f>
              <c:strCache>
                <c:ptCount val="1"/>
                <c:pt idx="0">
                  <c:v>Výdaje na konečnou spotřebu vládních institucí</c:v>
                </c:pt>
              </c:strCache>
            </c:strRef>
          </c:tx>
          <c:spPr>
            <a:solidFill>
              <a:srgbClr val="A6CDE8"/>
            </a:solidFill>
            <a:ln>
              <a:noFill/>
            </a:ln>
          </c:spPr>
          <c:invertIfNegative val="0"/>
          <c:cat>
            <c:multiLvlStrRef>
              <c:f>'souhrnná výkonnost 3'!$A$14:$B$34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3'!$E$14:$E$34</c:f>
              <c:numCache>
                <c:formatCode>#\ ##0.0</c:formatCode>
                <c:ptCount val="21"/>
                <c:pt idx="0">
                  <c:v>0.85273575497086629</c:v>
                </c:pt>
                <c:pt idx="1">
                  <c:v>0.57219907272847048</c:v>
                </c:pt>
                <c:pt idx="2">
                  <c:v>0.31382004358461796</c:v>
                </c:pt>
                <c:pt idx="3">
                  <c:v>1.4192241054465731</c:v>
                </c:pt>
                <c:pt idx="4">
                  <c:v>-0.12340214907979793</c:v>
                </c:pt>
                <c:pt idx="5">
                  <c:v>-7.2907474861005656E-2</c:v>
                </c:pt>
                <c:pt idx="6">
                  <c:v>1.000714083725422</c:v>
                </c:pt>
                <c:pt idx="7">
                  <c:v>8.8247719969204746E-2</c:v>
                </c:pt>
                <c:pt idx="8">
                  <c:v>0.37181697618378928</c:v>
                </c:pt>
                <c:pt idx="9">
                  <c:v>0.57371034145730837</c:v>
                </c:pt>
                <c:pt idx="10">
                  <c:v>-0.32873762938072321</c:v>
                </c:pt>
                <c:pt idx="11">
                  <c:v>-0.30389432882498219</c:v>
                </c:pt>
                <c:pt idx="12">
                  <c:v>0.57576369173096276</c:v>
                </c:pt>
                <c:pt idx="13">
                  <c:v>0.516983415992749</c:v>
                </c:pt>
                <c:pt idx="14">
                  <c:v>0.66195062797324855</c:v>
                </c:pt>
                <c:pt idx="15">
                  <c:v>0.72202480637229571</c:v>
                </c:pt>
                <c:pt idx="16">
                  <c:v>0.47847634104154757</c:v>
                </c:pt>
                <c:pt idx="17">
                  <c:v>0.75875368347751848</c:v>
                </c:pt>
                <c:pt idx="18">
                  <c:v>0.65518379879968203</c:v>
                </c:pt>
                <c:pt idx="19">
                  <c:v>0.64049681084681154</c:v>
                </c:pt>
                <c:pt idx="20">
                  <c:v>0.35099215819057489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84-4E39-9995-EE65C68B0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267591040"/>
        <c:axId val="267605120"/>
      </c:barChart>
      <c:lineChart>
        <c:grouping val="standard"/>
        <c:varyColors val="0"/>
        <c:ser>
          <c:idx val="0"/>
          <c:order val="0"/>
          <c:tx>
            <c:strRef>
              <c:f>'souhrnná výkonnost 3'!$C$5</c:f>
              <c:strCache>
                <c:ptCount val="1"/>
                <c:pt idx="0">
                  <c:v>HDP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'souhrnná výkonnost 3'!$A$14:$B$34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3'!$C$14:$C$34</c:f>
              <c:numCache>
                <c:formatCode>#\ ##0.0</c:formatCode>
                <c:ptCount val="21"/>
                <c:pt idx="0">
                  <c:v>-1.5502005609675251</c:v>
                </c:pt>
                <c:pt idx="1">
                  <c:v>-10.594910497246218</c:v>
                </c:pt>
                <c:pt idx="2">
                  <c:v>-4.701156102682063</c:v>
                </c:pt>
                <c:pt idx="3">
                  <c:v>-4.4366371482296927</c:v>
                </c:pt>
                <c:pt idx="4">
                  <c:v>-1.2288405930294743</c:v>
                </c:pt>
                <c:pt idx="5">
                  <c:v>9.7404194240672268</c:v>
                </c:pt>
                <c:pt idx="6">
                  <c:v>3.9736917575390152</c:v>
                </c:pt>
                <c:pt idx="7">
                  <c:v>3.9029621018868283</c:v>
                </c:pt>
                <c:pt idx="8">
                  <c:v>4.8436882638427221</c:v>
                </c:pt>
                <c:pt idx="9">
                  <c:v>3.6483483455527903</c:v>
                </c:pt>
                <c:pt idx="10">
                  <c:v>2.0520278440471884</c:v>
                </c:pt>
                <c:pt idx="11">
                  <c:v>0.95155160469528255</c:v>
                </c:pt>
                <c:pt idx="12">
                  <c:v>0.30013556583948287</c:v>
                </c:pt>
                <c:pt idx="13">
                  <c:v>0.20721692275813552</c:v>
                </c:pt>
                <c:pt idx="14">
                  <c:v>-0.34015544290339506</c:v>
                </c:pt>
                <c:pt idx="15">
                  <c:v>9.2674126345954733E-2</c:v>
                </c:pt>
                <c:pt idx="16">
                  <c:v>0.37034401085898594</c:v>
                </c:pt>
                <c:pt idx="17">
                  <c:v>0.42260383115564082</c:v>
                </c:pt>
                <c:pt idx="18">
                  <c:v>1.4259971183149105</c:v>
                </c:pt>
                <c:pt idx="19">
                  <c:v>1.7842314080088499</c:v>
                </c:pt>
                <c:pt idx="20">
                  <c:v>2.2382677476209096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C84-4E39-9995-EE65C68B0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591040"/>
        <c:axId val="267605120"/>
      </c:lineChart>
      <c:catAx>
        <c:axId val="26759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7605120"/>
        <c:crosses val="autoZero"/>
        <c:auto val="1"/>
        <c:lblAlgn val="ctr"/>
        <c:lblOffset val="100"/>
        <c:noMultiLvlLbl val="0"/>
      </c:catAx>
      <c:valAx>
        <c:axId val="267605120"/>
        <c:scaling>
          <c:orientation val="minMax"/>
          <c:max val="10"/>
          <c:min val="-12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7591040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71766295170556E-2"/>
          <c:y val="0.81445992344928519"/>
          <c:w val="0.94432624113475194"/>
          <c:h val="0.17481734774287963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26857480580882E-2"/>
          <c:y val="2.9499886988623526E-2"/>
          <c:w val="0.9260266801756164"/>
          <c:h val="0.63445260610154264"/>
        </c:manualLayout>
      </c:layout>
      <c:barChart>
        <c:barDir val="col"/>
        <c:grouping val="stacked"/>
        <c:varyColors val="0"/>
        <c:ser>
          <c:idx val="4"/>
          <c:order val="0"/>
          <c:tx>
            <c:strRef>
              <c:f>'souhrnná výkonnost 4'!$C$5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0071BC"/>
            </a:solidFill>
            <a:ln>
              <a:noFill/>
            </a:ln>
          </c:spPr>
          <c:invertIfNegative val="0"/>
          <c:val>
            <c:numRef>
              <c:f>'souhrnná výkonnost 4'!$C$14:$C$34</c:f>
              <c:numCache>
                <c:formatCode>#\ ##0.0</c:formatCode>
                <c:ptCount val="21"/>
                <c:pt idx="0">
                  <c:v>0.15822035579434848</c:v>
                </c:pt>
                <c:pt idx="1">
                  <c:v>0.16572640891485885</c:v>
                </c:pt>
                <c:pt idx="2">
                  <c:v>0.14884192396827553</c:v>
                </c:pt>
                <c:pt idx="3">
                  <c:v>0.10349029376913045</c:v>
                </c:pt>
                <c:pt idx="4">
                  <c:v>-0.20943707470562339</c:v>
                </c:pt>
                <c:pt idx="5">
                  <c:v>-0.34449179443466599</c:v>
                </c:pt>
                <c:pt idx="6">
                  <c:v>-0.32209602561974893</c:v>
                </c:pt>
                <c:pt idx="7">
                  <c:v>-0.29333634112949242</c:v>
                </c:pt>
                <c:pt idx="8">
                  <c:v>1.4650416130809454E-3</c:v>
                </c:pt>
                <c:pt idx="9">
                  <c:v>7.8507188492409424E-2</c:v>
                </c:pt>
                <c:pt idx="10">
                  <c:v>3.9960777137645544E-2</c:v>
                </c:pt>
                <c:pt idx="11">
                  <c:v>-2.0459404335135881E-2</c:v>
                </c:pt>
                <c:pt idx="12">
                  <c:v>-5.0267327237084186E-3</c:v>
                </c:pt>
                <c:pt idx="13">
                  <c:v>-3.4632234183758916E-2</c:v>
                </c:pt>
                <c:pt idx="14">
                  <c:v>-3.175825508507444E-2</c:v>
                </c:pt>
                <c:pt idx="15">
                  <c:v>-2.2300326799825753E-2</c:v>
                </c:pt>
                <c:pt idx="16">
                  <c:v>3.47097137298885E-2</c:v>
                </c:pt>
                <c:pt idx="17">
                  <c:v>-4.1786826648705117E-2</c:v>
                </c:pt>
                <c:pt idx="18">
                  <c:v>-2.2727962140447464E-2</c:v>
                </c:pt>
                <c:pt idx="19">
                  <c:v>1.4077782765197714E-4</c:v>
                </c:pt>
                <c:pt idx="20">
                  <c:v>1.1640035437204514E-2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6-4A2F-B0B3-9B790BA9D182}"/>
            </c:ext>
          </c:extLst>
        </c:ser>
        <c:ser>
          <c:idx val="3"/>
          <c:order val="1"/>
          <c:tx>
            <c:strRef>
              <c:f>'souhrnná výkonnost 4'!$D$5</c:f>
              <c:strCache>
                <c:ptCount val="1"/>
                <c:pt idx="0">
                  <c:v>Zpracovatelský průmysl (CZ-NACE C)</c:v>
                </c:pt>
              </c:strCache>
            </c:strRef>
          </c:tx>
          <c:spPr>
            <a:solidFill>
              <a:srgbClr val="A6CDE8"/>
            </a:solidFill>
            <a:ln>
              <a:noFill/>
            </a:ln>
          </c:spPr>
          <c:invertIfNegative val="0"/>
          <c:val>
            <c:numRef>
              <c:f>'souhrnná výkonnost 4'!$D$14:$D$34</c:f>
              <c:numCache>
                <c:formatCode>#\ ##0.0</c:formatCode>
                <c:ptCount val="21"/>
                <c:pt idx="0">
                  <c:v>-1.006029365184558</c:v>
                </c:pt>
                <c:pt idx="1">
                  <c:v>-5.8707476654845019</c:v>
                </c:pt>
                <c:pt idx="2">
                  <c:v>-2.1566635032660484</c:v>
                </c:pt>
                <c:pt idx="3">
                  <c:v>-1.5364269842490534</c:v>
                </c:pt>
                <c:pt idx="4">
                  <c:v>-0.81082301657390887</c:v>
                </c:pt>
                <c:pt idx="5">
                  <c:v>3.9743747095561068</c:v>
                </c:pt>
                <c:pt idx="6">
                  <c:v>-0.74888372469617781</c:v>
                </c:pt>
                <c:pt idx="7">
                  <c:v>-0.87291327125667473</c:v>
                </c:pt>
                <c:pt idx="8">
                  <c:v>0.64528350075532714</c:v>
                </c:pt>
                <c:pt idx="9">
                  <c:v>1.5767749269534403</c:v>
                </c:pt>
                <c:pt idx="10">
                  <c:v>2.2578630988104651</c:v>
                </c:pt>
                <c:pt idx="11">
                  <c:v>2.6492927635274892</c:v>
                </c:pt>
                <c:pt idx="12">
                  <c:v>1.5213888679587808</c:v>
                </c:pt>
                <c:pt idx="13">
                  <c:v>0.73763485799498885</c:v>
                </c:pt>
                <c:pt idx="14">
                  <c:v>0.19292900801292828</c:v>
                </c:pt>
                <c:pt idx="15">
                  <c:v>0.32386657410623332</c:v>
                </c:pt>
                <c:pt idx="16">
                  <c:v>-0.34770626826214507</c:v>
                </c:pt>
                <c:pt idx="17">
                  <c:v>-0.51379346874632292</c:v>
                </c:pt>
                <c:pt idx="18">
                  <c:v>1.1221413379721837E-2</c:v>
                </c:pt>
                <c:pt idx="19">
                  <c:v>-0.32711254987278693</c:v>
                </c:pt>
                <c:pt idx="20">
                  <c:v>0.22668870185580947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6-4A2F-B0B3-9B790BA9D182}"/>
            </c:ext>
          </c:extLst>
        </c:ser>
        <c:ser>
          <c:idx val="2"/>
          <c:order val="2"/>
          <c:tx>
            <c:strRef>
              <c:f>'souhrnná výkonnost 4'!$E$5</c:f>
              <c:strCache>
                <c:ptCount val="1"/>
                <c:pt idx="0">
                  <c:v>Ostatní průmyslová odvětví (CZ-NACE B, D, E)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val>
            <c:numRef>
              <c:f>'souhrnná výkonnost 4'!$E$14:$E$34</c:f>
              <c:numCache>
                <c:formatCode>0.0</c:formatCode>
                <c:ptCount val="21"/>
                <c:pt idx="0">
                  <c:v>-0.17620696396261137</c:v>
                </c:pt>
                <c:pt idx="1">
                  <c:v>-0.24771149792454139</c:v>
                </c:pt>
                <c:pt idx="2">
                  <c:v>-6.0935554321396967E-2</c:v>
                </c:pt>
                <c:pt idx="3">
                  <c:v>6.5525594099085982E-2</c:v>
                </c:pt>
                <c:pt idx="4">
                  <c:v>0.38896231887529847</c:v>
                </c:pt>
                <c:pt idx="5">
                  <c:v>0.46371609807310366</c:v>
                </c:pt>
                <c:pt idx="6">
                  <c:v>0.33807449475314627</c:v>
                </c:pt>
                <c:pt idx="7">
                  <c:v>-5.8765796805848813E-2</c:v>
                </c:pt>
                <c:pt idx="8">
                  <c:v>-0.43983407410669084</c:v>
                </c:pt>
                <c:pt idx="9">
                  <c:v>-0.35269776369716466</c:v>
                </c:pt>
                <c:pt idx="10">
                  <c:v>-0.58798697249592147</c:v>
                </c:pt>
                <c:pt idx="11">
                  <c:v>-0.91369938251265959</c:v>
                </c:pt>
                <c:pt idx="12">
                  <c:v>-1.0554415694973189</c:v>
                </c:pt>
                <c:pt idx="13">
                  <c:v>-1.1918568053814194</c:v>
                </c:pt>
                <c:pt idx="14">
                  <c:v>-1.1412411616241473</c:v>
                </c:pt>
                <c:pt idx="15">
                  <c:v>-0.88664143027340003</c:v>
                </c:pt>
                <c:pt idx="16">
                  <c:v>-0.33961266004002505</c:v>
                </c:pt>
                <c:pt idx="17">
                  <c:v>-1.8484331493776041E-2</c:v>
                </c:pt>
                <c:pt idx="18">
                  <c:v>7.6152139862197335E-3</c:v>
                </c:pt>
                <c:pt idx="19">
                  <c:v>-0.29122502135741857</c:v>
                </c:pt>
                <c:pt idx="20">
                  <c:v>0.16277151644695304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D6-4A2F-B0B3-9B790BA9D182}"/>
            </c:ext>
          </c:extLst>
        </c:ser>
        <c:ser>
          <c:idx val="1"/>
          <c:order val="3"/>
          <c:tx>
            <c:strRef>
              <c:f>'souhrnná výkonnost 4'!$F$5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E8AFB2"/>
            </a:solidFill>
            <a:ln>
              <a:noFill/>
            </a:ln>
          </c:spPr>
          <c:invertIfNegative val="0"/>
          <c:val>
            <c:numRef>
              <c:f>'souhrnná výkonnost 4'!$F$14:$F$34</c:f>
              <c:numCache>
                <c:formatCode>0.0</c:formatCode>
                <c:ptCount val="21"/>
                <c:pt idx="0">
                  <c:v>-0.30004627661730132</c:v>
                </c:pt>
                <c:pt idx="1">
                  <c:v>-0.48068129994946118</c:v>
                </c:pt>
                <c:pt idx="2">
                  <c:v>-0.45523791005942654</c:v>
                </c:pt>
                <c:pt idx="3">
                  <c:v>-0.43581518565318822</c:v>
                </c:pt>
                <c:pt idx="4">
                  <c:v>-0.33836863825135816</c:v>
                </c:pt>
                <c:pt idx="5">
                  <c:v>-6.7143304167931656E-2</c:v>
                </c:pt>
                <c:pt idx="6">
                  <c:v>-5.8092008458518342E-2</c:v>
                </c:pt>
                <c:pt idx="7">
                  <c:v>-0.10853391292600841</c:v>
                </c:pt>
                <c:pt idx="8">
                  <c:v>-9.0417570306820225E-2</c:v>
                </c:pt>
                <c:pt idx="9">
                  <c:v>-0.27691175914342508</c:v>
                </c:pt>
                <c:pt idx="10">
                  <c:v>-0.42875648302719638</c:v>
                </c:pt>
                <c:pt idx="11">
                  <c:v>-0.37973365169110213</c:v>
                </c:pt>
                <c:pt idx="12">
                  <c:v>-0.17716735825476659</c:v>
                </c:pt>
                <c:pt idx="13">
                  <c:v>-0.14950976455968754</c:v>
                </c:pt>
                <c:pt idx="14">
                  <c:v>-7.0749089694387812E-2</c:v>
                </c:pt>
                <c:pt idx="15">
                  <c:v>-0.13102758539124981</c:v>
                </c:pt>
                <c:pt idx="16">
                  <c:v>-0.10104382469873373</c:v>
                </c:pt>
                <c:pt idx="17">
                  <c:v>1.1401859915581215E-2</c:v>
                </c:pt>
                <c:pt idx="18">
                  <c:v>4.7381278409162286E-2</c:v>
                </c:pt>
                <c:pt idx="19">
                  <c:v>0.12700654696453351</c:v>
                </c:pt>
                <c:pt idx="20">
                  <c:v>0.20258641261324978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D6-4A2F-B0B3-9B790BA9D182}"/>
            </c:ext>
          </c:extLst>
        </c:ser>
        <c:ser>
          <c:idx val="0"/>
          <c:order val="4"/>
          <c:tx>
            <c:strRef>
              <c:f>'souhrnná výkonnost 4'!$G$5</c:f>
              <c:strCache>
                <c:ptCount val="1"/>
                <c:pt idx="0">
                  <c:v>Služby (CZ-NACE G až U)</c:v>
                </c:pt>
              </c:strCache>
            </c:strRef>
          </c:tx>
          <c:spPr>
            <a:solidFill>
              <a:srgbClr val="7DBB2D"/>
            </a:solidFill>
            <a:ln>
              <a:noFill/>
            </a:ln>
          </c:spPr>
          <c:invertIfNegative val="0"/>
          <c:val>
            <c:numRef>
              <c:f>'souhrnná výkonnost 4'!$G$14:$G$34</c:f>
              <c:numCache>
                <c:formatCode>0.0</c:formatCode>
                <c:ptCount val="21"/>
                <c:pt idx="0">
                  <c:v>0.1069034272001633</c:v>
                </c:pt>
                <c:pt idx="1">
                  <c:v>-4.2921319772752993</c:v>
                </c:pt>
                <c:pt idx="2">
                  <c:v>-1.7505754010952781</c:v>
                </c:pt>
                <c:pt idx="3">
                  <c:v>-2.2464479137063273</c:v>
                </c:pt>
                <c:pt idx="4">
                  <c:v>-0.13953156252945553</c:v>
                </c:pt>
                <c:pt idx="5">
                  <c:v>5.9943506299525042</c:v>
                </c:pt>
                <c:pt idx="6">
                  <c:v>4.4243917423347074</c:v>
                </c:pt>
                <c:pt idx="7">
                  <c:v>4.7971483856259507</c:v>
                </c:pt>
                <c:pt idx="8">
                  <c:v>4.2170828841115204</c:v>
                </c:pt>
                <c:pt idx="9">
                  <c:v>2.6617211255203492</c:v>
                </c:pt>
                <c:pt idx="10">
                  <c:v>0.7676089117890853</c:v>
                </c:pt>
                <c:pt idx="11">
                  <c:v>0.29041678067472676</c:v>
                </c:pt>
                <c:pt idx="12">
                  <c:v>1.2630343657854546</c:v>
                </c:pt>
                <c:pt idx="13">
                  <c:v>1.3129514276285825</c:v>
                </c:pt>
                <c:pt idx="14">
                  <c:v>1.3404253283547289</c:v>
                </c:pt>
                <c:pt idx="15">
                  <c:v>0.61232648519811117</c:v>
                </c:pt>
                <c:pt idx="16">
                  <c:v>0.15264904030885668</c:v>
                </c:pt>
                <c:pt idx="17">
                  <c:v>0.44702631011158933</c:v>
                </c:pt>
                <c:pt idx="18">
                  <c:v>0.90467176749276379</c:v>
                </c:pt>
                <c:pt idx="19">
                  <c:v>1.5922568414596621</c:v>
                </c:pt>
                <c:pt idx="20">
                  <c:v>1.936937983152847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D6-4A2F-B0B3-9B790BA9D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269005952"/>
        <c:axId val="269007488"/>
      </c:barChart>
      <c:lineChart>
        <c:grouping val="standard"/>
        <c:varyColors val="0"/>
        <c:ser>
          <c:idx val="5"/>
          <c:order val="5"/>
          <c:tx>
            <c:strRef>
              <c:f>'souhrnná výkonnost 4'!$H$5</c:f>
              <c:strCache>
                <c:ptCount val="1"/>
                <c:pt idx="0">
                  <c:v>Hrubá přidaná hodnota celkem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'souhrnná výkonnost 4'!$A$14:$B$34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'souhrnná výkonnost 4'!$H$14:$H$34</c:f>
              <c:numCache>
                <c:formatCode>#\ ##0.0</c:formatCode>
                <c:ptCount val="21"/>
                <c:pt idx="0">
                  <c:v>-1.2169604796506661</c:v>
                </c:pt>
                <c:pt idx="1">
                  <c:v>-10.72573587437293</c:v>
                </c:pt>
                <c:pt idx="2">
                  <c:v>-4.2745842128591107</c:v>
                </c:pt>
                <c:pt idx="3">
                  <c:v>-4.0497053295080292</c:v>
                </c:pt>
                <c:pt idx="4">
                  <c:v>-1.1092326662295733</c:v>
                </c:pt>
                <c:pt idx="5">
                  <c:v>10.020922752811231</c:v>
                </c:pt>
                <c:pt idx="6">
                  <c:v>3.6334340143173023</c:v>
                </c:pt>
                <c:pt idx="7">
                  <c:v>3.4636121873782457</c:v>
                </c:pt>
                <c:pt idx="8">
                  <c:v>4.3335548202223748</c:v>
                </c:pt>
                <c:pt idx="9">
                  <c:v>3.6873115442208899</c:v>
                </c:pt>
                <c:pt idx="10">
                  <c:v>2.0486348171819628</c:v>
                </c:pt>
                <c:pt idx="11">
                  <c:v>1.6260683441280008</c:v>
                </c:pt>
                <c:pt idx="12">
                  <c:v>1.5467455931493816</c:v>
                </c:pt>
                <c:pt idx="13">
                  <c:v>0.6746537525767593</c:v>
                </c:pt>
                <c:pt idx="14">
                  <c:v>0.28967826176176459</c:v>
                </c:pt>
                <c:pt idx="15">
                  <c:v>-0.10380295649311222</c:v>
                </c:pt>
                <c:pt idx="16">
                  <c:v>-0.60100052809912086</c:v>
                </c:pt>
                <c:pt idx="17">
                  <c:v>-0.11555699098822458</c:v>
                </c:pt>
                <c:pt idx="18">
                  <c:v>0.94822995206995131</c:v>
                </c:pt>
                <c:pt idx="19">
                  <c:v>1.1008797361983511</c:v>
                </c:pt>
                <c:pt idx="20">
                  <c:v>2.5407277229251548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0D6-4A2F-B0B3-9B790BA9D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05952"/>
        <c:axId val="269007488"/>
      </c:lineChart>
      <c:catAx>
        <c:axId val="269005952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69007488"/>
        <c:crosses val="autoZero"/>
        <c:auto val="1"/>
        <c:lblAlgn val="ctr"/>
        <c:lblOffset val="100"/>
        <c:noMultiLvlLbl val="0"/>
      </c:catAx>
      <c:valAx>
        <c:axId val="26900748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69005952"/>
        <c:crosses val="autoZero"/>
        <c:crossBetween val="between"/>
        <c:majorUnit val="2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4144292468760548E-2"/>
          <c:y val="0.79016604750647301"/>
          <c:w val="0.92386482607227283"/>
          <c:h val="0.19462484520994944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www.w3.org/XML/1998/namespace"/>
    <ds:schemaRef ds:uri="http://purl.org/dc/elements/1.1/"/>
    <ds:schemaRef ds:uri="b8c0c86d-151e-4fca-b0d5-747e6692fa1d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3E84B-5955-4BDE-B9E4-D13CDCFE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</cp:revision>
  <cp:lastPrinted>2014-07-17T14:07:00Z</cp:lastPrinted>
  <dcterms:created xsi:type="dcterms:W3CDTF">2025-06-16T10:26:00Z</dcterms:created>
  <dcterms:modified xsi:type="dcterms:W3CDTF">2025-06-16T10:33:00Z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