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C6" w:rsidRPr="002237C6" w:rsidRDefault="003B34FF" w:rsidP="00A204CF">
      <w:pPr>
        <w:pStyle w:val="Nadpis1"/>
      </w:pPr>
      <w:bookmarkStart w:id="0" w:name="_Toc481748808"/>
      <w:r>
        <w:t xml:space="preserve">6. </w:t>
      </w:r>
      <w:r w:rsidR="002237C6" w:rsidRPr="002237C6">
        <w:t>Klasifikace</w:t>
      </w:r>
      <w:bookmarkEnd w:id="0"/>
    </w:p>
    <w:p w:rsidR="002237C6" w:rsidRPr="002237C6" w:rsidRDefault="002237C6" w:rsidP="002237C6">
      <w:pPr>
        <w:keepNext/>
        <w:spacing w:before="120" w:after="120" w:line="240" w:lineRule="auto"/>
        <w:jc w:val="both"/>
        <w:rPr>
          <w:b/>
          <w:bCs/>
          <w:szCs w:val="17"/>
        </w:rPr>
      </w:pPr>
      <w:r w:rsidRPr="002237C6">
        <w:rPr>
          <w:b/>
          <w:bCs/>
          <w:szCs w:val="17"/>
        </w:rPr>
        <w:t>Klasifikace č.</w:t>
      </w:r>
      <w:r w:rsidR="00A204CF">
        <w:rPr>
          <w:b/>
          <w:bCs/>
          <w:szCs w:val="17"/>
        </w:rPr>
        <w:t xml:space="preserve"> </w:t>
      </w:r>
      <w:r w:rsidRPr="002237C6">
        <w:rPr>
          <w:b/>
          <w:bCs/>
          <w:szCs w:val="17"/>
        </w:rPr>
        <w:t>1 Mezinárodní klasifikace financování zdravotní péče podle SHA 2011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804"/>
      </w:tblGrid>
      <w:tr w:rsidR="002237C6" w:rsidRPr="002237C6" w:rsidTr="002237C6">
        <w:trPr>
          <w:trHeight w:val="541"/>
        </w:trPr>
        <w:tc>
          <w:tcPr>
            <w:tcW w:w="8704" w:type="dxa"/>
            <w:gridSpan w:val="2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2237C6" w:rsidRPr="002237C6" w:rsidRDefault="002237C6" w:rsidP="002237C6">
            <w:pPr>
              <w:keepNext/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 w:rsidRPr="002237C6">
              <w:rPr>
                <w:rFonts w:hint="eastAsia"/>
                <w:b/>
                <w:bCs/>
                <w:szCs w:val="19"/>
              </w:rPr>
              <w:t>Mezinárodní klasifikace zdravotnických účtů (zdroj financování)</w:t>
            </w:r>
          </w:p>
        </w:tc>
      </w:tr>
      <w:tr w:rsidR="002237C6" w:rsidRPr="002237C6" w:rsidTr="002237C6">
        <w:trPr>
          <w:trHeight w:val="263"/>
        </w:trPr>
        <w:tc>
          <w:tcPr>
            <w:tcW w:w="1900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2237C6" w:rsidRPr="002237C6" w:rsidRDefault="002237C6" w:rsidP="002237C6">
            <w:pPr>
              <w:keepNext/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ICHA-HF</w:t>
            </w:r>
          </w:p>
        </w:tc>
        <w:tc>
          <w:tcPr>
            <w:tcW w:w="6804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2237C6" w:rsidRPr="002237C6" w:rsidRDefault="002237C6" w:rsidP="002237C6">
            <w:pPr>
              <w:keepNext/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ICHA-Zdroj financování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1</w:t>
            </w:r>
          </w:p>
        </w:tc>
        <w:tc>
          <w:tcPr>
            <w:tcW w:w="6804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Veřejné zdroje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1.1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Veřejné rozpočty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1.1.1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Státní rozpočet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1.1.2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Místní rozpočty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1.2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Zdravotní pojišťovny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2</w:t>
            </w:r>
          </w:p>
        </w:tc>
        <w:tc>
          <w:tcPr>
            <w:tcW w:w="6804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Soukromé zdroje bez přímých plateb domácností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2.1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Soukromé pojištění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2.2</w:t>
            </w:r>
          </w:p>
        </w:tc>
        <w:tc>
          <w:tcPr>
            <w:tcW w:w="6804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Neziskové organizace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2.3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color w:val="000000"/>
                <w:sz w:val="16"/>
                <w:szCs w:val="15"/>
              </w:rPr>
              <w:t>Závodní preventivní péče</w:t>
            </w:r>
          </w:p>
        </w:tc>
      </w:tr>
      <w:tr w:rsidR="002237C6" w:rsidRPr="002237C6" w:rsidTr="00B448FC">
        <w:trPr>
          <w:trHeight w:val="255"/>
        </w:trPr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bCs/>
                <w:color w:val="000000"/>
                <w:sz w:val="16"/>
                <w:szCs w:val="15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237C6" w:rsidRPr="002237C6" w:rsidRDefault="002237C6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5"/>
              </w:rPr>
            </w:pPr>
            <w:r w:rsidRPr="002237C6">
              <w:rPr>
                <w:rFonts w:cs="Arial"/>
                <w:b/>
                <w:color w:val="000000"/>
                <w:sz w:val="16"/>
                <w:szCs w:val="15"/>
              </w:rPr>
              <w:t>Přímé výdaje domácností</w:t>
            </w:r>
          </w:p>
        </w:tc>
      </w:tr>
    </w:tbl>
    <w:p w:rsidR="002237C6" w:rsidRPr="002237C6" w:rsidRDefault="002237C6" w:rsidP="002237C6">
      <w:pPr>
        <w:keepNext/>
        <w:jc w:val="both"/>
        <w:rPr>
          <w:sz w:val="16"/>
          <w:szCs w:val="16"/>
        </w:rPr>
      </w:pPr>
      <w:r w:rsidRPr="002237C6">
        <w:rPr>
          <w:rFonts w:cs="Arial"/>
          <w:sz w:val="16"/>
          <w:szCs w:val="16"/>
        </w:rPr>
        <w:t>Zdroj:  Manuál SHA 2011, OECD</w:t>
      </w: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2237C6" w:rsidRDefault="002237C6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AB64E8" w:rsidRDefault="00AB64E8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CB7349" w:rsidRDefault="00CB7349" w:rsidP="00750951">
      <w:pPr>
        <w:keepNext/>
        <w:spacing w:after="120" w:line="240" w:lineRule="auto"/>
        <w:jc w:val="both"/>
        <w:rPr>
          <w:b/>
          <w:bCs/>
          <w:szCs w:val="17"/>
        </w:rPr>
      </w:pPr>
    </w:p>
    <w:p w:rsidR="00750951" w:rsidRPr="00750951" w:rsidRDefault="00750951" w:rsidP="00750951">
      <w:pPr>
        <w:keepNext/>
        <w:spacing w:after="120" w:line="240" w:lineRule="auto"/>
        <w:jc w:val="both"/>
        <w:rPr>
          <w:b/>
          <w:bCs/>
          <w:szCs w:val="17"/>
        </w:rPr>
      </w:pPr>
      <w:r w:rsidRPr="00750951">
        <w:rPr>
          <w:b/>
          <w:bCs/>
          <w:szCs w:val="17"/>
        </w:rPr>
        <w:lastRenderedPageBreak/>
        <w:t>Klasifikace č. 2 Mezinárodní klasifikace druhů zdravotní péče podle SHA 2011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229"/>
      </w:tblGrid>
      <w:tr w:rsidR="00750951" w:rsidRPr="00750951" w:rsidTr="004B2C1E">
        <w:trPr>
          <w:trHeight w:val="333"/>
        </w:trPr>
        <w:tc>
          <w:tcPr>
            <w:tcW w:w="8562" w:type="dxa"/>
            <w:gridSpan w:val="2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452EBE" w:rsidRDefault="00750951" w:rsidP="00750951">
            <w:pPr>
              <w:keepNext/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 w:rsidRPr="00452EBE">
              <w:rPr>
                <w:rFonts w:hint="eastAsia"/>
                <w:b/>
                <w:bCs/>
                <w:szCs w:val="19"/>
              </w:rPr>
              <w:t>Mezinárodní klasifikace zdravotnických účtů (druh péče)</w:t>
            </w:r>
          </w:p>
        </w:tc>
      </w:tr>
      <w:tr w:rsidR="00750951" w:rsidRPr="00750951" w:rsidTr="004B2C1E">
        <w:trPr>
          <w:trHeight w:val="227"/>
        </w:trPr>
        <w:tc>
          <w:tcPr>
            <w:tcW w:w="1333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750951">
            <w:pPr>
              <w:keepNext/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ICHA-HC</w:t>
            </w:r>
          </w:p>
        </w:tc>
        <w:tc>
          <w:tcPr>
            <w:tcW w:w="7229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750951">
            <w:pPr>
              <w:keepNext/>
              <w:keepLines/>
              <w:jc w:val="center"/>
              <w:outlineLvl w:val="3"/>
              <w:rPr>
                <w:rFonts w:eastAsia="Arial Unicode MS" w:cs="Arial"/>
                <w:b/>
                <w:bCs/>
                <w:iCs/>
                <w:sz w:val="16"/>
                <w:szCs w:val="16"/>
              </w:rPr>
            </w:pPr>
            <w:r w:rsidRPr="00750951">
              <w:rPr>
                <w:rFonts w:eastAsia="MS Gothic" w:cs="Arial"/>
                <w:b/>
                <w:bCs/>
                <w:iCs/>
                <w:color w:val="000000"/>
                <w:sz w:val="16"/>
                <w:szCs w:val="16"/>
              </w:rPr>
              <w:t>ICHA-</w:t>
            </w:r>
            <w:r w:rsidRPr="00750951">
              <w:rPr>
                <w:rFonts w:eastAsia="MS Gothic" w:cs="Arial"/>
                <w:b/>
                <w:iCs/>
                <w:color w:val="000000"/>
                <w:sz w:val="16"/>
                <w:szCs w:val="16"/>
              </w:rPr>
              <w:t>Druh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Lůžková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Všeobecná lůžková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Specializovaná lůžková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Denní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Všeobecná denní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Specializovaná denní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Ambulantní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Všeobecná ambulantní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Ambulantní stomatologická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Specializovaná ambulantní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1.3.9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  <w:highlight w:val="yellow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Všechna ostatní ambulantní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Domácí léčebná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Rehabilitační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Lůžková rehabilitační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Denní rehabilitační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Ambulantní rehabilitační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Domácí rehabilitační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Dlouhodobá zdravotní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Lůžková dlouhodobá zdravotní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Denní dlouhodobá zdravotní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Ambulantní dlouhodobá zdravotní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Domácí dlouhodobá zdravotní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Doplňkové služby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Laboratorní služby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Zobrazovací služby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Doprava pacientů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Léčiva a ostatní zdravotnické výrobky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Léčiva a zdravotnický materiál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Léky na předpis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Volně prodejné léky a léčiva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5.1.3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Ostatní zdravotnický materiál a výrobky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 xml:space="preserve">Terapeutické pomůcky 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Brýle a další produkty oční optiky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Pomůcky pro sluchově postižené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5.2.3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Ortopedické a protetické pomůcky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Preventivní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Informační a poradenské programy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Imunizační programy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Programy pro včasné odhalení nemoci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Programy pro sledování zdravotního stavu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HCR.1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Dlouhodobá sociální péče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HCR.1.1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Sociální služby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HCR.1.2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Peněžité dávky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HCR.2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Podpora zdraví v širším pohledu</w:t>
            </w:r>
          </w:p>
        </w:tc>
      </w:tr>
      <w:tr w:rsidR="00750951" w:rsidRPr="00750951" w:rsidTr="00B448FC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 xml:space="preserve">Ostatní zdravotní péče neuvedená jinde </w:t>
            </w:r>
          </w:p>
        </w:tc>
      </w:tr>
    </w:tbl>
    <w:p w:rsidR="00750951" w:rsidRPr="00750951" w:rsidRDefault="00750951" w:rsidP="00750951">
      <w:pPr>
        <w:keepNext/>
        <w:jc w:val="both"/>
        <w:rPr>
          <w:sz w:val="16"/>
          <w:szCs w:val="16"/>
        </w:rPr>
      </w:pPr>
      <w:r w:rsidRPr="00750951">
        <w:rPr>
          <w:rFonts w:cs="Arial"/>
          <w:sz w:val="16"/>
          <w:szCs w:val="16"/>
        </w:rPr>
        <w:t>Zdroj:  Manuál SHA 2011, OECD</w:t>
      </w: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Pr="00750951" w:rsidRDefault="00750951" w:rsidP="00750951">
      <w:pPr>
        <w:keepNext/>
        <w:spacing w:after="120" w:line="240" w:lineRule="auto"/>
        <w:jc w:val="both"/>
        <w:rPr>
          <w:b/>
          <w:bCs/>
          <w:szCs w:val="17"/>
        </w:rPr>
      </w:pPr>
      <w:r w:rsidRPr="00750951">
        <w:rPr>
          <w:b/>
          <w:bCs/>
          <w:szCs w:val="17"/>
        </w:rPr>
        <w:lastRenderedPageBreak/>
        <w:t>Klasifikace č. 3 Mezinárodní klasifikace podle typu poskytovatele zdravotní péče podle SHA 2011</w:t>
      </w:r>
    </w:p>
    <w:tbl>
      <w:tblPr>
        <w:tblW w:w="8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21"/>
      </w:tblGrid>
      <w:tr w:rsidR="00750951" w:rsidRPr="00750951" w:rsidTr="004B2C1E">
        <w:trPr>
          <w:trHeight w:val="607"/>
        </w:trPr>
        <w:tc>
          <w:tcPr>
            <w:tcW w:w="8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750951">
            <w:pPr>
              <w:keepNext/>
              <w:jc w:val="center"/>
              <w:rPr>
                <w:rFonts w:eastAsia="Arial Unicode MS" w:cs="Arial"/>
                <w:b/>
                <w:bCs/>
                <w:szCs w:val="20"/>
              </w:rPr>
            </w:pPr>
            <w:r w:rsidRPr="00750951">
              <w:rPr>
                <w:rFonts w:cs="Arial"/>
                <w:b/>
                <w:bCs/>
                <w:szCs w:val="20"/>
              </w:rPr>
              <w:t>Mezinárodní klasifikace zdravotnických účtů (poskytovatel)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750951">
            <w:pPr>
              <w:keepNext/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ICHA-HP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750951">
            <w:pPr>
              <w:keepNext/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ICHA-Poskytovatel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Nemocnice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Všeobecné nemocnice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Psychiatrické nemocnice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 xml:space="preserve">Specializované nemocnice 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Lůžková zařízení dlouhodobé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Zařízení ošetřovatelské dlouhodobé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Léčebny pro mentálně postižené, psychiatrické a závislé pacienty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Ostatní lůžková zařízení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Poskytovatelé ambulantní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Samostatné ordinace lékařů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Samostatné ordinace zubních lékařů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Ostatní poskytovatelé zdravotní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Ambulantní centra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Poskytovatelé služeb domácí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Ostatní poskytovatelé ambulantní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Poskytovatelé doplňkových služeb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eastAsia="Arial Unicode MS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Doprava pacientů a záchranná služba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 xml:space="preserve">4.2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Laboratoře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eastAsia="Arial Unicode MS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eastAsia="Arial Unicode MS" w:cs="Arial"/>
                <w:color w:val="000000"/>
                <w:sz w:val="16"/>
                <w:szCs w:val="16"/>
              </w:rPr>
              <w:t>Ostatní poskytovatelé doplňkových služeb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Lékárny a výdejny prostředků zdravotnické techniky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eastAsia="Arial Unicode MS" w:cs="Arial"/>
                <w:color w:val="000000"/>
                <w:sz w:val="16"/>
                <w:szCs w:val="16"/>
              </w:rPr>
              <w:t>Lékárny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Prodejci a dodavatelé zdravotnického zboží a přístrojů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eastAsia="Arial Unicode MS" w:cs="Arial"/>
                <w:color w:val="000000"/>
                <w:sz w:val="16"/>
                <w:szCs w:val="16"/>
              </w:rPr>
              <w:t>Ostatní prodejci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cs="Arial"/>
                <w:b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color w:val="000000"/>
                <w:sz w:val="16"/>
                <w:szCs w:val="16"/>
              </w:rPr>
              <w:t>Poskytovatelé preventivní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Správa systému zdravotního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Státní správa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Správa zdravotních pojišťoven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Agentury správy soukromého pojištění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Ostatní zdravotní správa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Ostatní odvětví ekonomiky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>Domácnosti jako poskytovatelé zdravotní péče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 xml:space="preserve">8.2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color w:val="000000"/>
                <w:sz w:val="16"/>
                <w:szCs w:val="16"/>
              </w:rPr>
              <w:t xml:space="preserve">Ostatní poskytovatelé zdravotní péče </w:t>
            </w:r>
          </w:p>
        </w:tc>
      </w:tr>
      <w:tr w:rsidR="00750951" w:rsidRPr="00750951" w:rsidTr="004B2C1E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750951" w:rsidRPr="00750951" w:rsidRDefault="00750951" w:rsidP="00750951">
            <w:pPr>
              <w:keepNext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750951">
              <w:rPr>
                <w:rFonts w:cs="Arial"/>
                <w:b/>
                <w:bCs/>
                <w:color w:val="000000"/>
                <w:sz w:val="16"/>
                <w:szCs w:val="16"/>
              </w:rPr>
              <w:t>Ostatní poskytovatelé nezařazení jinde</w:t>
            </w:r>
          </w:p>
        </w:tc>
      </w:tr>
    </w:tbl>
    <w:p w:rsidR="00750951" w:rsidRPr="00750951" w:rsidRDefault="00750951" w:rsidP="00750951">
      <w:pPr>
        <w:keepNext/>
        <w:spacing w:line="240" w:lineRule="auto"/>
        <w:jc w:val="both"/>
        <w:rPr>
          <w:rFonts w:cs="Arial"/>
          <w:sz w:val="16"/>
          <w:szCs w:val="16"/>
        </w:rPr>
      </w:pPr>
      <w:r w:rsidRPr="00750951">
        <w:rPr>
          <w:rFonts w:cs="Arial"/>
          <w:sz w:val="16"/>
          <w:szCs w:val="16"/>
        </w:rPr>
        <w:t>Zdroj:  Manuál SHA 2011, OECD</w:t>
      </w:r>
      <w:r w:rsidRPr="00750951">
        <w:rPr>
          <w:sz w:val="16"/>
          <w:szCs w:val="16"/>
        </w:rPr>
        <w:tab/>
      </w:r>
    </w:p>
    <w:p w:rsidR="00750951" w:rsidRPr="00750951" w:rsidRDefault="00750951" w:rsidP="00750951">
      <w:pPr>
        <w:keepNext/>
        <w:jc w:val="both"/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Default="00750951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452EBE" w:rsidRDefault="00452EBE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750951" w:rsidRPr="00750951" w:rsidRDefault="00750951" w:rsidP="00452EBE">
      <w:pPr>
        <w:keepNext/>
        <w:spacing w:line="240" w:lineRule="auto"/>
        <w:jc w:val="both"/>
        <w:rPr>
          <w:b/>
          <w:bCs/>
          <w:szCs w:val="17"/>
        </w:rPr>
      </w:pPr>
      <w:r w:rsidRPr="00750951">
        <w:rPr>
          <w:b/>
          <w:bCs/>
          <w:szCs w:val="17"/>
        </w:rPr>
        <w:lastRenderedPageBreak/>
        <w:t>Klasifikace č. 4 Kapitoly diagnóz podle Mezinárodní statistické klasifikace nemocí</w:t>
      </w:r>
    </w:p>
    <w:p w:rsidR="00750951" w:rsidRPr="00750951" w:rsidRDefault="00750951" w:rsidP="00452EBE">
      <w:pPr>
        <w:keepNext/>
        <w:spacing w:line="240" w:lineRule="auto"/>
        <w:jc w:val="both"/>
        <w:rPr>
          <w:b/>
          <w:bCs/>
          <w:szCs w:val="17"/>
        </w:rPr>
      </w:pPr>
      <w:r w:rsidRPr="00750951">
        <w:rPr>
          <w:b/>
          <w:bCs/>
          <w:szCs w:val="17"/>
        </w:rPr>
        <w:t>a přidružených zdravotních problémů MKN-10</w:t>
      </w:r>
    </w:p>
    <w:tbl>
      <w:tblPr>
        <w:tblW w:w="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4"/>
      </w:tblGrid>
      <w:tr w:rsidR="00750951" w:rsidRPr="00750951" w:rsidTr="004B2C1E">
        <w:trPr>
          <w:trHeight w:val="439"/>
        </w:trPr>
        <w:tc>
          <w:tcPr>
            <w:tcW w:w="785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452EBE" w:rsidRDefault="00452EBE" w:rsidP="00750951">
            <w:pPr>
              <w:keepNext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50951" w:rsidRPr="00750951" w:rsidRDefault="00750951" w:rsidP="00750951">
            <w:pPr>
              <w:keepNext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50951">
              <w:rPr>
                <w:rFonts w:cs="Arial"/>
                <w:b/>
                <w:bCs/>
                <w:sz w:val="18"/>
                <w:szCs w:val="18"/>
              </w:rPr>
              <w:t>MKN-10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tcBorders>
              <w:top w:val="single" w:sz="6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I. Některé infekční a parazitární nemoci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II. Novotvary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III. Nemoci krve, krvetvorných orgánů a některé poruchy týkající se mechanismu imunity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IV. Nemoci endokrinní, výživy a přeměny látek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V. Poruchy duševní a poruchy chování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VI. Nemoci nervové soustavy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VII. Nemoci oka a očních adnex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VIII. Nemoci ucha a bradavkového výběžku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IX. Nemoci oběhové soustavy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X. Nemoci dýchací soustavy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XI. Nemoci trávicí soustavy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XII. Nemoci kůže a podkožního vaziva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XIII. Nemoci svalové a kosterní soustavy a pojivové tkáně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XIV. Nemoci močové a pohlavní soustavy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XV. Těhotenství, porod a šestinedělí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XVI. Některé stavy vzniklé v perinatálním období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XVII. Vrozené vady, deformace a chromozomální abnormality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XVIII. Příznaky, znaky a abnormální klinické a laboratorní nálezy nezařazené jinde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XIX. Poranění, otravy a některé jiné následky vnějších příčin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XX. Vnější příčiny nemocnosti a úmrtnosti</w:t>
            </w:r>
          </w:p>
        </w:tc>
      </w:tr>
      <w:tr w:rsidR="00750951" w:rsidRPr="00750951" w:rsidTr="00B448FC">
        <w:trPr>
          <w:trHeight w:val="255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XXI. Faktory ovlivňující zdravotní stav a kontakt se zdravotnickými službami</w:t>
            </w:r>
          </w:p>
        </w:tc>
      </w:tr>
      <w:tr w:rsidR="00750951" w:rsidRPr="00750951" w:rsidTr="00B448FC">
        <w:trPr>
          <w:trHeight w:val="270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XXII. Kódy pro speciální účely</w:t>
            </w:r>
          </w:p>
        </w:tc>
      </w:tr>
      <w:tr w:rsidR="00750951" w:rsidRPr="00750951" w:rsidTr="00B448FC">
        <w:trPr>
          <w:trHeight w:val="270"/>
        </w:trPr>
        <w:tc>
          <w:tcPr>
            <w:tcW w:w="7854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50951" w:rsidRPr="00750951" w:rsidRDefault="00750951" w:rsidP="00B448FC">
            <w:pPr>
              <w:keepNext/>
              <w:spacing w:line="240" w:lineRule="auto"/>
              <w:rPr>
                <w:rFonts w:cs="Arial"/>
                <w:sz w:val="16"/>
                <w:szCs w:val="20"/>
              </w:rPr>
            </w:pPr>
            <w:r w:rsidRPr="00750951">
              <w:rPr>
                <w:rFonts w:cs="Arial"/>
                <w:sz w:val="16"/>
                <w:szCs w:val="20"/>
              </w:rPr>
              <w:t>00 Neznámá diagnóza</w:t>
            </w:r>
          </w:p>
        </w:tc>
      </w:tr>
    </w:tbl>
    <w:p w:rsidR="00750951" w:rsidRPr="00750951" w:rsidRDefault="00750951" w:rsidP="00750951">
      <w:pPr>
        <w:keepNext/>
        <w:jc w:val="both"/>
        <w:rPr>
          <w:sz w:val="16"/>
          <w:szCs w:val="16"/>
        </w:rPr>
      </w:pPr>
      <w:r w:rsidRPr="00750951">
        <w:rPr>
          <w:rFonts w:cs="Arial"/>
          <w:sz w:val="16"/>
          <w:szCs w:val="16"/>
        </w:rPr>
        <w:t>Zdroj:  Manuál SHA2011, OECD</w:t>
      </w:r>
    </w:p>
    <w:p w:rsidR="00802A57" w:rsidRPr="00802A57" w:rsidRDefault="00802A57" w:rsidP="003157FF">
      <w:pPr>
        <w:pStyle w:val="Nadpis1"/>
        <w:rPr>
          <w:sz w:val="16"/>
          <w:szCs w:val="16"/>
        </w:rPr>
      </w:pPr>
      <w:bookmarkStart w:id="1" w:name="_7._Tabulková_příloha"/>
      <w:bookmarkEnd w:id="1"/>
    </w:p>
    <w:sectPr w:rsidR="00802A57" w:rsidRPr="00802A57" w:rsidSect="00315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680" w:footer="680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0C" w:rsidRDefault="00C66E0C" w:rsidP="00E71A58">
      <w:r>
        <w:separator/>
      </w:r>
    </w:p>
  </w:endnote>
  <w:endnote w:type="continuationSeparator" w:id="0">
    <w:p w:rsidR="00C66E0C" w:rsidRDefault="00C66E0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Default="00BD2BD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E4F9CFC" wp14:editId="0F463D67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6C0A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16C0A" w:rsidRPr="005A21E0">
      <w:rPr>
        <w:rFonts w:ascii="Arial" w:hAnsi="Arial" w:cs="Arial"/>
        <w:sz w:val="16"/>
        <w:szCs w:val="16"/>
      </w:rPr>
      <w:fldChar w:fldCharType="separate"/>
    </w:r>
    <w:r w:rsidR="003157FF">
      <w:rPr>
        <w:rFonts w:ascii="Arial" w:hAnsi="Arial" w:cs="Arial"/>
        <w:noProof/>
        <w:sz w:val="16"/>
        <w:szCs w:val="16"/>
      </w:rPr>
      <w:t>62</w:t>
    </w:r>
    <w:r w:rsidR="00416C0A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Default="00BD2BD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4AE4155" wp14:editId="7C0D1418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BD2BDC" w:rsidRDefault="00BD2BD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bookmarkStart w:id="2" w:name="_GoBack"/>
    <w:bookmarkEnd w:id="2"/>
    <w:r>
      <w:tab/>
    </w:r>
    <w:r w:rsidR="00416C0A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16C0A" w:rsidRPr="00B6608F">
      <w:rPr>
        <w:rFonts w:ascii="Arial" w:hAnsi="Arial" w:cs="Arial"/>
        <w:sz w:val="16"/>
        <w:szCs w:val="16"/>
      </w:rPr>
      <w:fldChar w:fldCharType="separate"/>
    </w:r>
    <w:r w:rsidR="003157FF">
      <w:rPr>
        <w:rFonts w:ascii="Arial" w:hAnsi="Arial" w:cs="Arial"/>
        <w:noProof/>
        <w:sz w:val="16"/>
        <w:szCs w:val="16"/>
      </w:rPr>
      <w:t>59</w:t>
    </w:r>
    <w:r w:rsidR="00416C0A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FF" w:rsidRDefault="003157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0C" w:rsidRDefault="00C66E0C" w:rsidP="00E71A58">
      <w:r>
        <w:separator/>
      </w:r>
    </w:p>
  </w:footnote>
  <w:footnote w:type="continuationSeparator" w:id="0">
    <w:p w:rsidR="00C66E0C" w:rsidRDefault="00C66E0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Pr="002175EE" w:rsidRDefault="00BD2BDC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Pr="002175EE" w:rsidRDefault="00BD2BDC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FF" w:rsidRDefault="003157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C21"/>
    <w:multiLevelType w:val="hybridMultilevel"/>
    <w:tmpl w:val="99D6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26586"/>
    <w:multiLevelType w:val="hybridMultilevel"/>
    <w:tmpl w:val="5F2EFD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B521B"/>
    <w:multiLevelType w:val="hybridMultilevel"/>
    <w:tmpl w:val="2DC43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2BB"/>
    <w:multiLevelType w:val="hybridMultilevel"/>
    <w:tmpl w:val="29F85DA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FD6DEF"/>
    <w:multiLevelType w:val="multilevel"/>
    <w:tmpl w:val="58CE6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66454"/>
    <w:multiLevelType w:val="hybridMultilevel"/>
    <w:tmpl w:val="936055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04B67"/>
    <w:multiLevelType w:val="hybridMultilevel"/>
    <w:tmpl w:val="141024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814446"/>
    <w:multiLevelType w:val="hybridMultilevel"/>
    <w:tmpl w:val="12C803C8"/>
    <w:lvl w:ilvl="0" w:tplc="CD9C6B54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2F38"/>
    <w:multiLevelType w:val="multilevel"/>
    <w:tmpl w:val="7BD287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D815B2"/>
    <w:multiLevelType w:val="hybridMultilevel"/>
    <w:tmpl w:val="132CDB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A6F9C"/>
    <w:multiLevelType w:val="hybridMultilevel"/>
    <w:tmpl w:val="5C0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645A0C"/>
    <w:multiLevelType w:val="hybridMultilevel"/>
    <w:tmpl w:val="D004D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844F8"/>
    <w:multiLevelType w:val="hybridMultilevel"/>
    <w:tmpl w:val="1C3A2F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FF5011"/>
    <w:multiLevelType w:val="hybridMultilevel"/>
    <w:tmpl w:val="AAAE5906"/>
    <w:lvl w:ilvl="0" w:tplc="BB289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854D3E"/>
    <w:multiLevelType w:val="multilevel"/>
    <w:tmpl w:val="C57A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B952ED8"/>
    <w:multiLevelType w:val="multilevel"/>
    <w:tmpl w:val="83DAB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3050CCD"/>
    <w:multiLevelType w:val="multilevel"/>
    <w:tmpl w:val="61B8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6">
    <w:nsid w:val="6F893287"/>
    <w:multiLevelType w:val="multilevel"/>
    <w:tmpl w:val="418C03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3FE39F3"/>
    <w:multiLevelType w:val="hybridMultilevel"/>
    <w:tmpl w:val="405C553E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5C6D"/>
    <w:multiLevelType w:val="hybridMultilevel"/>
    <w:tmpl w:val="A598291C"/>
    <w:lvl w:ilvl="0" w:tplc="5F1AC2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B762E6D"/>
    <w:multiLevelType w:val="hybridMultilevel"/>
    <w:tmpl w:val="586A2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71231"/>
    <w:multiLevelType w:val="hybridMultilevel"/>
    <w:tmpl w:val="EF7631D6"/>
    <w:lvl w:ilvl="0" w:tplc="D4C2B7B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9F4163"/>
    <w:multiLevelType w:val="hybridMultilevel"/>
    <w:tmpl w:val="A78ADFC6"/>
    <w:lvl w:ilvl="0" w:tplc="242AA788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22"/>
  </w:num>
  <w:num w:numId="5">
    <w:abstractNumId w:val="1"/>
  </w:num>
  <w:num w:numId="6">
    <w:abstractNumId w:val="7"/>
  </w:num>
  <w:num w:numId="7">
    <w:abstractNumId w:val="17"/>
  </w:num>
  <w:num w:numId="8">
    <w:abstractNumId w:val="26"/>
  </w:num>
  <w:num w:numId="9">
    <w:abstractNumId w:val="16"/>
  </w:num>
  <w:num w:numId="10">
    <w:abstractNumId w:val="24"/>
  </w:num>
  <w:num w:numId="11">
    <w:abstractNumId w:val="6"/>
  </w:num>
  <w:num w:numId="12">
    <w:abstractNumId w:val="29"/>
  </w:num>
  <w:num w:numId="13">
    <w:abstractNumId w:val="20"/>
  </w:num>
  <w:num w:numId="14">
    <w:abstractNumId w:val="23"/>
  </w:num>
  <w:num w:numId="15">
    <w:abstractNumId w:val="25"/>
  </w:num>
  <w:num w:numId="16">
    <w:abstractNumId w:val="2"/>
  </w:num>
  <w:num w:numId="17">
    <w:abstractNumId w:val="11"/>
  </w:num>
  <w:num w:numId="18">
    <w:abstractNumId w:val="27"/>
  </w:num>
  <w:num w:numId="19">
    <w:abstractNumId w:val="0"/>
  </w:num>
  <w:num w:numId="20">
    <w:abstractNumId w:val="32"/>
  </w:num>
  <w:num w:numId="21">
    <w:abstractNumId w:val="4"/>
  </w:num>
  <w:num w:numId="22">
    <w:abstractNumId w:val="19"/>
  </w:num>
  <w:num w:numId="23">
    <w:abstractNumId w:val="12"/>
  </w:num>
  <w:num w:numId="24">
    <w:abstractNumId w:val="9"/>
  </w:num>
  <w:num w:numId="25">
    <w:abstractNumId w:val="31"/>
  </w:num>
  <w:num w:numId="26">
    <w:abstractNumId w:val="13"/>
  </w:num>
  <w:num w:numId="27">
    <w:abstractNumId w:val="8"/>
  </w:num>
  <w:num w:numId="28">
    <w:abstractNumId w:val="28"/>
  </w:num>
  <w:num w:numId="29">
    <w:abstractNumId w:val="10"/>
  </w:num>
  <w:num w:numId="30">
    <w:abstractNumId w:val="14"/>
  </w:num>
  <w:num w:numId="31">
    <w:abstractNumId w:val="5"/>
  </w:num>
  <w:num w:numId="32">
    <w:abstractNumId w:val="30"/>
  </w:num>
  <w:num w:numId="3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07BF6"/>
    <w:rsid w:val="00010702"/>
    <w:rsid w:val="0002040C"/>
    <w:rsid w:val="000307D2"/>
    <w:rsid w:val="0004694F"/>
    <w:rsid w:val="00052D0B"/>
    <w:rsid w:val="00062EC5"/>
    <w:rsid w:val="0006345C"/>
    <w:rsid w:val="00074403"/>
    <w:rsid w:val="0007543A"/>
    <w:rsid w:val="00087634"/>
    <w:rsid w:val="000A1183"/>
    <w:rsid w:val="000A2D10"/>
    <w:rsid w:val="000C3408"/>
    <w:rsid w:val="000D0933"/>
    <w:rsid w:val="000D21E1"/>
    <w:rsid w:val="000D5E39"/>
    <w:rsid w:val="000E5DE5"/>
    <w:rsid w:val="00110E3B"/>
    <w:rsid w:val="001149A1"/>
    <w:rsid w:val="00121C92"/>
    <w:rsid w:val="00133BA8"/>
    <w:rsid w:val="001351C9"/>
    <w:rsid w:val="001405FA"/>
    <w:rsid w:val="001425C3"/>
    <w:rsid w:val="00154ED5"/>
    <w:rsid w:val="00162D56"/>
    <w:rsid w:val="00163793"/>
    <w:rsid w:val="001714F2"/>
    <w:rsid w:val="00172311"/>
    <w:rsid w:val="00185010"/>
    <w:rsid w:val="00190B38"/>
    <w:rsid w:val="00193560"/>
    <w:rsid w:val="001A177C"/>
    <w:rsid w:val="001A3B66"/>
    <w:rsid w:val="001A552F"/>
    <w:rsid w:val="001B3110"/>
    <w:rsid w:val="001B61BC"/>
    <w:rsid w:val="001C1D52"/>
    <w:rsid w:val="001E3731"/>
    <w:rsid w:val="001F4597"/>
    <w:rsid w:val="00210AA5"/>
    <w:rsid w:val="00213C72"/>
    <w:rsid w:val="002175EE"/>
    <w:rsid w:val="0022139E"/>
    <w:rsid w:val="00223335"/>
    <w:rsid w:val="002237C6"/>
    <w:rsid w:val="002252E0"/>
    <w:rsid w:val="002255F6"/>
    <w:rsid w:val="00226272"/>
    <w:rsid w:val="00227AA9"/>
    <w:rsid w:val="00236443"/>
    <w:rsid w:val="002436BA"/>
    <w:rsid w:val="00244A15"/>
    <w:rsid w:val="0024799E"/>
    <w:rsid w:val="00247A40"/>
    <w:rsid w:val="00254100"/>
    <w:rsid w:val="00264C1E"/>
    <w:rsid w:val="00270041"/>
    <w:rsid w:val="0028438F"/>
    <w:rsid w:val="00290B98"/>
    <w:rsid w:val="002A795D"/>
    <w:rsid w:val="002B6C95"/>
    <w:rsid w:val="002C1EDC"/>
    <w:rsid w:val="002C43BD"/>
    <w:rsid w:val="002E02A1"/>
    <w:rsid w:val="002F59C4"/>
    <w:rsid w:val="00304771"/>
    <w:rsid w:val="00306C5B"/>
    <w:rsid w:val="003157FF"/>
    <w:rsid w:val="003209D6"/>
    <w:rsid w:val="00330C8E"/>
    <w:rsid w:val="00341E61"/>
    <w:rsid w:val="00344398"/>
    <w:rsid w:val="00345347"/>
    <w:rsid w:val="0035195A"/>
    <w:rsid w:val="00352ACB"/>
    <w:rsid w:val="00356E1F"/>
    <w:rsid w:val="003657F3"/>
    <w:rsid w:val="00375B3D"/>
    <w:rsid w:val="00385D98"/>
    <w:rsid w:val="00394B23"/>
    <w:rsid w:val="00396A34"/>
    <w:rsid w:val="00397972"/>
    <w:rsid w:val="003A2B4D"/>
    <w:rsid w:val="003A478C"/>
    <w:rsid w:val="003A5525"/>
    <w:rsid w:val="003A6B38"/>
    <w:rsid w:val="003B34FF"/>
    <w:rsid w:val="003B4169"/>
    <w:rsid w:val="003B5A32"/>
    <w:rsid w:val="003B5B99"/>
    <w:rsid w:val="003C627D"/>
    <w:rsid w:val="003C6CC2"/>
    <w:rsid w:val="003E037E"/>
    <w:rsid w:val="003F313C"/>
    <w:rsid w:val="004004F4"/>
    <w:rsid w:val="0040155D"/>
    <w:rsid w:val="00403484"/>
    <w:rsid w:val="00416C0A"/>
    <w:rsid w:val="004242B2"/>
    <w:rsid w:val="00426A61"/>
    <w:rsid w:val="00437DC6"/>
    <w:rsid w:val="00452EBE"/>
    <w:rsid w:val="00470E57"/>
    <w:rsid w:val="00476265"/>
    <w:rsid w:val="0048086F"/>
    <w:rsid w:val="0048139F"/>
    <w:rsid w:val="004859A8"/>
    <w:rsid w:val="004A081C"/>
    <w:rsid w:val="004A77DF"/>
    <w:rsid w:val="004B2C1E"/>
    <w:rsid w:val="004B55B7"/>
    <w:rsid w:val="004B7591"/>
    <w:rsid w:val="004C3867"/>
    <w:rsid w:val="004C4ABE"/>
    <w:rsid w:val="004C4CD0"/>
    <w:rsid w:val="004C70DC"/>
    <w:rsid w:val="004D0211"/>
    <w:rsid w:val="004E1007"/>
    <w:rsid w:val="004F06F5"/>
    <w:rsid w:val="004F0E28"/>
    <w:rsid w:val="004F209C"/>
    <w:rsid w:val="004F78C3"/>
    <w:rsid w:val="005108C0"/>
    <w:rsid w:val="00511873"/>
    <w:rsid w:val="00513B7E"/>
    <w:rsid w:val="00514041"/>
    <w:rsid w:val="005221B3"/>
    <w:rsid w:val="0052495E"/>
    <w:rsid w:val="00525137"/>
    <w:rsid w:val="005251DD"/>
    <w:rsid w:val="00532D7D"/>
    <w:rsid w:val="005376AD"/>
    <w:rsid w:val="00542E84"/>
    <w:rsid w:val="00544082"/>
    <w:rsid w:val="005513E1"/>
    <w:rsid w:val="00557A96"/>
    <w:rsid w:val="00572C92"/>
    <w:rsid w:val="00583FFD"/>
    <w:rsid w:val="00586971"/>
    <w:rsid w:val="00593152"/>
    <w:rsid w:val="00593E87"/>
    <w:rsid w:val="005A21E0"/>
    <w:rsid w:val="005A7316"/>
    <w:rsid w:val="005B20AA"/>
    <w:rsid w:val="005C2045"/>
    <w:rsid w:val="005D1BF3"/>
    <w:rsid w:val="005D514D"/>
    <w:rsid w:val="005D5802"/>
    <w:rsid w:val="005E0178"/>
    <w:rsid w:val="005E1DD5"/>
    <w:rsid w:val="005E73F3"/>
    <w:rsid w:val="005F153A"/>
    <w:rsid w:val="006016D1"/>
    <w:rsid w:val="00604307"/>
    <w:rsid w:val="0060487F"/>
    <w:rsid w:val="00624093"/>
    <w:rsid w:val="00625E0F"/>
    <w:rsid w:val="00633AEB"/>
    <w:rsid w:val="00633F6D"/>
    <w:rsid w:val="006352A8"/>
    <w:rsid w:val="00635B35"/>
    <w:rsid w:val="006366C8"/>
    <w:rsid w:val="006404A7"/>
    <w:rsid w:val="006419F8"/>
    <w:rsid w:val="006451E4"/>
    <w:rsid w:val="00645EF8"/>
    <w:rsid w:val="00653860"/>
    <w:rsid w:val="00655906"/>
    <w:rsid w:val="0065667A"/>
    <w:rsid w:val="00657E87"/>
    <w:rsid w:val="006710C9"/>
    <w:rsid w:val="00675DD1"/>
    <w:rsid w:val="00675E37"/>
    <w:rsid w:val="00677696"/>
    <w:rsid w:val="0068260E"/>
    <w:rsid w:val="0069246C"/>
    <w:rsid w:val="006941CE"/>
    <w:rsid w:val="00695BEF"/>
    <w:rsid w:val="00697219"/>
    <w:rsid w:val="006977F6"/>
    <w:rsid w:val="00697A13"/>
    <w:rsid w:val="00697C9B"/>
    <w:rsid w:val="006A109C"/>
    <w:rsid w:val="006A31C8"/>
    <w:rsid w:val="006A420D"/>
    <w:rsid w:val="006B7581"/>
    <w:rsid w:val="006B78D8"/>
    <w:rsid w:val="006C113F"/>
    <w:rsid w:val="006D61F6"/>
    <w:rsid w:val="006E1FDB"/>
    <w:rsid w:val="006E279A"/>
    <w:rsid w:val="006E313B"/>
    <w:rsid w:val="006E5DFC"/>
    <w:rsid w:val="007051F5"/>
    <w:rsid w:val="0070676A"/>
    <w:rsid w:val="007211F5"/>
    <w:rsid w:val="007271FD"/>
    <w:rsid w:val="00730AE8"/>
    <w:rsid w:val="00741493"/>
    <w:rsid w:val="0074736D"/>
    <w:rsid w:val="00750951"/>
    <w:rsid w:val="00752180"/>
    <w:rsid w:val="00755D3A"/>
    <w:rsid w:val="0075757C"/>
    <w:rsid w:val="007609C6"/>
    <w:rsid w:val="00760D36"/>
    <w:rsid w:val="0077264D"/>
    <w:rsid w:val="00776527"/>
    <w:rsid w:val="00784861"/>
    <w:rsid w:val="007949E3"/>
    <w:rsid w:val="007A01BD"/>
    <w:rsid w:val="007A4E4E"/>
    <w:rsid w:val="007A68E8"/>
    <w:rsid w:val="007B47EE"/>
    <w:rsid w:val="007B60D9"/>
    <w:rsid w:val="007D3A47"/>
    <w:rsid w:val="007D6E98"/>
    <w:rsid w:val="007E12CE"/>
    <w:rsid w:val="007E7E61"/>
    <w:rsid w:val="007F6B36"/>
    <w:rsid w:val="00802A57"/>
    <w:rsid w:val="00814887"/>
    <w:rsid w:val="00821FF6"/>
    <w:rsid w:val="0083143E"/>
    <w:rsid w:val="00834FAA"/>
    <w:rsid w:val="0083596D"/>
    <w:rsid w:val="00836086"/>
    <w:rsid w:val="00853E06"/>
    <w:rsid w:val="00857578"/>
    <w:rsid w:val="008605E5"/>
    <w:rsid w:val="00860953"/>
    <w:rsid w:val="008620CA"/>
    <w:rsid w:val="0087055B"/>
    <w:rsid w:val="00876086"/>
    <w:rsid w:val="008877B0"/>
    <w:rsid w:val="008B309A"/>
    <w:rsid w:val="008B7C02"/>
    <w:rsid w:val="008C0E88"/>
    <w:rsid w:val="008D2A16"/>
    <w:rsid w:val="008E31FF"/>
    <w:rsid w:val="008E401B"/>
    <w:rsid w:val="008F60FD"/>
    <w:rsid w:val="009003A8"/>
    <w:rsid w:val="009020FE"/>
    <w:rsid w:val="00902EFF"/>
    <w:rsid w:val="0090382A"/>
    <w:rsid w:val="00921F14"/>
    <w:rsid w:val="009233F1"/>
    <w:rsid w:val="009248E3"/>
    <w:rsid w:val="0094427A"/>
    <w:rsid w:val="00944EA6"/>
    <w:rsid w:val="009552B1"/>
    <w:rsid w:val="00972CA2"/>
    <w:rsid w:val="00973454"/>
    <w:rsid w:val="00974923"/>
    <w:rsid w:val="00991A9E"/>
    <w:rsid w:val="009A23E5"/>
    <w:rsid w:val="009B6FD3"/>
    <w:rsid w:val="009C00F3"/>
    <w:rsid w:val="009C3912"/>
    <w:rsid w:val="009E14B5"/>
    <w:rsid w:val="009E3131"/>
    <w:rsid w:val="009E5300"/>
    <w:rsid w:val="009F30E4"/>
    <w:rsid w:val="00A10D66"/>
    <w:rsid w:val="00A1636E"/>
    <w:rsid w:val="00A202A7"/>
    <w:rsid w:val="00A204CF"/>
    <w:rsid w:val="00A23E43"/>
    <w:rsid w:val="00A33EFD"/>
    <w:rsid w:val="00A34DA0"/>
    <w:rsid w:val="00A35033"/>
    <w:rsid w:val="00A460B2"/>
    <w:rsid w:val="00A46DE0"/>
    <w:rsid w:val="00A52EC2"/>
    <w:rsid w:val="00A5555E"/>
    <w:rsid w:val="00A55FDE"/>
    <w:rsid w:val="00A62CE1"/>
    <w:rsid w:val="00A75E40"/>
    <w:rsid w:val="00A857C0"/>
    <w:rsid w:val="00A902A5"/>
    <w:rsid w:val="00A94AB5"/>
    <w:rsid w:val="00A953D4"/>
    <w:rsid w:val="00AA0168"/>
    <w:rsid w:val="00AA315F"/>
    <w:rsid w:val="00AA3BA1"/>
    <w:rsid w:val="00AA559A"/>
    <w:rsid w:val="00AB2AF1"/>
    <w:rsid w:val="00AB3CE2"/>
    <w:rsid w:val="00AB64E8"/>
    <w:rsid w:val="00AC1752"/>
    <w:rsid w:val="00AC4A24"/>
    <w:rsid w:val="00AD239A"/>
    <w:rsid w:val="00AD306C"/>
    <w:rsid w:val="00AE33C2"/>
    <w:rsid w:val="00AF25EE"/>
    <w:rsid w:val="00B01CAD"/>
    <w:rsid w:val="00B17C49"/>
    <w:rsid w:val="00B17E71"/>
    <w:rsid w:val="00B17FDE"/>
    <w:rsid w:val="00B2098B"/>
    <w:rsid w:val="00B32DDB"/>
    <w:rsid w:val="00B36A65"/>
    <w:rsid w:val="00B40A03"/>
    <w:rsid w:val="00B44676"/>
    <w:rsid w:val="00B448FC"/>
    <w:rsid w:val="00B4643E"/>
    <w:rsid w:val="00B513EB"/>
    <w:rsid w:val="00B551E6"/>
    <w:rsid w:val="00B6608F"/>
    <w:rsid w:val="00B76D1E"/>
    <w:rsid w:val="00B801AF"/>
    <w:rsid w:val="00B80EDA"/>
    <w:rsid w:val="00B81475"/>
    <w:rsid w:val="00B95940"/>
    <w:rsid w:val="00B97BEC"/>
    <w:rsid w:val="00BA0E5F"/>
    <w:rsid w:val="00BA493B"/>
    <w:rsid w:val="00BA4D62"/>
    <w:rsid w:val="00BC3543"/>
    <w:rsid w:val="00BC5568"/>
    <w:rsid w:val="00BC66E8"/>
    <w:rsid w:val="00BD2BDC"/>
    <w:rsid w:val="00BD366B"/>
    <w:rsid w:val="00BD6D50"/>
    <w:rsid w:val="00BD7706"/>
    <w:rsid w:val="00BE23F8"/>
    <w:rsid w:val="00C01506"/>
    <w:rsid w:val="00C107E7"/>
    <w:rsid w:val="00C21F94"/>
    <w:rsid w:val="00C3177E"/>
    <w:rsid w:val="00C41EFF"/>
    <w:rsid w:val="00C556F4"/>
    <w:rsid w:val="00C64B75"/>
    <w:rsid w:val="00C66E0C"/>
    <w:rsid w:val="00C80F44"/>
    <w:rsid w:val="00C90CF4"/>
    <w:rsid w:val="00C91D7C"/>
    <w:rsid w:val="00C92654"/>
    <w:rsid w:val="00C93389"/>
    <w:rsid w:val="00C97E34"/>
    <w:rsid w:val="00CA0463"/>
    <w:rsid w:val="00CA24C7"/>
    <w:rsid w:val="00CB7349"/>
    <w:rsid w:val="00CC1931"/>
    <w:rsid w:val="00CC1CC4"/>
    <w:rsid w:val="00CC475C"/>
    <w:rsid w:val="00CD288B"/>
    <w:rsid w:val="00CF51EC"/>
    <w:rsid w:val="00D03693"/>
    <w:rsid w:val="00D040DD"/>
    <w:rsid w:val="00D10241"/>
    <w:rsid w:val="00D15A3E"/>
    <w:rsid w:val="00D30233"/>
    <w:rsid w:val="00D32AAF"/>
    <w:rsid w:val="00D347C8"/>
    <w:rsid w:val="00D51805"/>
    <w:rsid w:val="00D602CE"/>
    <w:rsid w:val="00D60433"/>
    <w:rsid w:val="00D61A47"/>
    <w:rsid w:val="00D67975"/>
    <w:rsid w:val="00D7363A"/>
    <w:rsid w:val="00D842D3"/>
    <w:rsid w:val="00DA3AAF"/>
    <w:rsid w:val="00DA45FF"/>
    <w:rsid w:val="00DB4F3B"/>
    <w:rsid w:val="00DC2E00"/>
    <w:rsid w:val="00DC5B3B"/>
    <w:rsid w:val="00DE2D8F"/>
    <w:rsid w:val="00DE3724"/>
    <w:rsid w:val="00DF00E1"/>
    <w:rsid w:val="00DF4DBA"/>
    <w:rsid w:val="00DF5641"/>
    <w:rsid w:val="00E01C0E"/>
    <w:rsid w:val="00E03893"/>
    <w:rsid w:val="00E04694"/>
    <w:rsid w:val="00E069D1"/>
    <w:rsid w:val="00E22935"/>
    <w:rsid w:val="00E263D4"/>
    <w:rsid w:val="00E2712D"/>
    <w:rsid w:val="00E42B4D"/>
    <w:rsid w:val="00E438DF"/>
    <w:rsid w:val="00E5040E"/>
    <w:rsid w:val="00E55504"/>
    <w:rsid w:val="00E71A58"/>
    <w:rsid w:val="00E8493B"/>
    <w:rsid w:val="00E90C72"/>
    <w:rsid w:val="00EA0C68"/>
    <w:rsid w:val="00EB3661"/>
    <w:rsid w:val="00ED286F"/>
    <w:rsid w:val="00EE39DC"/>
    <w:rsid w:val="00EE3E78"/>
    <w:rsid w:val="00EE5A6E"/>
    <w:rsid w:val="00EF1AEF"/>
    <w:rsid w:val="00EF1F5A"/>
    <w:rsid w:val="00EF4D97"/>
    <w:rsid w:val="00F014FF"/>
    <w:rsid w:val="00F02F8E"/>
    <w:rsid w:val="00F03967"/>
    <w:rsid w:val="00F04811"/>
    <w:rsid w:val="00F0488C"/>
    <w:rsid w:val="00F15BEF"/>
    <w:rsid w:val="00F24FAA"/>
    <w:rsid w:val="00F3364D"/>
    <w:rsid w:val="00F41C6D"/>
    <w:rsid w:val="00F6371C"/>
    <w:rsid w:val="00F63DDE"/>
    <w:rsid w:val="00F63FB7"/>
    <w:rsid w:val="00F6458A"/>
    <w:rsid w:val="00F71B42"/>
    <w:rsid w:val="00F73A0C"/>
    <w:rsid w:val="00FC0C8F"/>
    <w:rsid w:val="00FC0E5F"/>
    <w:rsid w:val="00FC1CDE"/>
    <w:rsid w:val="00FC56DE"/>
    <w:rsid w:val="00FD0311"/>
    <w:rsid w:val="00FD778F"/>
    <w:rsid w:val="00FE04DC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B49C-3026-46F2-B106-EC11D6A5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0</TotalTime>
  <Pages>4</Pages>
  <Words>701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2</cp:revision>
  <cp:lastPrinted>2017-05-16T06:40:00Z</cp:lastPrinted>
  <dcterms:created xsi:type="dcterms:W3CDTF">2017-05-17T13:51:00Z</dcterms:created>
  <dcterms:modified xsi:type="dcterms:W3CDTF">2017-05-17T13:51:00Z</dcterms:modified>
</cp:coreProperties>
</file>