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828" w:rsidRPr="009C0696" w:rsidRDefault="006115B5" w:rsidP="00C62828">
      <w:pPr>
        <w:pStyle w:val="Nadpis11"/>
        <w:rPr>
          <w:lang w:val="en-GB"/>
        </w:rPr>
      </w:pPr>
      <w:bookmarkStart w:id="0" w:name="_Toc5708390"/>
      <w:bookmarkStart w:id="1" w:name="_GoBack"/>
      <w:bookmarkEnd w:id="1"/>
      <w:r w:rsidRPr="009C0696">
        <w:rPr>
          <w:lang w:val="en-GB"/>
        </w:rPr>
        <w:t>2. Overall Economic Performance</w:t>
      </w:r>
      <w:bookmarkEnd w:id="0"/>
    </w:p>
    <w:tbl>
      <w:tblPr>
        <w:tblW w:w="9639" w:type="dxa"/>
        <w:tblInd w:w="-15" w:type="dxa"/>
        <w:tblCellMar>
          <w:left w:w="0" w:type="dxa"/>
          <w:right w:w="0" w:type="dxa"/>
        </w:tblCellMar>
        <w:tblLook w:val="00A0" w:firstRow="1" w:lastRow="0" w:firstColumn="1" w:lastColumn="0" w:noHBand="0" w:noVBand="0"/>
      </w:tblPr>
      <w:tblGrid>
        <w:gridCol w:w="1802"/>
        <w:gridCol w:w="227"/>
        <w:gridCol w:w="7610"/>
      </w:tblGrid>
      <w:tr w:rsidR="00A90F2C" w:rsidRPr="009C0696" w:rsidTr="00A74D81">
        <w:trPr>
          <w:trHeight w:val="145"/>
        </w:trPr>
        <w:tc>
          <w:tcPr>
            <w:tcW w:w="1802" w:type="dxa"/>
            <w:shd w:val="clear" w:color="auto" w:fill="auto"/>
            <w:tcMar>
              <w:left w:w="0" w:type="dxa"/>
            </w:tcMar>
          </w:tcPr>
          <w:p w:rsidR="00A90F2C" w:rsidRPr="009C0696" w:rsidRDefault="0050648F" w:rsidP="0050648F">
            <w:pPr>
              <w:pStyle w:val="Marginlie"/>
              <w:rPr>
                <w:lang w:val="en-GB"/>
              </w:rPr>
            </w:pPr>
            <w:r w:rsidRPr="009C0696">
              <w:rPr>
                <w:lang w:val="en-GB"/>
              </w:rPr>
              <w:t>Growth of Gross domestic product contracted last year…</w:t>
            </w:r>
            <w:r w:rsidR="00CE7483" w:rsidRPr="009C0696">
              <w:rPr>
                <w:lang w:val="en-GB"/>
              </w:rPr>
              <w:t xml:space="preserve"> </w:t>
            </w:r>
          </w:p>
        </w:tc>
        <w:tc>
          <w:tcPr>
            <w:tcW w:w="227" w:type="dxa"/>
            <w:shd w:val="clear" w:color="auto" w:fill="auto"/>
            <w:tcMar>
              <w:left w:w="0" w:type="dxa"/>
            </w:tcMar>
          </w:tcPr>
          <w:p w:rsidR="00A90F2C" w:rsidRPr="009C0696" w:rsidRDefault="00A90F2C" w:rsidP="0033709C">
            <w:pPr>
              <w:pStyle w:val="Textpoznpodarou"/>
              <w:jc w:val="both"/>
              <w:rPr>
                <w:spacing w:val="-4"/>
                <w:lang w:val="en-GB"/>
              </w:rPr>
            </w:pPr>
          </w:p>
        </w:tc>
        <w:tc>
          <w:tcPr>
            <w:tcW w:w="7610" w:type="dxa"/>
            <w:shd w:val="clear" w:color="auto" w:fill="auto"/>
            <w:tcMar>
              <w:left w:w="0" w:type="dxa"/>
            </w:tcMar>
          </w:tcPr>
          <w:p w:rsidR="00A90F2C" w:rsidRPr="009C0696" w:rsidRDefault="00D01462" w:rsidP="008532BF">
            <w:pPr>
              <w:spacing w:after="220"/>
              <w:rPr>
                <w:spacing w:val="-2"/>
                <w:lang w:val="en-GB"/>
              </w:rPr>
            </w:pPr>
            <w:r w:rsidRPr="009C0696">
              <w:rPr>
                <w:spacing w:val="-2"/>
                <w:lang w:val="en-GB"/>
              </w:rPr>
              <w:t>Gross domestic product (GDP) grew by 2.9%</w:t>
            </w:r>
            <w:r w:rsidR="00A90F2C" w:rsidRPr="009C0696">
              <w:rPr>
                <w:rStyle w:val="Znakapoznpodarou"/>
                <w:rFonts w:cs="Arial"/>
                <w:spacing w:val="-2"/>
                <w:lang w:val="en-GB"/>
              </w:rPr>
              <w:footnoteReference w:id="1"/>
            </w:r>
            <w:r w:rsidRPr="009C0696">
              <w:rPr>
                <w:spacing w:val="-2"/>
                <w:lang w:val="en-GB"/>
              </w:rPr>
              <w:t xml:space="preserve"> last year</w:t>
            </w:r>
            <w:r w:rsidR="00A90F2C" w:rsidRPr="009C0696">
              <w:rPr>
                <w:spacing w:val="-2"/>
                <w:lang w:val="en-GB"/>
              </w:rPr>
              <w:t xml:space="preserve">. </w:t>
            </w:r>
            <w:r w:rsidRPr="009C0696">
              <w:rPr>
                <w:spacing w:val="-2"/>
                <w:lang w:val="en-GB"/>
              </w:rPr>
              <w:t xml:space="preserve">That is by 1.6 p.p. less than in year 2017. It represented the third largest addition in the last ten years. </w:t>
            </w:r>
            <w:r w:rsidR="001853B1" w:rsidRPr="009C0696">
              <w:rPr>
                <w:spacing w:val="-2"/>
                <w:lang w:val="en-GB"/>
              </w:rPr>
              <w:t>Year-on-year dynamics during the year contracted at first (</w:t>
            </w:r>
            <w:r w:rsidR="00A90F2C" w:rsidRPr="009C0696">
              <w:rPr>
                <w:spacing w:val="-2"/>
                <w:lang w:val="en-GB"/>
              </w:rPr>
              <w:t>4</w:t>
            </w:r>
            <w:r w:rsidR="001853B1" w:rsidRPr="009C0696">
              <w:rPr>
                <w:spacing w:val="-2"/>
                <w:lang w:val="en-GB"/>
              </w:rPr>
              <w:t>.</w:t>
            </w:r>
            <w:r w:rsidR="00A90F2C" w:rsidRPr="009C0696">
              <w:rPr>
                <w:spacing w:val="-2"/>
                <w:lang w:val="en-GB"/>
              </w:rPr>
              <w:t>2%, 2</w:t>
            </w:r>
            <w:r w:rsidR="001853B1" w:rsidRPr="009C0696">
              <w:rPr>
                <w:spacing w:val="-2"/>
                <w:lang w:val="en-GB"/>
              </w:rPr>
              <w:t>.</w:t>
            </w:r>
            <w:r w:rsidR="00A90F2C" w:rsidRPr="009C0696">
              <w:rPr>
                <w:spacing w:val="-2"/>
                <w:lang w:val="en-GB"/>
              </w:rPr>
              <w:t>3%, 2</w:t>
            </w:r>
            <w:r w:rsidR="001853B1" w:rsidRPr="009C0696">
              <w:rPr>
                <w:spacing w:val="-2"/>
                <w:lang w:val="en-GB"/>
              </w:rPr>
              <w:t>.</w:t>
            </w:r>
            <w:r w:rsidR="00A90F2C" w:rsidRPr="009C0696">
              <w:rPr>
                <w:spacing w:val="-2"/>
                <w:lang w:val="en-GB"/>
              </w:rPr>
              <w:t xml:space="preserve">4% </w:t>
            </w:r>
            <w:r w:rsidR="001853B1" w:rsidRPr="009C0696">
              <w:rPr>
                <w:spacing w:val="-2"/>
                <w:lang w:val="en-GB"/>
              </w:rPr>
              <w:t>in Q1</w:t>
            </w:r>
            <w:r w:rsidR="00A90F2C" w:rsidRPr="009C0696">
              <w:rPr>
                <w:spacing w:val="-2"/>
                <w:lang w:val="en-GB"/>
              </w:rPr>
              <w:t>, 2</w:t>
            </w:r>
            <w:r w:rsidR="001853B1" w:rsidRPr="009C0696">
              <w:rPr>
                <w:spacing w:val="-2"/>
                <w:lang w:val="en-GB"/>
              </w:rPr>
              <w:t xml:space="preserve"> </w:t>
            </w:r>
            <w:r w:rsidR="00A90F2C" w:rsidRPr="009C0696">
              <w:rPr>
                <w:spacing w:val="-2"/>
                <w:lang w:val="en-GB"/>
              </w:rPr>
              <w:t>a</w:t>
            </w:r>
            <w:r w:rsidR="001853B1" w:rsidRPr="009C0696">
              <w:rPr>
                <w:spacing w:val="-2"/>
                <w:lang w:val="en-GB"/>
              </w:rPr>
              <w:t>nd 3</w:t>
            </w:r>
            <w:r w:rsidR="00A90F2C" w:rsidRPr="009C0696">
              <w:rPr>
                <w:spacing w:val="-2"/>
                <w:lang w:val="en-GB"/>
              </w:rPr>
              <w:t xml:space="preserve">), </w:t>
            </w:r>
            <w:r w:rsidR="00753122" w:rsidRPr="009C0696">
              <w:rPr>
                <w:spacing w:val="-2"/>
                <w:lang w:val="en-GB"/>
              </w:rPr>
              <w:t>the growth slightly increased again in Q</w:t>
            </w:r>
            <w:r w:rsidR="00A90F2C" w:rsidRPr="009C0696">
              <w:rPr>
                <w:spacing w:val="-2"/>
                <w:lang w:val="en-GB"/>
              </w:rPr>
              <w:t>4</w:t>
            </w:r>
            <w:r w:rsidR="00753122" w:rsidRPr="009C0696">
              <w:rPr>
                <w:spacing w:val="-2"/>
                <w:lang w:val="en-GB"/>
              </w:rPr>
              <w:t xml:space="preserve"> </w:t>
            </w:r>
            <w:r w:rsidR="00A90F2C" w:rsidRPr="009C0696">
              <w:rPr>
                <w:spacing w:val="-2"/>
                <w:lang w:val="en-GB"/>
              </w:rPr>
              <w:t>(2</w:t>
            </w:r>
            <w:r w:rsidR="00753122" w:rsidRPr="009C0696">
              <w:rPr>
                <w:spacing w:val="-2"/>
                <w:lang w:val="en-GB"/>
              </w:rPr>
              <w:t>.</w:t>
            </w:r>
            <w:r w:rsidR="00A90F2C" w:rsidRPr="009C0696">
              <w:rPr>
                <w:spacing w:val="-2"/>
                <w:lang w:val="en-GB"/>
              </w:rPr>
              <w:t xml:space="preserve">6%). </w:t>
            </w:r>
            <w:r w:rsidR="00822CDC" w:rsidRPr="009C0696">
              <w:rPr>
                <w:spacing w:val="-2"/>
                <w:lang w:val="en-GB"/>
              </w:rPr>
              <w:t>All its components supported the GDP growth relatively equally in 2018.</w:t>
            </w:r>
            <w:r w:rsidR="0025329C" w:rsidRPr="009C0696">
              <w:rPr>
                <w:spacing w:val="-2"/>
                <w:lang w:val="en-GB"/>
              </w:rPr>
              <w:t xml:space="preserve"> The domestic demand represented by the final consumption expenditure </w:t>
            </w:r>
            <w:r w:rsidR="00A90F2C" w:rsidRPr="009C0696">
              <w:rPr>
                <w:spacing w:val="-2"/>
                <w:lang w:val="en-GB"/>
              </w:rPr>
              <w:t>(1</w:t>
            </w:r>
            <w:r w:rsidR="0025329C" w:rsidRPr="009C0696">
              <w:rPr>
                <w:spacing w:val="-2"/>
                <w:lang w:val="en-GB"/>
              </w:rPr>
              <w:t>.</w:t>
            </w:r>
            <w:r w:rsidR="00A90F2C" w:rsidRPr="009C0696">
              <w:rPr>
                <w:spacing w:val="-2"/>
                <w:lang w:val="en-GB"/>
              </w:rPr>
              <w:t>7 p.</w:t>
            </w:r>
            <w:r w:rsidR="0025329C" w:rsidRPr="009C0696">
              <w:rPr>
                <w:spacing w:val="-2"/>
                <w:lang w:val="en-GB"/>
              </w:rPr>
              <w:t>p</w:t>
            </w:r>
            <w:r w:rsidR="00A90F2C" w:rsidRPr="009C0696">
              <w:rPr>
                <w:spacing w:val="-2"/>
                <w:lang w:val="en-GB"/>
              </w:rPr>
              <w:t>.</w:t>
            </w:r>
            <w:r w:rsidR="008532BF" w:rsidRPr="009C0696">
              <w:rPr>
                <w:spacing w:val="-2"/>
                <w:lang w:val="en-GB"/>
              </w:rPr>
              <w:t>)</w:t>
            </w:r>
            <w:r w:rsidR="00A90F2C" w:rsidRPr="009C0696">
              <w:rPr>
                <w:rStyle w:val="Znakapoznpodarou"/>
                <w:lang w:val="en-GB"/>
              </w:rPr>
              <w:footnoteReference w:id="2"/>
            </w:r>
            <w:r w:rsidR="00A90F2C" w:rsidRPr="009C0696">
              <w:rPr>
                <w:spacing w:val="-2"/>
                <w:lang w:val="en-GB"/>
              </w:rPr>
              <w:t xml:space="preserve"> a</w:t>
            </w:r>
            <w:r w:rsidR="0025329C" w:rsidRPr="009C0696">
              <w:rPr>
                <w:spacing w:val="-2"/>
                <w:lang w:val="en-GB"/>
              </w:rPr>
              <w:t xml:space="preserve">nd gross capital formation </w:t>
            </w:r>
            <w:r w:rsidR="00A90F2C" w:rsidRPr="009C0696">
              <w:rPr>
                <w:spacing w:val="-2"/>
                <w:lang w:val="en-GB"/>
              </w:rPr>
              <w:t>(0</w:t>
            </w:r>
            <w:r w:rsidR="0025329C" w:rsidRPr="009C0696">
              <w:rPr>
                <w:spacing w:val="-2"/>
                <w:lang w:val="en-GB"/>
              </w:rPr>
              <w:t>.</w:t>
            </w:r>
            <w:r w:rsidR="00A90F2C" w:rsidRPr="009C0696">
              <w:rPr>
                <w:spacing w:val="-2"/>
                <w:lang w:val="en-GB"/>
              </w:rPr>
              <w:t>8 p.</w:t>
            </w:r>
            <w:r w:rsidR="0025329C" w:rsidRPr="009C0696">
              <w:rPr>
                <w:spacing w:val="-2"/>
                <w:lang w:val="en-GB"/>
              </w:rPr>
              <w:t>p</w:t>
            </w:r>
            <w:r w:rsidR="00A90F2C" w:rsidRPr="009C0696">
              <w:rPr>
                <w:spacing w:val="-2"/>
                <w:lang w:val="en-GB"/>
              </w:rPr>
              <w:t>.)</w:t>
            </w:r>
            <w:r w:rsidR="0025329C" w:rsidRPr="009C0696">
              <w:rPr>
                <w:spacing w:val="-2"/>
                <w:lang w:val="en-GB"/>
              </w:rPr>
              <w:t xml:space="preserve"> dominated</w:t>
            </w:r>
            <w:r w:rsidR="00A90F2C" w:rsidRPr="009C0696">
              <w:rPr>
                <w:spacing w:val="-2"/>
                <w:lang w:val="en-GB"/>
              </w:rPr>
              <w:t xml:space="preserve">. </w:t>
            </w:r>
            <w:r w:rsidR="00065190" w:rsidRPr="009C0696">
              <w:rPr>
                <w:spacing w:val="-2"/>
                <w:lang w:val="en-GB"/>
              </w:rPr>
              <w:t xml:space="preserve">The effect of the foreign demand strengthened especially at the end of the year. The foreign trade balance contributed 0.4 p.p. to the GDP growth. </w:t>
            </w:r>
            <w:r w:rsidR="00000820" w:rsidRPr="009C0696">
              <w:rPr>
                <w:spacing w:val="-2"/>
                <w:lang w:val="en-GB"/>
              </w:rPr>
              <w:t>The quarter-on-quarter dynamics of GDP attained rather solid levels during the year and accelerated in its second half</w:t>
            </w:r>
            <w:r w:rsidR="00D41ED8" w:rsidRPr="009C0696">
              <w:rPr>
                <w:spacing w:val="-2"/>
                <w:lang w:val="en-GB"/>
              </w:rPr>
              <w:t xml:space="preserve"> </w:t>
            </w:r>
            <w:r w:rsidR="00A90F2C" w:rsidRPr="009C0696">
              <w:rPr>
                <w:spacing w:val="-2"/>
                <w:lang w:val="en-GB"/>
              </w:rPr>
              <w:t>(0</w:t>
            </w:r>
            <w:r w:rsidR="00D41ED8" w:rsidRPr="009C0696">
              <w:rPr>
                <w:spacing w:val="-2"/>
                <w:lang w:val="en-GB"/>
              </w:rPr>
              <w:t>.</w:t>
            </w:r>
            <w:r w:rsidR="00A90F2C" w:rsidRPr="009C0696">
              <w:rPr>
                <w:spacing w:val="-2"/>
                <w:lang w:val="en-GB"/>
              </w:rPr>
              <w:t>6%, 0</w:t>
            </w:r>
            <w:r w:rsidR="00D41ED8" w:rsidRPr="009C0696">
              <w:rPr>
                <w:spacing w:val="-2"/>
                <w:lang w:val="en-GB"/>
              </w:rPr>
              <w:t>.</w:t>
            </w:r>
            <w:r w:rsidR="00A90F2C" w:rsidRPr="009C0696">
              <w:rPr>
                <w:spacing w:val="-2"/>
                <w:lang w:val="en-GB"/>
              </w:rPr>
              <w:t>5%, 0</w:t>
            </w:r>
            <w:r w:rsidR="00D41ED8" w:rsidRPr="009C0696">
              <w:rPr>
                <w:spacing w:val="-2"/>
                <w:lang w:val="en-GB"/>
              </w:rPr>
              <w:t>.</w:t>
            </w:r>
            <w:r w:rsidR="00A90F2C" w:rsidRPr="009C0696">
              <w:rPr>
                <w:spacing w:val="-2"/>
                <w:lang w:val="en-GB"/>
              </w:rPr>
              <w:t>7% a</w:t>
            </w:r>
            <w:r w:rsidR="00D41ED8" w:rsidRPr="009C0696">
              <w:rPr>
                <w:spacing w:val="-2"/>
                <w:lang w:val="en-GB"/>
              </w:rPr>
              <w:t>nd</w:t>
            </w:r>
            <w:r w:rsidR="00A90F2C" w:rsidRPr="009C0696">
              <w:rPr>
                <w:spacing w:val="-2"/>
                <w:lang w:val="en-GB"/>
              </w:rPr>
              <w:t xml:space="preserve"> 0</w:t>
            </w:r>
            <w:r w:rsidR="00D41ED8" w:rsidRPr="009C0696">
              <w:rPr>
                <w:spacing w:val="-2"/>
                <w:lang w:val="en-GB"/>
              </w:rPr>
              <w:t>.</w:t>
            </w:r>
            <w:r w:rsidR="00A90F2C" w:rsidRPr="009C0696">
              <w:rPr>
                <w:spacing w:val="-2"/>
                <w:lang w:val="en-GB"/>
              </w:rPr>
              <w:t xml:space="preserve">8% </w:t>
            </w:r>
            <w:r w:rsidR="00D41ED8" w:rsidRPr="009C0696">
              <w:rPr>
                <w:spacing w:val="-2"/>
                <w:lang w:val="en-GB"/>
              </w:rPr>
              <w:t>in individual quarters</w:t>
            </w:r>
            <w:r w:rsidR="00A90F2C" w:rsidRPr="009C0696">
              <w:rPr>
                <w:spacing w:val="-2"/>
                <w:lang w:val="en-GB"/>
              </w:rPr>
              <w:t xml:space="preserve">). </w:t>
            </w:r>
            <w:r w:rsidR="00D41ED8" w:rsidRPr="009C0696">
              <w:rPr>
                <w:spacing w:val="-2"/>
                <w:lang w:val="en-GB"/>
              </w:rPr>
              <w:t xml:space="preserve">Gross value added (GVA) grew by 3.0% last year. </w:t>
            </w:r>
            <w:r w:rsidR="00CE7483" w:rsidRPr="009C0696">
              <w:rPr>
                <w:spacing w:val="-2"/>
                <w:lang w:val="en-GB"/>
              </w:rPr>
              <w:t xml:space="preserve">Especially the services sector, benefiting from the strong domestic demand, supported the growth. Weight dominant manufacturing further prospered, however its contribution to the GVA growth was lower compared to the preceding year. The year-on-year addition </w:t>
            </w:r>
            <w:r w:rsidR="00841C18" w:rsidRPr="009C0696">
              <w:rPr>
                <w:spacing w:val="-2"/>
                <w:lang w:val="en-GB"/>
              </w:rPr>
              <w:t xml:space="preserve">of GVA </w:t>
            </w:r>
            <w:r w:rsidR="00CE7483" w:rsidRPr="009C0696">
              <w:rPr>
                <w:spacing w:val="-2"/>
                <w:lang w:val="en-GB"/>
              </w:rPr>
              <w:t>was</w:t>
            </w:r>
            <w:r w:rsidR="00841C18" w:rsidRPr="009C0696">
              <w:rPr>
                <w:spacing w:val="-2"/>
                <w:lang w:val="en-GB"/>
              </w:rPr>
              <w:t xml:space="preserve"> 2.9% in Q</w:t>
            </w:r>
            <w:r w:rsidR="00413026">
              <w:rPr>
                <w:spacing w:val="-2"/>
                <w:lang w:val="en-GB"/>
              </w:rPr>
              <w:t>4.</w:t>
            </w:r>
          </w:p>
        </w:tc>
      </w:tr>
      <w:tr w:rsidR="00A90F2C" w:rsidRPr="009C0696" w:rsidTr="00A74D81">
        <w:trPr>
          <w:trHeight w:val="170"/>
        </w:trPr>
        <w:tc>
          <w:tcPr>
            <w:tcW w:w="1802" w:type="dxa"/>
            <w:vMerge w:val="restart"/>
            <w:shd w:val="clear" w:color="auto" w:fill="auto"/>
            <w:tcMar>
              <w:left w:w="0" w:type="dxa"/>
            </w:tcMar>
          </w:tcPr>
          <w:p w:rsidR="00A90F2C" w:rsidRPr="009C0696" w:rsidRDefault="00A90F2C" w:rsidP="0033709C">
            <w:pPr>
              <w:pStyle w:val="Marginlie"/>
              <w:rPr>
                <w:lang w:val="en-GB"/>
              </w:rPr>
            </w:pPr>
          </w:p>
        </w:tc>
        <w:tc>
          <w:tcPr>
            <w:tcW w:w="227" w:type="dxa"/>
            <w:vMerge w:val="restart"/>
            <w:shd w:val="clear" w:color="auto" w:fill="auto"/>
            <w:tcMar>
              <w:left w:w="0" w:type="dxa"/>
            </w:tcMar>
          </w:tcPr>
          <w:p w:rsidR="00A90F2C" w:rsidRPr="009C0696" w:rsidRDefault="00A90F2C" w:rsidP="0033709C">
            <w:pPr>
              <w:pStyle w:val="Textpoznpodarou"/>
              <w:jc w:val="both"/>
              <w:rPr>
                <w:spacing w:val="-4"/>
                <w:lang w:val="en-GB"/>
              </w:rPr>
            </w:pPr>
          </w:p>
        </w:tc>
        <w:tc>
          <w:tcPr>
            <w:tcW w:w="7610" w:type="dxa"/>
            <w:shd w:val="clear" w:color="auto" w:fill="auto"/>
            <w:tcMar>
              <w:left w:w="0" w:type="dxa"/>
            </w:tcMar>
          </w:tcPr>
          <w:p w:rsidR="00A90F2C" w:rsidRPr="009F7FC7" w:rsidRDefault="001A7D4E" w:rsidP="001A7D4E">
            <w:pPr>
              <w:spacing w:after="0"/>
              <w:rPr>
                <w:b/>
                <w:szCs w:val="20"/>
                <w:lang w:val="en-GB"/>
              </w:rPr>
            </w:pPr>
            <w:r w:rsidRPr="009F7FC7">
              <w:rPr>
                <w:rFonts w:cs="Arial"/>
                <w:b/>
                <w:bCs/>
                <w:color w:val="000000"/>
                <w:szCs w:val="20"/>
                <w:lang w:val="en-GB"/>
              </w:rPr>
              <w:t xml:space="preserve">Chart </w:t>
            </w:r>
            <w:r w:rsidR="00A90F2C" w:rsidRPr="009F7FC7">
              <w:rPr>
                <w:rFonts w:cs="Arial"/>
                <w:b/>
                <w:bCs/>
                <w:color w:val="000000"/>
                <w:szCs w:val="20"/>
                <w:lang w:val="en-GB"/>
              </w:rPr>
              <w:t xml:space="preserve">1  </w:t>
            </w:r>
            <w:r w:rsidRPr="009F7FC7">
              <w:rPr>
                <w:rFonts w:cs="Arial"/>
                <w:b/>
                <w:szCs w:val="20"/>
                <w:lang w:val="en-GB" w:eastAsia="en-US"/>
              </w:rPr>
              <w:t>GDP</w:t>
            </w:r>
            <w:r w:rsidR="00A90F2C" w:rsidRPr="009F7FC7">
              <w:rPr>
                <w:rFonts w:cs="Arial"/>
                <w:b/>
                <w:szCs w:val="20"/>
                <w:lang w:val="en-GB" w:eastAsia="en-US"/>
              </w:rPr>
              <w:t xml:space="preserve"> </w:t>
            </w:r>
            <w:r w:rsidR="00A90F2C" w:rsidRPr="009F7FC7">
              <w:rPr>
                <w:rFonts w:cs="Arial"/>
                <w:szCs w:val="20"/>
                <w:lang w:val="en-GB" w:eastAsia="en-US"/>
              </w:rPr>
              <w:t>(</w:t>
            </w:r>
            <w:r w:rsidRPr="009F7FC7">
              <w:rPr>
                <w:rFonts w:cs="Arial"/>
                <w:szCs w:val="20"/>
                <w:lang w:val="en-GB" w:eastAsia="en-US"/>
              </w:rPr>
              <w:t>volume indices</w:t>
            </w:r>
            <w:r w:rsidR="00A90F2C" w:rsidRPr="009F7FC7">
              <w:rPr>
                <w:rFonts w:cs="Arial"/>
                <w:szCs w:val="20"/>
                <w:lang w:val="en-GB" w:eastAsia="en-US"/>
              </w:rPr>
              <w:t xml:space="preserve">, </w:t>
            </w:r>
            <w:r w:rsidRPr="009F7FC7">
              <w:rPr>
                <w:rFonts w:cs="Arial"/>
                <w:szCs w:val="20"/>
                <w:lang w:val="en-GB" w:eastAsia="en-US"/>
              </w:rPr>
              <w:t>adjusted for seasonal and calendar effects</w:t>
            </w:r>
            <w:r w:rsidR="00A90F2C" w:rsidRPr="009F7FC7">
              <w:rPr>
                <w:rFonts w:cs="Arial"/>
                <w:szCs w:val="20"/>
                <w:lang w:val="en-GB" w:eastAsia="en-US"/>
              </w:rPr>
              <w:t xml:space="preserve">, </w:t>
            </w:r>
            <w:r w:rsidRPr="009F7FC7">
              <w:rPr>
                <w:rFonts w:cs="Arial"/>
                <w:szCs w:val="20"/>
                <w:lang w:val="en-GB" w:eastAsia="en-US"/>
              </w:rPr>
              <w:t>in</w:t>
            </w:r>
            <w:r w:rsidR="00A90F2C" w:rsidRPr="009F7FC7">
              <w:rPr>
                <w:rFonts w:cs="Arial"/>
                <w:szCs w:val="20"/>
                <w:lang w:val="en-GB" w:eastAsia="en-US"/>
              </w:rPr>
              <w:t> %)</w:t>
            </w:r>
          </w:p>
        </w:tc>
      </w:tr>
      <w:tr w:rsidR="00A90F2C" w:rsidRPr="009C0696" w:rsidTr="00A74D81">
        <w:tblPrEx>
          <w:tblCellMar>
            <w:left w:w="70" w:type="dxa"/>
            <w:right w:w="70" w:type="dxa"/>
          </w:tblCellMar>
        </w:tblPrEx>
        <w:trPr>
          <w:trHeight w:val="170"/>
        </w:trPr>
        <w:tc>
          <w:tcPr>
            <w:tcW w:w="1802" w:type="dxa"/>
            <w:vMerge/>
            <w:shd w:val="clear" w:color="auto" w:fill="auto"/>
          </w:tcPr>
          <w:p w:rsidR="00A90F2C" w:rsidRPr="009C0696" w:rsidRDefault="00A90F2C" w:rsidP="00965797">
            <w:pPr>
              <w:pStyle w:val="Marginlie"/>
              <w:rPr>
                <w:lang w:val="en-GB"/>
              </w:rPr>
            </w:pPr>
          </w:p>
        </w:tc>
        <w:tc>
          <w:tcPr>
            <w:tcW w:w="227" w:type="dxa"/>
            <w:vMerge/>
            <w:shd w:val="clear" w:color="auto" w:fill="auto"/>
          </w:tcPr>
          <w:p w:rsidR="00A90F2C" w:rsidRPr="009C0696" w:rsidRDefault="00A90F2C" w:rsidP="00965797">
            <w:pPr>
              <w:pStyle w:val="Textpoznpodarou"/>
              <w:jc w:val="both"/>
              <w:rPr>
                <w:spacing w:val="-4"/>
                <w:lang w:val="en-GB"/>
              </w:rPr>
            </w:pPr>
          </w:p>
        </w:tc>
        <w:tc>
          <w:tcPr>
            <w:tcW w:w="7610" w:type="dxa"/>
            <w:shd w:val="clear" w:color="auto" w:fill="auto"/>
          </w:tcPr>
          <w:p w:rsidR="00A90F2C" w:rsidRPr="009C0696" w:rsidRDefault="00C44A31" w:rsidP="00965797">
            <w:pPr>
              <w:spacing w:after="0"/>
              <w:rPr>
                <w:lang w:val="en-GB"/>
              </w:rPr>
            </w:pPr>
            <w:r>
              <w:rPr>
                <w:noProof/>
              </w:rPr>
              <w:drawing>
                <wp:inline distT="0" distB="0" distL="0" distR="0" wp14:anchorId="1D29AB40" wp14:editId="17D8E8D5">
                  <wp:extent cx="4737600" cy="3553200"/>
                  <wp:effectExtent l="0" t="0" r="6350" b="0"/>
                  <wp:docPr id="39" name="Graf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A90F2C" w:rsidRPr="009C0696" w:rsidTr="00A74D81">
        <w:trPr>
          <w:trHeight w:val="170"/>
        </w:trPr>
        <w:tc>
          <w:tcPr>
            <w:tcW w:w="1802" w:type="dxa"/>
            <w:vMerge/>
            <w:shd w:val="clear" w:color="auto" w:fill="auto"/>
            <w:tcMar>
              <w:left w:w="0" w:type="dxa"/>
            </w:tcMar>
          </w:tcPr>
          <w:p w:rsidR="00A90F2C" w:rsidRPr="009C0696" w:rsidRDefault="00A90F2C" w:rsidP="00965797">
            <w:pPr>
              <w:pStyle w:val="Marginlie"/>
              <w:rPr>
                <w:lang w:val="en-GB"/>
              </w:rPr>
            </w:pPr>
          </w:p>
        </w:tc>
        <w:tc>
          <w:tcPr>
            <w:tcW w:w="227" w:type="dxa"/>
            <w:vMerge/>
            <w:shd w:val="clear" w:color="auto" w:fill="auto"/>
            <w:tcMar>
              <w:left w:w="0" w:type="dxa"/>
            </w:tcMar>
          </w:tcPr>
          <w:p w:rsidR="00A90F2C" w:rsidRPr="009C0696" w:rsidRDefault="00A90F2C" w:rsidP="00965797">
            <w:pPr>
              <w:pStyle w:val="Textpoznpodarou"/>
              <w:jc w:val="both"/>
              <w:rPr>
                <w:spacing w:val="-4"/>
                <w:lang w:val="en-GB"/>
              </w:rPr>
            </w:pPr>
          </w:p>
        </w:tc>
        <w:tc>
          <w:tcPr>
            <w:tcW w:w="7610" w:type="dxa"/>
            <w:shd w:val="clear" w:color="auto" w:fill="auto"/>
            <w:tcMar>
              <w:left w:w="0" w:type="dxa"/>
            </w:tcMar>
          </w:tcPr>
          <w:p w:rsidR="003D444C" w:rsidRPr="009C0696" w:rsidRDefault="007B35A5" w:rsidP="00413026">
            <w:pPr>
              <w:spacing w:after="200"/>
              <w:rPr>
                <w:sz w:val="14"/>
                <w:szCs w:val="14"/>
                <w:lang w:val="en-GB"/>
              </w:rPr>
            </w:pPr>
            <w:r w:rsidRPr="009C0696">
              <w:rPr>
                <w:sz w:val="14"/>
                <w:szCs w:val="14"/>
                <w:lang w:val="en-GB"/>
              </w:rPr>
              <w:t>Source</w:t>
            </w:r>
            <w:r w:rsidR="00A90F2C" w:rsidRPr="009C0696">
              <w:rPr>
                <w:sz w:val="14"/>
                <w:szCs w:val="14"/>
                <w:lang w:val="en-GB"/>
              </w:rPr>
              <w:t xml:space="preserve">: </w:t>
            </w:r>
            <w:r w:rsidRPr="009C0696">
              <w:rPr>
                <w:sz w:val="14"/>
                <w:szCs w:val="14"/>
                <w:lang w:val="en-GB"/>
              </w:rPr>
              <w:t>CZSO</w:t>
            </w:r>
            <w:r w:rsidR="00A90F2C" w:rsidRPr="009C0696">
              <w:rPr>
                <w:sz w:val="14"/>
                <w:szCs w:val="14"/>
                <w:lang w:val="en-GB"/>
              </w:rPr>
              <w:t>, Eurostat</w:t>
            </w:r>
          </w:p>
        </w:tc>
      </w:tr>
      <w:tr w:rsidR="00A90F2C" w:rsidRPr="009C0696" w:rsidTr="00A74D81">
        <w:trPr>
          <w:trHeight w:val="145"/>
        </w:trPr>
        <w:tc>
          <w:tcPr>
            <w:tcW w:w="1802" w:type="dxa"/>
            <w:shd w:val="clear" w:color="auto" w:fill="auto"/>
            <w:tcMar>
              <w:left w:w="0" w:type="dxa"/>
            </w:tcMar>
          </w:tcPr>
          <w:p w:rsidR="00A90F2C" w:rsidRPr="009C0696" w:rsidRDefault="0050648F" w:rsidP="0033709C">
            <w:pPr>
              <w:pStyle w:val="Marginlie"/>
              <w:rPr>
                <w:lang w:val="en-GB"/>
              </w:rPr>
            </w:pPr>
            <w:r w:rsidRPr="009C0696">
              <w:rPr>
                <w:lang w:val="en-GB"/>
              </w:rPr>
              <w:t>… similarly to the EU.</w:t>
            </w:r>
          </w:p>
        </w:tc>
        <w:tc>
          <w:tcPr>
            <w:tcW w:w="227" w:type="dxa"/>
            <w:shd w:val="clear" w:color="auto" w:fill="auto"/>
            <w:tcMar>
              <w:left w:w="0" w:type="dxa"/>
            </w:tcMar>
          </w:tcPr>
          <w:p w:rsidR="00A90F2C" w:rsidRPr="009C0696" w:rsidRDefault="00A90F2C" w:rsidP="0033709C">
            <w:pPr>
              <w:pStyle w:val="Textpoznpodarou"/>
              <w:jc w:val="both"/>
              <w:rPr>
                <w:spacing w:val="-4"/>
                <w:lang w:val="en-GB"/>
              </w:rPr>
            </w:pPr>
          </w:p>
        </w:tc>
        <w:tc>
          <w:tcPr>
            <w:tcW w:w="7610" w:type="dxa"/>
            <w:shd w:val="clear" w:color="auto" w:fill="auto"/>
            <w:tcMar>
              <w:left w:w="0" w:type="dxa"/>
            </w:tcMar>
          </w:tcPr>
          <w:p w:rsidR="00A90F2C" w:rsidRPr="009C0696" w:rsidRDefault="007B35A5" w:rsidP="00623321">
            <w:pPr>
              <w:rPr>
                <w:lang w:val="en-GB"/>
              </w:rPr>
            </w:pPr>
            <w:r w:rsidRPr="009C0696">
              <w:rPr>
                <w:lang w:val="en-GB"/>
              </w:rPr>
              <w:t xml:space="preserve">Total GDP growth in the European Union arrived at </w:t>
            </w:r>
            <w:r w:rsidR="00A90F2C" w:rsidRPr="009C0696">
              <w:rPr>
                <w:lang w:val="en-GB"/>
              </w:rPr>
              <w:t>1</w:t>
            </w:r>
            <w:r w:rsidRPr="009C0696">
              <w:rPr>
                <w:lang w:val="en-GB"/>
              </w:rPr>
              <w:t>.</w:t>
            </w:r>
            <w:r w:rsidR="00A90F2C" w:rsidRPr="009C0696">
              <w:rPr>
                <w:lang w:val="en-GB"/>
              </w:rPr>
              <w:t>9%</w:t>
            </w:r>
            <w:r w:rsidRPr="009C0696">
              <w:rPr>
                <w:lang w:val="en-GB"/>
              </w:rPr>
              <w:t xml:space="preserve"> in 2018 and it slowed down by 0.5 p.p. compared to year </w:t>
            </w:r>
            <w:r w:rsidR="00A90F2C" w:rsidRPr="009C0696">
              <w:rPr>
                <w:lang w:val="en-GB"/>
              </w:rPr>
              <w:t>2017</w:t>
            </w:r>
            <w:r w:rsidRPr="009C0696">
              <w:rPr>
                <w:lang w:val="en-GB"/>
              </w:rPr>
              <w:t xml:space="preserve">. While the dynamics of the final consumption expenditure in the EU </w:t>
            </w:r>
            <w:r w:rsidR="00A90F2C" w:rsidRPr="009C0696">
              <w:rPr>
                <w:lang w:val="en-GB"/>
              </w:rPr>
              <w:t>(1</w:t>
            </w:r>
            <w:r w:rsidRPr="009C0696">
              <w:rPr>
                <w:lang w:val="en-GB"/>
              </w:rPr>
              <w:t>.</w:t>
            </w:r>
            <w:r w:rsidR="00A90F2C" w:rsidRPr="009C0696">
              <w:rPr>
                <w:lang w:val="en-GB"/>
              </w:rPr>
              <w:t xml:space="preserve">5%) </w:t>
            </w:r>
            <w:r w:rsidRPr="009C0696">
              <w:rPr>
                <w:lang w:val="en-GB"/>
              </w:rPr>
              <w:t xml:space="preserve">was weaker than the total GDP growth, growth of the capital expenditure was relatively strong </w:t>
            </w:r>
            <w:r w:rsidR="00A90F2C" w:rsidRPr="009C0696">
              <w:rPr>
                <w:lang w:val="en-GB"/>
              </w:rPr>
              <w:t>(3</w:t>
            </w:r>
            <w:r w:rsidR="000901B9" w:rsidRPr="009C0696">
              <w:rPr>
                <w:lang w:val="en-GB"/>
              </w:rPr>
              <w:t>.</w:t>
            </w:r>
            <w:r w:rsidR="00A90F2C" w:rsidRPr="009C0696">
              <w:rPr>
                <w:lang w:val="en-GB"/>
              </w:rPr>
              <w:t xml:space="preserve">8%). </w:t>
            </w:r>
            <w:r w:rsidR="000901B9" w:rsidRPr="009C0696">
              <w:rPr>
                <w:lang w:val="en-GB"/>
              </w:rPr>
              <w:t xml:space="preserve">Investment activity was especially significant at the newer Union members. Combination of strong growth of investments and consumption expenditure caused, that only new members were placed on the second to thirteenth positions of the fastest growing EU economies. </w:t>
            </w:r>
            <w:r w:rsidR="00A90F2C" w:rsidRPr="009C0696">
              <w:rPr>
                <w:lang w:val="en-GB"/>
              </w:rPr>
              <w:t>Ir</w:t>
            </w:r>
            <w:r w:rsidR="000901B9" w:rsidRPr="009C0696">
              <w:rPr>
                <w:lang w:val="en-GB"/>
              </w:rPr>
              <w:t xml:space="preserve">eland </w:t>
            </w:r>
            <w:r w:rsidR="00A90F2C" w:rsidRPr="009C0696">
              <w:rPr>
                <w:lang w:val="en-GB"/>
              </w:rPr>
              <w:t>(6</w:t>
            </w:r>
            <w:r w:rsidR="000901B9" w:rsidRPr="009C0696">
              <w:rPr>
                <w:lang w:val="en-GB"/>
              </w:rPr>
              <w:t>.</w:t>
            </w:r>
            <w:r w:rsidR="00A90F2C" w:rsidRPr="009C0696">
              <w:rPr>
                <w:lang w:val="en-GB"/>
              </w:rPr>
              <w:t>7%)</w:t>
            </w:r>
            <w:r w:rsidR="000901B9" w:rsidRPr="009C0696">
              <w:rPr>
                <w:lang w:val="en-GB"/>
              </w:rPr>
              <w:t xml:space="preserve"> ranked the first similarly to year 2017</w:t>
            </w:r>
            <w:r w:rsidR="00A90F2C" w:rsidRPr="009C0696">
              <w:rPr>
                <w:lang w:val="en-GB"/>
              </w:rPr>
              <w:t xml:space="preserve">, </w:t>
            </w:r>
            <w:r w:rsidR="000901B9" w:rsidRPr="009C0696">
              <w:rPr>
                <w:lang w:val="en-GB"/>
              </w:rPr>
              <w:t xml:space="preserve">followed by Malta </w:t>
            </w:r>
            <w:r w:rsidR="00A90F2C" w:rsidRPr="009C0696">
              <w:rPr>
                <w:lang w:val="en-GB"/>
              </w:rPr>
              <w:t>(6</w:t>
            </w:r>
            <w:r w:rsidR="000901B9" w:rsidRPr="009C0696">
              <w:rPr>
                <w:lang w:val="en-GB"/>
              </w:rPr>
              <w:t>.</w:t>
            </w:r>
            <w:r w:rsidR="00A90F2C" w:rsidRPr="009C0696">
              <w:rPr>
                <w:lang w:val="en-GB"/>
              </w:rPr>
              <w:t>6%) a</w:t>
            </w:r>
            <w:r w:rsidR="000901B9" w:rsidRPr="009C0696">
              <w:rPr>
                <w:lang w:val="en-GB"/>
              </w:rPr>
              <w:t>nd Poland</w:t>
            </w:r>
            <w:r w:rsidR="00A90F2C" w:rsidRPr="009C0696">
              <w:rPr>
                <w:lang w:val="en-GB"/>
              </w:rPr>
              <w:t xml:space="preserve"> (5</w:t>
            </w:r>
            <w:r w:rsidR="000901B9" w:rsidRPr="009C0696">
              <w:rPr>
                <w:lang w:val="en-GB"/>
              </w:rPr>
              <w:t>.</w:t>
            </w:r>
            <w:r w:rsidR="00A90F2C" w:rsidRPr="009C0696">
              <w:rPr>
                <w:lang w:val="en-GB"/>
              </w:rPr>
              <w:t xml:space="preserve">1%). </w:t>
            </w:r>
            <w:r w:rsidR="00244807" w:rsidRPr="009C0696">
              <w:rPr>
                <w:lang w:val="en-GB"/>
              </w:rPr>
              <w:t>The GDP of the Union increased by 0.3% in Q4 compared to the previous quarter. Year-on-</w:t>
            </w:r>
            <w:r w:rsidR="00244807" w:rsidRPr="009C0696">
              <w:rPr>
                <w:lang w:val="en-GB"/>
              </w:rPr>
              <w:lastRenderedPageBreak/>
              <w:t xml:space="preserve">year addition reached </w:t>
            </w:r>
            <w:r w:rsidR="00A90F2C" w:rsidRPr="009C0696">
              <w:rPr>
                <w:lang w:val="en-GB"/>
              </w:rPr>
              <w:t>1</w:t>
            </w:r>
            <w:r w:rsidR="00244807" w:rsidRPr="009C0696">
              <w:rPr>
                <w:lang w:val="en-GB"/>
              </w:rPr>
              <w:t>.</w:t>
            </w:r>
            <w:r w:rsidR="00A90F2C" w:rsidRPr="009C0696">
              <w:rPr>
                <w:lang w:val="en-GB"/>
              </w:rPr>
              <w:t xml:space="preserve">4%. </w:t>
            </w:r>
            <w:r w:rsidR="00FB7473" w:rsidRPr="009C0696">
              <w:rPr>
                <w:lang w:val="en-GB"/>
              </w:rPr>
              <w:t xml:space="preserve">Relatively marked fall of the year-on-year rate of growth can also be linked to the stagnation of the largest EU economy – Germany. </w:t>
            </w:r>
            <w:r w:rsidR="00B26ED6" w:rsidRPr="009C0696">
              <w:rPr>
                <w:lang w:val="en-GB"/>
              </w:rPr>
              <w:t xml:space="preserve">Here, the year-on-year dynamics was </w:t>
            </w:r>
            <w:r w:rsidR="00A90F2C" w:rsidRPr="009C0696">
              <w:rPr>
                <w:lang w:val="en-GB"/>
              </w:rPr>
              <w:t>0</w:t>
            </w:r>
            <w:r w:rsidR="00B26ED6" w:rsidRPr="009C0696">
              <w:rPr>
                <w:lang w:val="en-GB"/>
              </w:rPr>
              <w:t>.</w:t>
            </w:r>
            <w:r w:rsidR="00A90F2C" w:rsidRPr="009C0696">
              <w:rPr>
                <w:lang w:val="en-GB"/>
              </w:rPr>
              <w:t xml:space="preserve">6%, </w:t>
            </w:r>
            <w:r w:rsidR="00244807" w:rsidRPr="009C0696">
              <w:rPr>
                <w:lang w:val="en-GB"/>
              </w:rPr>
              <w:t>economic growth was the second lowest in the Union</w:t>
            </w:r>
            <w:r w:rsidR="00A90F2C" w:rsidRPr="009C0696">
              <w:rPr>
                <w:lang w:val="en-GB"/>
              </w:rPr>
              <w:t xml:space="preserve">. </w:t>
            </w:r>
            <w:r w:rsidR="00B26ED6" w:rsidRPr="009C0696">
              <w:rPr>
                <w:lang w:val="en-GB"/>
              </w:rPr>
              <w:t>The GDP of Italy remained the same year-on-year</w:t>
            </w:r>
            <w:r w:rsidR="00A90F2C" w:rsidRPr="009C0696">
              <w:rPr>
                <w:lang w:val="en-GB"/>
              </w:rPr>
              <w:t xml:space="preserve">, </w:t>
            </w:r>
            <w:r w:rsidR="00244807" w:rsidRPr="009C0696">
              <w:rPr>
                <w:lang w:val="en-GB"/>
              </w:rPr>
              <w:t xml:space="preserve">the </w:t>
            </w:r>
            <w:r w:rsidR="00623321" w:rsidRPr="009C0696">
              <w:rPr>
                <w:lang w:val="en-GB"/>
              </w:rPr>
              <w:t xml:space="preserve">economy of </w:t>
            </w:r>
            <w:r w:rsidR="00244807" w:rsidRPr="009C0696">
              <w:rPr>
                <w:lang w:val="en-GB"/>
              </w:rPr>
              <w:t>France</w:t>
            </w:r>
            <w:r w:rsidR="00623321" w:rsidRPr="009C0696">
              <w:rPr>
                <w:lang w:val="en-GB"/>
              </w:rPr>
              <w:t xml:space="preserve"> </w:t>
            </w:r>
            <w:r w:rsidR="00244807" w:rsidRPr="009C0696">
              <w:rPr>
                <w:lang w:val="en-GB"/>
              </w:rPr>
              <w:t xml:space="preserve">expanded by </w:t>
            </w:r>
            <w:r w:rsidR="00A90F2C" w:rsidRPr="009C0696">
              <w:rPr>
                <w:lang w:val="en-GB"/>
              </w:rPr>
              <w:t>1</w:t>
            </w:r>
            <w:r w:rsidR="00244807" w:rsidRPr="009C0696">
              <w:rPr>
                <w:lang w:val="en-GB"/>
              </w:rPr>
              <w:t>.</w:t>
            </w:r>
            <w:r w:rsidR="00A90F2C" w:rsidRPr="009C0696">
              <w:rPr>
                <w:lang w:val="en-GB"/>
              </w:rPr>
              <w:t xml:space="preserve">0%. </w:t>
            </w:r>
            <w:r w:rsidR="00244807" w:rsidRPr="009C0696">
              <w:rPr>
                <w:lang w:val="en-GB"/>
              </w:rPr>
              <w:t xml:space="preserve">Malta (7.4%), </w:t>
            </w:r>
            <w:r w:rsidR="00230469" w:rsidRPr="009C0696">
              <w:rPr>
                <w:lang w:val="en-GB"/>
              </w:rPr>
              <w:t xml:space="preserve">Latvia (5.6%) and Hungary (4.9%) recorded the highest year-on-year addition in Q4. </w:t>
            </w:r>
            <w:r w:rsidR="00A90F2C" w:rsidRPr="009C0696">
              <w:rPr>
                <w:lang w:val="en-GB"/>
              </w:rPr>
              <w:t xml:space="preserve">  </w:t>
            </w:r>
          </w:p>
        </w:tc>
      </w:tr>
      <w:tr w:rsidR="00A90F2C" w:rsidRPr="009C0696" w:rsidTr="00A74D81">
        <w:trPr>
          <w:trHeight w:val="170"/>
        </w:trPr>
        <w:tc>
          <w:tcPr>
            <w:tcW w:w="1802" w:type="dxa"/>
            <w:vMerge w:val="restart"/>
            <w:shd w:val="clear" w:color="auto" w:fill="auto"/>
            <w:tcMar>
              <w:left w:w="0" w:type="dxa"/>
            </w:tcMar>
          </w:tcPr>
          <w:p w:rsidR="00A90F2C" w:rsidRPr="009C0696" w:rsidRDefault="00A90F2C" w:rsidP="0033709C">
            <w:pPr>
              <w:pStyle w:val="Marginlie"/>
              <w:rPr>
                <w:lang w:val="en-GB"/>
              </w:rPr>
            </w:pPr>
          </w:p>
        </w:tc>
        <w:tc>
          <w:tcPr>
            <w:tcW w:w="227" w:type="dxa"/>
            <w:vMerge w:val="restart"/>
            <w:shd w:val="clear" w:color="auto" w:fill="auto"/>
            <w:tcMar>
              <w:left w:w="0" w:type="dxa"/>
            </w:tcMar>
          </w:tcPr>
          <w:p w:rsidR="00A90F2C" w:rsidRPr="009C0696" w:rsidRDefault="00A90F2C" w:rsidP="0033709C">
            <w:pPr>
              <w:pStyle w:val="Textpoznpodarou"/>
              <w:jc w:val="both"/>
              <w:rPr>
                <w:spacing w:val="-4"/>
                <w:lang w:val="en-GB"/>
              </w:rPr>
            </w:pPr>
          </w:p>
        </w:tc>
        <w:tc>
          <w:tcPr>
            <w:tcW w:w="7610" w:type="dxa"/>
            <w:shd w:val="clear" w:color="auto" w:fill="auto"/>
            <w:tcMar>
              <w:left w:w="0" w:type="dxa"/>
            </w:tcMar>
          </w:tcPr>
          <w:p w:rsidR="00A90F2C" w:rsidRPr="009F7FC7" w:rsidRDefault="00D1316D" w:rsidP="00D1316D">
            <w:pPr>
              <w:spacing w:after="0"/>
              <w:rPr>
                <w:b/>
                <w:szCs w:val="20"/>
                <w:lang w:val="en-GB"/>
              </w:rPr>
            </w:pPr>
            <w:r w:rsidRPr="009F7FC7">
              <w:rPr>
                <w:b/>
                <w:spacing w:val="-4"/>
                <w:szCs w:val="20"/>
                <w:lang w:val="en-GB" w:eastAsia="en-US"/>
              </w:rPr>
              <w:t xml:space="preserve">Chart </w:t>
            </w:r>
            <w:r w:rsidR="00A90F2C" w:rsidRPr="009F7FC7">
              <w:rPr>
                <w:b/>
                <w:spacing w:val="-4"/>
                <w:szCs w:val="20"/>
                <w:lang w:val="en-GB" w:eastAsia="en-US"/>
              </w:rPr>
              <w:t xml:space="preserve">2  </w:t>
            </w:r>
            <w:r w:rsidRPr="009F7FC7">
              <w:rPr>
                <w:rFonts w:cs="Arial"/>
                <w:b/>
                <w:szCs w:val="20"/>
                <w:lang w:val="en-GB" w:eastAsia="en-US"/>
              </w:rPr>
              <w:t xml:space="preserve">GDP </w:t>
            </w:r>
            <w:r w:rsidRPr="009F7FC7">
              <w:rPr>
                <w:rFonts w:cs="Arial"/>
                <w:szCs w:val="20"/>
                <w:lang w:val="en-GB" w:eastAsia="en-US"/>
              </w:rPr>
              <w:t xml:space="preserve">(volume indices, adjusted for seasonal and calendar effects, year-on-year in </w:t>
            </w:r>
            <w:r w:rsidR="00A90F2C" w:rsidRPr="009F7FC7">
              <w:rPr>
                <w:rFonts w:cs="Arial"/>
                <w:szCs w:val="20"/>
                <w:lang w:val="en-GB" w:eastAsia="en-US"/>
              </w:rPr>
              <w:t xml:space="preserve">%, </w:t>
            </w:r>
            <w:r w:rsidRPr="009F7FC7">
              <w:rPr>
                <w:rFonts w:cs="Arial"/>
                <w:szCs w:val="20"/>
                <w:lang w:val="en-GB" w:eastAsia="en-US"/>
              </w:rPr>
              <w:t>right axis</w:t>
            </w:r>
            <w:r w:rsidR="00A90F2C" w:rsidRPr="009F7FC7">
              <w:rPr>
                <w:rFonts w:cs="Arial"/>
                <w:szCs w:val="20"/>
                <w:lang w:val="en-GB" w:eastAsia="en-US"/>
              </w:rPr>
              <w:t>)</w:t>
            </w:r>
            <w:r w:rsidR="00A90F2C" w:rsidRPr="009F7FC7">
              <w:rPr>
                <w:rFonts w:cs="Arial"/>
                <w:b/>
                <w:szCs w:val="20"/>
                <w:lang w:val="en-GB" w:eastAsia="en-US"/>
              </w:rPr>
              <w:t xml:space="preserve"> a</w:t>
            </w:r>
            <w:r w:rsidRPr="009F7FC7">
              <w:rPr>
                <w:rFonts w:cs="Arial"/>
                <w:b/>
                <w:szCs w:val="20"/>
                <w:lang w:val="en-GB" w:eastAsia="en-US"/>
              </w:rPr>
              <w:t xml:space="preserve">nd confidence indicators </w:t>
            </w:r>
            <w:r w:rsidR="00A90F2C" w:rsidRPr="009F7FC7">
              <w:rPr>
                <w:rFonts w:cs="Arial"/>
                <w:szCs w:val="20"/>
                <w:lang w:val="en-GB" w:eastAsia="en-US"/>
              </w:rPr>
              <w:t>(2005 = 100, l</w:t>
            </w:r>
            <w:r w:rsidRPr="009F7FC7">
              <w:rPr>
                <w:rFonts w:cs="Arial"/>
                <w:szCs w:val="20"/>
                <w:lang w:val="en-GB" w:eastAsia="en-US"/>
              </w:rPr>
              <w:t>eft axis</w:t>
            </w:r>
            <w:r w:rsidR="00A90F2C" w:rsidRPr="009F7FC7">
              <w:rPr>
                <w:rFonts w:cs="Arial"/>
                <w:szCs w:val="20"/>
                <w:lang w:val="en-GB" w:eastAsia="en-US"/>
              </w:rPr>
              <w:t>)</w:t>
            </w:r>
          </w:p>
        </w:tc>
      </w:tr>
      <w:tr w:rsidR="00A90F2C" w:rsidRPr="009C0696" w:rsidTr="00A74D81">
        <w:tblPrEx>
          <w:tblCellMar>
            <w:left w:w="70" w:type="dxa"/>
            <w:right w:w="70" w:type="dxa"/>
          </w:tblCellMar>
        </w:tblPrEx>
        <w:trPr>
          <w:trHeight w:val="170"/>
        </w:trPr>
        <w:tc>
          <w:tcPr>
            <w:tcW w:w="1802" w:type="dxa"/>
            <w:vMerge/>
            <w:shd w:val="clear" w:color="auto" w:fill="auto"/>
          </w:tcPr>
          <w:p w:rsidR="00A90F2C" w:rsidRPr="009C0696" w:rsidRDefault="00A90F2C" w:rsidP="00965797">
            <w:pPr>
              <w:pStyle w:val="Marginlie"/>
              <w:rPr>
                <w:lang w:val="en-GB"/>
              </w:rPr>
            </w:pPr>
          </w:p>
        </w:tc>
        <w:tc>
          <w:tcPr>
            <w:tcW w:w="227" w:type="dxa"/>
            <w:vMerge/>
            <w:shd w:val="clear" w:color="auto" w:fill="auto"/>
          </w:tcPr>
          <w:p w:rsidR="00A90F2C" w:rsidRPr="009C0696" w:rsidRDefault="00A90F2C" w:rsidP="00965797">
            <w:pPr>
              <w:pStyle w:val="Textpoznpodarou"/>
              <w:jc w:val="both"/>
              <w:rPr>
                <w:spacing w:val="-4"/>
                <w:lang w:val="en-GB"/>
              </w:rPr>
            </w:pPr>
          </w:p>
        </w:tc>
        <w:tc>
          <w:tcPr>
            <w:tcW w:w="7610" w:type="dxa"/>
            <w:shd w:val="clear" w:color="auto" w:fill="auto"/>
          </w:tcPr>
          <w:p w:rsidR="00A90F2C" w:rsidRPr="009C0696" w:rsidRDefault="0088419D" w:rsidP="00965797">
            <w:pPr>
              <w:spacing w:after="0"/>
              <w:rPr>
                <w:lang w:val="en-GB"/>
              </w:rPr>
            </w:pPr>
            <w:r>
              <w:rPr>
                <w:noProof/>
              </w:rPr>
              <w:drawing>
                <wp:inline distT="0" distB="0" distL="0" distR="0" wp14:anchorId="1F9F8428" wp14:editId="235C667B">
                  <wp:extent cx="4737600" cy="3553200"/>
                  <wp:effectExtent l="0" t="0" r="6350" b="0"/>
                  <wp:docPr id="40" name="Graf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A90F2C" w:rsidRPr="009C0696" w:rsidTr="00A74D81">
        <w:trPr>
          <w:trHeight w:val="170"/>
        </w:trPr>
        <w:tc>
          <w:tcPr>
            <w:tcW w:w="1802" w:type="dxa"/>
            <w:vMerge/>
            <w:shd w:val="clear" w:color="auto" w:fill="auto"/>
            <w:tcMar>
              <w:left w:w="0" w:type="dxa"/>
            </w:tcMar>
          </w:tcPr>
          <w:p w:rsidR="00A90F2C" w:rsidRPr="009C0696" w:rsidRDefault="00A90F2C" w:rsidP="00965797">
            <w:pPr>
              <w:pStyle w:val="Marginlie"/>
              <w:rPr>
                <w:lang w:val="en-GB"/>
              </w:rPr>
            </w:pPr>
          </w:p>
        </w:tc>
        <w:tc>
          <w:tcPr>
            <w:tcW w:w="227" w:type="dxa"/>
            <w:vMerge/>
            <w:shd w:val="clear" w:color="auto" w:fill="auto"/>
            <w:tcMar>
              <w:left w:w="0" w:type="dxa"/>
            </w:tcMar>
          </w:tcPr>
          <w:p w:rsidR="00A90F2C" w:rsidRPr="009C0696" w:rsidRDefault="00A90F2C" w:rsidP="00965797">
            <w:pPr>
              <w:pStyle w:val="Textpoznpodarou"/>
              <w:jc w:val="both"/>
              <w:rPr>
                <w:spacing w:val="-4"/>
                <w:lang w:val="en-GB"/>
              </w:rPr>
            </w:pPr>
          </w:p>
        </w:tc>
        <w:tc>
          <w:tcPr>
            <w:tcW w:w="7610" w:type="dxa"/>
            <w:shd w:val="clear" w:color="auto" w:fill="auto"/>
            <w:tcMar>
              <w:left w:w="0" w:type="dxa"/>
            </w:tcMar>
          </w:tcPr>
          <w:p w:rsidR="00D1316D" w:rsidRPr="009C0696" w:rsidRDefault="00441682" w:rsidP="00413026">
            <w:pPr>
              <w:spacing w:after="200"/>
              <w:rPr>
                <w:sz w:val="14"/>
                <w:szCs w:val="14"/>
                <w:lang w:val="en-GB"/>
              </w:rPr>
            </w:pPr>
            <w:r w:rsidRPr="009C0696">
              <w:rPr>
                <w:sz w:val="14"/>
                <w:szCs w:val="14"/>
                <w:lang w:val="en-GB"/>
              </w:rPr>
              <w:t>Source</w:t>
            </w:r>
            <w:r w:rsidR="00A90F2C" w:rsidRPr="009C0696">
              <w:rPr>
                <w:sz w:val="14"/>
                <w:szCs w:val="14"/>
                <w:lang w:val="en-GB"/>
              </w:rPr>
              <w:t xml:space="preserve">: </w:t>
            </w:r>
            <w:r w:rsidRPr="009C0696">
              <w:rPr>
                <w:sz w:val="14"/>
                <w:szCs w:val="14"/>
                <w:lang w:val="en-GB"/>
              </w:rPr>
              <w:t>CZSO</w:t>
            </w:r>
          </w:p>
        </w:tc>
      </w:tr>
      <w:tr w:rsidR="00D70289" w:rsidRPr="009C0696" w:rsidTr="00A74D81">
        <w:trPr>
          <w:trHeight w:val="145"/>
        </w:trPr>
        <w:tc>
          <w:tcPr>
            <w:tcW w:w="1802" w:type="dxa"/>
            <w:shd w:val="clear" w:color="auto" w:fill="auto"/>
            <w:tcMar>
              <w:left w:w="0" w:type="dxa"/>
            </w:tcMar>
          </w:tcPr>
          <w:p w:rsidR="00D70289" w:rsidRPr="009C0696" w:rsidRDefault="00441682" w:rsidP="00441682">
            <w:pPr>
              <w:pStyle w:val="Marginlie"/>
              <w:rPr>
                <w:lang w:val="en-GB"/>
              </w:rPr>
            </w:pPr>
            <w:r w:rsidRPr="009C0696">
              <w:rPr>
                <w:lang w:val="en-GB"/>
              </w:rPr>
              <w:t>Increase of the volume of paid out salaries and wages hit the highest value in the last twenty years last year</w:t>
            </w:r>
            <w:r w:rsidR="00D70289" w:rsidRPr="009C0696">
              <w:rPr>
                <w:lang w:val="en-GB"/>
              </w:rPr>
              <w:t xml:space="preserve">. </w:t>
            </w:r>
          </w:p>
        </w:tc>
        <w:tc>
          <w:tcPr>
            <w:tcW w:w="227" w:type="dxa"/>
            <w:shd w:val="clear" w:color="auto" w:fill="auto"/>
            <w:tcMar>
              <w:left w:w="0" w:type="dxa"/>
            </w:tcMar>
          </w:tcPr>
          <w:p w:rsidR="00D70289" w:rsidRPr="009C0696" w:rsidRDefault="00D70289" w:rsidP="0033709C">
            <w:pPr>
              <w:pStyle w:val="Textpoznpodarou"/>
              <w:jc w:val="both"/>
              <w:rPr>
                <w:spacing w:val="-4"/>
                <w:lang w:val="en-GB"/>
              </w:rPr>
            </w:pPr>
          </w:p>
        </w:tc>
        <w:tc>
          <w:tcPr>
            <w:tcW w:w="7610" w:type="dxa"/>
            <w:shd w:val="clear" w:color="auto" w:fill="auto"/>
            <w:tcMar>
              <w:left w:w="0" w:type="dxa"/>
            </w:tcMar>
          </w:tcPr>
          <w:p w:rsidR="00D70289" w:rsidRPr="009C0696" w:rsidRDefault="00441682" w:rsidP="009F7FC7">
            <w:pPr>
              <w:spacing w:after="180"/>
              <w:rPr>
                <w:lang w:val="en-GB"/>
              </w:rPr>
            </w:pPr>
            <w:r w:rsidRPr="009C0696">
              <w:rPr>
                <w:lang w:val="en-GB"/>
              </w:rPr>
              <w:t xml:space="preserve">The volume of paid out salaries and wages increased by 9.3% last year compared to the year before. That is the most since year </w:t>
            </w:r>
            <w:r w:rsidR="00D70289" w:rsidRPr="009C0696">
              <w:rPr>
                <w:lang w:val="en-GB"/>
              </w:rPr>
              <w:t xml:space="preserve">1996. </w:t>
            </w:r>
            <w:r w:rsidRPr="009C0696">
              <w:rPr>
                <w:lang w:val="en-GB"/>
              </w:rPr>
              <w:t xml:space="preserve">Simultaneously, the employment increased by </w:t>
            </w:r>
            <w:r w:rsidR="00D70289" w:rsidRPr="009C0696">
              <w:rPr>
                <w:lang w:val="en-GB"/>
              </w:rPr>
              <w:t>1</w:t>
            </w:r>
            <w:r w:rsidRPr="009C0696">
              <w:rPr>
                <w:lang w:val="en-GB"/>
              </w:rPr>
              <w:t>.</w:t>
            </w:r>
            <w:r w:rsidR="00D70289" w:rsidRPr="009C0696">
              <w:rPr>
                <w:lang w:val="en-GB"/>
              </w:rPr>
              <w:t>6%</w:t>
            </w:r>
            <w:r w:rsidR="00D70289" w:rsidRPr="009C0696">
              <w:rPr>
                <w:rStyle w:val="Znakapoznpodarou"/>
                <w:spacing w:val="-2"/>
                <w:lang w:val="en-GB"/>
              </w:rPr>
              <w:footnoteReference w:id="3"/>
            </w:r>
            <w:r w:rsidR="00D70289" w:rsidRPr="009C0696">
              <w:rPr>
                <w:lang w:val="en-GB"/>
              </w:rPr>
              <w:t xml:space="preserve">, </w:t>
            </w:r>
            <w:r w:rsidRPr="009C0696">
              <w:rPr>
                <w:lang w:val="en-GB"/>
              </w:rPr>
              <w:t xml:space="preserve">the increase of the volume of paid out </w:t>
            </w:r>
            <w:r w:rsidR="00010600" w:rsidRPr="009C0696">
              <w:rPr>
                <w:lang w:val="en-GB"/>
              </w:rPr>
              <w:t>funds</w:t>
            </w:r>
            <w:r w:rsidRPr="009C0696">
              <w:rPr>
                <w:lang w:val="en-GB"/>
              </w:rPr>
              <w:t xml:space="preserve"> was thus reflected in</w:t>
            </w:r>
            <w:r w:rsidR="00010600" w:rsidRPr="009C0696">
              <w:rPr>
                <w:lang w:val="en-GB"/>
              </w:rPr>
              <w:t xml:space="preserve"> </w:t>
            </w:r>
            <w:r w:rsidRPr="009C0696">
              <w:rPr>
                <w:lang w:val="en-GB"/>
              </w:rPr>
              <w:t>the average wage.</w:t>
            </w:r>
            <w:r w:rsidR="00F97E48" w:rsidRPr="009C0696">
              <w:rPr>
                <w:lang w:val="en-GB"/>
              </w:rPr>
              <w:t xml:space="preserve"> The volume of salaries and wages grew by </w:t>
            </w:r>
            <w:r w:rsidR="00D70289" w:rsidRPr="009C0696">
              <w:rPr>
                <w:lang w:val="en-GB"/>
              </w:rPr>
              <w:t>6</w:t>
            </w:r>
            <w:r w:rsidR="00F97E48" w:rsidRPr="009C0696">
              <w:rPr>
                <w:lang w:val="en-GB"/>
              </w:rPr>
              <w:t>.</w:t>
            </w:r>
            <w:r w:rsidR="00D70289" w:rsidRPr="009C0696">
              <w:rPr>
                <w:lang w:val="en-GB"/>
              </w:rPr>
              <w:t>6%</w:t>
            </w:r>
            <w:r w:rsidR="00D70289" w:rsidRPr="009C0696">
              <w:rPr>
                <w:rStyle w:val="Znakapoznpodarou"/>
                <w:spacing w:val="-2"/>
                <w:lang w:val="en-GB"/>
              </w:rPr>
              <w:footnoteReference w:id="4"/>
            </w:r>
            <w:r w:rsidR="00F97E48" w:rsidRPr="009C0696">
              <w:rPr>
                <w:lang w:val="en-GB"/>
              </w:rPr>
              <w:t xml:space="preserve"> in real terms last year</w:t>
            </w:r>
            <w:r w:rsidR="00D70289" w:rsidRPr="009C0696">
              <w:rPr>
                <w:lang w:val="en-GB"/>
              </w:rPr>
              <w:t xml:space="preserve">. </w:t>
            </w:r>
            <w:r w:rsidR="00DF3613" w:rsidRPr="009C0696">
              <w:rPr>
                <w:lang w:val="en-GB"/>
              </w:rPr>
              <w:t xml:space="preserve">The year-on-year addition to the volume of salaries and wages amounted to </w:t>
            </w:r>
            <w:r w:rsidR="00D70289" w:rsidRPr="009C0696">
              <w:rPr>
                <w:lang w:val="en-GB"/>
              </w:rPr>
              <w:t>7</w:t>
            </w:r>
            <w:r w:rsidR="00DF3613" w:rsidRPr="009C0696">
              <w:rPr>
                <w:lang w:val="en-GB"/>
              </w:rPr>
              <w:t>.</w:t>
            </w:r>
            <w:r w:rsidR="00D70289" w:rsidRPr="009C0696">
              <w:rPr>
                <w:lang w:val="en-GB"/>
              </w:rPr>
              <w:t>5%</w:t>
            </w:r>
            <w:r w:rsidR="00DF3613" w:rsidRPr="009C0696">
              <w:rPr>
                <w:lang w:val="en-GB"/>
              </w:rPr>
              <w:t xml:space="preserve"> in Q4 only</w:t>
            </w:r>
            <w:r w:rsidR="00D70289" w:rsidRPr="009C0696">
              <w:rPr>
                <w:lang w:val="en-GB"/>
              </w:rPr>
              <w:t xml:space="preserve">, </w:t>
            </w:r>
            <w:r w:rsidR="00DF3613" w:rsidRPr="009C0696">
              <w:rPr>
                <w:lang w:val="en-GB"/>
              </w:rPr>
              <w:t xml:space="preserve">which is the least since Q1 </w:t>
            </w:r>
            <w:r w:rsidR="00D70289" w:rsidRPr="009C0696">
              <w:rPr>
                <w:lang w:val="en-GB"/>
              </w:rPr>
              <w:t xml:space="preserve">2017. </w:t>
            </w:r>
            <w:r w:rsidR="00DF3613" w:rsidRPr="009C0696">
              <w:rPr>
                <w:lang w:val="en-GB"/>
              </w:rPr>
              <w:t xml:space="preserve">Growth in real terms formed still solid </w:t>
            </w:r>
            <w:r w:rsidR="00D70289" w:rsidRPr="009C0696">
              <w:rPr>
                <w:lang w:val="en-GB"/>
              </w:rPr>
              <w:t>4</w:t>
            </w:r>
            <w:r w:rsidR="00DF3613" w:rsidRPr="009C0696">
              <w:rPr>
                <w:lang w:val="en-GB"/>
              </w:rPr>
              <w:t>.</w:t>
            </w:r>
            <w:r w:rsidR="00D70289" w:rsidRPr="009C0696">
              <w:rPr>
                <w:lang w:val="en-GB"/>
              </w:rPr>
              <w:t>8%.</w:t>
            </w:r>
            <w:r w:rsidR="00DF3613" w:rsidRPr="009C0696">
              <w:rPr>
                <w:lang w:val="en-GB"/>
              </w:rPr>
              <w:t xml:space="preserve"> Strong growth of salaries and wa</w:t>
            </w:r>
            <w:r w:rsidR="00E92118" w:rsidRPr="009C0696">
              <w:rPr>
                <w:lang w:val="en-GB"/>
              </w:rPr>
              <w:t xml:space="preserve">ges was experienced across the branches </w:t>
            </w:r>
            <w:r w:rsidR="00DF3613" w:rsidRPr="009C0696">
              <w:rPr>
                <w:lang w:val="en-GB"/>
              </w:rPr>
              <w:t xml:space="preserve">last year. Volume of wage resources increased by 8.1% in manufacturing, by 9.1% in trade, transportation, accommodation and restaurants; information and communication services experienced an acceleration to 10.6% (accompanied by simultaneous </w:t>
            </w:r>
            <w:r w:rsidR="00475407" w:rsidRPr="009C0696">
              <w:rPr>
                <w:lang w:val="en-GB"/>
              </w:rPr>
              <w:t xml:space="preserve">increase of employment by </w:t>
            </w:r>
            <w:r w:rsidR="00D70289" w:rsidRPr="009C0696">
              <w:rPr>
                <w:lang w:val="en-GB"/>
              </w:rPr>
              <w:t>4</w:t>
            </w:r>
            <w:r w:rsidR="00475407" w:rsidRPr="009C0696">
              <w:rPr>
                <w:lang w:val="en-GB"/>
              </w:rPr>
              <w:t>.</w:t>
            </w:r>
            <w:r w:rsidR="00D70289" w:rsidRPr="009C0696">
              <w:rPr>
                <w:lang w:val="en-GB"/>
              </w:rPr>
              <w:t>6%)</w:t>
            </w:r>
            <w:r w:rsidR="00475407" w:rsidRPr="009C0696">
              <w:rPr>
                <w:lang w:val="en-GB"/>
              </w:rPr>
              <w:t xml:space="preserve">. </w:t>
            </w:r>
            <w:r w:rsidR="005F57FA" w:rsidRPr="009C0696">
              <w:rPr>
                <w:lang w:val="en-GB"/>
              </w:rPr>
              <w:t>Real estate activities</w:t>
            </w:r>
            <w:r w:rsidR="00C255C4" w:rsidRPr="009C0696">
              <w:rPr>
                <w:lang w:val="en-GB"/>
              </w:rPr>
              <w:t xml:space="preserve"> </w:t>
            </w:r>
            <w:r w:rsidR="00A76F33" w:rsidRPr="009C0696">
              <w:rPr>
                <w:lang w:val="en-GB"/>
              </w:rPr>
              <w:t>waited to see a dou</w:t>
            </w:r>
            <w:r w:rsidR="00C255C4" w:rsidRPr="009C0696">
              <w:rPr>
                <w:lang w:val="en-GB"/>
              </w:rPr>
              <w:t xml:space="preserve">ble-digit growth of salaries </w:t>
            </w:r>
            <w:r w:rsidR="005F57FA" w:rsidRPr="009C0696">
              <w:rPr>
                <w:lang w:val="en-GB"/>
              </w:rPr>
              <w:t>and wages (12.3%) and the branches</w:t>
            </w:r>
            <w:r w:rsidR="00C255C4" w:rsidRPr="009C0696">
              <w:rPr>
                <w:lang w:val="en-GB"/>
              </w:rPr>
              <w:t xml:space="preserve"> with the predominant public sector</w:t>
            </w:r>
            <w:r w:rsidR="00C255C4" w:rsidRPr="009C0696">
              <w:rPr>
                <w:rStyle w:val="Znakapoznpodarou"/>
                <w:spacing w:val="-2"/>
                <w:lang w:val="en-GB"/>
              </w:rPr>
              <w:footnoteReference w:id="5"/>
            </w:r>
            <w:r w:rsidR="00C255C4" w:rsidRPr="009C0696">
              <w:rPr>
                <w:lang w:val="en-GB"/>
              </w:rPr>
              <w:t xml:space="preserve"> continued in the strong year 2017 (12.0%). The volume of paid out wages climbed to 6.9% in construction (given the fall of employment by </w:t>
            </w:r>
            <w:r w:rsidR="00D70289" w:rsidRPr="009C0696">
              <w:rPr>
                <w:lang w:val="en-GB"/>
              </w:rPr>
              <w:t>0</w:t>
            </w:r>
            <w:r w:rsidR="00C255C4" w:rsidRPr="009C0696">
              <w:rPr>
                <w:lang w:val="en-GB"/>
              </w:rPr>
              <w:t>.</w:t>
            </w:r>
            <w:r w:rsidR="00D70289" w:rsidRPr="009C0696">
              <w:rPr>
                <w:lang w:val="en-GB"/>
              </w:rPr>
              <w:t xml:space="preserve">4%). </w:t>
            </w:r>
            <w:r w:rsidR="00236552" w:rsidRPr="009C0696">
              <w:rPr>
                <w:lang w:val="en-GB"/>
              </w:rPr>
              <w:t xml:space="preserve">Salaries and wages grew the slowest in </w:t>
            </w:r>
            <w:r w:rsidR="008778F6" w:rsidRPr="009C0696">
              <w:rPr>
                <w:lang w:val="en-GB"/>
              </w:rPr>
              <w:t xml:space="preserve">financial and insurance activities </w:t>
            </w:r>
            <w:r w:rsidR="00D70289" w:rsidRPr="009C0696">
              <w:rPr>
                <w:lang w:val="en-GB"/>
              </w:rPr>
              <w:t>(5</w:t>
            </w:r>
            <w:r w:rsidR="00236552" w:rsidRPr="009C0696">
              <w:rPr>
                <w:lang w:val="en-GB"/>
              </w:rPr>
              <w:t>.</w:t>
            </w:r>
            <w:r w:rsidR="00D70289" w:rsidRPr="009C0696">
              <w:rPr>
                <w:lang w:val="en-GB"/>
              </w:rPr>
              <w:t>9</w:t>
            </w:r>
            <w:r w:rsidR="00BD59F1">
              <w:rPr>
                <w:lang w:val="en-GB"/>
              </w:rPr>
              <w:t> </w:t>
            </w:r>
            <w:r w:rsidR="00D70289" w:rsidRPr="009C0696">
              <w:rPr>
                <w:lang w:val="en-GB"/>
              </w:rPr>
              <w:t xml:space="preserve">%), </w:t>
            </w:r>
            <w:r w:rsidR="00236552" w:rsidRPr="009C0696">
              <w:rPr>
                <w:lang w:val="en-GB"/>
              </w:rPr>
              <w:t xml:space="preserve">the employment did not grow here at all in contrast to the rest of the economy. </w:t>
            </w:r>
            <w:r w:rsidR="00A76F33" w:rsidRPr="009C0696">
              <w:rPr>
                <w:lang w:val="en-GB"/>
              </w:rPr>
              <w:t>The year-on-year dynamics of the volume of salaries and wages slowed down across the</w:t>
            </w:r>
            <w:r w:rsidR="003934E5" w:rsidRPr="009C0696">
              <w:rPr>
                <w:lang w:val="en-GB"/>
              </w:rPr>
              <w:t xml:space="preserve"> branches </w:t>
            </w:r>
            <w:r w:rsidR="00A76F33" w:rsidRPr="009C0696">
              <w:rPr>
                <w:lang w:val="en-GB"/>
              </w:rPr>
              <w:t xml:space="preserve">(the most for the real estate </w:t>
            </w:r>
            <w:r w:rsidR="003934E5" w:rsidRPr="009C0696">
              <w:rPr>
                <w:lang w:val="en-GB"/>
              </w:rPr>
              <w:t xml:space="preserve">activities </w:t>
            </w:r>
            <w:r w:rsidR="00A76F33" w:rsidRPr="009C0696">
              <w:rPr>
                <w:lang w:val="en-GB"/>
              </w:rPr>
              <w:t xml:space="preserve">to 8.1%, to 7.4% for </w:t>
            </w:r>
            <w:r w:rsidR="003934E5" w:rsidRPr="009C0696">
              <w:rPr>
                <w:lang w:val="en-GB"/>
              </w:rPr>
              <w:t xml:space="preserve">branches </w:t>
            </w:r>
            <w:r w:rsidR="00A76F33" w:rsidRPr="009C0696">
              <w:rPr>
                <w:lang w:val="en-GB"/>
              </w:rPr>
              <w:t xml:space="preserve">with the predominance </w:t>
            </w:r>
            <w:r w:rsidR="00A76F33" w:rsidRPr="009C0696">
              <w:rPr>
                <w:lang w:val="en-GB"/>
              </w:rPr>
              <w:lastRenderedPageBreak/>
              <w:t>of the public sector) in Q</w:t>
            </w:r>
            <w:r w:rsidR="00D70289" w:rsidRPr="009C0696">
              <w:rPr>
                <w:lang w:val="en-GB"/>
              </w:rPr>
              <w:t>4</w:t>
            </w:r>
            <w:r w:rsidR="00A76F33" w:rsidRPr="009C0696">
              <w:rPr>
                <w:lang w:val="en-GB"/>
              </w:rPr>
              <w:t xml:space="preserve">. The grouping trade, transportation, accommodation and food service activities presented an exception, with the rate of growth accelerating to </w:t>
            </w:r>
            <w:r w:rsidR="00D70289" w:rsidRPr="009C0696">
              <w:rPr>
                <w:lang w:val="en-GB"/>
              </w:rPr>
              <w:t>9</w:t>
            </w:r>
            <w:r w:rsidR="00A76F33" w:rsidRPr="009C0696">
              <w:rPr>
                <w:lang w:val="en-GB"/>
              </w:rPr>
              <w:t>.</w:t>
            </w:r>
            <w:r w:rsidR="00D70289" w:rsidRPr="009C0696">
              <w:rPr>
                <w:lang w:val="en-GB"/>
              </w:rPr>
              <w:t>0%. Re</w:t>
            </w:r>
            <w:r w:rsidR="008F4632" w:rsidRPr="009C0696">
              <w:rPr>
                <w:lang w:val="en-GB"/>
              </w:rPr>
              <w:t>cord rate of growth of the volume of salaries and wages did not do without partial changes in the structure of distribution of created gross value added. Also for this reason, the profitability of non-financial</w:t>
            </w:r>
            <w:r w:rsidR="00E92118" w:rsidRPr="009C0696">
              <w:rPr>
                <w:lang w:val="en-GB"/>
              </w:rPr>
              <w:t xml:space="preserve"> businesses</w:t>
            </w:r>
            <w:r w:rsidR="00D70289" w:rsidRPr="009C0696">
              <w:rPr>
                <w:rStyle w:val="Znakapoznpodarou"/>
                <w:lang w:val="en-GB"/>
              </w:rPr>
              <w:footnoteReference w:id="6"/>
            </w:r>
            <w:r w:rsidR="00D70289" w:rsidRPr="009C0696">
              <w:rPr>
                <w:lang w:val="en-GB"/>
              </w:rPr>
              <w:t xml:space="preserve"> </w:t>
            </w:r>
            <w:r w:rsidR="008F4632" w:rsidRPr="009C0696">
              <w:rPr>
                <w:lang w:val="en-GB"/>
              </w:rPr>
              <w:t xml:space="preserve">fell to </w:t>
            </w:r>
            <w:r w:rsidR="00D70289" w:rsidRPr="009C0696">
              <w:rPr>
                <w:lang w:val="en-GB"/>
              </w:rPr>
              <w:t>47</w:t>
            </w:r>
            <w:r w:rsidR="008F4632" w:rsidRPr="009C0696">
              <w:rPr>
                <w:lang w:val="en-GB"/>
              </w:rPr>
              <w:t>.</w:t>
            </w:r>
            <w:r w:rsidR="00D70289" w:rsidRPr="009C0696">
              <w:rPr>
                <w:lang w:val="en-GB"/>
              </w:rPr>
              <w:t>0%</w:t>
            </w:r>
            <w:r w:rsidR="008F4632" w:rsidRPr="009C0696">
              <w:rPr>
                <w:lang w:val="en-GB"/>
              </w:rPr>
              <w:t xml:space="preserve"> last year</w:t>
            </w:r>
            <w:r w:rsidR="00D70289" w:rsidRPr="009C0696">
              <w:rPr>
                <w:lang w:val="en-GB"/>
              </w:rPr>
              <w:t xml:space="preserve">, </w:t>
            </w:r>
            <w:r w:rsidR="00F602CF" w:rsidRPr="009C0696">
              <w:rPr>
                <w:lang w:val="en-GB"/>
              </w:rPr>
              <w:t xml:space="preserve">the lowest </w:t>
            </w:r>
            <w:r w:rsidR="008F4632" w:rsidRPr="009C0696">
              <w:rPr>
                <w:lang w:val="en-GB"/>
              </w:rPr>
              <w:t xml:space="preserve">point </w:t>
            </w:r>
            <w:r w:rsidR="00F602CF" w:rsidRPr="009C0696">
              <w:rPr>
                <w:lang w:val="en-GB"/>
              </w:rPr>
              <w:t xml:space="preserve">in the available time series. Nevertheless, this </w:t>
            </w:r>
            <w:r w:rsidR="008F4632" w:rsidRPr="009C0696">
              <w:rPr>
                <w:lang w:val="en-GB"/>
              </w:rPr>
              <w:t>indicator</w:t>
            </w:r>
            <w:r w:rsidR="00F602CF" w:rsidRPr="009C0696">
              <w:rPr>
                <w:lang w:val="en-GB"/>
              </w:rPr>
              <w:t xml:space="preserve"> remains above average compared to the EU average (it fluctuates around </w:t>
            </w:r>
            <w:r w:rsidR="008F4632" w:rsidRPr="009C0696">
              <w:rPr>
                <w:lang w:val="en-GB"/>
              </w:rPr>
              <w:t xml:space="preserve">40% in the long-term). </w:t>
            </w:r>
          </w:p>
        </w:tc>
      </w:tr>
      <w:tr w:rsidR="00D70289" w:rsidRPr="009C0696" w:rsidTr="00A74D81">
        <w:trPr>
          <w:trHeight w:val="170"/>
        </w:trPr>
        <w:tc>
          <w:tcPr>
            <w:tcW w:w="1802" w:type="dxa"/>
            <w:vMerge w:val="restart"/>
            <w:shd w:val="clear" w:color="auto" w:fill="auto"/>
            <w:tcMar>
              <w:left w:w="0" w:type="dxa"/>
            </w:tcMar>
          </w:tcPr>
          <w:p w:rsidR="00D70289" w:rsidRPr="009C0696" w:rsidRDefault="00D70289" w:rsidP="0033709C">
            <w:pPr>
              <w:pStyle w:val="Marginlie"/>
              <w:rPr>
                <w:lang w:val="en-GB"/>
              </w:rPr>
            </w:pPr>
          </w:p>
        </w:tc>
        <w:tc>
          <w:tcPr>
            <w:tcW w:w="227" w:type="dxa"/>
            <w:vMerge w:val="restart"/>
            <w:shd w:val="clear" w:color="auto" w:fill="auto"/>
            <w:tcMar>
              <w:left w:w="0" w:type="dxa"/>
            </w:tcMar>
          </w:tcPr>
          <w:p w:rsidR="00D70289" w:rsidRPr="009C0696" w:rsidRDefault="00D70289" w:rsidP="0033709C">
            <w:pPr>
              <w:pStyle w:val="Textpoznpodarou"/>
              <w:jc w:val="both"/>
              <w:rPr>
                <w:spacing w:val="-4"/>
                <w:lang w:val="en-GB"/>
              </w:rPr>
            </w:pPr>
          </w:p>
        </w:tc>
        <w:tc>
          <w:tcPr>
            <w:tcW w:w="7610" w:type="dxa"/>
            <w:shd w:val="clear" w:color="auto" w:fill="auto"/>
            <w:tcMar>
              <w:left w:w="0" w:type="dxa"/>
            </w:tcMar>
          </w:tcPr>
          <w:p w:rsidR="00D70289" w:rsidRPr="009F7FC7" w:rsidRDefault="00F602CF" w:rsidP="0053183A">
            <w:pPr>
              <w:spacing w:after="0"/>
              <w:rPr>
                <w:b/>
                <w:szCs w:val="20"/>
                <w:lang w:val="en-GB"/>
              </w:rPr>
            </w:pPr>
            <w:r w:rsidRPr="009F7FC7">
              <w:rPr>
                <w:b/>
                <w:szCs w:val="20"/>
                <w:lang w:val="en-GB"/>
              </w:rPr>
              <w:t xml:space="preserve">Chart </w:t>
            </w:r>
            <w:r w:rsidR="00D70289" w:rsidRPr="009F7FC7">
              <w:rPr>
                <w:b/>
                <w:szCs w:val="20"/>
                <w:lang w:val="en-GB"/>
              </w:rPr>
              <w:t xml:space="preserve">3  </w:t>
            </w:r>
            <w:r w:rsidR="0053183A" w:rsidRPr="009F7FC7">
              <w:rPr>
                <w:b/>
                <w:szCs w:val="20"/>
                <w:lang w:val="en-GB"/>
              </w:rPr>
              <w:t>Contribution of expenditure items to real GDP change</w:t>
            </w:r>
            <w:r w:rsidR="00D70289" w:rsidRPr="009F7FC7">
              <w:rPr>
                <w:rFonts w:cs="Arial"/>
                <w:b/>
                <w:szCs w:val="20"/>
                <w:lang w:val="en-GB" w:eastAsia="en-US"/>
              </w:rPr>
              <w:t xml:space="preserve">* </w:t>
            </w:r>
            <w:r w:rsidR="00D70289" w:rsidRPr="009F7FC7">
              <w:rPr>
                <w:rFonts w:cs="Arial"/>
                <w:szCs w:val="20"/>
                <w:lang w:val="en-GB" w:eastAsia="en-US"/>
              </w:rPr>
              <w:t>(</w:t>
            </w:r>
            <w:r w:rsidR="0053183A" w:rsidRPr="009F7FC7">
              <w:rPr>
                <w:rFonts w:cs="Arial"/>
                <w:szCs w:val="20"/>
                <w:lang w:val="en-GB" w:eastAsia="en-US"/>
              </w:rPr>
              <w:t>volume indices, year-on-year growth</w:t>
            </w:r>
            <w:r w:rsidR="00D70289" w:rsidRPr="009F7FC7">
              <w:rPr>
                <w:rFonts w:cs="Arial"/>
                <w:szCs w:val="20"/>
                <w:lang w:val="en-GB" w:eastAsia="en-US"/>
              </w:rPr>
              <w:t xml:space="preserve">, </w:t>
            </w:r>
            <w:r w:rsidR="0053183A" w:rsidRPr="009F7FC7">
              <w:rPr>
                <w:rFonts w:cs="Arial"/>
                <w:szCs w:val="20"/>
                <w:lang w:val="en-GB" w:eastAsia="en-US"/>
              </w:rPr>
              <w:t xml:space="preserve">contributions in </w:t>
            </w:r>
            <w:r w:rsidR="00D70289" w:rsidRPr="009F7FC7">
              <w:rPr>
                <w:rFonts w:cs="Arial"/>
                <w:szCs w:val="20"/>
                <w:lang w:val="en-GB" w:eastAsia="en-US"/>
              </w:rPr>
              <w:t>p.</w:t>
            </w:r>
            <w:r w:rsidR="0053183A" w:rsidRPr="009F7FC7">
              <w:rPr>
                <w:rFonts w:cs="Arial"/>
                <w:szCs w:val="20"/>
                <w:lang w:val="en-GB" w:eastAsia="en-US"/>
              </w:rPr>
              <w:t>p.</w:t>
            </w:r>
            <w:r w:rsidR="00D70289" w:rsidRPr="009F7FC7">
              <w:rPr>
                <w:rFonts w:cs="Arial"/>
                <w:szCs w:val="20"/>
                <w:lang w:val="en-GB" w:eastAsia="en-US"/>
              </w:rPr>
              <w:t xml:space="preserve">, </w:t>
            </w:r>
            <w:r w:rsidR="0053183A" w:rsidRPr="009F7FC7">
              <w:rPr>
                <w:rFonts w:cs="Arial"/>
                <w:szCs w:val="20"/>
                <w:lang w:val="en-GB" w:eastAsia="en-US"/>
              </w:rPr>
              <w:t xml:space="preserve">GDP in </w:t>
            </w:r>
            <w:r w:rsidR="00D70289" w:rsidRPr="009F7FC7">
              <w:rPr>
                <w:rFonts w:cs="Arial"/>
                <w:szCs w:val="20"/>
                <w:lang w:val="en-GB" w:eastAsia="en-US"/>
              </w:rPr>
              <w:t>%)</w:t>
            </w:r>
          </w:p>
        </w:tc>
      </w:tr>
      <w:tr w:rsidR="00D70289" w:rsidRPr="009C0696" w:rsidTr="00A74D81">
        <w:tblPrEx>
          <w:tblCellMar>
            <w:left w:w="70" w:type="dxa"/>
            <w:right w:w="70" w:type="dxa"/>
          </w:tblCellMar>
        </w:tblPrEx>
        <w:trPr>
          <w:trHeight w:val="170"/>
        </w:trPr>
        <w:tc>
          <w:tcPr>
            <w:tcW w:w="1802" w:type="dxa"/>
            <w:vMerge/>
            <w:shd w:val="clear" w:color="auto" w:fill="auto"/>
          </w:tcPr>
          <w:p w:rsidR="00D70289" w:rsidRPr="009C0696" w:rsidRDefault="00D70289" w:rsidP="00965797">
            <w:pPr>
              <w:pStyle w:val="Marginlie"/>
              <w:rPr>
                <w:lang w:val="en-GB"/>
              </w:rPr>
            </w:pPr>
          </w:p>
        </w:tc>
        <w:tc>
          <w:tcPr>
            <w:tcW w:w="227" w:type="dxa"/>
            <w:vMerge/>
            <w:shd w:val="clear" w:color="auto" w:fill="auto"/>
          </w:tcPr>
          <w:p w:rsidR="00D70289" w:rsidRPr="009C0696" w:rsidRDefault="00D70289" w:rsidP="00965797">
            <w:pPr>
              <w:pStyle w:val="Textpoznpodarou"/>
              <w:jc w:val="both"/>
              <w:rPr>
                <w:spacing w:val="-4"/>
                <w:lang w:val="en-GB"/>
              </w:rPr>
            </w:pPr>
          </w:p>
        </w:tc>
        <w:tc>
          <w:tcPr>
            <w:tcW w:w="7610" w:type="dxa"/>
            <w:shd w:val="clear" w:color="auto" w:fill="auto"/>
          </w:tcPr>
          <w:p w:rsidR="00D70289" w:rsidRPr="009C0696" w:rsidRDefault="0088419D" w:rsidP="00965797">
            <w:pPr>
              <w:spacing w:after="0"/>
              <w:rPr>
                <w:lang w:val="en-GB"/>
              </w:rPr>
            </w:pPr>
            <w:r>
              <w:rPr>
                <w:noProof/>
              </w:rPr>
              <w:drawing>
                <wp:inline distT="0" distB="0" distL="0" distR="0" wp14:anchorId="623CAFAD" wp14:editId="71B3A223">
                  <wp:extent cx="4737100" cy="3354670"/>
                  <wp:effectExtent l="0" t="0" r="635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D70289" w:rsidRPr="009C0696" w:rsidTr="00A74D81">
        <w:trPr>
          <w:trHeight w:val="170"/>
        </w:trPr>
        <w:tc>
          <w:tcPr>
            <w:tcW w:w="1802" w:type="dxa"/>
            <w:vMerge/>
            <w:shd w:val="clear" w:color="auto" w:fill="auto"/>
            <w:tcMar>
              <w:left w:w="0" w:type="dxa"/>
            </w:tcMar>
          </w:tcPr>
          <w:p w:rsidR="00D70289" w:rsidRPr="009C0696" w:rsidRDefault="00D70289" w:rsidP="00965797">
            <w:pPr>
              <w:pStyle w:val="Marginlie"/>
              <w:rPr>
                <w:lang w:val="en-GB"/>
              </w:rPr>
            </w:pPr>
          </w:p>
        </w:tc>
        <w:tc>
          <w:tcPr>
            <w:tcW w:w="227" w:type="dxa"/>
            <w:vMerge/>
            <w:shd w:val="clear" w:color="auto" w:fill="auto"/>
            <w:tcMar>
              <w:left w:w="0" w:type="dxa"/>
            </w:tcMar>
          </w:tcPr>
          <w:p w:rsidR="00D70289" w:rsidRPr="009C0696" w:rsidRDefault="00D70289" w:rsidP="00965797">
            <w:pPr>
              <w:pStyle w:val="Textpoznpodarou"/>
              <w:jc w:val="both"/>
              <w:rPr>
                <w:spacing w:val="-4"/>
                <w:lang w:val="en-GB"/>
              </w:rPr>
            </w:pPr>
          </w:p>
        </w:tc>
        <w:tc>
          <w:tcPr>
            <w:tcW w:w="7610" w:type="dxa"/>
            <w:shd w:val="clear" w:color="auto" w:fill="auto"/>
            <w:tcMar>
              <w:left w:w="0" w:type="dxa"/>
            </w:tcMar>
          </w:tcPr>
          <w:p w:rsidR="00D70289" w:rsidRPr="009C0696" w:rsidRDefault="008F4632" w:rsidP="0033709C">
            <w:pPr>
              <w:spacing w:after="0"/>
              <w:rPr>
                <w:sz w:val="14"/>
                <w:szCs w:val="14"/>
                <w:lang w:val="en-GB"/>
              </w:rPr>
            </w:pPr>
            <w:r w:rsidRPr="009C0696">
              <w:rPr>
                <w:sz w:val="14"/>
                <w:szCs w:val="14"/>
                <w:lang w:val="en-GB"/>
              </w:rPr>
              <w:t>Source</w:t>
            </w:r>
            <w:r w:rsidR="00D70289" w:rsidRPr="009C0696">
              <w:rPr>
                <w:sz w:val="14"/>
                <w:szCs w:val="14"/>
                <w:lang w:val="en-GB"/>
              </w:rPr>
              <w:t xml:space="preserve">: </w:t>
            </w:r>
            <w:r w:rsidRPr="009C0696">
              <w:rPr>
                <w:sz w:val="14"/>
                <w:szCs w:val="14"/>
                <w:lang w:val="en-GB"/>
              </w:rPr>
              <w:t>CZSO</w:t>
            </w:r>
          </w:p>
          <w:p w:rsidR="00A54698" w:rsidRPr="009C0696" w:rsidRDefault="00A1575D" w:rsidP="009F7FC7">
            <w:pPr>
              <w:spacing w:after="180"/>
              <w:rPr>
                <w:sz w:val="14"/>
                <w:szCs w:val="14"/>
                <w:lang w:val="en-GB"/>
              </w:rPr>
            </w:pPr>
            <w:r w:rsidRPr="009C0696">
              <w:rPr>
                <w:sz w:val="14"/>
                <w:szCs w:val="14"/>
                <w:lang w:val="en-GB"/>
              </w:rPr>
              <w:t xml:space="preserve">*after </w:t>
            </w:r>
            <w:r w:rsidR="00A54698" w:rsidRPr="009C0696">
              <w:rPr>
                <w:sz w:val="14"/>
                <w:szCs w:val="14"/>
                <w:lang w:val="en-GB"/>
              </w:rPr>
              <w:t>exclusion of imports for final use</w:t>
            </w:r>
          </w:p>
        </w:tc>
      </w:tr>
      <w:tr w:rsidR="00D70289" w:rsidRPr="009C0696" w:rsidTr="00A74D81">
        <w:trPr>
          <w:trHeight w:val="145"/>
        </w:trPr>
        <w:tc>
          <w:tcPr>
            <w:tcW w:w="1802" w:type="dxa"/>
            <w:shd w:val="clear" w:color="auto" w:fill="auto"/>
            <w:tcMar>
              <w:left w:w="0" w:type="dxa"/>
            </w:tcMar>
          </w:tcPr>
          <w:p w:rsidR="00D70289" w:rsidRPr="009C0696" w:rsidRDefault="00200941" w:rsidP="00200941">
            <w:pPr>
              <w:pStyle w:val="Marginlie"/>
              <w:rPr>
                <w:lang w:val="en-GB"/>
              </w:rPr>
            </w:pPr>
            <w:r w:rsidRPr="009C0696">
              <w:rPr>
                <w:lang w:val="en-GB"/>
              </w:rPr>
              <w:t xml:space="preserve">Consumption remained the key pro-growth factor. Its year-on-year dynamics slowed down in case of households towards the end of the year. </w:t>
            </w:r>
          </w:p>
        </w:tc>
        <w:tc>
          <w:tcPr>
            <w:tcW w:w="227" w:type="dxa"/>
            <w:shd w:val="clear" w:color="auto" w:fill="auto"/>
            <w:tcMar>
              <w:left w:w="0" w:type="dxa"/>
            </w:tcMar>
          </w:tcPr>
          <w:p w:rsidR="00D70289" w:rsidRPr="009C0696" w:rsidRDefault="00D70289" w:rsidP="0033709C">
            <w:pPr>
              <w:pStyle w:val="Textpoznpodarou"/>
              <w:jc w:val="both"/>
              <w:rPr>
                <w:spacing w:val="-4"/>
                <w:lang w:val="en-GB"/>
              </w:rPr>
            </w:pPr>
          </w:p>
        </w:tc>
        <w:tc>
          <w:tcPr>
            <w:tcW w:w="7610" w:type="dxa"/>
            <w:shd w:val="clear" w:color="auto" w:fill="auto"/>
            <w:tcMar>
              <w:left w:w="0" w:type="dxa"/>
            </w:tcMar>
          </w:tcPr>
          <w:p w:rsidR="00D70289" w:rsidRPr="009C0696" w:rsidRDefault="00200941" w:rsidP="00DA35CD">
            <w:pPr>
              <w:rPr>
                <w:spacing w:val="-2"/>
                <w:lang w:val="en-GB"/>
              </w:rPr>
            </w:pPr>
            <w:r w:rsidRPr="009C0696">
              <w:rPr>
                <w:lang w:val="en-GB"/>
              </w:rPr>
              <w:t xml:space="preserve">Total growth of final consumption expenditure attained 3.3% in </w:t>
            </w:r>
            <w:r w:rsidR="00D70289" w:rsidRPr="009C0696">
              <w:rPr>
                <w:lang w:val="en-GB"/>
              </w:rPr>
              <w:t xml:space="preserve">2018. </w:t>
            </w:r>
            <w:r w:rsidR="00B436C1" w:rsidRPr="009C0696">
              <w:rPr>
                <w:lang w:val="en-GB"/>
              </w:rPr>
              <w:t xml:space="preserve">The dynamics managed to stay above the </w:t>
            </w:r>
            <w:r w:rsidR="00D70289" w:rsidRPr="009C0696">
              <w:rPr>
                <w:lang w:val="en-GB"/>
              </w:rPr>
              <w:t xml:space="preserve">3% </w:t>
            </w:r>
            <w:r w:rsidR="00B436C1" w:rsidRPr="009C0696">
              <w:rPr>
                <w:lang w:val="en-GB"/>
              </w:rPr>
              <w:t>boundary already four years in a row.</w:t>
            </w:r>
            <w:r w:rsidR="00D70289" w:rsidRPr="009C0696">
              <w:rPr>
                <w:lang w:val="en-GB"/>
              </w:rPr>
              <w:t xml:space="preserve"> </w:t>
            </w:r>
            <w:r w:rsidR="004357AF" w:rsidRPr="009C0696">
              <w:rPr>
                <w:lang w:val="en-GB"/>
              </w:rPr>
              <w:t xml:space="preserve">Household consumption grew by </w:t>
            </w:r>
            <w:r w:rsidR="00D70289" w:rsidRPr="009C0696">
              <w:rPr>
                <w:lang w:val="en-GB"/>
              </w:rPr>
              <w:t>3</w:t>
            </w:r>
            <w:r w:rsidR="004357AF" w:rsidRPr="009C0696">
              <w:rPr>
                <w:lang w:val="en-GB"/>
              </w:rPr>
              <w:t>.</w:t>
            </w:r>
            <w:r w:rsidR="00D70289" w:rsidRPr="009C0696">
              <w:rPr>
                <w:lang w:val="en-GB"/>
              </w:rPr>
              <w:t>1% a</w:t>
            </w:r>
            <w:r w:rsidR="004357AF" w:rsidRPr="009C0696">
              <w:rPr>
                <w:lang w:val="en-GB"/>
              </w:rPr>
              <w:t xml:space="preserve">nd government institutions by </w:t>
            </w:r>
            <w:r w:rsidR="00D70289" w:rsidRPr="009C0696">
              <w:rPr>
                <w:lang w:val="en-GB"/>
              </w:rPr>
              <w:t>3</w:t>
            </w:r>
            <w:r w:rsidR="004357AF" w:rsidRPr="009C0696">
              <w:rPr>
                <w:lang w:val="en-GB"/>
              </w:rPr>
              <w:t>.</w:t>
            </w:r>
            <w:r w:rsidR="00D70289" w:rsidRPr="009C0696">
              <w:rPr>
                <w:lang w:val="en-GB"/>
              </w:rPr>
              <w:t>7% (</w:t>
            </w:r>
            <w:r w:rsidR="004357AF" w:rsidRPr="009C0696">
              <w:rPr>
                <w:lang w:val="en-GB"/>
              </w:rPr>
              <w:t xml:space="preserve">the most since </w:t>
            </w:r>
            <w:r w:rsidR="00D70289" w:rsidRPr="009C0696">
              <w:rPr>
                <w:lang w:val="en-GB"/>
              </w:rPr>
              <w:t xml:space="preserve">2003). </w:t>
            </w:r>
            <w:r w:rsidR="00B436C1" w:rsidRPr="009C0696">
              <w:rPr>
                <w:lang w:val="en-GB"/>
              </w:rPr>
              <w:t xml:space="preserve">Total consumption increased by 2.6% year-on-year in Q4 only </w:t>
            </w:r>
            <w:r w:rsidR="00D70289" w:rsidRPr="009C0696">
              <w:rPr>
                <w:lang w:val="en-GB"/>
              </w:rPr>
              <w:t>(</w:t>
            </w:r>
            <w:r w:rsidR="00B436C1" w:rsidRPr="009C0696">
              <w:rPr>
                <w:lang w:val="en-GB"/>
              </w:rPr>
              <w:t xml:space="preserve">the dynamics slid below </w:t>
            </w:r>
            <w:r w:rsidR="00D70289" w:rsidRPr="009C0696">
              <w:rPr>
                <w:lang w:val="en-GB"/>
              </w:rPr>
              <w:t xml:space="preserve">3% </w:t>
            </w:r>
            <w:r w:rsidR="00B436C1" w:rsidRPr="009C0696">
              <w:rPr>
                <w:lang w:val="en-GB"/>
              </w:rPr>
              <w:t xml:space="preserve">after </w:t>
            </w:r>
            <w:r w:rsidR="00D70289" w:rsidRPr="009C0696">
              <w:rPr>
                <w:lang w:val="en-GB"/>
              </w:rPr>
              <w:t>14 </w:t>
            </w:r>
            <w:r w:rsidR="00B436C1" w:rsidRPr="009C0696">
              <w:rPr>
                <w:lang w:val="en-GB"/>
              </w:rPr>
              <w:t>quarters</w:t>
            </w:r>
            <w:r w:rsidR="00D70289" w:rsidRPr="009C0696">
              <w:rPr>
                <w:lang w:val="en-GB"/>
              </w:rPr>
              <w:t xml:space="preserve">). </w:t>
            </w:r>
            <w:r w:rsidR="00952D37" w:rsidRPr="009C0696">
              <w:rPr>
                <w:lang w:val="en-GB"/>
              </w:rPr>
              <w:t xml:space="preserve">The smaller addition of household expenditure was mainly behind the weaker growth </w:t>
            </w:r>
            <w:r w:rsidR="00D70289" w:rsidRPr="009C0696">
              <w:rPr>
                <w:lang w:val="en-GB"/>
              </w:rPr>
              <w:t>(2</w:t>
            </w:r>
            <w:r w:rsidR="00952D37" w:rsidRPr="009C0696">
              <w:rPr>
                <w:lang w:val="en-GB"/>
              </w:rPr>
              <w:t>.</w:t>
            </w:r>
            <w:r w:rsidR="00D70289" w:rsidRPr="009C0696">
              <w:rPr>
                <w:lang w:val="en-GB"/>
              </w:rPr>
              <w:t xml:space="preserve">2%, </w:t>
            </w:r>
            <w:r w:rsidR="00952D37" w:rsidRPr="009C0696">
              <w:rPr>
                <w:lang w:val="en-GB"/>
              </w:rPr>
              <w:t>the least since Q</w:t>
            </w:r>
            <w:r w:rsidR="00D70289" w:rsidRPr="009C0696">
              <w:rPr>
                <w:lang w:val="en-GB"/>
              </w:rPr>
              <w:t>3</w:t>
            </w:r>
            <w:r w:rsidR="00952D37" w:rsidRPr="009C0696">
              <w:rPr>
                <w:lang w:val="en-GB"/>
              </w:rPr>
              <w:t xml:space="preserve"> </w:t>
            </w:r>
            <w:r w:rsidR="00D70289" w:rsidRPr="009C0696">
              <w:rPr>
                <w:lang w:val="en-GB"/>
              </w:rPr>
              <w:t xml:space="preserve">2014), </w:t>
            </w:r>
            <w:r w:rsidR="001A75B3" w:rsidRPr="009C0696">
              <w:rPr>
                <w:lang w:val="en-GB"/>
              </w:rPr>
              <w:t xml:space="preserve">resulting also in a lower addition to the GDP growth </w:t>
            </w:r>
            <w:r w:rsidR="00D70289" w:rsidRPr="009C0696">
              <w:rPr>
                <w:lang w:val="en-GB"/>
              </w:rPr>
              <w:t>(0</w:t>
            </w:r>
            <w:r w:rsidR="001A75B3" w:rsidRPr="009C0696">
              <w:rPr>
                <w:lang w:val="en-GB"/>
              </w:rPr>
              <w:t>.</w:t>
            </w:r>
            <w:r w:rsidR="00D70289" w:rsidRPr="009C0696">
              <w:rPr>
                <w:lang w:val="en-GB"/>
              </w:rPr>
              <w:t>6 p.</w:t>
            </w:r>
            <w:r w:rsidR="001A75B3" w:rsidRPr="009C0696">
              <w:rPr>
                <w:lang w:val="en-GB"/>
              </w:rPr>
              <w:t>p</w:t>
            </w:r>
            <w:r w:rsidR="00D70289" w:rsidRPr="009C0696">
              <w:rPr>
                <w:lang w:val="en-GB"/>
              </w:rPr>
              <w:t xml:space="preserve">.). </w:t>
            </w:r>
            <w:r w:rsidR="00B436C1" w:rsidRPr="009C0696">
              <w:rPr>
                <w:lang w:val="en-GB"/>
              </w:rPr>
              <w:t xml:space="preserve">On the contrary, the government institutions expended on consumption by 3.6% more year-on-year, which contributed 0.7 p.p. to the growth.   </w:t>
            </w:r>
            <w:r w:rsidR="00D70289" w:rsidRPr="009C0696">
              <w:rPr>
                <w:lang w:val="en-GB"/>
              </w:rPr>
              <w:t xml:space="preserve"> </w:t>
            </w:r>
          </w:p>
        </w:tc>
      </w:tr>
      <w:tr w:rsidR="00D70289" w:rsidRPr="009C0696" w:rsidTr="00A74D81">
        <w:trPr>
          <w:trHeight w:val="145"/>
        </w:trPr>
        <w:tc>
          <w:tcPr>
            <w:tcW w:w="1802" w:type="dxa"/>
            <w:shd w:val="clear" w:color="auto" w:fill="auto"/>
            <w:tcMar>
              <w:left w:w="0" w:type="dxa"/>
            </w:tcMar>
          </w:tcPr>
          <w:p w:rsidR="00D70289" w:rsidRPr="009C0696" w:rsidRDefault="001A75B3" w:rsidP="001A75B3">
            <w:pPr>
              <w:pStyle w:val="Marginlie"/>
              <w:rPr>
                <w:lang w:val="en-GB"/>
              </w:rPr>
            </w:pPr>
            <w:r w:rsidRPr="009C0696">
              <w:rPr>
                <w:lang w:val="en-GB"/>
              </w:rPr>
              <w:t xml:space="preserve">Households put more money aside last year. </w:t>
            </w:r>
          </w:p>
        </w:tc>
        <w:tc>
          <w:tcPr>
            <w:tcW w:w="227" w:type="dxa"/>
            <w:shd w:val="clear" w:color="auto" w:fill="auto"/>
            <w:tcMar>
              <w:left w:w="0" w:type="dxa"/>
            </w:tcMar>
          </w:tcPr>
          <w:p w:rsidR="00D70289" w:rsidRPr="009C0696" w:rsidRDefault="00D70289" w:rsidP="0033709C">
            <w:pPr>
              <w:pStyle w:val="Textpoznpodarou"/>
              <w:jc w:val="both"/>
              <w:rPr>
                <w:spacing w:val="-4"/>
                <w:lang w:val="en-GB"/>
              </w:rPr>
            </w:pPr>
          </w:p>
        </w:tc>
        <w:tc>
          <w:tcPr>
            <w:tcW w:w="7610" w:type="dxa"/>
            <w:shd w:val="clear" w:color="auto" w:fill="auto"/>
            <w:tcMar>
              <w:left w:w="0" w:type="dxa"/>
            </w:tcMar>
          </w:tcPr>
          <w:p w:rsidR="00D70289" w:rsidRPr="009C0696" w:rsidRDefault="001A75B3" w:rsidP="0088419D">
            <w:pPr>
              <w:rPr>
                <w:lang w:val="en-GB"/>
              </w:rPr>
            </w:pPr>
            <w:r w:rsidRPr="009C0696">
              <w:rPr>
                <w:lang w:val="en-GB"/>
              </w:rPr>
              <w:t xml:space="preserve">Slower dynamics of household consumption </w:t>
            </w:r>
            <w:r w:rsidR="00062C5C" w:rsidRPr="009C0696">
              <w:rPr>
                <w:lang w:val="en-GB"/>
              </w:rPr>
              <w:t xml:space="preserve">emerged </w:t>
            </w:r>
            <w:r w:rsidRPr="009C0696">
              <w:rPr>
                <w:lang w:val="en-GB"/>
              </w:rPr>
              <w:t>despite the record average wage growth last year</w:t>
            </w:r>
            <w:r w:rsidR="00062C5C" w:rsidRPr="009C0696">
              <w:rPr>
                <w:lang w:val="en-GB"/>
              </w:rPr>
              <w:t xml:space="preserve">. Households in fact saved a notable part of income. </w:t>
            </w:r>
            <w:r w:rsidR="001972B0" w:rsidRPr="009C0696">
              <w:rPr>
                <w:lang w:val="en-GB"/>
              </w:rPr>
              <w:t>The savings rate</w:t>
            </w:r>
            <w:r w:rsidR="00D70289" w:rsidRPr="009C0696">
              <w:rPr>
                <w:rStyle w:val="Znakapoznpodarou"/>
                <w:lang w:val="en-GB"/>
              </w:rPr>
              <w:footnoteReference w:id="7"/>
            </w:r>
            <w:r w:rsidR="00D70289" w:rsidRPr="009C0696">
              <w:rPr>
                <w:lang w:val="en-GB"/>
              </w:rPr>
              <w:t xml:space="preserve"> </w:t>
            </w:r>
            <w:r w:rsidR="00062C5C" w:rsidRPr="009C0696">
              <w:rPr>
                <w:lang w:val="en-GB"/>
              </w:rPr>
              <w:t xml:space="preserve">arrived at </w:t>
            </w:r>
            <w:r w:rsidR="00D70289" w:rsidRPr="009C0696">
              <w:rPr>
                <w:lang w:val="en-GB"/>
              </w:rPr>
              <w:t>10</w:t>
            </w:r>
            <w:r w:rsidR="00062C5C" w:rsidRPr="009C0696">
              <w:rPr>
                <w:lang w:val="en-GB"/>
              </w:rPr>
              <w:t>.</w:t>
            </w:r>
            <w:r w:rsidR="00D70289" w:rsidRPr="009C0696">
              <w:rPr>
                <w:lang w:val="en-GB"/>
              </w:rPr>
              <w:t>8%</w:t>
            </w:r>
            <w:r w:rsidR="00062C5C" w:rsidRPr="009C0696">
              <w:rPr>
                <w:lang w:val="en-GB"/>
              </w:rPr>
              <w:t xml:space="preserve"> last year</w:t>
            </w:r>
            <w:r w:rsidR="00D70289" w:rsidRPr="009C0696">
              <w:rPr>
                <w:lang w:val="en-GB"/>
              </w:rPr>
              <w:t xml:space="preserve">. </w:t>
            </w:r>
            <w:r w:rsidR="00062C5C" w:rsidRPr="009C0696">
              <w:rPr>
                <w:lang w:val="en-GB"/>
              </w:rPr>
              <w:t xml:space="preserve">Even though it presents a relatively low number in the long-term view </w:t>
            </w:r>
            <w:r w:rsidR="00D70289" w:rsidRPr="009C0696">
              <w:rPr>
                <w:lang w:val="en-GB"/>
              </w:rPr>
              <w:t>(</w:t>
            </w:r>
            <w:r w:rsidR="00062C5C" w:rsidRPr="009C0696">
              <w:rPr>
                <w:lang w:val="en-GB"/>
              </w:rPr>
              <w:t xml:space="preserve">the </w:t>
            </w:r>
            <w:r w:rsidR="001972B0" w:rsidRPr="009C0696">
              <w:rPr>
                <w:lang w:val="en-GB"/>
              </w:rPr>
              <w:t>savings rate g</w:t>
            </w:r>
            <w:r w:rsidR="00062C5C" w:rsidRPr="009C0696">
              <w:rPr>
                <w:lang w:val="en-GB"/>
              </w:rPr>
              <w:t xml:space="preserve">enerally exceeds </w:t>
            </w:r>
            <w:r w:rsidR="00D70289" w:rsidRPr="009C0696">
              <w:rPr>
                <w:lang w:val="en-GB"/>
              </w:rPr>
              <w:t xml:space="preserve">11%), </w:t>
            </w:r>
            <w:r w:rsidR="00062C5C" w:rsidRPr="009C0696">
              <w:rPr>
                <w:lang w:val="en-GB"/>
              </w:rPr>
              <w:t xml:space="preserve">it is a considerable increase compared to the record low value of year </w:t>
            </w:r>
            <w:r w:rsidR="00D70289" w:rsidRPr="009C0696">
              <w:rPr>
                <w:lang w:val="en-GB"/>
              </w:rPr>
              <w:t>2017 (9</w:t>
            </w:r>
            <w:r w:rsidR="00062C5C" w:rsidRPr="009C0696">
              <w:rPr>
                <w:lang w:val="en-GB"/>
              </w:rPr>
              <w:t>.</w:t>
            </w:r>
            <w:r w:rsidR="00D70289" w:rsidRPr="009C0696">
              <w:rPr>
                <w:lang w:val="en-GB"/>
              </w:rPr>
              <w:t xml:space="preserve">5%). </w:t>
            </w:r>
            <w:r w:rsidR="00091C64" w:rsidRPr="009C0696">
              <w:rPr>
                <w:lang w:val="en-GB"/>
              </w:rPr>
              <w:t xml:space="preserve">Average monthly household </w:t>
            </w:r>
            <w:r w:rsidR="00091C64" w:rsidRPr="009C0696">
              <w:rPr>
                <w:lang w:val="en-GB"/>
              </w:rPr>
              <w:lastRenderedPageBreak/>
              <w:t xml:space="preserve">income per </w:t>
            </w:r>
            <w:r w:rsidR="00504812" w:rsidRPr="009C0696">
              <w:rPr>
                <w:lang w:val="en-GB"/>
              </w:rPr>
              <w:t>capita</w:t>
            </w:r>
            <w:r w:rsidR="00D70289" w:rsidRPr="009C0696">
              <w:rPr>
                <w:rStyle w:val="Znakapoznpodarou"/>
                <w:lang w:val="en-GB"/>
              </w:rPr>
              <w:footnoteReference w:id="8"/>
            </w:r>
            <w:r w:rsidR="00D70289" w:rsidRPr="009C0696">
              <w:rPr>
                <w:lang w:val="en-GB"/>
              </w:rPr>
              <w:t xml:space="preserve"> </w:t>
            </w:r>
            <w:r w:rsidR="00091C64" w:rsidRPr="009C0696">
              <w:rPr>
                <w:lang w:val="en-GB"/>
              </w:rPr>
              <w:t xml:space="preserve">was </w:t>
            </w:r>
            <w:r w:rsidR="00D70289" w:rsidRPr="009C0696">
              <w:rPr>
                <w:lang w:val="en-GB"/>
              </w:rPr>
              <w:t xml:space="preserve">26 389 </w:t>
            </w:r>
            <w:r w:rsidR="00091C64" w:rsidRPr="009C0696">
              <w:rPr>
                <w:lang w:val="en-GB"/>
              </w:rPr>
              <w:t xml:space="preserve">CZK last year and it grew by </w:t>
            </w:r>
            <w:r w:rsidR="00D70289" w:rsidRPr="009C0696">
              <w:rPr>
                <w:lang w:val="en-GB"/>
              </w:rPr>
              <w:t>1 810 </w:t>
            </w:r>
            <w:r w:rsidR="00091C64" w:rsidRPr="009C0696">
              <w:rPr>
                <w:lang w:val="en-GB"/>
              </w:rPr>
              <w:t>CZK year-on-year, which is the largest nominal increase in the whole available time series. Household income growth per capita in real terms attained 4.7% last year (</w:t>
            </w:r>
            <w:r w:rsidR="00D11C6C" w:rsidRPr="009C0696">
              <w:rPr>
                <w:lang w:val="en-GB"/>
              </w:rPr>
              <w:t xml:space="preserve">adjusted </w:t>
            </w:r>
            <w:r w:rsidR="00091C64" w:rsidRPr="009C0696">
              <w:rPr>
                <w:lang w:val="en-GB"/>
              </w:rPr>
              <w:t xml:space="preserve">by the deflator of household final consumption expenditure for year </w:t>
            </w:r>
            <w:r w:rsidR="00D70289" w:rsidRPr="009C0696">
              <w:rPr>
                <w:lang w:val="en-GB"/>
              </w:rPr>
              <w:t xml:space="preserve">2018). </w:t>
            </w:r>
            <w:r w:rsidR="0088419D">
              <w:rPr>
                <w:lang w:val="en-GB"/>
              </w:rPr>
              <w:t>S</w:t>
            </w:r>
            <w:r w:rsidR="00D11C6C" w:rsidRPr="009C0696">
              <w:rPr>
                <w:lang w:val="en-GB"/>
              </w:rPr>
              <w:t>ocial transfers</w:t>
            </w:r>
            <w:r w:rsidR="0088419D">
              <w:rPr>
                <w:lang w:val="en-GB"/>
              </w:rPr>
              <w:t xml:space="preserve"> in kind</w:t>
            </w:r>
            <w:r w:rsidR="00091C64" w:rsidRPr="009C0696">
              <w:rPr>
                <w:rStyle w:val="Znakapoznpodarou"/>
                <w:lang w:val="en-GB"/>
              </w:rPr>
              <w:footnoteReference w:id="9"/>
            </w:r>
            <w:r w:rsidR="00091C64" w:rsidRPr="009C0696">
              <w:rPr>
                <w:lang w:val="en-GB"/>
              </w:rPr>
              <w:t xml:space="preserve"> are also part of these incomes. </w:t>
            </w:r>
            <w:r w:rsidR="00FB662B" w:rsidRPr="009C0696">
              <w:rPr>
                <w:lang w:val="en-GB"/>
              </w:rPr>
              <w:t xml:space="preserve">Their average monthly value per capita amounted to </w:t>
            </w:r>
            <w:r w:rsidR="00D70289" w:rsidRPr="009C0696">
              <w:rPr>
                <w:lang w:val="en-GB"/>
              </w:rPr>
              <w:t xml:space="preserve">4 689 </w:t>
            </w:r>
            <w:r w:rsidR="00FB662B" w:rsidRPr="009C0696">
              <w:rPr>
                <w:lang w:val="en-GB"/>
              </w:rPr>
              <w:t xml:space="preserve">CZK last year </w:t>
            </w:r>
            <w:r w:rsidR="00D70289" w:rsidRPr="009C0696">
              <w:rPr>
                <w:lang w:val="en-GB"/>
              </w:rPr>
              <w:t>a</w:t>
            </w:r>
            <w:r w:rsidR="00A02D00" w:rsidRPr="009C0696">
              <w:rPr>
                <w:lang w:val="en-GB"/>
              </w:rPr>
              <w:t>nd it participated by 17.8% on total household inc</w:t>
            </w:r>
            <w:r w:rsidR="00FB662B" w:rsidRPr="009C0696">
              <w:rPr>
                <w:lang w:val="en-GB"/>
              </w:rPr>
              <w:t>o</w:t>
            </w:r>
            <w:r w:rsidR="00A02D00" w:rsidRPr="009C0696">
              <w:rPr>
                <w:lang w:val="en-GB"/>
              </w:rPr>
              <w:t xml:space="preserve">me. </w:t>
            </w:r>
          </w:p>
        </w:tc>
      </w:tr>
      <w:tr w:rsidR="00D70289" w:rsidRPr="009C0696" w:rsidTr="00A74D81">
        <w:trPr>
          <w:trHeight w:val="145"/>
        </w:trPr>
        <w:tc>
          <w:tcPr>
            <w:tcW w:w="1802" w:type="dxa"/>
            <w:shd w:val="clear" w:color="auto" w:fill="auto"/>
            <w:tcMar>
              <w:left w:w="0" w:type="dxa"/>
            </w:tcMar>
          </w:tcPr>
          <w:p w:rsidR="00D70289" w:rsidRPr="009C0696" w:rsidRDefault="00D70289" w:rsidP="008F0E4E">
            <w:pPr>
              <w:pStyle w:val="Marginlie"/>
              <w:rPr>
                <w:lang w:val="en-GB"/>
              </w:rPr>
            </w:pPr>
            <w:r w:rsidRPr="009C0696">
              <w:rPr>
                <w:lang w:val="en-GB"/>
              </w:rPr>
              <w:lastRenderedPageBreak/>
              <w:t>Invest</w:t>
            </w:r>
            <w:r w:rsidR="002715E1" w:rsidRPr="009C0696">
              <w:rPr>
                <w:lang w:val="en-GB"/>
              </w:rPr>
              <w:t xml:space="preserve">ment expenditure grew strongly for households, government institutions as well as non-financial </w:t>
            </w:r>
            <w:r w:rsidR="009C0696" w:rsidRPr="009C0696">
              <w:rPr>
                <w:lang w:val="en-GB"/>
              </w:rPr>
              <w:t>businesses</w:t>
            </w:r>
            <w:r w:rsidR="002715E1" w:rsidRPr="009C0696">
              <w:rPr>
                <w:lang w:val="en-GB"/>
              </w:rPr>
              <w:t xml:space="preserve"> last year. </w:t>
            </w:r>
          </w:p>
        </w:tc>
        <w:tc>
          <w:tcPr>
            <w:tcW w:w="227" w:type="dxa"/>
            <w:shd w:val="clear" w:color="auto" w:fill="auto"/>
            <w:tcMar>
              <w:left w:w="0" w:type="dxa"/>
            </w:tcMar>
          </w:tcPr>
          <w:p w:rsidR="00D70289" w:rsidRPr="009C0696" w:rsidRDefault="00D70289" w:rsidP="0033709C">
            <w:pPr>
              <w:pStyle w:val="Textpoznpodarou"/>
              <w:jc w:val="both"/>
              <w:rPr>
                <w:spacing w:val="-4"/>
                <w:lang w:val="en-GB"/>
              </w:rPr>
            </w:pPr>
          </w:p>
        </w:tc>
        <w:tc>
          <w:tcPr>
            <w:tcW w:w="7610" w:type="dxa"/>
            <w:shd w:val="clear" w:color="auto" w:fill="auto"/>
            <w:tcMar>
              <w:left w:w="0" w:type="dxa"/>
            </w:tcMar>
          </w:tcPr>
          <w:p w:rsidR="00D70289" w:rsidRPr="009C0696" w:rsidRDefault="002715E1" w:rsidP="00504812">
            <w:pPr>
              <w:rPr>
                <w:lang w:val="en-GB"/>
              </w:rPr>
            </w:pPr>
            <w:r w:rsidRPr="009C0696">
              <w:rPr>
                <w:lang w:val="en-GB"/>
              </w:rPr>
              <w:t xml:space="preserve">Gross fixed capital expenditure increased by </w:t>
            </w:r>
            <w:r w:rsidR="00D70289" w:rsidRPr="009C0696">
              <w:rPr>
                <w:lang w:val="en-GB"/>
              </w:rPr>
              <w:t>5</w:t>
            </w:r>
            <w:r w:rsidRPr="009C0696">
              <w:rPr>
                <w:lang w:val="en-GB"/>
              </w:rPr>
              <w:t>.</w:t>
            </w:r>
            <w:r w:rsidR="00D70289" w:rsidRPr="009C0696">
              <w:rPr>
                <w:lang w:val="en-GB"/>
              </w:rPr>
              <w:t>7%</w:t>
            </w:r>
            <w:r w:rsidRPr="009C0696">
              <w:rPr>
                <w:lang w:val="en-GB"/>
              </w:rPr>
              <w:t xml:space="preserve"> last year</w:t>
            </w:r>
            <w:r w:rsidR="00D70289" w:rsidRPr="009C0696">
              <w:rPr>
                <w:lang w:val="en-GB"/>
              </w:rPr>
              <w:t xml:space="preserve">. </w:t>
            </w:r>
            <w:r w:rsidRPr="009C0696">
              <w:rPr>
                <w:lang w:val="en-GB"/>
              </w:rPr>
              <w:t xml:space="preserve">Fixed capital expenditure, which is represented by investments in the national accounts, grew by </w:t>
            </w:r>
            <w:r w:rsidR="00D70289" w:rsidRPr="009C0696">
              <w:rPr>
                <w:lang w:val="en-GB"/>
              </w:rPr>
              <w:t>10</w:t>
            </w:r>
            <w:r w:rsidRPr="009C0696">
              <w:rPr>
                <w:lang w:val="en-GB"/>
              </w:rPr>
              <w:t>.</w:t>
            </w:r>
            <w:r w:rsidR="00D70289" w:rsidRPr="009C0696">
              <w:rPr>
                <w:lang w:val="en-GB"/>
              </w:rPr>
              <w:t>4% (a</w:t>
            </w:r>
            <w:r w:rsidRPr="009C0696">
              <w:rPr>
                <w:lang w:val="en-GB"/>
              </w:rPr>
              <w:t xml:space="preserve">nd their contribution to the GDP growth totalled </w:t>
            </w:r>
            <w:r w:rsidR="00D70289" w:rsidRPr="009C0696">
              <w:rPr>
                <w:lang w:val="en-GB"/>
              </w:rPr>
              <w:t>2</w:t>
            </w:r>
            <w:r w:rsidRPr="009C0696">
              <w:rPr>
                <w:lang w:val="en-GB"/>
              </w:rPr>
              <w:t>.</w:t>
            </w:r>
            <w:r w:rsidR="00D70289" w:rsidRPr="009C0696">
              <w:rPr>
                <w:lang w:val="en-GB"/>
              </w:rPr>
              <w:t>0 p.</w:t>
            </w:r>
            <w:r w:rsidRPr="009C0696">
              <w:rPr>
                <w:lang w:val="en-GB"/>
              </w:rPr>
              <w:t>p</w:t>
            </w:r>
            <w:r w:rsidR="00D70289" w:rsidRPr="009C0696">
              <w:rPr>
                <w:lang w:val="en-GB"/>
              </w:rPr>
              <w:t xml:space="preserve">.). </w:t>
            </w:r>
            <w:r w:rsidR="00D11C6C" w:rsidRPr="009C0696">
              <w:rPr>
                <w:lang w:val="en-GB"/>
              </w:rPr>
              <w:t xml:space="preserve">Change of stock of inventories </w:t>
            </w:r>
            <w:r w:rsidR="00BE3745" w:rsidRPr="009C0696">
              <w:rPr>
                <w:lang w:val="en-GB"/>
              </w:rPr>
              <w:t>had an adverse effect</w:t>
            </w:r>
            <w:r w:rsidR="00D70289" w:rsidRPr="009C0696">
              <w:rPr>
                <w:rStyle w:val="Znakapoznpodarou"/>
                <w:lang w:val="en-GB"/>
              </w:rPr>
              <w:footnoteReference w:id="10"/>
            </w:r>
            <w:r w:rsidR="00D70289" w:rsidRPr="009C0696">
              <w:rPr>
                <w:lang w:val="en-GB"/>
              </w:rPr>
              <w:t xml:space="preserve"> (-1</w:t>
            </w:r>
            <w:r w:rsidR="00BE3745" w:rsidRPr="009C0696">
              <w:rPr>
                <w:lang w:val="en-GB"/>
              </w:rPr>
              <w:t>.</w:t>
            </w:r>
            <w:r w:rsidR="00D70289" w:rsidRPr="009C0696">
              <w:rPr>
                <w:lang w:val="en-GB"/>
              </w:rPr>
              <w:t>2 p.</w:t>
            </w:r>
            <w:r w:rsidR="00BE3745" w:rsidRPr="009C0696">
              <w:rPr>
                <w:lang w:val="en-GB"/>
              </w:rPr>
              <w:t>p</w:t>
            </w:r>
            <w:r w:rsidR="00D70289" w:rsidRPr="009C0696">
              <w:rPr>
                <w:lang w:val="en-GB"/>
              </w:rPr>
              <w:t xml:space="preserve">.). </w:t>
            </w:r>
            <w:r w:rsidR="003F0D62" w:rsidRPr="009C0696">
              <w:rPr>
                <w:lang w:val="en-GB"/>
              </w:rPr>
              <w:t xml:space="preserve">Investment expenditure grew by </w:t>
            </w:r>
            <w:r w:rsidR="00D70289" w:rsidRPr="009C0696">
              <w:rPr>
                <w:lang w:val="en-GB"/>
              </w:rPr>
              <w:t>10</w:t>
            </w:r>
            <w:r w:rsidR="003F0D62" w:rsidRPr="009C0696">
              <w:rPr>
                <w:lang w:val="en-GB"/>
              </w:rPr>
              <w:t>.</w:t>
            </w:r>
            <w:r w:rsidR="00D70289" w:rsidRPr="009C0696">
              <w:rPr>
                <w:lang w:val="en-GB"/>
              </w:rPr>
              <w:t>4%</w:t>
            </w:r>
            <w:r w:rsidR="003F0D62" w:rsidRPr="009C0696">
              <w:rPr>
                <w:lang w:val="en-GB"/>
              </w:rPr>
              <w:t xml:space="preserve"> in Q4</w:t>
            </w:r>
            <w:r w:rsidR="00D70289" w:rsidRPr="009C0696">
              <w:rPr>
                <w:lang w:val="en-GB"/>
              </w:rPr>
              <w:t xml:space="preserve">. </w:t>
            </w:r>
            <w:r w:rsidR="003F0D62" w:rsidRPr="009C0696">
              <w:rPr>
                <w:lang w:val="en-GB"/>
              </w:rPr>
              <w:t xml:space="preserve">At the same time, the quarter-on-quarter decrease of 0.2% occurred for the first time since Q2 2016. </w:t>
            </w:r>
            <w:r w:rsidR="00935238" w:rsidRPr="009C0696">
              <w:rPr>
                <w:lang w:val="en-GB"/>
              </w:rPr>
              <w:t xml:space="preserve">Quarter-on-quarter dynamics of the gross fixed capital formation nevertheless reached a very high level in Q1 to 3 </w:t>
            </w:r>
            <w:r w:rsidR="00D70289" w:rsidRPr="009C0696">
              <w:rPr>
                <w:lang w:val="en-GB"/>
              </w:rPr>
              <w:t>(4</w:t>
            </w:r>
            <w:r w:rsidR="00935238" w:rsidRPr="009C0696">
              <w:rPr>
                <w:lang w:val="en-GB"/>
              </w:rPr>
              <w:t>.</w:t>
            </w:r>
            <w:r w:rsidR="00D70289" w:rsidRPr="009C0696">
              <w:rPr>
                <w:lang w:val="en-GB"/>
              </w:rPr>
              <w:t>6%, 2</w:t>
            </w:r>
            <w:r w:rsidR="00935238" w:rsidRPr="009C0696">
              <w:rPr>
                <w:lang w:val="en-GB"/>
              </w:rPr>
              <w:t>.</w:t>
            </w:r>
            <w:r w:rsidR="00D70289" w:rsidRPr="009C0696">
              <w:rPr>
                <w:lang w:val="en-GB"/>
              </w:rPr>
              <w:t>7% a</w:t>
            </w:r>
            <w:r w:rsidR="00935238" w:rsidRPr="009C0696">
              <w:rPr>
                <w:lang w:val="en-GB"/>
              </w:rPr>
              <w:t>nd</w:t>
            </w:r>
            <w:r w:rsidR="00D70289" w:rsidRPr="009C0696">
              <w:rPr>
                <w:lang w:val="en-GB"/>
              </w:rPr>
              <w:t xml:space="preserve"> 2</w:t>
            </w:r>
            <w:r w:rsidR="00935238" w:rsidRPr="009C0696">
              <w:rPr>
                <w:lang w:val="en-GB"/>
              </w:rPr>
              <w:t>.</w:t>
            </w:r>
            <w:r w:rsidR="00D70289" w:rsidRPr="009C0696">
              <w:rPr>
                <w:lang w:val="en-GB"/>
              </w:rPr>
              <w:t xml:space="preserve">9%). </w:t>
            </w:r>
            <w:r w:rsidR="0011755B" w:rsidRPr="009C0696">
              <w:rPr>
                <w:lang w:val="en-GB"/>
              </w:rPr>
              <w:t>From the point of view of individual sectors, non-financial businesses contributed to the growth of the gross fixed capital formation by more than one half last year and its investment grew by 9.7% in nominal terms. Investment rate</w:t>
            </w:r>
            <w:r w:rsidR="00D70289" w:rsidRPr="009C0696">
              <w:rPr>
                <w:rStyle w:val="Znakapoznpodarou"/>
                <w:lang w:val="en-GB"/>
              </w:rPr>
              <w:footnoteReference w:id="11"/>
            </w:r>
            <w:r w:rsidR="00D70289" w:rsidRPr="009C0696">
              <w:rPr>
                <w:lang w:val="en-GB"/>
              </w:rPr>
              <w:t xml:space="preserve"> </w:t>
            </w:r>
            <w:r w:rsidR="0011755B" w:rsidRPr="009C0696">
              <w:rPr>
                <w:lang w:val="en-GB"/>
              </w:rPr>
              <w:t xml:space="preserve">of non-financial businesses thus grew by 1.5 p.p. year-on-year to </w:t>
            </w:r>
            <w:r w:rsidR="00D70289" w:rsidRPr="009C0696">
              <w:rPr>
                <w:lang w:val="en-GB"/>
              </w:rPr>
              <w:t>29</w:t>
            </w:r>
            <w:r w:rsidR="0011755B" w:rsidRPr="009C0696">
              <w:rPr>
                <w:lang w:val="en-GB"/>
              </w:rPr>
              <w:t>.</w:t>
            </w:r>
            <w:r w:rsidR="00D70289" w:rsidRPr="009C0696">
              <w:rPr>
                <w:lang w:val="en-GB"/>
              </w:rPr>
              <w:t>6% (</w:t>
            </w:r>
            <w:r w:rsidR="0011755B" w:rsidRPr="009C0696">
              <w:rPr>
                <w:lang w:val="en-GB"/>
              </w:rPr>
              <w:t xml:space="preserve">the most since year </w:t>
            </w:r>
            <w:r w:rsidR="00D70289" w:rsidRPr="009C0696">
              <w:rPr>
                <w:lang w:val="en-GB"/>
              </w:rPr>
              <w:t xml:space="preserve">2013). </w:t>
            </w:r>
            <w:r w:rsidR="0011755B" w:rsidRPr="009C0696">
              <w:rPr>
                <w:lang w:val="en-GB"/>
              </w:rPr>
              <w:t xml:space="preserve">Government institution sector provided the second largest contribution. </w:t>
            </w:r>
            <w:r w:rsidR="00695EFF" w:rsidRPr="009C0696">
              <w:rPr>
                <w:lang w:val="en-GB"/>
              </w:rPr>
              <w:t xml:space="preserve">Its investment activity (nominal increase of </w:t>
            </w:r>
            <w:r w:rsidR="00D70289" w:rsidRPr="009C0696">
              <w:rPr>
                <w:lang w:val="en-GB"/>
              </w:rPr>
              <w:t>27</w:t>
            </w:r>
            <w:r w:rsidR="00695EFF" w:rsidRPr="009C0696">
              <w:rPr>
                <w:lang w:val="en-GB"/>
              </w:rPr>
              <w:t>.</w:t>
            </w:r>
            <w:r w:rsidR="00D70289" w:rsidRPr="009C0696">
              <w:rPr>
                <w:lang w:val="en-GB"/>
              </w:rPr>
              <w:t xml:space="preserve">7%) </w:t>
            </w:r>
            <w:r w:rsidR="00695EFF" w:rsidRPr="009C0696">
              <w:rPr>
                <w:lang w:val="en-GB"/>
              </w:rPr>
              <w:t>was among other things influenced by the cycle of European fund</w:t>
            </w:r>
            <w:r w:rsidR="00504812" w:rsidRPr="009C0696">
              <w:rPr>
                <w:lang w:val="en-GB"/>
              </w:rPr>
              <w:t>s</w:t>
            </w:r>
            <w:r w:rsidR="00695EFF" w:rsidRPr="009C0696">
              <w:rPr>
                <w:lang w:val="en-GB"/>
              </w:rPr>
              <w:t xml:space="preserve"> drawing (necessity to finalise drawing before the end of the year</w:t>
            </w:r>
            <w:r w:rsidR="00D70289" w:rsidRPr="009C0696">
              <w:rPr>
                <w:lang w:val="en-GB"/>
              </w:rPr>
              <w:t xml:space="preserve">). </w:t>
            </w:r>
            <w:r w:rsidR="00695EFF" w:rsidRPr="009C0696">
              <w:rPr>
                <w:lang w:val="en-GB"/>
              </w:rPr>
              <w:t xml:space="preserve">Households also provided a relatively high contribution, they invested by </w:t>
            </w:r>
            <w:r w:rsidR="00D70289" w:rsidRPr="009C0696">
              <w:rPr>
                <w:lang w:val="en-GB"/>
              </w:rPr>
              <w:t>9</w:t>
            </w:r>
            <w:r w:rsidR="00695EFF" w:rsidRPr="009C0696">
              <w:rPr>
                <w:lang w:val="en-GB"/>
              </w:rPr>
              <w:t>.</w:t>
            </w:r>
            <w:r w:rsidR="00D70289" w:rsidRPr="009C0696">
              <w:rPr>
                <w:lang w:val="en-GB"/>
              </w:rPr>
              <w:t xml:space="preserve">5% </w:t>
            </w:r>
            <w:r w:rsidR="00695EFF" w:rsidRPr="009C0696">
              <w:rPr>
                <w:lang w:val="en-GB"/>
              </w:rPr>
              <w:t xml:space="preserve">funds more compared to year </w:t>
            </w:r>
            <w:r w:rsidR="00D70289" w:rsidRPr="009C0696">
              <w:rPr>
                <w:lang w:val="en-GB"/>
              </w:rPr>
              <w:t>2017.</w:t>
            </w:r>
            <w:r w:rsidR="00695EFF" w:rsidRPr="009C0696">
              <w:rPr>
                <w:lang w:val="en-GB"/>
              </w:rPr>
              <w:t xml:space="preserve"> Their investment rate</w:t>
            </w:r>
            <w:r w:rsidR="00D70289" w:rsidRPr="009C0696">
              <w:rPr>
                <w:rStyle w:val="Znakapoznpodarou"/>
                <w:lang w:val="en-GB"/>
              </w:rPr>
              <w:footnoteReference w:id="12"/>
            </w:r>
            <w:r w:rsidR="00D70289" w:rsidRPr="009C0696">
              <w:rPr>
                <w:lang w:val="en-GB"/>
              </w:rPr>
              <w:t xml:space="preserve"> </w:t>
            </w:r>
            <w:r w:rsidR="00504812" w:rsidRPr="009C0696">
              <w:rPr>
                <w:lang w:val="en-GB"/>
              </w:rPr>
              <w:t>grew for the fifth</w:t>
            </w:r>
            <w:r w:rsidR="00695EFF" w:rsidRPr="009C0696">
              <w:rPr>
                <w:lang w:val="en-GB"/>
              </w:rPr>
              <w:t xml:space="preserve"> year in a row and arrived at </w:t>
            </w:r>
            <w:r w:rsidR="00D70289" w:rsidRPr="009C0696">
              <w:rPr>
                <w:lang w:val="en-GB"/>
              </w:rPr>
              <w:t>9</w:t>
            </w:r>
            <w:r w:rsidR="00695EFF" w:rsidRPr="009C0696">
              <w:rPr>
                <w:lang w:val="en-GB"/>
              </w:rPr>
              <w:t>.</w:t>
            </w:r>
            <w:r w:rsidR="00D70289" w:rsidRPr="009C0696">
              <w:rPr>
                <w:lang w:val="en-GB"/>
              </w:rPr>
              <w:t>4% (</w:t>
            </w:r>
            <w:r w:rsidR="00695EFF" w:rsidRPr="009C0696">
              <w:rPr>
                <w:lang w:val="en-GB"/>
              </w:rPr>
              <w:t xml:space="preserve">the most since year </w:t>
            </w:r>
            <w:r w:rsidR="00D70289" w:rsidRPr="009C0696">
              <w:rPr>
                <w:lang w:val="en-GB"/>
              </w:rPr>
              <w:t xml:space="preserve">2010). </w:t>
            </w:r>
            <w:r w:rsidR="00695EFF" w:rsidRPr="009C0696">
              <w:rPr>
                <w:lang w:val="en-GB"/>
              </w:rPr>
              <w:t>In contrast the financial institutions, which were considerably boosting their fixed capital formation expenditure during years 2</w:t>
            </w:r>
            <w:r w:rsidR="00D70289" w:rsidRPr="009C0696">
              <w:rPr>
                <w:lang w:val="en-GB"/>
              </w:rPr>
              <w:t xml:space="preserve">015 </w:t>
            </w:r>
            <w:r w:rsidR="00695EFF" w:rsidRPr="009C0696">
              <w:rPr>
                <w:lang w:val="en-GB"/>
              </w:rPr>
              <w:t xml:space="preserve">to </w:t>
            </w:r>
            <w:r w:rsidR="00D70289" w:rsidRPr="009C0696">
              <w:rPr>
                <w:lang w:val="en-GB"/>
              </w:rPr>
              <w:t xml:space="preserve">2017, </w:t>
            </w:r>
            <w:r w:rsidR="00695EFF" w:rsidRPr="009C0696">
              <w:rPr>
                <w:lang w:val="en-GB"/>
              </w:rPr>
              <w:t xml:space="preserve">did not </w:t>
            </w:r>
            <w:r w:rsidR="009C0696" w:rsidRPr="009C0696">
              <w:rPr>
                <w:lang w:val="en-GB"/>
              </w:rPr>
              <w:t>continue</w:t>
            </w:r>
            <w:r w:rsidR="00695EFF" w:rsidRPr="009C0696">
              <w:rPr>
                <w:lang w:val="en-GB"/>
              </w:rPr>
              <w:t xml:space="preserve"> in this trend last year </w:t>
            </w:r>
            <w:r w:rsidR="00D70289" w:rsidRPr="009C0696">
              <w:rPr>
                <w:lang w:val="en-GB"/>
              </w:rPr>
              <w:t>(</w:t>
            </w:r>
            <w:r w:rsidR="00695EFF" w:rsidRPr="009C0696">
              <w:rPr>
                <w:lang w:val="en-GB"/>
              </w:rPr>
              <w:t xml:space="preserve">slump of </w:t>
            </w:r>
            <w:r w:rsidR="00D70289" w:rsidRPr="009C0696">
              <w:rPr>
                <w:lang w:val="en-GB"/>
              </w:rPr>
              <w:t>15</w:t>
            </w:r>
            <w:r w:rsidR="007E79B4" w:rsidRPr="009C0696">
              <w:rPr>
                <w:lang w:val="en-GB"/>
              </w:rPr>
              <w:t>.</w:t>
            </w:r>
            <w:r w:rsidR="00D70289" w:rsidRPr="009C0696">
              <w:rPr>
                <w:lang w:val="en-GB"/>
              </w:rPr>
              <w:t>3%).</w:t>
            </w:r>
          </w:p>
        </w:tc>
      </w:tr>
      <w:tr w:rsidR="00D70289" w:rsidRPr="009C0696" w:rsidTr="00A74D81">
        <w:trPr>
          <w:trHeight w:val="145"/>
        </w:trPr>
        <w:tc>
          <w:tcPr>
            <w:tcW w:w="1802" w:type="dxa"/>
            <w:shd w:val="clear" w:color="auto" w:fill="auto"/>
            <w:tcMar>
              <w:left w:w="0" w:type="dxa"/>
            </w:tcMar>
          </w:tcPr>
          <w:p w:rsidR="00D70289" w:rsidRPr="009C0696" w:rsidRDefault="00633329" w:rsidP="00633329">
            <w:pPr>
              <w:pStyle w:val="Marginlie"/>
              <w:rPr>
                <w:lang w:val="en-GB"/>
              </w:rPr>
            </w:pPr>
            <w:r w:rsidRPr="009C0696">
              <w:rPr>
                <w:lang w:val="en-GB"/>
              </w:rPr>
              <w:t>Heightened activity of the government institution sector affected i</w:t>
            </w:r>
            <w:r w:rsidR="003D017F" w:rsidRPr="009C0696">
              <w:rPr>
                <w:lang w:val="en-GB"/>
              </w:rPr>
              <w:t xml:space="preserve">nvestment into </w:t>
            </w:r>
            <w:r w:rsidRPr="009C0696">
              <w:rPr>
                <w:lang w:val="en-GB"/>
              </w:rPr>
              <w:t xml:space="preserve">other buildings and structures </w:t>
            </w:r>
          </w:p>
        </w:tc>
        <w:tc>
          <w:tcPr>
            <w:tcW w:w="227" w:type="dxa"/>
            <w:shd w:val="clear" w:color="auto" w:fill="auto"/>
            <w:tcMar>
              <w:left w:w="0" w:type="dxa"/>
            </w:tcMar>
          </w:tcPr>
          <w:p w:rsidR="00D70289" w:rsidRPr="009C0696" w:rsidRDefault="00D70289" w:rsidP="0033709C">
            <w:pPr>
              <w:pStyle w:val="Textpoznpodarou"/>
              <w:jc w:val="both"/>
              <w:rPr>
                <w:spacing w:val="-4"/>
                <w:lang w:val="en-GB"/>
              </w:rPr>
            </w:pPr>
          </w:p>
        </w:tc>
        <w:tc>
          <w:tcPr>
            <w:tcW w:w="7610" w:type="dxa"/>
            <w:shd w:val="clear" w:color="auto" w:fill="auto"/>
            <w:tcMar>
              <w:left w:w="0" w:type="dxa"/>
            </w:tcMar>
          </w:tcPr>
          <w:p w:rsidR="00D70289" w:rsidRPr="009C0696" w:rsidRDefault="000A3182" w:rsidP="00504812">
            <w:pPr>
              <w:rPr>
                <w:lang w:val="en-GB"/>
              </w:rPr>
            </w:pPr>
            <w:r w:rsidRPr="009C0696">
              <w:rPr>
                <w:lang w:val="en-GB"/>
              </w:rPr>
              <w:t>Investment into other buildings and structures</w:t>
            </w:r>
            <w:r w:rsidRPr="009C0696">
              <w:rPr>
                <w:rStyle w:val="Znakapoznpodarou"/>
                <w:lang w:val="en-GB"/>
              </w:rPr>
              <w:footnoteReference w:id="13"/>
            </w:r>
            <w:r w:rsidRPr="009C0696">
              <w:rPr>
                <w:lang w:val="en-GB"/>
              </w:rPr>
              <w:t xml:space="preserve"> grew the most in the last year </w:t>
            </w:r>
            <w:r w:rsidR="00D70289" w:rsidRPr="009C0696">
              <w:rPr>
                <w:lang w:val="en-GB"/>
              </w:rPr>
              <w:t>(14</w:t>
            </w:r>
            <w:r w:rsidRPr="009C0696">
              <w:rPr>
                <w:lang w:val="en-GB"/>
              </w:rPr>
              <w:t>.</w:t>
            </w:r>
            <w:r w:rsidR="00D70289" w:rsidRPr="009C0696">
              <w:rPr>
                <w:lang w:val="en-GB"/>
              </w:rPr>
              <w:t xml:space="preserve">4%). </w:t>
            </w:r>
            <w:r w:rsidRPr="009C0696">
              <w:rPr>
                <w:lang w:val="en-GB"/>
              </w:rPr>
              <w:t xml:space="preserve">Dynamics of component, where the government institution sector plays a significant role was accelerating since the beginning of the year. Mild slow down to 13.1% was recorded in Q4; </w:t>
            </w:r>
            <w:r w:rsidR="004364C1" w:rsidRPr="009C0696">
              <w:rPr>
                <w:lang w:val="en-GB"/>
              </w:rPr>
              <w:t xml:space="preserve">where </w:t>
            </w:r>
            <w:r w:rsidRPr="009C0696">
              <w:rPr>
                <w:lang w:val="en-GB"/>
              </w:rPr>
              <w:t xml:space="preserve">especially the high basis from the last year is behind this. </w:t>
            </w:r>
            <w:r w:rsidR="004364C1" w:rsidRPr="009C0696">
              <w:rPr>
                <w:lang w:val="en-GB"/>
              </w:rPr>
              <w:t xml:space="preserve">The results were mostly affected by the accelerated drawing of European funds. </w:t>
            </w:r>
            <w:r w:rsidR="00E44766" w:rsidRPr="009C0696">
              <w:rPr>
                <w:lang w:val="en-GB"/>
              </w:rPr>
              <w:t xml:space="preserve">Double digit growth of investment into housing continued </w:t>
            </w:r>
            <w:r w:rsidR="00D70289" w:rsidRPr="009C0696">
              <w:rPr>
                <w:lang w:val="en-GB"/>
              </w:rPr>
              <w:t>(12</w:t>
            </w:r>
            <w:r w:rsidR="00E44766" w:rsidRPr="009C0696">
              <w:rPr>
                <w:lang w:val="en-GB"/>
              </w:rPr>
              <w:t>.</w:t>
            </w:r>
            <w:r w:rsidR="00D70289" w:rsidRPr="009C0696">
              <w:rPr>
                <w:lang w:val="en-GB"/>
              </w:rPr>
              <w:t xml:space="preserve">8%). </w:t>
            </w:r>
            <w:r w:rsidR="00E44766" w:rsidRPr="009C0696">
              <w:rPr>
                <w:lang w:val="en-GB"/>
              </w:rPr>
              <w:t xml:space="preserve">The dynamics held up throughout the whole year. In Q4, investment into housing increased by 12.1% year-on-year. </w:t>
            </w:r>
            <w:r w:rsidR="00B95B92" w:rsidRPr="009C0696">
              <w:rPr>
                <w:lang w:val="en-GB"/>
              </w:rPr>
              <w:t>Strengthened</w:t>
            </w:r>
            <w:r w:rsidR="004364C1" w:rsidRPr="009C0696">
              <w:rPr>
                <w:lang w:val="en-GB"/>
              </w:rPr>
              <w:t xml:space="preserve"> investment activity involved the businesses as well. It is apparent especially on the increase of investment into ICT and other </w:t>
            </w:r>
            <w:r w:rsidR="00504812" w:rsidRPr="009C0696">
              <w:rPr>
                <w:lang w:val="en-GB"/>
              </w:rPr>
              <w:t xml:space="preserve">machinery and equipment </w:t>
            </w:r>
            <w:r w:rsidR="004364C1" w:rsidRPr="009C0696">
              <w:rPr>
                <w:lang w:val="en-GB"/>
              </w:rPr>
              <w:t xml:space="preserve">by </w:t>
            </w:r>
            <w:r w:rsidR="00D70289" w:rsidRPr="009C0696">
              <w:rPr>
                <w:lang w:val="en-GB"/>
              </w:rPr>
              <w:t>10</w:t>
            </w:r>
            <w:r w:rsidR="004364C1" w:rsidRPr="009C0696">
              <w:rPr>
                <w:lang w:val="en-GB"/>
              </w:rPr>
              <w:t>.</w:t>
            </w:r>
            <w:r w:rsidR="00D70289" w:rsidRPr="009C0696">
              <w:rPr>
                <w:lang w:val="en-GB"/>
              </w:rPr>
              <w:t>1% (</w:t>
            </w:r>
            <w:r w:rsidR="004364C1" w:rsidRPr="009C0696">
              <w:rPr>
                <w:lang w:val="en-GB"/>
              </w:rPr>
              <w:t xml:space="preserve">it was 3.3% in </w:t>
            </w:r>
            <w:r w:rsidR="00D70289" w:rsidRPr="009C0696">
              <w:rPr>
                <w:lang w:val="en-GB"/>
              </w:rPr>
              <w:t xml:space="preserve">2017). </w:t>
            </w:r>
            <w:r w:rsidR="00DB33D2" w:rsidRPr="009C0696">
              <w:rPr>
                <w:lang w:val="en-GB"/>
              </w:rPr>
              <w:t>The acceleration was 14.4% in Q</w:t>
            </w:r>
            <w:r w:rsidR="00D70289" w:rsidRPr="009C0696">
              <w:rPr>
                <w:lang w:val="en-GB"/>
              </w:rPr>
              <w:t>4.</w:t>
            </w:r>
            <w:r w:rsidR="00DB33D2" w:rsidRPr="009C0696">
              <w:rPr>
                <w:lang w:val="en-GB"/>
              </w:rPr>
              <w:t xml:space="preserve"> L</w:t>
            </w:r>
            <w:r w:rsidR="00BD305F" w:rsidRPr="009C0696">
              <w:rPr>
                <w:lang w:val="en-GB"/>
              </w:rPr>
              <w:t xml:space="preserve">ast </w:t>
            </w:r>
            <w:r w:rsidR="00BD305F" w:rsidRPr="009C0696">
              <w:rPr>
                <w:lang w:val="en-GB"/>
              </w:rPr>
              <w:lastRenderedPageBreak/>
              <w:t>year</w:t>
            </w:r>
            <w:r w:rsidR="00504812" w:rsidRPr="009C0696">
              <w:rPr>
                <w:lang w:val="en-GB"/>
              </w:rPr>
              <w:t xml:space="preserve">, the growth of expenditure on transportation vehicles </w:t>
            </w:r>
            <w:r w:rsidR="00BD305F" w:rsidRPr="009C0696">
              <w:rPr>
                <w:lang w:val="en-GB"/>
              </w:rPr>
              <w:t xml:space="preserve">accelerated as well to </w:t>
            </w:r>
            <w:r w:rsidR="00D70289" w:rsidRPr="009C0696">
              <w:rPr>
                <w:lang w:val="en-GB"/>
              </w:rPr>
              <w:t>8</w:t>
            </w:r>
            <w:r w:rsidR="00BD305F" w:rsidRPr="009C0696">
              <w:rPr>
                <w:lang w:val="en-GB"/>
              </w:rPr>
              <w:t>.</w:t>
            </w:r>
            <w:r w:rsidR="00D70289" w:rsidRPr="009C0696">
              <w:rPr>
                <w:lang w:val="en-GB"/>
              </w:rPr>
              <w:t xml:space="preserve">8%. </w:t>
            </w:r>
            <w:r w:rsidR="00BD305F" w:rsidRPr="009C0696">
              <w:rPr>
                <w:lang w:val="en-GB"/>
              </w:rPr>
              <w:t>Investments into the products of</w:t>
            </w:r>
            <w:r w:rsidR="00504812" w:rsidRPr="009C0696">
              <w:rPr>
                <w:lang w:val="en-GB"/>
              </w:rPr>
              <w:t xml:space="preserve"> intellectual property </w:t>
            </w:r>
            <w:r w:rsidR="00BD305F" w:rsidRPr="009C0696">
              <w:rPr>
                <w:lang w:val="en-GB"/>
              </w:rPr>
              <w:t xml:space="preserve">increased by </w:t>
            </w:r>
            <w:r w:rsidR="00D70289" w:rsidRPr="009C0696">
              <w:rPr>
                <w:lang w:val="en-GB"/>
              </w:rPr>
              <w:t>4</w:t>
            </w:r>
            <w:r w:rsidR="00BD305F" w:rsidRPr="009C0696">
              <w:rPr>
                <w:lang w:val="en-GB"/>
              </w:rPr>
              <w:t>.</w:t>
            </w:r>
            <w:r w:rsidR="00D70289" w:rsidRPr="009C0696">
              <w:rPr>
                <w:lang w:val="en-GB"/>
              </w:rPr>
              <w:t>8%</w:t>
            </w:r>
            <w:r w:rsidR="00BD305F" w:rsidRPr="009C0696">
              <w:rPr>
                <w:lang w:val="en-GB"/>
              </w:rPr>
              <w:t xml:space="preserve">. </w:t>
            </w:r>
            <w:r w:rsidR="00D70289" w:rsidRPr="009C0696">
              <w:rPr>
                <w:lang w:val="en-GB"/>
              </w:rPr>
              <w:t xml:space="preserve">         </w:t>
            </w:r>
          </w:p>
        </w:tc>
      </w:tr>
      <w:tr w:rsidR="00D70289" w:rsidRPr="009C0696" w:rsidTr="00A74D81">
        <w:trPr>
          <w:trHeight w:val="145"/>
        </w:trPr>
        <w:tc>
          <w:tcPr>
            <w:tcW w:w="1802" w:type="dxa"/>
            <w:shd w:val="clear" w:color="auto" w:fill="auto"/>
            <w:tcMar>
              <w:left w:w="0" w:type="dxa"/>
            </w:tcMar>
          </w:tcPr>
          <w:p w:rsidR="00D70289" w:rsidRPr="009C0696" w:rsidRDefault="0020789F" w:rsidP="0020789F">
            <w:pPr>
              <w:pStyle w:val="Marginlie"/>
              <w:rPr>
                <w:lang w:val="en-GB"/>
              </w:rPr>
            </w:pPr>
            <w:r w:rsidRPr="009C0696">
              <w:rPr>
                <w:lang w:val="en-GB"/>
              </w:rPr>
              <w:lastRenderedPageBreak/>
              <w:t xml:space="preserve">Contribution of the foreign trade balance to the GDP growth became stronger especially in the end of the year. </w:t>
            </w:r>
          </w:p>
        </w:tc>
        <w:tc>
          <w:tcPr>
            <w:tcW w:w="227" w:type="dxa"/>
            <w:shd w:val="clear" w:color="auto" w:fill="auto"/>
            <w:tcMar>
              <w:left w:w="0" w:type="dxa"/>
            </w:tcMar>
          </w:tcPr>
          <w:p w:rsidR="00D70289" w:rsidRPr="009C0696" w:rsidRDefault="00D70289" w:rsidP="0033709C">
            <w:pPr>
              <w:pStyle w:val="Textpoznpodarou"/>
              <w:jc w:val="both"/>
              <w:rPr>
                <w:spacing w:val="-4"/>
                <w:lang w:val="en-GB"/>
              </w:rPr>
            </w:pPr>
          </w:p>
        </w:tc>
        <w:tc>
          <w:tcPr>
            <w:tcW w:w="7610" w:type="dxa"/>
            <w:shd w:val="clear" w:color="auto" w:fill="auto"/>
            <w:tcMar>
              <w:left w:w="0" w:type="dxa"/>
            </w:tcMar>
          </w:tcPr>
          <w:p w:rsidR="00D70289" w:rsidRPr="009C0696" w:rsidRDefault="0020789F" w:rsidP="00CE2A6D">
            <w:pPr>
              <w:rPr>
                <w:lang w:val="en-GB"/>
              </w:rPr>
            </w:pPr>
            <w:r w:rsidRPr="009C0696">
              <w:rPr>
                <w:lang w:val="en-GB"/>
              </w:rPr>
              <w:t xml:space="preserve">Foreign trade balance with goods and services reached </w:t>
            </w:r>
            <w:r w:rsidR="00D70289" w:rsidRPr="009C0696">
              <w:rPr>
                <w:lang w:val="en-GB"/>
              </w:rPr>
              <w:t>331</w:t>
            </w:r>
            <w:r w:rsidRPr="009C0696">
              <w:rPr>
                <w:lang w:val="en-GB"/>
              </w:rPr>
              <w:t>.</w:t>
            </w:r>
            <w:r w:rsidR="00D70289" w:rsidRPr="009C0696">
              <w:rPr>
                <w:lang w:val="en-GB"/>
              </w:rPr>
              <w:t>9 </w:t>
            </w:r>
            <w:r w:rsidRPr="009C0696">
              <w:rPr>
                <w:lang w:val="en-GB"/>
              </w:rPr>
              <w:t>CZK bn</w:t>
            </w:r>
            <w:r w:rsidR="00D70289" w:rsidRPr="009C0696">
              <w:rPr>
                <w:rStyle w:val="Znakapoznpodarou"/>
                <w:lang w:val="en-GB"/>
              </w:rPr>
              <w:footnoteReference w:id="14"/>
            </w:r>
            <w:r w:rsidRPr="009C0696">
              <w:rPr>
                <w:lang w:val="en-GB"/>
              </w:rPr>
              <w:t xml:space="preserve"> in 2018</w:t>
            </w:r>
            <w:r w:rsidR="00D70289" w:rsidRPr="009C0696">
              <w:rPr>
                <w:lang w:val="en-GB"/>
              </w:rPr>
              <w:t xml:space="preserve">. </w:t>
            </w:r>
            <w:r w:rsidRPr="009C0696">
              <w:rPr>
                <w:lang w:val="en-GB"/>
              </w:rPr>
              <w:t>It</w:t>
            </w:r>
            <w:r w:rsidR="00CE2A6D" w:rsidRPr="009C0696">
              <w:rPr>
                <w:lang w:val="en-GB"/>
              </w:rPr>
              <w:t xml:space="preserve"> </w:t>
            </w:r>
            <w:r w:rsidRPr="009C0696">
              <w:rPr>
                <w:lang w:val="en-GB"/>
              </w:rPr>
              <w:t xml:space="preserve">is by </w:t>
            </w:r>
            <w:r w:rsidR="00D70289" w:rsidRPr="009C0696">
              <w:rPr>
                <w:lang w:val="en-GB"/>
              </w:rPr>
              <w:t>49</w:t>
            </w:r>
            <w:r w:rsidRPr="009C0696">
              <w:rPr>
                <w:lang w:val="en-GB"/>
              </w:rPr>
              <w:t>.</w:t>
            </w:r>
            <w:r w:rsidR="00D70289" w:rsidRPr="009C0696">
              <w:rPr>
                <w:lang w:val="en-GB"/>
              </w:rPr>
              <w:t xml:space="preserve">8 </w:t>
            </w:r>
            <w:r w:rsidRPr="009C0696">
              <w:rPr>
                <w:lang w:val="en-GB"/>
              </w:rPr>
              <w:t xml:space="preserve">bn less compared to the previous year. The slump </w:t>
            </w:r>
            <w:r w:rsidR="006A7808" w:rsidRPr="009C0696">
              <w:rPr>
                <w:lang w:val="en-GB"/>
              </w:rPr>
              <w:t>occurred</w:t>
            </w:r>
            <w:r w:rsidRPr="009C0696">
              <w:rPr>
                <w:lang w:val="en-GB"/>
              </w:rPr>
              <w:t xml:space="preserve"> nearly exclusively for the trade with goods (surplus of </w:t>
            </w:r>
            <w:r w:rsidR="00D70289" w:rsidRPr="009C0696">
              <w:rPr>
                <w:lang w:val="en-GB"/>
              </w:rPr>
              <w:t>205</w:t>
            </w:r>
            <w:r w:rsidRPr="009C0696">
              <w:rPr>
                <w:lang w:val="en-GB"/>
              </w:rPr>
              <w:t>.</w:t>
            </w:r>
            <w:r w:rsidR="00D70289" w:rsidRPr="009C0696">
              <w:rPr>
                <w:lang w:val="en-GB"/>
              </w:rPr>
              <w:t xml:space="preserve">4 </w:t>
            </w:r>
            <w:r w:rsidRPr="009C0696">
              <w:rPr>
                <w:lang w:val="en-GB"/>
              </w:rPr>
              <w:t>bn</w:t>
            </w:r>
            <w:r w:rsidR="00D70289" w:rsidRPr="009C0696">
              <w:rPr>
                <w:lang w:val="en-GB"/>
              </w:rPr>
              <w:t xml:space="preserve">). </w:t>
            </w:r>
            <w:r w:rsidRPr="009C0696">
              <w:rPr>
                <w:lang w:val="en-GB"/>
              </w:rPr>
              <w:t xml:space="preserve">Surplus of the trade with services remained practically unchanged </w:t>
            </w:r>
            <w:r w:rsidR="00D70289" w:rsidRPr="009C0696">
              <w:rPr>
                <w:lang w:val="en-GB"/>
              </w:rPr>
              <w:t>(126</w:t>
            </w:r>
            <w:r w:rsidRPr="009C0696">
              <w:rPr>
                <w:lang w:val="en-GB"/>
              </w:rPr>
              <w:t>.</w:t>
            </w:r>
            <w:r w:rsidR="00D70289" w:rsidRPr="009C0696">
              <w:rPr>
                <w:lang w:val="en-GB"/>
              </w:rPr>
              <w:t xml:space="preserve">6 </w:t>
            </w:r>
            <w:r w:rsidRPr="009C0696">
              <w:rPr>
                <w:lang w:val="en-GB"/>
              </w:rPr>
              <w:t>bn</w:t>
            </w:r>
            <w:r w:rsidR="00D70289" w:rsidRPr="009C0696">
              <w:rPr>
                <w:lang w:val="en-GB"/>
              </w:rPr>
              <w:t xml:space="preserve">). </w:t>
            </w:r>
            <w:r w:rsidR="006A7808" w:rsidRPr="009C0696">
              <w:rPr>
                <w:lang w:val="en-GB"/>
              </w:rPr>
              <w:t>Surplus</w:t>
            </w:r>
            <w:r w:rsidR="00441A7C" w:rsidRPr="009C0696">
              <w:rPr>
                <w:lang w:val="en-GB"/>
              </w:rPr>
              <w:t xml:space="preserve"> amounted to </w:t>
            </w:r>
            <w:r w:rsidR="00D70289" w:rsidRPr="009C0696">
              <w:rPr>
                <w:lang w:val="en-GB"/>
              </w:rPr>
              <w:t>87</w:t>
            </w:r>
            <w:r w:rsidR="00441A7C" w:rsidRPr="009C0696">
              <w:rPr>
                <w:lang w:val="en-GB"/>
              </w:rPr>
              <w:t>.</w:t>
            </w:r>
            <w:r w:rsidR="00D70289" w:rsidRPr="009C0696">
              <w:rPr>
                <w:lang w:val="en-GB"/>
              </w:rPr>
              <w:t>4 </w:t>
            </w:r>
            <w:r w:rsidR="00441A7C" w:rsidRPr="009C0696">
              <w:rPr>
                <w:lang w:val="en-GB"/>
              </w:rPr>
              <w:t xml:space="preserve">bn in Q4 and it fell by </w:t>
            </w:r>
            <w:r w:rsidR="00D70289" w:rsidRPr="009C0696">
              <w:rPr>
                <w:lang w:val="en-GB"/>
              </w:rPr>
              <w:t>8</w:t>
            </w:r>
            <w:r w:rsidR="00441A7C" w:rsidRPr="009C0696">
              <w:rPr>
                <w:lang w:val="en-GB"/>
              </w:rPr>
              <w:t>.</w:t>
            </w:r>
            <w:r w:rsidR="00D70289" w:rsidRPr="009C0696">
              <w:rPr>
                <w:lang w:val="en-GB"/>
              </w:rPr>
              <w:t xml:space="preserve">8 </w:t>
            </w:r>
            <w:r w:rsidR="00441A7C" w:rsidRPr="009C0696">
              <w:rPr>
                <w:lang w:val="en-GB"/>
              </w:rPr>
              <w:t>bn year-on-year</w:t>
            </w:r>
            <w:r w:rsidR="00D70289" w:rsidRPr="009C0696">
              <w:rPr>
                <w:lang w:val="en-GB"/>
              </w:rPr>
              <w:t xml:space="preserve">. </w:t>
            </w:r>
            <w:r w:rsidR="00630EE9" w:rsidRPr="009C0696">
              <w:rPr>
                <w:lang w:val="en-GB"/>
              </w:rPr>
              <w:t xml:space="preserve">Addition of the foreign trade balance to growth nevertheless strengthened towards the end of the year to </w:t>
            </w:r>
            <w:r w:rsidR="00D70289" w:rsidRPr="009C0696">
              <w:rPr>
                <w:lang w:val="en-GB"/>
              </w:rPr>
              <w:t>0</w:t>
            </w:r>
            <w:r w:rsidR="00630EE9" w:rsidRPr="009C0696">
              <w:rPr>
                <w:lang w:val="en-GB"/>
              </w:rPr>
              <w:t>.</w:t>
            </w:r>
            <w:r w:rsidR="00D70289" w:rsidRPr="009C0696">
              <w:rPr>
                <w:lang w:val="en-GB"/>
              </w:rPr>
              <w:t>9 p.</w:t>
            </w:r>
            <w:r w:rsidR="00630EE9" w:rsidRPr="009C0696">
              <w:rPr>
                <w:lang w:val="en-GB"/>
              </w:rPr>
              <w:t>p</w:t>
            </w:r>
            <w:r w:rsidR="00D70289" w:rsidRPr="009C0696">
              <w:rPr>
                <w:lang w:val="en-GB"/>
              </w:rPr>
              <w:t xml:space="preserve">. </w:t>
            </w:r>
            <w:r w:rsidR="00DA69EF" w:rsidRPr="009C0696">
              <w:rPr>
                <w:lang w:val="en-GB"/>
              </w:rPr>
              <w:t xml:space="preserve">Both export and import increased year-on-year last year. </w:t>
            </w:r>
            <w:r w:rsidR="00BE117B" w:rsidRPr="009C0696">
              <w:rPr>
                <w:lang w:val="en-GB"/>
              </w:rPr>
              <w:t xml:space="preserve">Resulting balance was however marked by the fact, that the higher demand was to a large extent saturated by imports. It was valid both for the household consumption </w:t>
            </w:r>
            <w:r w:rsidR="00D70289" w:rsidRPr="009C0696">
              <w:rPr>
                <w:lang w:val="en-GB"/>
              </w:rPr>
              <w:t>(</w:t>
            </w:r>
            <w:r w:rsidR="00BE117B" w:rsidRPr="009C0696">
              <w:rPr>
                <w:lang w:val="en-GB"/>
              </w:rPr>
              <w:t xml:space="preserve">contribution to the GDP growth </w:t>
            </w:r>
            <w:r w:rsidR="00D70289" w:rsidRPr="009C0696">
              <w:rPr>
                <w:lang w:val="en-GB"/>
              </w:rPr>
              <w:t>1</w:t>
            </w:r>
            <w:r w:rsidR="00BE117B" w:rsidRPr="009C0696">
              <w:rPr>
                <w:lang w:val="en-GB"/>
              </w:rPr>
              <w:t>.</w:t>
            </w:r>
            <w:r w:rsidR="00D70289" w:rsidRPr="009C0696">
              <w:rPr>
                <w:lang w:val="en-GB"/>
              </w:rPr>
              <w:t>5 p.</w:t>
            </w:r>
            <w:r w:rsidR="00BE117B" w:rsidRPr="009C0696">
              <w:rPr>
                <w:lang w:val="en-GB"/>
              </w:rPr>
              <w:t xml:space="preserve">p. </w:t>
            </w:r>
            <w:r w:rsidR="00A127B4" w:rsidRPr="009C0696">
              <w:rPr>
                <w:lang w:val="en-GB"/>
              </w:rPr>
              <w:t>without exclusion of import for final use,</w:t>
            </w:r>
            <w:r w:rsidR="00D70289" w:rsidRPr="009C0696">
              <w:rPr>
                <w:lang w:val="en-GB"/>
              </w:rPr>
              <w:t xml:space="preserve"> 1</w:t>
            </w:r>
            <w:r w:rsidR="00BE117B" w:rsidRPr="009C0696">
              <w:rPr>
                <w:lang w:val="en-GB"/>
              </w:rPr>
              <w:t>.</w:t>
            </w:r>
            <w:r w:rsidR="00D70289" w:rsidRPr="009C0696">
              <w:rPr>
                <w:lang w:val="en-GB"/>
              </w:rPr>
              <w:t>0 p.</w:t>
            </w:r>
            <w:r w:rsidR="00BE117B" w:rsidRPr="009C0696">
              <w:rPr>
                <w:lang w:val="en-GB"/>
              </w:rPr>
              <w:t>p.</w:t>
            </w:r>
            <w:r w:rsidR="00D70289" w:rsidRPr="009C0696">
              <w:rPr>
                <w:lang w:val="en-GB"/>
              </w:rPr>
              <w:t xml:space="preserve"> </w:t>
            </w:r>
            <w:r w:rsidR="00A127B4" w:rsidRPr="009C0696">
              <w:rPr>
                <w:lang w:val="en-GB"/>
              </w:rPr>
              <w:t>after exclusion</w:t>
            </w:r>
            <w:r w:rsidR="00D70289" w:rsidRPr="009C0696">
              <w:rPr>
                <w:lang w:val="en-GB"/>
              </w:rPr>
              <w:t xml:space="preserve">) </w:t>
            </w:r>
            <w:r w:rsidR="00671D05" w:rsidRPr="009C0696">
              <w:rPr>
                <w:lang w:val="en-GB"/>
              </w:rPr>
              <w:t xml:space="preserve">and the investment activity </w:t>
            </w:r>
            <w:r w:rsidR="00D70289" w:rsidRPr="009C0696">
              <w:rPr>
                <w:lang w:val="en-GB"/>
              </w:rPr>
              <w:t>(2</w:t>
            </w:r>
            <w:r w:rsidR="00671D05" w:rsidRPr="009C0696">
              <w:rPr>
                <w:lang w:val="en-GB"/>
              </w:rPr>
              <w:t>.</w:t>
            </w:r>
            <w:r w:rsidR="00D70289" w:rsidRPr="009C0696">
              <w:rPr>
                <w:lang w:val="en-GB"/>
              </w:rPr>
              <w:t>6 p.</w:t>
            </w:r>
            <w:r w:rsidR="00671D05" w:rsidRPr="009C0696">
              <w:rPr>
                <w:lang w:val="en-GB"/>
              </w:rPr>
              <w:t xml:space="preserve">p. </w:t>
            </w:r>
            <w:r w:rsidR="00A127B4" w:rsidRPr="009C0696">
              <w:rPr>
                <w:lang w:val="en-GB"/>
              </w:rPr>
              <w:t>without exclusion, 2.0 p.p. after exclusion).</w:t>
            </w:r>
          </w:p>
        </w:tc>
      </w:tr>
      <w:tr w:rsidR="00A74D81" w:rsidRPr="009C0696" w:rsidTr="00A74D81">
        <w:trPr>
          <w:trHeight w:val="154"/>
        </w:trPr>
        <w:tc>
          <w:tcPr>
            <w:tcW w:w="1802" w:type="dxa"/>
            <w:vMerge w:val="restart"/>
            <w:shd w:val="clear" w:color="auto" w:fill="auto"/>
            <w:tcMar>
              <w:left w:w="0" w:type="dxa"/>
            </w:tcMar>
          </w:tcPr>
          <w:p w:rsidR="00A74D81" w:rsidRPr="009C0696" w:rsidRDefault="00A74D81" w:rsidP="00A74D81">
            <w:pPr>
              <w:pStyle w:val="Marginlie"/>
              <w:rPr>
                <w:lang w:val="en-GB"/>
              </w:rPr>
            </w:pPr>
          </w:p>
        </w:tc>
        <w:tc>
          <w:tcPr>
            <w:tcW w:w="227" w:type="dxa"/>
            <w:vMerge w:val="restart"/>
            <w:shd w:val="clear" w:color="auto" w:fill="auto"/>
            <w:tcMar>
              <w:left w:w="0" w:type="dxa"/>
            </w:tcMar>
          </w:tcPr>
          <w:p w:rsidR="00A74D81" w:rsidRPr="009C0696" w:rsidRDefault="00A74D81" w:rsidP="00A74D81">
            <w:pPr>
              <w:pStyle w:val="Textpoznpodarou"/>
              <w:jc w:val="both"/>
              <w:rPr>
                <w:spacing w:val="-4"/>
                <w:lang w:val="en-GB"/>
              </w:rPr>
            </w:pPr>
          </w:p>
        </w:tc>
        <w:tc>
          <w:tcPr>
            <w:tcW w:w="7610" w:type="dxa"/>
            <w:shd w:val="clear" w:color="auto" w:fill="auto"/>
            <w:tcMar>
              <w:left w:w="0" w:type="dxa"/>
            </w:tcMar>
          </w:tcPr>
          <w:p w:rsidR="00A74D81" w:rsidRPr="009F7FC7" w:rsidRDefault="00A74D81" w:rsidP="00A74D81">
            <w:pPr>
              <w:spacing w:after="0"/>
              <w:rPr>
                <w:szCs w:val="20"/>
                <w:lang w:val="en-GB"/>
              </w:rPr>
            </w:pPr>
            <w:r w:rsidRPr="009F7FC7">
              <w:rPr>
                <w:b/>
                <w:szCs w:val="20"/>
                <w:lang w:val="en-GB"/>
              </w:rPr>
              <w:t>Chart 4  Contributions</w:t>
            </w:r>
            <w:r w:rsidRPr="009F7FC7">
              <w:rPr>
                <w:b/>
                <w:szCs w:val="20"/>
                <w:lang w:val="en-GB" w:eastAsia="en-US"/>
              </w:rPr>
              <w:t xml:space="preserve"> of branches to real change in GVA</w:t>
            </w:r>
            <w:r w:rsidRPr="009F7FC7">
              <w:rPr>
                <w:rFonts w:cs="Arial"/>
                <w:b/>
                <w:szCs w:val="20"/>
                <w:lang w:val="en-GB" w:eastAsia="en-US"/>
              </w:rPr>
              <w:t xml:space="preserve"> </w:t>
            </w:r>
            <w:r w:rsidRPr="009F7FC7">
              <w:rPr>
                <w:rFonts w:cs="Arial"/>
                <w:szCs w:val="20"/>
                <w:lang w:val="en-GB" w:eastAsia="en-US"/>
              </w:rPr>
              <w:t>(volume indices, year-on-year contributions in p.p., GVA in %)</w:t>
            </w:r>
          </w:p>
        </w:tc>
      </w:tr>
      <w:tr w:rsidR="00A74D81" w:rsidRPr="009C0696" w:rsidTr="00A74D81">
        <w:trPr>
          <w:trHeight w:val="154"/>
        </w:trPr>
        <w:tc>
          <w:tcPr>
            <w:tcW w:w="1802" w:type="dxa"/>
            <w:vMerge/>
            <w:shd w:val="clear" w:color="auto" w:fill="auto"/>
            <w:tcMar>
              <w:left w:w="0" w:type="dxa"/>
            </w:tcMar>
          </w:tcPr>
          <w:p w:rsidR="00A74D81" w:rsidRPr="009C0696" w:rsidRDefault="00A74D81" w:rsidP="00A74D81">
            <w:pPr>
              <w:pStyle w:val="Marginlie"/>
              <w:rPr>
                <w:lang w:val="en-GB"/>
              </w:rPr>
            </w:pPr>
          </w:p>
        </w:tc>
        <w:tc>
          <w:tcPr>
            <w:tcW w:w="227" w:type="dxa"/>
            <w:vMerge/>
            <w:shd w:val="clear" w:color="auto" w:fill="auto"/>
            <w:tcMar>
              <w:left w:w="0" w:type="dxa"/>
            </w:tcMar>
          </w:tcPr>
          <w:p w:rsidR="00A74D81" w:rsidRPr="009C0696" w:rsidRDefault="00A74D81" w:rsidP="00A74D81">
            <w:pPr>
              <w:pStyle w:val="Textpoznpodarou"/>
              <w:jc w:val="both"/>
              <w:rPr>
                <w:spacing w:val="-4"/>
                <w:lang w:val="en-GB"/>
              </w:rPr>
            </w:pPr>
          </w:p>
        </w:tc>
        <w:tc>
          <w:tcPr>
            <w:tcW w:w="7610" w:type="dxa"/>
            <w:shd w:val="clear" w:color="auto" w:fill="auto"/>
            <w:tcMar>
              <w:left w:w="0" w:type="dxa"/>
            </w:tcMar>
          </w:tcPr>
          <w:p w:rsidR="00A74D81" w:rsidRPr="009C0696" w:rsidRDefault="00A74D81" w:rsidP="00A74D81">
            <w:pPr>
              <w:spacing w:after="0"/>
              <w:rPr>
                <w:lang w:val="en-GB"/>
              </w:rPr>
            </w:pPr>
            <w:r>
              <w:rPr>
                <w:noProof/>
              </w:rPr>
              <w:drawing>
                <wp:inline distT="0" distB="0" distL="0" distR="0" wp14:anchorId="2A5EE140" wp14:editId="14F42EEB">
                  <wp:extent cx="4737600" cy="3553200"/>
                  <wp:effectExtent l="0" t="0" r="6350" b="0"/>
                  <wp:docPr id="42" name="Graf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A74D81" w:rsidRPr="009C0696" w:rsidTr="00A74D81">
        <w:trPr>
          <w:trHeight w:val="154"/>
        </w:trPr>
        <w:tc>
          <w:tcPr>
            <w:tcW w:w="1802" w:type="dxa"/>
            <w:vMerge/>
            <w:shd w:val="clear" w:color="auto" w:fill="auto"/>
            <w:tcMar>
              <w:left w:w="0" w:type="dxa"/>
            </w:tcMar>
          </w:tcPr>
          <w:p w:rsidR="00A74D81" w:rsidRPr="009C0696" w:rsidRDefault="00A74D81" w:rsidP="00A74D81">
            <w:pPr>
              <w:pStyle w:val="Marginlie"/>
              <w:rPr>
                <w:lang w:val="en-GB"/>
              </w:rPr>
            </w:pPr>
          </w:p>
        </w:tc>
        <w:tc>
          <w:tcPr>
            <w:tcW w:w="227" w:type="dxa"/>
            <w:vMerge/>
            <w:shd w:val="clear" w:color="auto" w:fill="auto"/>
            <w:tcMar>
              <w:left w:w="0" w:type="dxa"/>
            </w:tcMar>
          </w:tcPr>
          <w:p w:rsidR="00A74D81" w:rsidRPr="009C0696" w:rsidRDefault="00A74D81" w:rsidP="00A74D81">
            <w:pPr>
              <w:pStyle w:val="Textpoznpodarou"/>
              <w:jc w:val="both"/>
              <w:rPr>
                <w:spacing w:val="-4"/>
                <w:lang w:val="en-GB"/>
              </w:rPr>
            </w:pPr>
          </w:p>
        </w:tc>
        <w:tc>
          <w:tcPr>
            <w:tcW w:w="7610" w:type="dxa"/>
            <w:shd w:val="clear" w:color="auto" w:fill="auto"/>
            <w:tcMar>
              <w:left w:w="0" w:type="dxa"/>
            </w:tcMar>
          </w:tcPr>
          <w:p w:rsidR="00A74D81" w:rsidRPr="009C0696" w:rsidRDefault="00A74D81" w:rsidP="00A74D81">
            <w:pPr>
              <w:rPr>
                <w:sz w:val="14"/>
                <w:szCs w:val="14"/>
                <w:lang w:val="en-GB"/>
              </w:rPr>
            </w:pPr>
            <w:r w:rsidRPr="009C0696">
              <w:rPr>
                <w:sz w:val="14"/>
                <w:szCs w:val="14"/>
                <w:lang w:val="en-GB"/>
              </w:rPr>
              <w:t>Source: CZSO</w:t>
            </w:r>
          </w:p>
        </w:tc>
      </w:tr>
      <w:tr w:rsidR="00A74D81" w:rsidRPr="009C0696" w:rsidTr="00A74D81">
        <w:trPr>
          <w:trHeight w:val="974"/>
        </w:trPr>
        <w:tc>
          <w:tcPr>
            <w:tcW w:w="1802" w:type="dxa"/>
            <w:shd w:val="clear" w:color="auto" w:fill="auto"/>
            <w:tcMar>
              <w:left w:w="0" w:type="dxa"/>
            </w:tcMar>
          </w:tcPr>
          <w:p w:rsidR="00A74D81" w:rsidRPr="009C0696" w:rsidRDefault="00A74D81" w:rsidP="00A74D81">
            <w:pPr>
              <w:pStyle w:val="Marginlie"/>
              <w:rPr>
                <w:lang w:val="en-GB"/>
              </w:rPr>
            </w:pPr>
            <w:r w:rsidRPr="009C0696">
              <w:rPr>
                <w:lang w:val="en-GB"/>
              </w:rPr>
              <w:t xml:space="preserve">Domestic demand favourably boosted mainly the services sector. Impact of manufacturing on the GVA growth was milder this time. </w:t>
            </w:r>
          </w:p>
        </w:tc>
        <w:tc>
          <w:tcPr>
            <w:tcW w:w="227" w:type="dxa"/>
            <w:shd w:val="clear" w:color="auto" w:fill="auto"/>
            <w:tcMar>
              <w:left w:w="0" w:type="dxa"/>
            </w:tcMar>
          </w:tcPr>
          <w:p w:rsidR="00A74D81" w:rsidRPr="009C0696" w:rsidRDefault="00A74D81" w:rsidP="00A74D81">
            <w:pPr>
              <w:pStyle w:val="Textpoznpodarou"/>
              <w:jc w:val="both"/>
              <w:rPr>
                <w:spacing w:val="-4"/>
                <w:lang w:val="en-GB"/>
              </w:rPr>
            </w:pPr>
          </w:p>
        </w:tc>
        <w:tc>
          <w:tcPr>
            <w:tcW w:w="7610" w:type="dxa"/>
            <w:shd w:val="clear" w:color="auto" w:fill="auto"/>
            <w:tcMar>
              <w:left w:w="0" w:type="dxa"/>
            </w:tcMar>
          </w:tcPr>
          <w:p w:rsidR="00A74D81" w:rsidRPr="009C0696" w:rsidRDefault="00A74D81" w:rsidP="00A74D81">
            <w:pPr>
              <w:rPr>
                <w:lang w:val="en-GB"/>
              </w:rPr>
            </w:pPr>
            <w:r w:rsidRPr="009C0696">
              <w:rPr>
                <w:lang w:val="en-GB"/>
              </w:rPr>
              <w:t xml:space="preserve">Growth of the gross value added was mostly supported by the services sector in year 2018 (1.8 p.p.). Services had the strong effect to the same degree in Q4. Among them, the weight dominant grouping trade, transportation, accommodation and restaurants recorded the most significant results last year (0.8 p.p., growth by 4.1%) last year. Information and communication, which experienced an above average GVA growth in the last two years (6.7% last year) and grow already six years in a row, recorded the second largest contribution (0.4 p.p.). Financial and insurance activities had a contribution in the size of 0.3 p.p. Manufacturing, which was the main driving force in the previous years, was more in the background (contribution 0.9 p.p., growth 3.4%). Construction had a favourable effect on the GVA dynamics throughout the whole year </w:t>
            </w:r>
            <w:r w:rsidRPr="009C0696">
              <w:rPr>
                <w:lang w:val="en-GB"/>
              </w:rPr>
              <w:lastRenderedPageBreak/>
              <w:t>(0.4 p.p.). Its GVA increased by 6.7%, which is the most since year 2004. Only this year it was possible to exceed the nominal level of GVA from year 2010</w:t>
            </w:r>
            <w:r w:rsidRPr="009C0696">
              <w:rPr>
                <w:rStyle w:val="Znakapoznpodarou"/>
                <w:lang w:val="en-GB"/>
              </w:rPr>
              <w:footnoteReference w:id="15"/>
            </w:r>
            <w:r w:rsidRPr="009C0696">
              <w:rPr>
                <w:lang w:val="en-GB"/>
              </w:rPr>
              <w:t xml:space="preserve">. </w:t>
            </w:r>
          </w:p>
        </w:tc>
      </w:tr>
    </w:tbl>
    <w:p w:rsidR="0083630F" w:rsidRPr="0083630F" w:rsidRDefault="0083630F" w:rsidP="00965797">
      <w:pPr>
        <w:pStyle w:val="Nadpis11"/>
        <w:rPr>
          <w:sz w:val="2"/>
          <w:szCs w:val="2"/>
        </w:rPr>
      </w:pPr>
    </w:p>
    <w:p w:rsidR="00A50D73" w:rsidRPr="009110F7" w:rsidRDefault="00A50D73" w:rsidP="00E1444C">
      <w:pPr>
        <w:rPr>
          <w:sz w:val="2"/>
          <w:szCs w:val="2"/>
        </w:rPr>
      </w:pPr>
    </w:p>
    <w:sectPr w:rsidR="00A50D73" w:rsidRPr="009110F7" w:rsidSect="00A03B10">
      <w:headerReference w:type="even" r:id="rId13"/>
      <w:headerReference w:type="default" r:id="rId14"/>
      <w:footerReference w:type="even" r:id="rId15"/>
      <w:footerReference w:type="default" r:id="rId16"/>
      <w:pgSz w:w="11906" w:h="16838" w:code="9"/>
      <w:pgMar w:top="1134" w:right="1134" w:bottom="1418" w:left="1134"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EDD" w:rsidRDefault="006B6EDD" w:rsidP="00E71A58">
      <w:r>
        <w:separator/>
      </w:r>
    </w:p>
  </w:endnote>
  <w:endnote w:type="continuationSeparator" w:id="0">
    <w:p w:rsidR="006B6EDD" w:rsidRDefault="006B6EDD"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auto"/>
    <w:notTrueType/>
    <w:pitch w:val="variable"/>
    <w:sig w:usb0="00000003" w:usb1="00000000" w:usb2="00000000" w:usb3="00000000" w:csb0="00000001" w:csb1="00000000"/>
  </w:font>
  <w:font w:name="Minion Pro">
    <w:altName w:val="Times New Roman"/>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AF6" w:rsidRPr="00932443" w:rsidRDefault="00A91AF6" w:rsidP="00A418BC">
    <w:pPr>
      <w:pStyle w:val="Zpat"/>
      <w:rPr>
        <w:szCs w:val="16"/>
      </w:rPr>
    </w:pPr>
    <w:r>
      <w:rPr>
        <w:szCs w:val="16"/>
        <w:lang w:eastAsia="cs-CZ"/>
      </w:rPr>
      <w:drawing>
        <wp:anchor distT="0" distB="0" distL="114300" distR="114300" simplePos="0" relativeHeight="251658240" behindDoc="0" locked="0" layoutInCell="1" allowOverlap="1" wp14:anchorId="54640964" wp14:editId="1CC92A28">
          <wp:simplePos x="0" y="0"/>
          <wp:positionH relativeFrom="column">
            <wp:align>right</wp:align>
          </wp:positionH>
          <wp:positionV relativeFrom="paragraph">
            <wp:posOffset>-64770</wp:posOffset>
          </wp:positionV>
          <wp:extent cx="428625" cy="201295"/>
          <wp:effectExtent l="0" t="0" r="3175" b="1905"/>
          <wp:wrapNone/>
          <wp:docPr id="15"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CB3E1F">
      <w:rPr>
        <w:szCs w:val="16"/>
      </w:rPr>
      <w:t>4</w:t>
    </w:r>
    <w:r w:rsidRPr="00932443">
      <w:rPr>
        <w:szCs w:val="16"/>
      </w:rPr>
      <w:fldChar w:fldCharType="end"/>
    </w:r>
    <w:r w:rsidRPr="00932443">
      <w:rPr>
        <w:szCs w:val="16"/>
      </w:rPr>
      <w:tab/>
    </w:r>
    <w:r>
      <w:rPr>
        <w:szCs w:val="16"/>
      </w:rPr>
      <w:t xml:space="preserve">Year </w:t>
    </w:r>
    <w:r>
      <w:t>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AF6" w:rsidRPr="00932443" w:rsidRDefault="007B3622" w:rsidP="00A418BC">
    <w:pPr>
      <w:pStyle w:val="Zpat"/>
      <w:rPr>
        <w:szCs w:val="16"/>
      </w:rPr>
    </w:pPr>
    <w:r>
      <w:rPr>
        <w:lang w:eastAsia="cs-CZ"/>
      </w:rPr>
      <w:drawing>
        <wp:anchor distT="0" distB="0" distL="114300" distR="114300" simplePos="0" relativeHeight="251660288" behindDoc="0" locked="0" layoutInCell="1" allowOverlap="1" wp14:anchorId="14528444" wp14:editId="3CA8CF0A">
          <wp:simplePos x="0" y="0"/>
          <wp:positionH relativeFrom="column">
            <wp:posOffset>0</wp:posOffset>
          </wp:positionH>
          <wp:positionV relativeFrom="paragraph">
            <wp:posOffset>0</wp:posOffset>
          </wp:positionV>
          <wp:extent cx="676910" cy="201930"/>
          <wp:effectExtent l="0" t="0" r="8890" b="1270"/>
          <wp:wrapNone/>
          <wp:docPr id="65" name="Picture 12"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EN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201930"/>
                  </a:xfrm>
                  <a:prstGeom prst="rect">
                    <a:avLst/>
                  </a:prstGeom>
                  <a:noFill/>
                  <a:ln>
                    <a:noFill/>
                  </a:ln>
                </pic:spPr>
              </pic:pic>
            </a:graphicData>
          </a:graphic>
          <wp14:sizeRelH relativeFrom="page">
            <wp14:pctWidth>0</wp14:pctWidth>
          </wp14:sizeRelH>
          <wp14:sizeRelV relativeFrom="page">
            <wp14:pctHeight>0</wp14:pctHeight>
          </wp14:sizeRelV>
        </wp:anchor>
      </w:drawing>
    </w:r>
    <w:r w:rsidR="00A91AF6" w:rsidRPr="00932443">
      <w:rPr>
        <w:szCs w:val="16"/>
      </w:rPr>
      <w:tab/>
    </w:r>
    <w:r w:rsidR="00A91AF6">
      <w:t>Year 2018</w:t>
    </w:r>
    <w:r w:rsidR="00A91AF6" w:rsidRPr="00932443">
      <w:rPr>
        <w:szCs w:val="16"/>
      </w:rPr>
      <w:tab/>
    </w:r>
    <w:r w:rsidR="00A91AF6" w:rsidRPr="00932443">
      <w:rPr>
        <w:rStyle w:val="ZpatChar"/>
        <w:szCs w:val="16"/>
      </w:rPr>
      <w:fldChar w:fldCharType="begin"/>
    </w:r>
    <w:r w:rsidR="00A91AF6" w:rsidRPr="00932443">
      <w:rPr>
        <w:rStyle w:val="ZpatChar"/>
        <w:szCs w:val="16"/>
      </w:rPr>
      <w:instrText>PAGE   \* MERGEFORMAT</w:instrText>
    </w:r>
    <w:r w:rsidR="00A91AF6" w:rsidRPr="00932443">
      <w:rPr>
        <w:rStyle w:val="ZpatChar"/>
        <w:szCs w:val="16"/>
      </w:rPr>
      <w:fldChar w:fldCharType="separate"/>
    </w:r>
    <w:r w:rsidR="00CB3E1F">
      <w:rPr>
        <w:rStyle w:val="ZpatChar"/>
        <w:szCs w:val="16"/>
      </w:rPr>
      <w:t>3</w:t>
    </w:r>
    <w:r w:rsidR="00A91AF6"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EDD" w:rsidRDefault="006B6EDD" w:rsidP="00E71A58">
      <w:r>
        <w:separator/>
      </w:r>
    </w:p>
  </w:footnote>
  <w:footnote w:type="continuationSeparator" w:id="0">
    <w:p w:rsidR="006B6EDD" w:rsidRDefault="006B6EDD" w:rsidP="00E71A58">
      <w:r>
        <w:continuationSeparator/>
      </w:r>
    </w:p>
  </w:footnote>
  <w:footnote w:id="1">
    <w:p w:rsidR="00A91AF6" w:rsidRPr="00EF1EE3" w:rsidRDefault="00A91AF6" w:rsidP="0033709C">
      <w:pPr>
        <w:pStyle w:val="Textpoznpodarou"/>
        <w:rPr>
          <w:sz w:val="16"/>
          <w:szCs w:val="16"/>
        </w:rPr>
      </w:pPr>
      <w:r w:rsidRPr="00EF1EE3">
        <w:rPr>
          <w:rStyle w:val="Znakapoznpodarou"/>
          <w:sz w:val="16"/>
          <w:szCs w:val="16"/>
        </w:rPr>
        <w:footnoteRef/>
      </w:r>
      <w:r w:rsidRPr="00EF1EE3">
        <w:rPr>
          <w:sz w:val="16"/>
          <w:szCs w:val="16"/>
        </w:rPr>
        <w:t xml:space="preserve"> </w:t>
      </w:r>
      <w:r w:rsidRPr="00526A54">
        <w:rPr>
          <w:sz w:val="16"/>
          <w:szCs w:val="16"/>
          <w:lang w:val="en-GB"/>
        </w:rPr>
        <w:t xml:space="preserve">The development of the GDP, gross value added and their components is expressed with the help of the volume indices (i.e. adjusted for changes in prices) and adjusted for seasonal and calendar effects. Data </w:t>
      </w:r>
      <w:r>
        <w:rPr>
          <w:sz w:val="16"/>
          <w:szCs w:val="16"/>
          <w:lang w:val="en-GB"/>
        </w:rPr>
        <w:t xml:space="preserve">are valid as of 2.4.2019. </w:t>
      </w:r>
    </w:p>
  </w:footnote>
  <w:footnote w:id="2">
    <w:p w:rsidR="00A91AF6" w:rsidRPr="009C6EA8" w:rsidRDefault="00A91AF6" w:rsidP="0033709C">
      <w:pPr>
        <w:pStyle w:val="Textpoznpodarou"/>
        <w:rPr>
          <w:sz w:val="16"/>
          <w:szCs w:val="16"/>
        </w:rPr>
      </w:pPr>
      <w:r w:rsidRPr="009C6EA8">
        <w:rPr>
          <w:rStyle w:val="Znakapoznpodarou"/>
          <w:sz w:val="16"/>
          <w:szCs w:val="16"/>
        </w:rPr>
        <w:footnoteRef/>
      </w:r>
      <w:r w:rsidRPr="009C6EA8">
        <w:rPr>
          <w:sz w:val="16"/>
          <w:szCs w:val="16"/>
        </w:rPr>
        <w:t xml:space="preserve"> </w:t>
      </w:r>
      <w:r w:rsidRPr="00F83297">
        <w:rPr>
          <w:sz w:val="16"/>
          <w:szCs w:val="16"/>
          <w:lang w:val="en-GB"/>
        </w:rPr>
        <w:t xml:space="preserve">Additions to the GDP change after exclusion of imports for final use. </w:t>
      </w:r>
    </w:p>
  </w:footnote>
  <w:footnote w:id="3">
    <w:p w:rsidR="00A91AF6" w:rsidRPr="00380C34" w:rsidRDefault="00A91AF6" w:rsidP="0033709C">
      <w:pPr>
        <w:pStyle w:val="Textpoznpodarou"/>
        <w:rPr>
          <w:lang w:val="en-GB"/>
        </w:rPr>
      </w:pPr>
      <w:r w:rsidRPr="009C6EA8">
        <w:rPr>
          <w:rStyle w:val="Znakapoznpodarou"/>
          <w:sz w:val="16"/>
          <w:szCs w:val="16"/>
        </w:rPr>
        <w:footnoteRef/>
      </w:r>
      <w:r w:rsidRPr="009C6EA8">
        <w:rPr>
          <w:sz w:val="16"/>
          <w:szCs w:val="16"/>
        </w:rPr>
        <w:t xml:space="preserve"> </w:t>
      </w:r>
      <w:r w:rsidRPr="00380C34">
        <w:rPr>
          <w:sz w:val="16"/>
          <w:szCs w:val="16"/>
          <w:lang w:val="en-GB"/>
        </w:rPr>
        <w:t xml:space="preserve">Employment in the national accounts conception, data regarding persons as well as hours worked are seasonally adjusted. </w:t>
      </w:r>
    </w:p>
  </w:footnote>
  <w:footnote w:id="4">
    <w:p w:rsidR="00A91AF6" w:rsidRPr="009C6EA8" w:rsidRDefault="00A91AF6" w:rsidP="00AA0D8A">
      <w:pPr>
        <w:pStyle w:val="Textpoznpodarou"/>
        <w:jc w:val="both"/>
        <w:rPr>
          <w:sz w:val="16"/>
          <w:szCs w:val="16"/>
        </w:rPr>
      </w:pPr>
      <w:r w:rsidRPr="009C6EA8">
        <w:rPr>
          <w:rStyle w:val="Znakapoznpodarou"/>
          <w:sz w:val="16"/>
          <w:szCs w:val="16"/>
        </w:rPr>
        <w:footnoteRef/>
      </w:r>
      <w:r w:rsidRPr="009C6EA8">
        <w:rPr>
          <w:sz w:val="16"/>
          <w:szCs w:val="16"/>
        </w:rPr>
        <w:t xml:space="preserve"> </w:t>
      </w:r>
      <w:r w:rsidRPr="00F83297">
        <w:rPr>
          <w:sz w:val="16"/>
          <w:szCs w:val="16"/>
          <w:lang w:val="en-GB"/>
        </w:rPr>
        <w:t>Converted into the real expression using the deflator of final consumption expenditure of households.</w:t>
      </w:r>
    </w:p>
  </w:footnote>
  <w:footnote w:id="5">
    <w:p w:rsidR="00A91AF6" w:rsidRPr="00771972" w:rsidRDefault="00A91AF6" w:rsidP="00C255C4">
      <w:pPr>
        <w:pStyle w:val="Textpoznpodarou"/>
        <w:rPr>
          <w:sz w:val="16"/>
          <w:szCs w:val="16"/>
        </w:rPr>
      </w:pPr>
      <w:r w:rsidRPr="00771972">
        <w:rPr>
          <w:rStyle w:val="Znakapoznpodarou"/>
          <w:sz w:val="16"/>
          <w:szCs w:val="16"/>
        </w:rPr>
        <w:footnoteRef/>
      </w:r>
      <w:r w:rsidRPr="00771972">
        <w:rPr>
          <w:sz w:val="16"/>
          <w:szCs w:val="16"/>
        </w:rPr>
        <w:t xml:space="preserve"> </w:t>
      </w:r>
      <w:r w:rsidRPr="00F83297">
        <w:rPr>
          <w:sz w:val="16"/>
          <w:szCs w:val="16"/>
          <w:lang w:val="en-GB"/>
        </w:rPr>
        <w:t>Public administration, education, health and social care.</w:t>
      </w:r>
    </w:p>
  </w:footnote>
  <w:footnote w:id="6">
    <w:p w:rsidR="00A91AF6" w:rsidRPr="00F8184A" w:rsidRDefault="00A91AF6" w:rsidP="00F8184A">
      <w:pPr>
        <w:autoSpaceDE w:val="0"/>
        <w:autoSpaceDN w:val="0"/>
        <w:adjustRightInd w:val="0"/>
        <w:spacing w:after="0" w:line="240" w:lineRule="auto"/>
        <w:rPr>
          <w:rFonts w:cs="Arial"/>
          <w:sz w:val="16"/>
          <w:szCs w:val="16"/>
          <w:lang w:val="en-GB"/>
        </w:rPr>
      </w:pPr>
      <w:r w:rsidRPr="001553B8">
        <w:rPr>
          <w:rStyle w:val="Znakapoznpodarou"/>
          <w:rFonts w:cs="Arial"/>
          <w:sz w:val="16"/>
          <w:szCs w:val="16"/>
        </w:rPr>
        <w:footnoteRef/>
      </w:r>
      <w:r w:rsidRPr="001553B8">
        <w:rPr>
          <w:rFonts w:cs="Arial"/>
          <w:sz w:val="16"/>
          <w:szCs w:val="16"/>
        </w:rPr>
        <w:t xml:space="preserve"> </w:t>
      </w:r>
      <w:r w:rsidRPr="00F8184A">
        <w:rPr>
          <w:rFonts w:cs="Arial"/>
          <w:sz w:val="16"/>
          <w:szCs w:val="16"/>
          <w:lang w:val="en-GB"/>
        </w:rPr>
        <w:t xml:space="preserve">Profitability rate of the non-financial businesses is defined </w:t>
      </w:r>
      <w:r w:rsidRPr="00F8184A">
        <w:rPr>
          <w:rFonts w:eastAsia="Calibri" w:cs="Arial"/>
          <w:iCs/>
          <w:sz w:val="16"/>
          <w:szCs w:val="16"/>
          <w:lang w:val="en-GB" w:eastAsia="en-US"/>
        </w:rPr>
        <w:t xml:space="preserve">as the share of the gross operating surplus relative to the gross value added (B.2g/B.1g). This indicator represents the profitability of the production factors from the production process. </w:t>
      </w:r>
    </w:p>
  </w:footnote>
  <w:footnote w:id="7">
    <w:p w:rsidR="00A91AF6" w:rsidRPr="0048586B" w:rsidRDefault="00A91AF6" w:rsidP="0048586B">
      <w:pPr>
        <w:autoSpaceDE w:val="0"/>
        <w:autoSpaceDN w:val="0"/>
        <w:adjustRightInd w:val="0"/>
        <w:spacing w:after="0" w:line="240" w:lineRule="auto"/>
        <w:rPr>
          <w:rFonts w:cs="Arial"/>
          <w:sz w:val="16"/>
          <w:szCs w:val="16"/>
          <w:lang w:val="en-GB"/>
        </w:rPr>
      </w:pPr>
      <w:r w:rsidRPr="0048586B">
        <w:rPr>
          <w:rStyle w:val="Znakapoznpodarou"/>
          <w:rFonts w:cs="Arial"/>
          <w:sz w:val="16"/>
          <w:szCs w:val="16"/>
          <w:lang w:val="en-GB"/>
        </w:rPr>
        <w:footnoteRef/>
      </w:r>
      <w:r w:rsidRPr="0048586B">
        <w:rPr>
          <w:rFonts w:cs="Arial"/>
          <w:sz w:val="16"/>
          <w:szCs w:val="16"/>
          <w:lang w:val="en-GB"/>
        </w:rPr>
        <w:t xml:space="preserve"> The household saving rate is defined as the share of gross savings and gross disposable income with the inclusion of adjustment for net share of households on pension funds reserves </w:t>
      </w:r>
      <w:r w:rsidRPr="0048586B">
        <w:rPr>
          <w:rFonts w:eastAsia="Calibri" w:cs="Arial"/>
          <w:iCs/>
          <w:sz w:val="16"/>
          <w:szCs w:val="16"/>
          <w:lang w:val="en-GB" w:eastAsia="en-US"/>
        </w:rPr>
        <w:t xml:space="preserve">B.8g/(B.6g+D.8). Gross savings represent the part of gross disposable income, which was not consumed in the form of final consumption expenditure. </w:t>
      </w:r>
    </w:p>
  </w:footnote>
  <w:footnote w:id="8">
    <w:p w:rsidR="00A91AF6" w:rsidRPr="0048586B" w:rsidRDefault="00A91AF6" w:rsidP="0048586B">
      <w:pPr>
        <w:autoSpaceDE w:val="0"/>
        <w:autoSpaceDN w:val="0"/>
        <w:adjustRightInd w:val="0"/>
        <w:spacing w:after="0" w:line="240" w:lineRule="auto"/>
        <w:rPr>
          <w:rFonts w:cs="Arial"/>
          <w:sz w:val="16"/>
          <w:szCs w:val="16"/>
          <w:lang w:val="en-GB"/>
        </w:rPr>
      </w:pPr>
      <w:r w:rsidRPr="0048586B">
        <w:rPr>
          <w:rStyle w:val="Znakapoznpodarou"/>
          <w:rFonts w:cs="Arial"/>
          <w:sz w:val="16"/>
          <w:szCs w:val="16"/>
          <w:lang w:val="en-GB"/>
        </w:rPr>
        <w:footnoteRef/>
      </w:r>
      <w:r w:rsidRPr="0048586B">
        <w:rPr>
          <w:rFonts w:cs="Arial"/>
          <w:sz w:val="16"/>
          <w:szCs w:val="16"/>
          <w:lang w:val="en-GB"/>
        </w:rPr>
        <w:t xml:space="preserve"> Average monthly household income per capita in the nominal expression is defined as the share of adjusted disposable household income and mean population. </w:t>
      </w:r>
    </w:p>
  </w:footnote>
  <w:footnote w:id="9">
    <w:p w:rsidR="00A91AF6" w:rsidRPr="00CD1CFD" w:rsidRDefault="00A91AF6" w:rsidP="00CD1CFD">
      <w:pPr>
        <w:autoSpaceDE w:val="0"/>
        <w:autoSpaceDN w:val="0"/>
        <w:adjustRightInd w:val="0"/>
        <w:spacing w:after="0" w:line="240" w:lineRule="auto"/>
        <w:rPr>
          <w:rFonts w:cs="Arial"/>
          <w:sz w:val="16"/>
          <w:szCs w:val="16"/>
          <w:lang w:val="en-GB"/>
        </w:rPr>
      </w:pPr>
      <w:r w:rsidRPr="001003BB">
        <w:rPr>
          <w:rStyle w:val="Znakapoznpodarou"/>
          <w:rFonts w:cs="Arial"/>
          <w:sz w:val="16"/>
          <w:szCs w:val="16"/>
        </w:rPr>
        <w:footnoteRef/>
      </w:r>
      <w:r w:rsidRPr="001003BB">
        <w:rPr>
          <w:rFonts w:cs="Arial"/>
          <w:sz w:val="16"/>
          <w:szCs w:val="16"/>
        </w:rPr>
        <w:t xml:space="preserve"> </w:t>
      </w:r>
      <w:r>
        <w:rPr>
          <w:rFonts w:cs="Arial"/>
          <w:sz w:val="16"/>
          <w:szCs w:val="16"/>
        </w:rPr>
        <w:t>S</w:t>
      </w:r>
      <w:r w:rsidRPr="00CD1CFD">
        <w:rPr>
          <w:rFonts w:eastAsia="Calibri" w:cs="Arial"/>
          <w:iCs/>
          <w:sz w:val="16"/>
          <w:szCs w:val="16"/>
          <w:lang w:val="en-GB" w:eastAsia="en-US"/>
        </w:rPr>
        <w:t xml:space="preserve">ocial transfers </w:t>
      </w:r>
      <w:r>
        <w:rPr>
          <w:rFonts w:eastAsia="Calibri" w:cs="Arial"/>
          <w:iCs/>
          <w:sz w:val="16"/>
          <w:szCs w:val="16"/>
          <w:lang w:val="en-GB" w:eastAsia="en-US"/>
        </w:rPr>
        <w:t xml:space="preserve">in kind </w:t>
      </w:r>
      <w:r w:rsidRPr="00CD1CFD">
        <w:rPr>
          <w:rFonts w:eastAsia="Calibri" w:cs="Arial"/>
          <w:iCs/>
          <w:sz w:val="16"/>
          <w:szCs w:val="16"/>
          <w:lang w:val="en-GB" w:eastAsia="en-US"/>
        </w:rPr>
        <w:t>(D.63) include the value of individual services and goods provided by government institutions and non-profit institutions serving households (N</w:t>
      </w:r>
      <w:r>
        <w:rPr>
          <w:rFonts w:eastAsia="Calibri" w:cs="Arial"/>
          <w:iCs/>
          <w:sz w:val="16"/>
          <w:szCs w:val="16"/>
          <w:lang w:val="en-GB" w:eastAsia="en-US"/>
        </w:rPr>
        <w:t>P</w:t>
      </w:r>
      <w:r w:rsidRPr="00CD1CFD">
        <w:rPr>
          <w:rFonts w:eastAsia="Calibri" w:cs="Arial"/>
          <w:iCs/>
          <w:sz w:val="16"/>
          <w:szCs w:val="16"/>
          <w:lang w:val="en-GB" w:eastAsia="en-US"/>
        </w:rPr>
        <w:t>ISH), and also material benefits provided by municipalities (including reimbursement of approved household expenditure for certain types of goods and services)  and all values of non-market services of government institutions and N</w:t>
      </w:r>
      <w:r>
        <w:rPr>
          <w:rFonts w:eastAsia="Calibri" w:cs="Arial"/>
          <w:iCs/>
          <w:sz w:val="16"/>
          <w:szCs w:val="16"/>
          <w:lang w:val="en-GB" w:eastAsia="en-US"/>
        </w:rPr>
        <w:t>P</w:t>
      </w:r>
      <w:r w:rsidRPr="00CD1CFD">
        <w:rPr>
          <w:rFonts w:eastAsia="Calibri" w:cs="Arial"/>
          <w:iCs/>
          <w:sz w:val="16"/>
          <w:szCs w:val="16"/>
          <w:lang w:val="en-GB" w:eastAsia="en-US"/>
        </w:rPr>
        <w:t xml:space="preserve">ISH provided for individual consumption. Individual services and goods provided to households by government institutions and non-profit </w:t>
      </w:r>
      <w:r>
        <w:rPr>
          <w:rFonts w:eastAsia="Calibri" w:cs="Arial"/>
          <w:iCs/>
          <w:sz w:val="16"/>
          <w:szCs w:val="16"/>
          <w:lang w:val="en-GB" w:eastAsia="en-US"/>
        </w:rPr>
        <w:t xml:space="preserve">institutions serving </w:t>
      </w:r>
      <w:r w:rsidRPr="00CD1CFD">
        <w:rPr>
          <w:rFonts w:eastAsia="Calibri" w:cs="Arial"/>
          <w:iCs/>
          <w:sz w:val="16"/>
          <w:szCs w:val="16"/>
          <w:lang w:val="en-GB" w:eastAsia="en-US"/>
        </w:rPr>
        <w:t xml:space="preserve">households represent a value of goods and services provided in the form of health and social care, education, housing etc. These are especially in-kind benefits associated with the health insurance (payments for medical aids, medical, </w:t>
      </w:r>
      <w:r>
        <w:rPr>
          <w:rFonts w:eastAsia="Calibri" w:cs="Arial"/>
          <w:iCs/>
          <w:sz w:val="16"/>
          <w:szCs w:val="16"/>
          <w:lang w:val="en-GB" w:eastAsia="en-US"/>
        </w:rPr>
        <w:t>dental</w:t>
      </w:r>
      <w:r w:rsidRPr="00CD1CFD">
        <w:rPr>
          <w:rFonts w:eastAsia="Calibri" w:cs="Arial"/>
          <w:iCs/>
          <w:sz w:val="16"/>
          <w:szCs w:val="16"/>
          <w:lang w:val="en-GB" w:eastAsia="en-US"/>
        </w:rPr>
        <w:t xml:space="preserve"> treatment, surgery etc.) covered by the health insurance companies to those, who provide these goods and services.  </w:t>
      </w:r>
    </w:p>
  </w:footnote>
  <w:footnote w:id="10">
    <w:p w:rsidR="00A91AF6" w:rsidRPr="00CD1CFD" w:rsidRDefault="00A91AF6" w:rsidP="00CD1CFD">
      <w:pPr>
        <w:pStyle w:val="Textpoznpodarou"/>
        <w:jc w:val="both"/>
        <w:rPr>
          <w:sz w:val="16"/>
          <w:szCs w:val="16"/>
          <w:lang w:val="en-GB"/>
        </w:rPr>
      </w:pPr>
      <w:r w:rsidRPr="00457568">
        <w:rPr>
          <w:rStyle w:val="Znakapoznpodarou"/>
          <w:sz w:val="16"/>
          <w:szCs w:val="16"/>
        </w:rPr>
        <w:footnoteRef/>
      </w:r>
      <w:r w:rsidRPr="00457568">
        <w:rPr>
          <w:sz w:val="16"/>
          <w:szCs w:val="16"/>
        </w:rPr>
        <w:t xml:space="preserve"> </w:t>
      </w:r>
      <w:r w:rsidRPr="00CD1CFD">
        <w:rPr>
          <w:sz w:val="16"/>
          <w:szCs w:val="16"/>
          <w:lang w:val="en-GB"/>
        </w:rPr>
        <w:t xml:space="preserve">High comparative basis of the last year is the main reason. Inventory stock grew fast throughout the whole year 2017 year-on-year and the total change amounted to +49.0 CZK bn. In the last year, the inventory stock grew only in Q1 and in total </w:t>
      </w:r>
      <w:r>
        <w:rPr>
          <w:sz w:val="16"/>
          <w:szCs w:val="16"/>
          <w:lang w:val="en-GB"/>
        </w:rPr>
        <w:t>it</w:t>
      </w:r>
      <w:r w:rsidRPr="00CD1CFD">
        <w:rPr>
          <w:sz w:val="16"/>
          <w:szCs w:val="16"/>
          <w:lang w:val="en-GB"/>
        </w:rPr>
        <w:t xml:space="preserve"> decreased by 10.4 bn. </w:t>
      </w:r>
      <w:r>
        <w:rPr>
          <w:sz w:val="16"/>
          <w:szCs w:val="16"/>
          <w:lang w:val="en-GB"/>
        </w:rPr>
        <w:t xml:space="preserve">Last year´s fall did moderated in the course of the year, nevertheless it stumbled when compared to year </w:t>
      </w:r>
      <w:r w:rsidRPr="00CD1CFD">
        <w:rPr>
          <w:sz w:val="16"/>
          <w:szCs w:val="16"/>
          <w:lang w:val="en-GB"/>
        </w:rPr>
        <w:t xml:space="preserve">2017, </w:t>
      </w:r>
      <w:r>
        <w:rPr>
          <w:sz w:val="16"/>
          <w:szCs w:val="16"/>
          <w:lang w:val="en-GB"/>
        </w:rPr>
        <w:t xml:space="preserve">when the increase featured an upward tendency towards the end of the year. </w:t>
      </w:r>
      <w:r w:rsidRPr="00CD1CFD">
        <w:rPr>
          <w:sz w:val="16"/>
          <w:szCs w:val="16"/>
          <w:lang w:val="en-GB"/>
        </w:rPr>
        <w:t>T</w:t>
      </w:r>
      <w:r>
        <w:rPr>
          <w:sz w:val="16"/>
          <w:szCs w:val="16"/>
          <w:lang w:val="en-GB"/>
        </w:rPr>
        <w:t xml:space="preserve">his difference thus dampened the contribution of capital outlays to the GDP growth for the most part of the year. </w:t>
      </w:r>
      <w:r w:rsidRPr="00CD1CFD">
        <w:rPr>
          <w:sz w:val="16"/>
          <w:szCs w:val="16"/>
          <w:lang w:val="en-GB"/>
        </w:rPr>
        <w:t xml:space="preserve"> </w:t>
      </w:r>
    </w:p>
  </w:footnote>
  <w:footnote w:id="11">
    <w:p w:rsidR="00A91AF6" w:rsidRPr="006E47E7" w:rsidRDefault="00A91AF6" w:rsidP="006E47E7">
      <w:pPr>
        <w:autoSpaceDE w:val="0"/>
        <w:autoSpaceDN w:val="0"/>
        <w:adjustRightInd w:val="0"/>
        <w:spacing w:after="0" w:line="240" w:lineRule="auto"/>
        <w:rPr>
          <w:rFonts w:cs="Arial"/>
          <w:sz w:val="16"/>
          <w:szCs w:val="16"/>
          <w:lang w:val="en-GB"/>
        </w:rPr>
      </w:pPr>
      <w:r w:rsidRPr="00D20875">
        <w:rPr>
          <w:rStyle w:val="Znakapoznpodarou"/>
          <w:rFonts w:cs="Arial"/>
          <w:sz w:val="16"/>
          <w:szCs w:val="16"/>
        </w:rPr>
        <w:footnoteRef/>
      </w:r>
      <w:r w:rsidRPr="00D20875">
        <w:rPr>
          <w:rFonts w:cs="Arial"/>
          <w:sz w:val="16"/>
          <w:szCs w:val="16"/>
        </w:rPr>
        <w:t xml:space="preserve"> </w:t>
      </w:r>
      <w:r w:rsidRPr="006E47E7">
        <w:rPr>
          <w:rFonts w:cs="Arial"/>
          <w:sz w:val="16"/>
          <w:szCs w:val="16"/>
          <w:lang w:val="en-GB"/>
        </w:rPr>
        <w:t xml:space="preserve">Investment rate of the non-financial businesses is defined as the share of gross fixed capital formation relative to the gross value added </w:t>
      </w:r>
      <w:r w:rsidRPr="006E47E7">
        <w:rPr>
          <w:rFonts w:eastAsia="Calibri" w:cs="Arial"/>
          <w:iCs/>
          <w:sz w:val="16"/>
          <w:szCs w:val="16"/>
          <w:lang w:val="en-GB" w:eastAsia="en-US"/>
        </w:rPr>
        <w:t xml:space="preserve">(P.51g/B.1g). This indicator expresses the proportion of investment into the non-financial assets (buildings, machinery etc.) and value created during the production process. </w:t>
      </w:r>
    </w:p>
  </w:footnote>
  <w:footnote w:id="12">
    <w:p w:rsidR="00A91AF6" w:rsidRPr="006E47E7" w:rsidRDefault="00A91AF6" w:rsidP="006E47E7">
      <w:pPr>
        <w:autoSpaceDE w:val="0"/>
        <w:autoSpaceDN w:val="0"/>
        <w:adjustRightInd w:val="0"/>
        <w:spacing w:after="0" w:line="240" w:lineRule="auto"/>
        <w:rPr>
          <w:rFonts w:cs="Arial"/>
          <w:sz w:val="16"/>
          <w:szCs w:val="16"/>
          <w:lang w:val="en-GB"/>
        </w:rPr>
      </w:pPr>
      <w:r w:rsidRPr="006E47E7">
        <w:rPr>
          <w:rStyle w:val="Znakapoznpodarou"/>
          <w:rFonts w:cs="Arial"/>
          <w:sz w:val="16"/>
          <w:szCs w:val="16"/>
          <w:lang w:val="en-GB"/>
        </w:rPr>
        <w:footnoteRef/>
      </w:r>
      <w:r w:rsidRPr="006E47E7">
        <w:rPr>
          <w:rFonts w:cs="Arial"/>
          <w:sz w:val="16"/>
          <w:szCs w:val="16"/>
          <w:lang w:val="en-GB"/>
        </w:rPr>
        <w:t xml:space="preserve"> Household investment rate is defined as the share of gross fixed capital relative to the gross disposable income with the inclusion of adjustment for net share of households on pension funds reserves </w:t>
      </w:r>
      <w:r w:rsidRPr="006E47E7">
        <w:rPr>
          <w:rFonts w:eastAsia="Calibri" w:cs="Arial"/>
          <w:iCs/>
          <w:sz w:val="16"/>
          <w:szCs w:val="16"/>
          <w:lang w:val="en-GB" w:eastAsia="en-US"/>
        </w:rPr>
        <w:t>(P.51g/B.6g-D.8).</w:t>
      </w:r>
    </w:p>
  </w:footnote>
  <w:footnote w:id="13">
    <w:p w:rsidR="00A91AF6" w:rsidRPr="0021552C" w:rsidRDefault="00A91AF6" w:rsidP="002D40BE">
      <w:pPr>
        <w:pStyle w:val="Textpoznpodarou"/>
        <w:jc w:val="both"/>
        <w:rPr>
          <w:sz w:val="16"/>
          <w:szCs w:val="16"/>
        </w:rPr>
      </w:pPr>
      <w:r w:rsidRPr="0021552C">
        <w:rPr>
          <w:rStyle w:val="Znakapoznpodarou"/>
          <w:sz w:val="16"/>
          <w:szCs w:val="16"/>
        </w:rPr>
        <w:footnoteRef/>
      </w:r>
      <w:r w:rsidRPr="0021552C">
        <w:rPr>
          <w:sz w:val="16"/>
          <w:szCs w:val="16"/>
        </w:rPr>
        <w:t xml:space="preserve"> </w:t>
      </w:r>
      <w:r w:rsidRPr="00BF7E4B">
        <w:rPr>
          <w:rFonts w:cs="Arial"/>
          <w:sz w:val="16"/>
          <w:szCs w:val="16"/>
        </w:rPr>
        <w:t xml:space="preserve">Data </w:t>
      </w:r>
      <w:r w:rsidRPr="00FA0250">
        <w:rPr>
          <w:rFonts w:cs="Arial"/>
          <w:sz w:val="16"/>
          <w:szCs w:val="16"/>
          <w:lang w:val="en-GB"/>
        </w:rPr>
        <w:t xml:space="preserve">regarding the type classification of gross fixed capital formation are not seasonally adjusted. </w:t>
      </w:r>
    </w:p>
  </w:footnote>
  <w:footnote w:id="14">
    <w:p w:rsidR="00A91AF6" w:rsidRPr="00272A4B" w:rsidRDefault="00A91AF6" w:rsidP="00272A4B">
      <w:pPr>
        <w:pStyle w:val="Textpoznpodarou"/>
        <w:jc w:val="both"/>
        <w:rPr>
          <w:sz w:val="16"/>
          <w:szCs w:val="16"/>
          <w:lang w:val="en-GB"/>
        </w:rPr>
      </w:pPr>
      <w:r w:rsidRPr="00167B30">
        <w:rPr>
          <w:rStyle w:val="Znakapoznpodarou"/>
          <w:sz w:val="16"/>
          <w:szCs w:val="16"/>
        </w:rPr>
        <w:footnoteRef/>
      </w:r>
      <w:r w:rsidRPr="00167B30">
        <w:rPr>
          <w:sz w:val="16"/>
          <w:szCs w:val="16"/>
        </w:rPr>
        <w:t xml:space="preserve"> </w:t>
      </w:r>
      <w:r w:rsidRPr="00272A4B">
        <w:rPr>
          <w:sz w:val="16"/>
          <w:szCs w:val="16"/>
          <w:lang w:val="en-GB"/>
        </w:rPr>
        <w:t>According to the methodology of quarterly national accounts (import and export in CIF/FOB prices).</w:t>
      </w:r>
    </w:p>
  </w:footnote>
  <w:footnote w:id="15">
    <w:p w:rsidR="00A91AF6" w:rsidRPr="00272A4B" w:rsidRDefault="00A91AF6" w:rsidP="00272A4B">
      <w:pPr>
        <w:pStyle w:val="Textpoznpodarou"/>
        <w:jc w:val="both"/>
        <w:rPr>
          <w:sz w:val="16"/>
          <w:szCs w:val="16"/>
          <w:lang w:val="en-GB"/>
        </w:rPr>
      </w:pPr>
      <w:r w:rsidRPr="00272A4B">
        <w:rPr>
          <w:rStyle w:val="Znakapoznpodarou"/>
          <w:sz w:val="16"/>
          <w:szCs w:val="16"/>
          <w:lang w:val="en-GB"/>
        </w:rPr>
        <w:footnoteRef/>
      </w:r>
      <w:r w:rsidRPr="00272A4B">
        <w:rPr>
          <w:sz w:val="16"/>
          <w:szCs w:val="16"/>
          <w:lang w:val="en-GB"/>
        </w:rPr>
        <w:t xml:space="preserve"> Value expressed in 2010 constant prices has not been exceeded yet.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AF6" w:rsidRPr="006F5416" w:rsidRDefault="00A91AF6" w:rsidP="00937AE2">
    <w:pPr>
      <w:pStyle w:val="Zhlav"/>
    </w:pPr>
    <w:r>
      <w:t>The Czech Economy Development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AF6" w:rsidRDefault="00A91AF6" w:rsidP="00937AE2">
    <w:pPr>
      <w:pStyle w:val="Zhlav"/>
    </w:pPr>
    <w:r>
      <w:t>The Czech Economy Development</w:t>
    </w:r>
  </w:p>
  <w:p w:rsidR="00A91AF6" w:rsidRPr="006F5416" w:rsidRDefault="00A91AF6"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2"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1"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21"/>
  </w:num>
  <w:num w:numId="14">
    <w:abstractNumId w:val="11"/>
  </w:num>
  <w:num w:numId="15">
    <w:abstractNumId w:val="17"/>
  </w:num>
  <w:num w:numId="16">
    <w:abstractNumId w:val="13"/>
  </w:num>
  <w:num w:numId="17">
    <w:abstractNumId w:val="22"/>
  </w:num>
  <w:num w:numId="18">
    <w:abstractNumId w:val="18"/>
  </w:num>
  <w:num w:numId="19">
    <w:abstractNumId w:val="23"/>
  </w:num>
  <w:num w:numId="20">
    <w:abstractNumId w:val="24"/>
  </w:num>
  <w:num w:numId="21">
    <w:abstractNumId w:val="20"/>
  </w:num>
  <w:num w:numId="22">
    <w:abstractNumId w:val="16"/>
  </w:num>
  <w:num w:numId="23">
    <w:abstractNumId w:val="14"/>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820"/>
    <w:rsid w:val="0000209D"/>
    <w:rsid w:val="0000377C"/>
    <w:rsid w:val="00003F5C"/>
    <w:rsid w:val="00004D28"/>
    <w:rsid w:val="00004D5A"/>
    <w:rsid w:val="000056D5"/>
    <w:rsid w:val="000063D5"/>
    <w:rsid w:val="00006ABD"/>
    <w:rsid w:val="00006B67"/>
    <w:rsid w:val="000073A0"/>
    <w:rsid w:val="0000767A"/>
    <w:rsid w:val="00010256"/>
    <w:rsid w:val="00010600"/>
    <w:rsid w:val="00010702"/>
    <w:rsid w:val="0001128E"/>
    <w:rsid w:val="00011912"/>
    <w:rsid w:val="00015BA8"/>
    <w:rsid w:val="00016420"/>
    <w:rsid w:val="00017296"/>
    <w:rsid w:val="00017B01"/>
    <w:rsid w:val="00017C20"/>
    <w:rsid w:val="0002047B"/>
    <w:rsid w:val="00020C84"/>
    <w:rsid w:val="00020F22"/>
    <w:rsid w:val="0002195D"/>
    <w:rsid w:val="000228AE"/>
    <w:rsid w:val="000233D1"/>
    <w:rsid w:val="000234D6"/>
    <w:rsid w:val="00023D29"/>
    <w:rsid w:val="00024348"/>
    <w:rsid w:val="0002620C"/>
    <w:rsid w:val="00026389"/>
    <w:rsid w:val="0002744A"/>
    <w:rsid w:val="00027A21"/>
    <w:rsid w:val="00031AE0"/>
    <w:rsid w:val="00031BB2"/>
    <w:rsid w:val="00031BDF"/>
    <w:rsid w:val="000322EF"/>
    <w:rsid w:val="00033CD3"/>
    <w:rsid w:val="00033FCD"/>
    <w:rsid w:val="00034BBA"/>
    <w:rsid w:val="00034DF7"/>
    <w:rsid w:val="00034E68"/>
    <w:rsid w:val="000350C8"/>
    <w:rsid w:val="00036195"/>
    <w:rsid w:val="000374B2"/>
    <w:rsid w:val="000376C0"/>
    <w:rsid w:val="000403A7"/>
    <w:rsid w:val="00040632"/>
    <w:rsid w:val="00041CEC"/>
    <w:rsid w:val="00044183"/>
    <w:rsid w:val="00044670"/>
    <w:rsid w:val="0004694F"/>
    <w:rsid w:val="00046EB3"/>
    <w:rsid w:val="00047B9C"/>
    <w:rsid w:val="00047D54"/>
    <w:rsid w:val="00047D5E"/>
    <w:rsid w:val="00050E97"/>
    <w:rsid w:val="000522E4"/>
    <w:rsid w:val="00053713"/>
    <w:rsid w:val="0005434E"/>
    <w:rsid w:val="00055CB6"/>
    <w:rsid w:val="00056DF4"/>
    <w:rsid w:val="000572DD"/>
    <w:rsid w:val="00057B1E"/>
    <w:rsid w:val="000610E1"/>
    <w:rsid w:val="000616AD"/>
    <w:rsid w:val="000622A6"/>
    <w:rsid w:val="00062C5C"/>
    <w:rsid w:val="00062EC5"/>
    <w:rsid w:val="00062F22"/>
    <w:rsid w:val="00063975"/>
    <w:rsid w:val="00063E6C"/>
    <w:rsid w:val="000645FC"/>
    <w:rsid w:val="00065190"/>
    <w:rsid w:val="0006533F"/>
    <w:rsid w:val="00065348"/>
    <w:rsid w:val="00065A75"/>
    <w:rsid w:val="00070A87"/>
    <w:rsid w:val="00071167"/>
    <w:rsid w:val="000712B3"/>
    <w:rsid w:val="000713AB"/>
    <w:rsid w:val="000730A8"/>
    <w:rsid w:val="0007450F"/>
    <w:rsid w:val="0007474E"/>
    <w:rsid w:val="00074B31"/>
    <w:rsid w:val="0007512B"/>
    <w:rsid w:val="00075551"/>
    <w:rsid w:val="000758E6"/>
    <w:rsid w:val="00076C79"/>
    <w:rsid w:val="00076D90"/>
    <w:rsid w:val="00077BA2"/>
    <w:rsid w:val="00077FF0"/>
    <w:rsid w:val="00081A55"/>
    <w:rsid w:val="0008263E"/>
    <w:rsid w:val="00082C19"/>
    <w:rsid w:val="000831A5"/>
    <w:rsid w:val="000837CD"/>
    <w:rsid w:val="00084BFF"/>
    <w:rsid w:val="00085395"/>
    <w:rsid w:val="00085F0D"/>
    <w:rsid w:val="0008616B"/>
    <w:rsid w:val="000864D5"/>
    <w:rsid w:val="00086896"/>
    <w:rsid w:val="00086AC1"/>
    <w:rsid w:val="00086D19"/>
    <w:rsid w:val="00087356"/>
    <w:rsid w:val="00087634"/>
    <w:rsid w:val="00087F2B"/>
    <w:rsid w:val="000901B9"/>
    <w:rsid w:val="00090694"/>
    <w:rsid w:val="000913B1"/>
    <w:rsid w:val="00091C64"/>
    <w:rsid w:val="00093241"/>
    <w:rsid w:val="00094A84"/>
    <w:rsid w:val="00095025"/>
    <w:rsid w:val="00095135"/>
    <w:rsid w:val="00095B5C"/>
    <w:rsid w:val="0009626E"/>
    <w:rsid w:val="0009636E"/>
    <w:rsid w:val="00097191"/>
    <w:rsid w:val="000974D1"/>
    <w:rsid w:val="0009799E"/>
    <w:rsid w:val="000A0BC0"/>
    <w:rsid w:val="000A1183"/>
    <w:rsid w:val="000A256D"/>
    <w:rsid w:val="000A3182"/>
    <w:rsid w:val="000A3A2C"/>
    <w:rsid w:val="000A4A54"/>
    <w:rsid w:val="000A4ED9"/>
    <w:rsid w:val="000A7377"/>
    <w:rsid w:val="000A7E75"/>
    <w:rsid w:val="000B03CC"/>
    <w:rsid w:val="000B253C"/>
    <w:rsid w:val="000B286D"/>
    <w:rsid w:val="000B4212"/>
    <w:rsid w:val="000B4B8F"/>
    <w:rsid w:val="000B61AE"/>
    <w:rsid w:val="000B6C5C"/>
    <w:rsid w:val="000B7344"/>
    <w:rsid w:val="000B75D3"/>
    <w:rsid w:val="000C0EA8"/>
    <w:rsid w:val="000C13A2"/>
    <w:rsid w:val="000C30C3"/>
    <w:rsid w:val="000C3408"/>
    <w:rsid w:val="000C35AB"/>
    <w:rsid w:val="000C41FA"/>
    <w:rsid w:val="000C4D56"/>
    <w:rsid w:val="000C6AFD"/>
    <w:rsid w:val="000C6C90"/>
    <w:rsid w:val="000D08EF"/>
    <w:rsid w:val="000D0A26"/>
    <w:rsid w:val="000D1221"/>
    <w:rsid w:val="000D1F28"/>
    <w:rsid w:val="000D2EB3"/>
    <w:rsid w:val="000D3058"/>
    <w:rsid w:val="000D310A"/>
    <w:rsid w:val="000D3EF4"/>
    <w:rsid w:val="000D5637"/>
    <w:rsid w:val="000D6F4E"/>
    <w:rsid w:val="000E0E96"/>
    <w:rsid w:val="000E20E6"/>
    <w:rsid w:val="000E2C7D"/>
    <w:rsid w:val="000E4237"/>
    <w:rsid w:val="000E440D"/>
    <w:rsid w:val="000E4AC5"/>
    <w:rsid w:val="000E5632"/>
    <w:rsid w:val="000E6253"/>
    <w:rsid w:val="000E6E4D"/>
    <w:rsid w:val="000E6FBD"/>
    <w:rsid w:val="000E6FCB"/>
    <w:rsid w:val="000F3F3B"/>
    <w:rsid w:val="000F4F77"/>
    <w:rsid w:val="000F70E4"/>
    <w:rsid w:val="00100E10"/>
    <w:rsid w:val="00100F5C"/>
    <w:rsid w:val="00101CDA"/>
    <w:rsid w:val="00102037"/>
    <w:rsid w:val="001026C4"/>
    <w:rsid w:val="00103DCB"/>
    <w:rsid w:val="001048F6"/>
    <w:rsid w:val="0010490F"/>
    <w:rsid w:val="00104C4C"/>
    <w:rsid w:val="001057C2"/>
    <w:rsid w:val="001125EF"/>
    <w:rsid w:val="00112CAB"/>
    <w:rsid w:val="00115525"/>
    <w:rsid w:val="00116D3F"/>
    <w:rsid w:val="0011755B"/>
    <w:rsid w:val="00117623"/>
    <w:rsid w:val="00117FEA"/>
    <w:rsid w:val="001200CF"/>
    <w:rsid w:val="001204EB"/>
    <w:rsid w:val="0012192F"/>
    <w:rsid w:val="00121F4B"/>
    <w:rsid w:val="00121F8C"/>
    <w:rsid w:val="00122994"/>
    <w:rsid w:val="00124B46"/>
    <w:rsid w:val="001257E0"/>
    <w:rsid w:val="00125D69"/>
    <w:rsid w:val="00127241"/>
    <w:rsid w:val="0012799C"/>
    <w:rsid w:val="00130ADC"/>
    <w:rsid w:val="00130D9F"/>
    <w:rsid w:val="00132C4D"/>
    <w:rsid w:val="00133FC1"/>
    <w:rsid w:val="00134659"/>
    <w:rsid w:val="00136561"/>
    <w:rsid w:val="00136BFB"/>
    <w:rsid w:val="001405FA"/>
    <w:rsid w:val="001408D0"/>
    <w:rsid w:val="00140D1A"/>
    <w:rsid w:val="00140DEB"/>
    <w:rsid w:val="00141315"/>
    <w:rsid w:val="00141568"/>
    <w:rsid w:val="00141AA0"/>
    <w:rsid w:val="00141B44"/>
    <w:rsid w:val="001425C3"/>
    <w:rsid w:val="0014262D"/>
    <w:rsid w:val="0014334D"/>
    <w:rsid w:val="0014459E"/>
    <w:rsid w:val="001447DD"/>
    <w:rsid w:val="0014593C"/>
    <w:rsid w:val="001459BC"/>
    <w:rsid w:val="0015044D"/>
    <w:rsid w:val="00150DF0"/>
    <w:rsid w:val="00152F4F"/>
    <w:rsid w:val="001544A1"/>
    <w:rsid w:val="001553B8"/>
    <w:rsid w:val="00155427"/>
    <w:rsid w:val="001554C2"/>
    <w:rsid w:val="00155750"/>
    <w:rsid w:val="00155C0B"/>
    <w:rsid w:val="001571C0"/>
    <w:rsid w:val="0015753D"/>
    <w:rsid w:val="001578B3"/>
    <w:rsid w:val="00157CC9"/>
    <w:rsid w:val="001603C7"/>
    <w:rsid w:val="001612F4"/>
    <w:rsid w:val="00161553"/>
    <w:rsid w:val="0016256B"/>
    <w:rsid w:val="00163793"/>
    <w:rsid w:val="00165262"/>
    <w:rsid w:val="001659F7"/>
    <w:rsid w:val="00167485"/>
    <w:rsid w:val="00167CA0"/>
    <w:rsid w:val="00167CB9"/>
    <w:rsid w:val="00167DD8"/>
    <w:rsid w:val="00170326"/>
    <w:rsid w:val="001705AD"/>
    <w:rsid w:val="001706D6"/>
    <w:rsid w:val="001714F2"/>
    <w:rsid w:val="00171DA4"/>
    <w:rsid w:val="00171FEA"/>
    <w:rsid w:val="00173823"/>
    <w:rsid w:val="00175388"/>
    <w:rsid w:val="00175B9F"/>
    <w:rsid w:val="001762F4"/>
    <w:rsid w:val="00176B1A"/>
    <w:rsid w:val="00177F6E"/>
    <w:rsid w:val="00180750"/>
    <w:rsid w:val="00181BBC"/>
    <w:rsid w:val="001832A9"/>
    <w:rsid w:val="0018385F"/>
    <w:rsid w:val="00184017"/>
    <w:rsid w:val="00184B08"/>
    <w:rsid w:val="00185010"/>
    <w:rsid w:val="001853B1"/>
    <w:rsid w:val="00185C22"/>
    <w:rsid w:val="001862E4"/>
    <w:rsid w:val="00186B61"/>
    <w:rsid w:val="00191E60"/>
    <w:rsid w:val="00192F05"/>
    <w:rsid w:val="00194729"/>
    <w:rsid w:val="00195234"/>
    <w:rsid w:val="00196016"/>
    <w:rsid w:val="001972B0"/>
    <w:rsid w:val="00197A70"/>
    <w:rsid w:val="00197C0F"/>
    <w:rsid w:val="001A0487"/>
    <w:rsid w:val="001A1D45"/>
    <w:rsid w:val="001A1F68"/>
    <w:rsid w:val="001A38DB"/>
    <w:rsid w:val="001A4EF0"/>
    <w:rsid w:val="001A552F"/>
    <w:rsid w:val="001A6F94"/>
    <w:rsid w:val="001A75B3"/>
    <w:rsid w:val="001A7D4E"/>
    <w:rsid w:val="001B2B99"/>
    <w:rsid w:val="001B2CA9"/>
    <w:rsid w:val="001B3110"/>
    <w:rsid w:val="001B3E38"/>
    <w:rsid w:val="001B3EC5"/>
    <w:rsid w:val="001B40F5"/>
    <w:rsid w:val="001B4729"/>
    <w:rsid w:val="001B4A29"/>
    <w:rsid w:val="001B4F0E"/>
    <w:rsid w:val="001B55D7"/>
    <w:rsid w:val="001B6310"/>
    <w:rsid w:val="001B679B"/>
    <w:rsid w:val="001B686C"/>
    <w:rsid w:val="001B6C09"/>
    <w:rsid w:val="001B7AA5"/>
    <w:rsid w:val="001C05CD"/>
    <w:rsid w:val="001C0A2B"/>
    <w:rsid w:val="001C0F17"/>
    <w:rsid w:val="001C1B66"/>
    <w:rsid w:val="001C31A2"/>
    <w:rsid w:val="001C3A69"/>
    <w:rsid w:val="001C4BB8"/>
    <w:rsid w:val="001C5E46"/>
    <w:rsid w:val="001C614E"/>
    <w:rsid w:val="001D0EF1"/>
    <w:rsid w:val="001D22C2"/>
    <w:rsid w:val="001D2C99"/>
    <w:rsid w:val="001D50CE"/>
    <w:rsid w:val="001D54C1"/>
    <w:rsid w:val="001D556E"/>
    <w:rsid w:val="001D5DF2"/>
    <w:rsid w:val="001D68B2"/>
    <w:rsid w:val="001D7EFD"/>
    <w:rsid w:val="001D7F60"/>
    <w:rsid w:val="001E0784"/>
    <w:rsid w:val="001E105C"/>
    <w:rsid w:val="001E13CF"/>
    <w:rsid w:val="001E504C"/>
    <w:rsid w:val="001E5A17"/>
    <w:rsid w:val="001E61F9"/>
    <w:rsid w:val="001E6862"/>
    <w:rsid w:val="001E74C5"/>
    <w:rsid w:val="001F1236"/>
    <w:rsid w:val="001F2549"/>
    <w:rsid w:val="001F2947"/>
    <w:rsid w:val="001F2F90"/>
    <w:rsid w:val="001F4597"/>
    <w:rsid w:val="001F4826"/>
    <w:rsid w:val="001F7CE0"/>
    <w:rsid w:val="00200085"/>
    <w:rsid w:val="00200941"/>
    <w:rsid w:val="00201033"/>
    <w:rsid w:val="00201DD6"/>
    <w:rsid w:val="00202FC2"/>
    <w:rsid w:val="00203332"/>
    <w:rsid w:val="00203CD5"/>
    <w:rsid w:val="00203D8F"/>
    <w:rsid w:val="00203DA4"/>
    <w:rsid w:val="00205186"/>
    <w:rsid w:val="002071D5"/>
    <w:rsid w:val="0020789F"/>
    <w:rsid w:val="00207D4D"/>
    <w:rsid w:val="00210E56"/>
    <w:rsid w:val="002111E5"/>
    <w:rsid w:val="002118B9"/>
    <w:rsid w:val="002142C0"/>
    <w:rsid w:val="00217C5B"/>
    <w:rsid w:val="00220A43"/>
    <w:rsid w:val="0022139E"/>
    <w:rsid w:val="00221DEA"/>
    <w:rsid w:val="00222729"/>
    <w:rsid w:val="002233D6"/>
    <w:rsid w:val="0022441D"/>
    <w:rsid w:val="00224574"/>
    <w:rsid w:val="002245B7"/>
    <w:rsid w:val="002252E0"/>
    <w:rsid w:val="002255F6"/>
    <w:rsid w:val="0022665E"/>
    <w:rsid w:val="00227605"/>
    <w:rsid w:val="00227704"/>
    <w:rsid w:val="00227850"/>
    <w:rsid w:val="00227A53"/>
    <w:rsid w:val="00227E2E"/>
    <w:rsid w:val="00227F53"/>
    <w:rsid w:val="00230469"/>
    <w:rsid w:val="00230C6E"/>
    <w:rsid w:val="002316A8"/>
    <w:rsid w:val="002326C1"/>
    <w:rsid w:val="00233603"/>
    <w:rsid w:val="002340EF"/>
    <w:rsid w:val="00234482"/>
    <w:rsid w:val="00236443"/>
    <w:rsid w:val="00236552"/>
    <w:rsid w:val="00240AF3"/>
    <w:rsid w:val="002418D5"/>
    <w:rsid w:val="00241B06"/>
    <w:rsid w:val="002436BA"/>
    <w:rsid w:val="00244807"/>
    <w:rsid w:val="00244A15"/>
    <w:rsid w:val="002452D9"/>
    <w:rsid w:val="00245F55"/>
    <w:rsid w:val="00247319"/>
    <w:rsid w:val="0024799E"/>
    <w:rsid w:val="00247E60"/>
    <w:rsid w:val="002505E3"/>
    <w:rsid w:val="00251253"/>
    <w:rsid w:val="0025190D"/>
    <w:rsid w:val="00251C53"/>
    <w:rsid w:val="00252AB9"/>
    <w:rsid w:val="0025329C"/>
    <w:rsid w:val="00253C0F"/>
    <w:rsid w:val="002558C1"/>
    <w:rsid w:val="00256165"/>
    <w:rsid w:val="00256207"/>
    <w:rsid w:val="002602D8"/>
    <w:rsid w:val="002603E1"/>
    <w:rsid w:val="00260D10"/>
    <w:rsid w:val="0026120E"/>
    <w:rsid w:val="0026291D"/>
    <w:rsid w:val="00264309"/>
    <w:rsid w:val="00267B49"/>
    <w:rsid w:val="00267E79"/>
    <w:rsid w:val="0027025F"/>
    <w:rsid w:val="002709CC"/>
    <w:rsid w:val="00271022"/>
    <w:rsid w:val="00271465"/>
    <w:rsid w:val="002715E1"/>
    <w:rsid w:val="00272A4B"/>
    <w:rsid w:val="00272DF4"/>
    <w:rsid w:val="0027583D"/>
    <w:rsid w:val="00275DEF"/>
    <w:rsid w:val="00276B33"/>
    <w:rsid w:val="00276CE2"/>
    <w:rsid w:val="002809BC"/>
    <w:rsid w:val="002812E3"/>
    <w:rsid w:val="00283018"/>
    <w:rsid w:val="002837AE"/>
    <w:rsid w:val="00283C13"/>
    <w:rsid w:val="00283D3B"/>
    <w:rsid w:val="002853FA"/>
    <w:rsid w:val="00285412"/>
    <w:rsid w:val="00291640"/>
    <w:rsid w:val="0029237E"/>
    <w:rsid w:val="00292997"/>
    <w:rsid w:val="00293D24"/>
    <w:rsid w:val="00294828"/>
    <w:rsid w:val="00294EC7"/>
    <w:rsid w:val="0029588F"/>
    <w:rsid w:val="00295B9F"/>
    <w:rsid w:val="00296FB1"/>
    <w:rsid w:val="00297256"/>
    <w:rsid w:val="00297A5C"/>
    <w:rsid w:val="00297D51"/>
    <w:rsid w:val="002A0122"/>
    <w:rsid w:val="002A016B"/>
    <w:rsid w:val="002A0BC4"/>
    <w:rsid w:val="002A16D4"/>
    <w:rsid w:val="002A1E4F"/>
    <w:rsid w:val="002A230C"/>
    <w:rsid w:val="002A2AF7"/>
    <w:rsid w:val="002A33A7"/>
    <w:rsid w:val="002A3EA2"/>
    <w:rsid w:val="002A466F"/>
    <w:rsid w:val="002A532A"/>
    <w:rsid w:val="002A5846"/>
    <w:rsid w:val="002A5D97"/>
    <w:rsid w:val="002A603E"/>
    <w:rsid w:val="002A63B9"/>
    <w:rsid w:val="002B4845"/>
    <w:rsid w:val="002B58E4"/>
    <w:rsid w:val="002B72AA"/>
    <w:rsid w:val="002C01FD"/>
    <w:rsid w:val="002C0E8E"/>
    <w:rsid w:val="002C159B"/>
    <w:rsid w:val="002C22A4"/>
    <w:rsid w:val="002C27A6"/>
    <w:rsid w:val="002C368F"/>
    <w:rsid w:val="002C40D2"/>
    <w:rsid w:val="002C43BD"/>
    <w:rsid w:val="002C5245"/>
    <w:rsid w:val="002C621D"/>
    <w:rsid w:val="002D0E59"/>
    <w:rsid w:val="002D1D5F"/>
    <w:rsid w:val="002D40BE"/>
    <w:rsid w:val="002D41E1"/>
    <w:rsid w:val="002E02A1"/>
    <w:rsid w:val="002E196A"/>
    <w:rsid w:val="002E20C7"/>
    <w:rsid w:val="002E20CD"/>
    <w:rsid w:val="002E222E"/>
    <w:rsid w:val="002E28D8"/>
    <w:rsid w:val="002E37D1"/>
    <w:rsid w:val="002E3BEE"/>
    <w:rsid w:val="002E4E4C"/>
    <w:rsid w:val="002E4EA7"/>
    <w:rsid w:val="002E5846"/>
    <w:rsid w:val="002E792B"/>
    <w:rsid w:val="002F1307"/>
    <w:rsid w:val="002F1DCB"/>
    <w:rsid w:val="002F1F1E"/>
    <w:rsid w:val="002F20DC"/>
    <w:rsid w:val="002F333D"/>
    <w:rsid w:val="002F351A"/>
    <w:rsid w:val="002F498A"/>
    <w:rsid w:val="002F4AD8"/>
    <w:rsid w:val="002F5820"/>
    <w:rsid w:val="002F6361"/>
    <w:rsid w:val="002F6A9F"/>
    <w:rsid w:val="00300C31"/>
    <w:rsid w:val="003034E0"/>
    <w:rsid w:val="00303BB4"/>
    <w:rsid w:val="00304771"/>
    <w:rsid w:val="00304F1F"/>
    <w:rsid w:val="003052D4"/>
    <w:rsid w:val="00306C5B"/>
    <w:rsid w:val="00307DB3"/>
    <w:rsid w:val="00307ED2"/>
    <w:rsid w:val="0031076D"/>
    <w:rsid w:val="00311AA6"/>
    <w:rsid w:val="00311C4D"/>
    <w:rsid w:val="003121AB"/>
    <w:rsid w:val="0031239E"/>
    <w:rsid w:val="00314A42"/>
    <w:rsid w:val="003151BD"/>
    <w:rsid w:val="003153C8"/>
    <w:rsid w:val="00315524"/>
    <w:rsid w:val="0032058C"/>
    <w:rsid w:val="003208D0"/>
    <w:rsid w:val="003209D6"/>
    <w:rsid w:val="00320A0F"/>
    <w:rsid w:val="003217B9"/>
    <w:rsid w:val="00321924"/>
    <w:rsid w:val="00321EB6"/>
    <w:rsid w:val="003220A5"/>
    <w:rsid w:val="00322302"/>
    <w:rsid w:val="00323A1C"/>
    <w:rsid w:val="00324B59"/>
    <w:rsid w:val="00325F21"/>
    <w:rsid w:val="0032656E"/>
    <w:rsid w:val="00332190"/>
    <w:rsid w:val="00333CD0"/>
    <w:rsid w:val="00333D26"/>
    <w:rsid w:val="0033448D"/>
    <w:rsid w:val="00334AD2"/>
    <w:rsid w:val="00336DDB"/>
    <w:rsid w:val="0033709C"/>
    <w:rsid w:val="003370C5"/>
    <w:rsid w:val="00337568"/>
    <w:rsid w:val="0033778D"/>
    <w:rsid w:val="00341D26"/>
    <w:rsid w:val="00341F05"/>
    <w:rsid w:val="0034335E"/>
    <w:rsid w:val="00343A89"/>
    <w:rsid w:val="00344668"/>
    <w:rsid w:val="003462D9"/>
    <w:rsid w:val="00347247"/>
    <w:rsid w:val="00347DD4"/>
    <w:rsid w:val="00347E18"/>
    <w:rsid w:val="00352B43"/>
    <w:rsid w:val="00352C28"/>
    <w:rsid w:val="00355C86"/>
    <w:rsid w:val="0036077F"/>
    <w:rsid w:val="00360C86"/>
    <w:rsid w:val="00360F7A"/>
    <w:rsid w:val="00360FBC"/>
    <w:rsid w:val="00361537"/>
    <w:rsid w:val="003622EE"/>
    <w:rsid w:val="0036242A"/>
    <w:rsid w:val="00362C23"/>
    <w:rsid w:val="00362E90"/>
    <w:rsid w:val="00363817"/>
    <w:rsid w:val="00364884"/>
    <w:rsid w:val="00364FA0"/>
    <w:rsid w:val="003657F3"/>
    <w:rsid w:val="003661B2"/>
    <w:rsid w:val="00367F84"/>
    <w:rsid w:val="00370739"/>
    <w:rsid w:val="003712BC"/>
    <w:rsid w:val="00372164"/>
    <w:rsid w:val="00372CA1"/>
    <w:rsid w:val="00372F99"/>
    <w:rsid w:val="003738BD"/>
    <w:rsid w:val="00373AA6"/>
    <w:rsid w:val="003746F0"/>
    <w:rsid w:val="00374A20"/>
    <w:rsid w:val="00374E21"/>
    <w:rsid w:val="0037599A"/>
    <w:rsid w:val="00376D08"/>
    <w:rsid w:val="00377F40"/>
    <w:rsid w:val="00380C34"/>
    <w:rsid w:val="003818DC"/>
    <w:rsid w:val="00382513"/>
    <w:rsid w:val="00382CDE"/>
    <w:rsid w:val="00382FC6"/>
    <w:rsid w:val="00383388"/>
    <w:rsid w:val="003834F8"/>
    <w:rsid w:val="003838D0"/>
    <w:rsid w:val="003840C2"/>
    <w:rsid w:val="00384327"/>
    <w:rsid w:val="00384A89"/>
    <w:rsid w:val="00385086"/>
    <w:rsid w:val="00385D98"/>
    <w:rsid w:val="003861EF"/>
    <w:rsid w:val="00390306"/>
    <w:rsid w:val="003908A6"/>
    <w:rsid w:val="003927F6"/>
    <w:rsid w:val="003934E5"/>
    <w:rsid w:val="00393E85"/>
    <w:rsid w:val="003944BD"/>
    <w:rsid w:val="00394B51"/>
    <w:rsid w:val="003966F8"/>
    <w:rsid w:val="00396739"/>
    <w:rsid w:val="00397E51"/>
    <w:rsid w:val="003A04F6"/>
    <w:rsid w:val="003A2B4D"/>
    <w:rsid w:val="003A2D12"/>
    <w:rsid w:val="003A45E3"/>
    <w:rsid w:val="003A478C"/>
    <w:rsid w:val="003A5525"/>
    <w:rsid w:val="003A5889"/>
    <w:rsid w:val="003A6085"/>
    <w:rsid w:val="003A6B38"/>
    <w:rsid w:val="003A6B83"/>
    <w:rsid w:val="003A722F"/>
    <w:rsid w:val="003B039F"/>
    <w:rsid w:val="003B0DF4"/>
    <w:rsid w:val="003B1F9D"/>
    <w:rsid w:val="003B2AD1"/>
    <w:rsid w:val="003B2D2E"/>
    <w:rsid w:val="003B359C"/>
    <w:rsid w:val="003B461F"/>
    <w:rsid w:val="003B483F"/>
    <w:rsid w:val="003B4998"/>
    <w:rsid w:val="003B5A32"/>
    <w:rsid w:val="003C2CFE"/>
    <w:rsid w:val="003C3490"/>
    <w:rsid w:val="003C3756"/>
    <w:rsid w:val="003C3D2C"/>
    <w:rsid w:val="003C6221"/>
    <w:rsid w:val="003C68CC"/>
    <w:rsid w:val="003C6C63"/>
    <w:rsid w:val="003C7E62"/>
    <w:rsid w:val="003D017F"/>
    <w:rsid w:val="003D12B9"/>
    <w:rsid w:val="003D1CDF"/>
    <w:rsid w:val="003D242B"/>
    <w:rsid w:val="003D2492"/>
    <w:rsid w:val="003D29AA"/>
    <w:rsid w:val="003D2A99"/>
    <w:rsid w:val="003D444C"/>
    <w:rsid w:val="003D6920"/>
    <w:rsid w:val="003E09B5"/>
    <w:rsid w:val="003E1EF8"/>
    <w:rsid w:val="003E4C91"/>
    <w:rsid w:val="003E52D8"/>
    <w:rsid w:val="003F0B9F"/>
    <w:rsid w:val="003F0D62"/>
    <w:rsid w:val="003F2481"/>
    <w:rsid w:val="003F2F7D"/>
    <w:rsid w:val="003F313C"/>
    <w:rsid w:val="003F37FC"/>
    <w:rsid w:val="003F447B"/>
    <w:rsid w:val="003F4B2C"/>
    <w:rsid w:val="003F551C"/>
    <w:rsid w:val="003F626D"/>
    <w:rsid w:val="003F72ED"/>
    <w:rsid w:val="003F7D23"/>
    <w:rsid w:val="00400050"/>
    <w:rsid w:val="004002C8"/>
    <w:rsid w:val="00400468"/>
    <w:rsid w:val="0040099D"/>
    <w:rsid w:val="00401B23"/>
    <w:rsid w:val="00402ADB"/>
    <w:rsid w:val="0040368D"/>
    <w:rsid w:val="00404D76"/>
    <w:rsid w:val="004059D2"/>
    <w:rsid w:val="00405B98"/>
    <w:rsid w:val="00406C2E"/>
    <w:rsid w:val="00406EB0"/>
    <w:rsid w:val="00407711"/>
    <w:rsid w:val="00407C13"/>
    <w:rsid w:val="00410638"/>
    <w:rsid w:val="00412511"/>
    <w:rsid w:val="004125C2"/>
    <w:rsid w:val="00412DFA"/>
    <w:rsid w:val="00413026"/>
    <w:rsid w:val="00413465"/>
    <w:rsid w:val="00414F2C"/>
    <w:rsid w:val="0041501E"/>
    <w:rsid w:val="0041586B"/>
    <w:rsid w:val="004159C3"/>
    <w:rsid w:val="00415A57"/>
    <w:rsid w:val="00416DAC"/>
    <w:rsid w:val="004178C3"/>
    <w:rsid w:val="00420880"/>
    <w:rsid w:val="00421179"/>
    <w:rsid w:val="0042330F"/>
    <w:rsid w:val="0042359D"/>
    <w:rsid w:val="0042568B"/>
    <w:rsid w:val="004257C3"/>
    <w:rsid w:val="00427B59"/>
    <w:rsid w:val="00431BFF"/>
    <w:rsid w:val="00432637"/>
    <w:rsid w:val="00432A58"/>
    <w:rsid w:val="004331C3"/>
    <w:rsid w:val="00433841"/>
    <w:rsid w:val="00433C00"/>
    <w:rsid w:val="00434617"/>
    <w:rsid w:val="00435051"/>
    <w:rsid w:val="004357AF"/>
    <w:rsid w:val="00435C69"/>
    <w:rsid w:val="00436082"/>
    <w:rsid w:val="004360FB"/>
    <w:rsid w:val="004364C1"/>
    <w:rsid w:val="00437CED"/>
    <w:rsid w:val="0044075B"/>
    <w:rsid w:val="0044076A"/>
    <w:rsid w:val="00440900"/>
    <w:rsid w:val="0044121D"/>
    <w:rsid w:val="0044139A"/>
    <w:rsid w:val="00441682"/>
    <w:rsid w:val="00441A7C"/>
    <w:rsid w:val="00441BF6"/>
    <w:rsid w:val="0044274F"/>
    <w:rsid w:val="004441A0"/>
    <w:rsid w:val="00445861"/>
    <w:rsid w:val="00445A8E"/>
    <w:rsid w:val="00446D44"/>
    <w:rsid w:val="004473B6"/>
    <w:rsid w:val="0044761F"/>
    <w:rsid w:val="0045078A"/>
    <w:rsid w:val="0045086D"/>
    <w:rsid w:val="00451EF1"/>
    <w:rsid w:val="00452906"/>
    <w:rsid w:val="00452E60"/>
    <w:rsid w:val="00455FC1"/>
    <w:rsid w:val="00456FE5"/>
    <w:rsid w:val="00457490"/>
    <w:rsid w:val="00457953"/>
    <w:rsid w:val="00460FB3"/>
    <w:rsid w:val="00464851"/>
    <w:rsid w:val="004656CD"/>
    <w:rsid w:val="00467B14"/>
    <w:rsid w:val="004707FE"/>
    <w:rsid w:val="0047276D"/>
    <w:rsid w:val="00472AF6"/>
    <w:rsid w:val="00474016"/>
    <w:rsid w:val="00474A04"/>
    <w:rsid w:val="00475407"/>
    <w:rsid w:val="0047553A"/>
    <w:rsid w:val="00476240"/>
    <w:rsid w:val="00476439"/>
    <w:rsid w:val="004769E0"/>
    <w:rsid w:val="00476D7D"/>
    <w:rsid w:val="0047735C"/>
    <w:rsid w:val="004776BC"/>
    <w:rsid w:val="00477820"/>
    <w:rsid w:val="00477B96"/>
    <w:rsid w:val="00480840"/>
    <w:rsid w:val="00480D99"/>
    <w:rsid w:val="0048139F"/>
    <w:rsid w:val="00481B18"/>
    <w:rsid w:val="00481E40"/>
    <w:rsid w:val="00482405"/>
    <w:rsid w:val="004826A7"/>
    <w:rsid w:val="0048368C"/>
    <w:rsid w:val="00484ECE"/>
    <w:rsid w:val="0048586B"/>
    <w:rsid w:val="00486251"/>
    <w:rsid w:val="00486A4D"/>
    <w:rsid w:val="004900AB"/>
    <w:rsid w:val="0049094C"/>
    <w:rsid w:val="004915CB"/>
    <w:rsid w:val="004924DC"/>
    <w:rsid w:val="00492879"/>
    <w:rsid w:val="00493A4C"/>
    <w:rsid w:val="00494C04"/>
    <w:rsid w:val="0049789B"/>
    <w:rsid w:val="004979A5"/>
    <w:rsid w:val="00497F35"/>
    <w:rsid w:val="004A05E6"/>
    <w:rsid w:val="004A0FD3"/>
    <w:rsid w:val="004A14E4"/>
    <w:rsid w:val="004A1C10"/>
    <w:rsid w:val="004A204E"/>
    <w:rsid w:val="004A26A5"/>
    <w:rsid w:val="004A27F0"/>
    <w:rsid w:val="004A3212"/>
    <w:rsid w:val="004A37CD"/>
    <w:rsid w:val="004A40D9"/>
    <w:rsid w:val="004A4F8A"/>
    <w:rsid w:val="004A5494"/>
    <w:rsid w:val="004A5AF4"/>
    <w:rsid w:val="004A61C5"/>
    <w:rsid w:val="004A62A0"/>
    <w:rsid w:val="004A77DF"/>
    <w:rsid w:val="004B1417"/>
    <w:rsid w:val="004B305C"/>
    <w:rsid w:val="004B320E"/>
    <w:rsid w:val="004B339A"/>
    <w:rsid w:val="004B5201"/>
    <w:rsid w:val="004B55B7"/>
    <w:rsid w:val="004B6468"/>
    <w:rsid w:val="004B6EF8"/>
    <w:rsid w:val="004B7125"/>
    <w:rsid w:val="004B756A"/>
    <w:rsid w:val="004B7FB1"/>
    <w:rsid w:val="004C2734"/>
    <w:rsid w:val="004C384C"/>
    <w:rsid w:val="004C3867"/>
    <w:rsid w:val="004C393C"/>
    <w:rsid w:val="004C3DB0"/>
    <w:rsid w:val="004C4720"/>
    <w:rsid w:val="004C4951"/>
    <w:rsid w:val="004C4CD0"/>
    <w:rsid w:val="004C5060"/>
    <w:rsid w:val="004C5165"/>
    <w:rsid w:val="004C6322"/>
    <w:rsid w:val="004C6E0E"/>
    <w:rsid w:val="004C70DC"/>
    <w:rsid w:val="004D0211"/>
    <w:rsid w:val="004D0794"/>
    <w:rsid w:val="004D199B"/>
    <w:rsid w:val="004D3296"/>
    <w:rsid w:val="004D499A"/>
    <w:rsid w:val="004D530C"/>
    <w:rsid w:val="004D5B0F"/>
    <w:rsid w:val="004D5E77"/>
    <w:rsid w:val="004D6ED7"/>
    <w:rsid w:val="004D7626"/>
    <w:rsid w:val="004E1A40"/>
    <w:rsid w:val="004E200A"/>
    <w:rsid w:val="004E23FC"/>
    <w:rsid w:val="004E2409"/>
    <w:rsid w:val="004E261D"/>
    <w:rsid w:val="004E4273"/>
    <w:rsid w:val="004E4C0C"/>
    <w:rsid w:val="004E6D1D"/>
    <w:rsid w:val="004E6DCE"/>
    <w:rsid w:val="004E6DE6"/>
    <w:rsid w:val="004E765E"/>
    <w:rsid w:val="004E7815"/>
    <w:rsid w:val="004F06F5"/>
    <w:rsid w:val="004F12A4"/>
    <w:rsid w:val="004F1C56"/>
    <w:rsid w:val="004F1C89"/>
    <w:rsid w:val="004F253F"/>
    <w:rsid w:val="004F2DDD"/>
    <w:rsid w:val="004F33A0"/>
    <w:rsid w:val="004F3BD2"/>
    <w:rsid w:val="004F4665"/>
    <w:rsid w:val="004F730C"/>
    <w:rsid w:val="00500592"/>
    <w:rsid w:val="00501171"/>
    <w:rsid w:val="00502129"/>
    <w:rsid w:val="0050387A"/>
    <w:rsid w:val="00504812"/>
    <w:rsid w:val="005048E2"/>
    <w:rsid w:val="00504CA4"/>
    <w:rsid w:val="0050648F"/>
    <w:rsid w:val="00506603"/>
    <w:rsid w:val="0050689D"/>
    <w:rsid w:val="00506EEE"/>
    <w:rsid w:val="00507012"/>
    <w:rsid w:val="00507394"/>
    <w:rsid w:val="005077F5"/>
    <w:rsid w:val="005108C0"/>
    <w:rsid w:val="0051094F"/>
    <w:rsid w:val="00511873"/>
    <w:rsid w:val="00512461"/>
    <w:rsid w:val="00512A2F"/>
    <w:rsid w:val="00513B7E"/>
    <w:rsid w:val="0051475D"/>
    <w:rsid w:val="00514B11"/>
    <w:rsid w:val="00515BE9"/>
    <w:rsid w:val="00515C74"/>
    <w:rsid w:val="00516F6A"/>
    <w:rsid w:val="00517113"/>
    <w:rsid w:val="00517588"/>
    <w:rsid w:val="0052007E"/>
    <w:rsid w:val="00522C8D"/>
    <w:rsid w:val="00522E01"/>
    <w:rsid w:val="0052337A"/>
    <w:rsid w:val="00524385"/>
    <w:rsid w:val="005246BE"/>
    <w:rsid w:val="00525137"/>
    <w:rsid w:val="005251DD"/>
    <w:rsid w:val="0053009D"/>
    <w:rsid w:val="005301A6"/>
    <w:rsid w:val="005309A2"/>
    <w:rsid w:val="00530A68"/>
    <w:rsid w:val="00530AD4"/>
    <w:rsid w:val="00531409"/>
    <w:rsid w:val="0053183A"/>
    <w:rsid w:val="00532CE7"/>
    <w:rsid w:val="00532D8B"/>
    <w:rsid w:val="005331EF"/>
    <w:rsid w:val="0053324C"/>
    <w:rsid w:val="00534A28"/>
    <w:rsid w:val="00535018"/>
    <w:rsid w:val="0053595E"/>
    <w:rsid w:val="00537571"/>
    <w:rsid w:val="0053761B"/>
    <w:rsid w:val="00540168"/>
    <w:rsid w:val="005410E2"/>
    <w:rsid w:val="00541508"/>
    <w:rsid w:val="00541AE3"/>
    <w:rsid w:val="00543498"/>
    <w:rsid w:val="00544BE5"/>
    <w:rsid w:val="00547F7A"/>
    <w:rsid w:val="00550160"/>
    <w:rsid w:val="005523A8"/>
    <w:rsid w:val="00552F2C"/>
    <w:rsid w:val="005534F4"/>
    <w:rsid w:val="00553A25"/>
    <w:rsid w:val="0055451B"/>
    <w:rsid w:val="005547EB"/>
    <w:rsid w:val="005555E0"/>
    <w:rsid w:val="0055599F"/>
    <w:rsid w:val="00556D68"/>
    <w:rsid w:val="005570D6"/>
    <w:rsid w:val="00557E45"/>
    <w:rsid w:val="005600FF"/>
    <w:rsid w:val="005612FC"/>
    <w:rsid w:val="00561F44"/>
    <w:rsid w:val="00563AC8"/>
    <w:rsid w:val="00563EB8"/>
    <w:rsid w:val="005647BF"/>
    <w:rsid w:val="00564AF1"/>
    <w:rsid w:val="005651B0"/>
    <w:rsid w:val="005655DB"/>
    <w:rsid w:val="005678DC"/>
    <w:rsid w:val="00570270"/>
    <w:rsid w:val="00570BC3"/>
    <w:rsid w:val="0057182A"/>
    <w:rsid w:val="00571E59"/>
    <w:rsid w:val="00572079"/>
    <w:rsid w:val="00572350"/>
    <w:rsid w:val="00573602"/>
    <w:rsid w:val="0057364B"/>
    <w:rsid w:val="00574552"/>
    <w:rsid w:val="00574682"/>
    <w:rsid w:val="00574773"/>
    <w:rsid w:val="0057496F"/>
    <w:rsid w:val="00575F37"/>
    <w:rsid w:val="005761EC"/>
    <w:rsid w:val="005765CD"/>
    <w:rsid w:val="005773E1"/>
    <w:rsid w:val="00577C07"/>
    <w:rsid w:val="00577DB1"/>
    <w:rsid w:val="00580D5C"/>
    <w:rsid w:val="00580DE7"/>
    <w:rsid w:val="00583E52"/>
    <w:rsid w:val="00583FFD"/>
    <w:rsid w:val="0058519A"/>
    <w:rsid w:val="005856BD"/>
    <w:rsid w:val="00586BCA"/>
    <w:rsid w:val="00587632"/>
    <w:rsid w:val="00590B28"/>
    <w:rsid w:val="005911BE"/>
    <w:rsid w:val="00591273"/>
    <w:rsid w:val="005927A4"/>
    <w:rsid w:val="00593152"/>
    <w:rsid w:val="00594157"/>
    <w:rsid w:val="005956A3"/>
    <w:rsid w:val="00595958"/>
    <w:rsid w:val="00595CAB"/>
    <w:rsid w:val="00597BBF"/>
    <w:rsid w:val="005A10F2"/>
    <w:rsid w:val="005A1F58"/>
    <w:rsid w:val="005A21E0"/>
    <w:rsid w:val="005A28FF"/>
    <w:rsid w:val="005A2C09"/>
    <w:rsid w:val="005A3778"/>
    <w:rsid w:val="005A3AD8"/>
    <w:rsid w:val="005A3DF8"/>
    <w:rsid w:val="005A5549"/>
    <w:rsid w:val="005A7CF8"/>
    <w:rsid w:val="005B121D"/>
    <w:rsid w:val="005B3309"/>
    <w:rsid w:val="005B41C9"/>
    <w:rsid w:val="005B4853"/>
    <w:rsid w:val="005B66CC"/>
    <w:rsid w:val="005B6CA1"/>
    <w:rsid w:val="005B770C"/>
    <w:rsid w:val="005B7814"/>
    <w:rsid w:val="005C02E4"/>
    <w:rsid w:val="005C06ED"/>
    <w:rsid w:val="005C09B2"/>
    <w:rsid w:val="005C11B8"/>
    <w:rsid w:val="005C2609"/>
    <w:rsid w:val="005C43EC"/>
    <w:rsid w:val="005C45DD"/>
    <w:rsid w:val="005D21F1"/>
    <w:rsid w:val="005D2FDA"/>
    <w:rsid w:val="005D3F06"/>
    <w:rsid w:val="005D4B73"/>
    <w:rsid w:val="005D5575"/>
    <w:rsid w:val="005D5802"/>
    <w:rsid w:val="005D5AA9"/>
    <w:rsid w:val="005D66E6"/>
    <w:rsid w:val="005D690B"/>
    <w:rsid w:val="005D7119"/>
    <w:rsid w:val="005D76C8"/>
    <w:rsid w:val="005D7890"/>
    <w:rsid w:val="005E1026"/>
    <w:rsid w:val="005E19C1"/>
    <w:rsid w:val="005E2194"/>
    <w:rsid w:val="005E24F0"/>
    <w:rsid w:val="005E36FE"/>
    <w:rsid w:val="005E490F"/>
    <w:rsid w:val="005E4BC9"/>
    <w:rsid w:val="005E5314"/>
    <w:rsid w:val="005E7074"/>
    <w:rsid w:val="005E7C78"/>
    <w:rsid w:val="005F04A7"/>
    <w:rsid w:val="005F114F"/>
    <w:rsid w:val="005F18C5"/>
    <w:rsid w:val="005F2097"/>
    <w:rsid w:val="005F2A08"/>
    <w:rsid w:val="005F36CC"/>
    <w:rsid w:val="005F3EB1"/>
    <w:rsid w:val="005F466B"/>
    <w:rsid w:val="005F46D8"/>
    <w:rsid w:val="005F5469"/>
    <w:rsid w:val="005F57FA"/>
    <w:rsid w:val="005F63F3"/>
    <w:rsid w:val="005F68DB"/>
    <w:rsid w:val="005F6D7F"/>
    <w:rsid w:val="00600C2F"/>
    <w:rsid w:val="00601EEF"/>
    <w:rsid w:val="00602A4D"/>
    <w:rsid w:val="00604307"/>
    <w:rsid w:val="0060487F"/>
    <w:rsid w:val="006048BE"/>
    <w:rsid w:val="00604EAD"/>
    <w:rsid w:val="0060513F"/>
    <w:rsid w:val="006072CF"/>
    <w:rsid w:val="006104FB"/>
    <w:rsid w:val="006115B5"/>
    <w:rsid w:val="00612A2F"/>
    <w:rsid w:val="00612AAE"/>
    <w:rsid w:val="00612FD9"/>
    <w:rsid w:val="00612FE6"/>
    <w:rsid w:val="006139E0"/>
    <w:rsid w:val="006156B4"/>
    <w:rsid w:val="00615DAF"/>
    <w:rsid w:val="00616E05"/>
    <w:rsid w:val="00617985"/>
    <w:rsid w:val="0062131B"/>
    <w:rsid w:val="006227DF"/>
    <w:rsid w:val="00623321"/>
    <w:rsid w:val="006236C8"/>
    <w:rsid w:val="00624093"/>
    <w:rsid w:val="00624E09"/>
    <w:rsid w:val="00626025"/>
    <w:rsid w:val="00626E7E"/>
    <w:rsid w:val="00630EE9"/>
    <w:rsid w:val="00631643"/>
    <w:rsid w:val="00631698"/>
    <w:rsid w:val="00631E44"/>
    <w:rsid w:val="00633329"/>
    <w:rsid w:val="006335AF"/>
    <w:rsid w:val="00634C57"/>
    <w:rsid w:val="00634CE7"/>
    <w:rsid w:val="006350D5"/>
    <w:rsid w:val="0063642C"/>
    <w:rsid w:val="00637858"/>
    <w:rsid w:val="00637C3D"/>
    <w:rsid w:val="00637EFD"/>
    <w:rsid w:val="006404A7"/>
    <w:rsid w:val="00640715"/>
    <w:rsid w:val="00640A38"/>
    <w:rsid w:val="00641787"/>
    <w:rsid w:val="00642489"/>
    <w:rsid w:val="00642910"/>
    <w:rsid w:val="00644137"/>
    <w:rsid w:val="0064478C"/>
    <w:rsid w:val="006451E4"/>
    <w:rsid w:val="00645B33"/>
    <w:rsid w:val="00647D47"/>
    <w:rsid w:val="006510C7"/>
    <w:rsid w:val="006516CB"/>
    <w:rsid w:val="0065224C"/>
    <w:rsid w:val="0065267E"/>
    <w:rsid w:val="006538D9"/>
    <w:rsid w:val="00653BD0"/>
    <w:rsid w:val="00654110"/>
    <w:rsid w:val="0065517D"/>
    <w:rsid w:val="00656C5D"/>
    <w:rsid w:val="00656CFB"/>
    <w:rsid w:val="00656DA5"/>
    <w:rsid w:val="00657C02"/>
    <w:rsid w:val="00657E87"/>
    <w:rsid w:val="00660D2D"/>
    <w:rsid w:val="00661EDB"/>
    <w:rsid w:val="00662469"/>
    <w:rsid w:val="00664647"/>
    <w:rsid w:val="00664803"/>
    <w:rsid w:val="00665982"/>
    <w:rsid w:val="00665BA4"/>
    <w:rsid w:val="006674BE"/>
    <w:rsid w:val="00667AF2"/>
    <w:rsid w:val="0067017A"/>
    <w:rsid w:val="00670489"/>
    <w:rsid w:val="006710C9"/>
    <w:rsid w:val="00671D05"/>
    <w:rsid w:val="00672866"/>
    <w:rsid w:val="006741CD"/>
    <w:rsid w:val="00674D89"/>
    <w:rsid w:val="00675E37"/>
    <w:rsid w:val="00676736"/>
    <w:rsid w:val="006769A4"/>
    <w:rsid w:val="00676D76"/>
    <w:rsid w:val="00676F9F"/>
    <w:rsid w:val="00677591"/>
    <w:rsid w:val="00677594"/>
    <w:rsid w:val="0068032F"/>
    <w:rsid w:val="00680D37"/>
    <w:rsid w:val="0068174E"/>
    <w:rsid w:val="00681DCE"/>
    <w:rsid w:val="0068260E"/>
    <w:rsid w:val="006846B3"/>
    <w:rsid w:val="00684D59"/>
    <w:rsid w:val="00684E25"/>
    <w:rsid w:val="006858A4"/>
    <w:rsid w:val="00686354"/>
    <w:rsid w:val="00686718"/>
    <w:rsid w:val="00686BFA"/>
    <w:rsid w:val="00686DED"/>
    <w:rsid w:val="006875A0"/>
    <w:rsid w:val="00687D27"/>
    <w:rsid w:val="00690E9E"/>
    <w:rsid w:val="00695065"/>
    <w:rsid w:val="00695BEF"/>
    <w:rsid w:val="00695EFF"/>
    <w:rsid w:val="006966C7"/>
    <w:rsid w:val="006968C1"/>
    <w:rsid w:val="006977F6"/>
    <w:rsid w:val="00697A13"/>
    <w:rsid w:val="006A072C"/>
    <w:rsid w:val="006A109C"/>
    <w:rsid w:val="006A5898"/>
    <w:rsid w:val="006A6354"/>
    <w:rsid w:val="006A6565"/>
    <w:rsid w:val="006A7691"/>
    <w:rsid w:val="006A7808"/>
    <w:rsid w:val="006A7E9D"/>
    <w:rsid w:val="006A7EE2"/>
    <w:rsid w:val="006B0514"/>
    <w:rsid w:val="006B0F92"/>
    <w:rsid w:val="006B1975"/>
    <w:rsid w:val="006B2785"/>
    <w:rsid w:val="006B344A"/>
    <w:rsid w:val="006B39B8"/>
    <w:rsid w:val="006B39F9"/>
    <w:rsid w:val="006B4006"/>
    <w:rsid w:val="006B58C9"/>
    <w:rsid w:val="006B60ED"/>
    <w:rsid w:val="006B6CC5"/>
    <w:rsid w:val="006B6EDD"/>
    <w:rsid w:val="006B74AC"/>
    <w:rsid w:val="006B78D8"/>
    <w:rsid w:val="006B79EA"/>
    <w:rsid w:val="006C0512"/>
    <w:rsid w:val="006C0C5D"/>
    <w:rsid w:val="006C113F"/>
    <w:rsid w:val="006C123E"/>
    <w:rsid w:val="006C15A1"/>
    <w:rsid w:val="006C1752"/>
    <w:rsid w:val="006C28CA"/>
    <w:rsid w:val="006C2BBF"/>
    <w:rsid w:val="006C2FBD"/>
    <w:rsid w:val="006C4355"/>
    <w:rsid w:val="006C469D"/>
    <w:rsid w:val="006C46B5"/>
    <w:rsid w:val="006C474D"/>
    <w:rsid w:val="006C484F"/>
    <w:rsid w:val="006C52EC"/>
    <w:rsid w:val="006C56D4"/>
    <w:rsid w:val="006C6681"/>
    <w:rsid w:val="006C683C"/>
    <w:rsid w:val="006C6924"/>
    <w:rsid w:val="006C6C1E"/>
    <w:rsid w:val="006C7076"/>
    <w:rsid w:val="006C7746"/>
    <w:rsid w:val="006C7CA6"/>
    <w:rsid w:val="006D0AC4"/>
    <w:rsid w:val="006D18B3"/>
    <w:rsid w:val="006D1E89"/>
    <w:rsid w:val="006D3CD4"/>
    <w:rsid w:val="006D3E8A"/>
    <w:rsid w:val="006D61F6"/>
    <w:rsid w:val="006E1332"/>
    <w:rsid w:val="006E279A"/>
    <w:rsid w:val="006E2A88"/>
    <w:rsid w:val="006E313B"/>
    <w:rsid w:val="006E3A45"/>
    <w:rsid w:val="006E4789"/>
    <w:rsid w:val="006E47E7"/>
    <w:rsid w:val="006E53AD"/>
    <w:rsid w:val="006E58CB"/>
    <w:rsid w:val="006E7227"/>
    <w:rsid w:val="006F0741"/>
    <w:rsid w:val="006F0BA8"/>
    <w:rsid w:val="006F1C27"/>
    <w:rsid w:val="006F40DF"/>
    <w:rsid w:val="006F42BB"/>
    <w:rsid w:val="006F438E"/>
    <w:rsid w:val="006F440B"/>
    <w:rsid w:val="006F4B69"/>
    <w:rsid w:val="006F5323"/>
    <w:rsid w:val="006F5416"/>
    <w:rsid w:val="006F624B"/>
    <w:rsid w:val="006F6D87"/>
    <w:rsid w:val="007006CB"/>
    <w:rsid w:val="0070398A"/>
    <w:rsid w:val="00705242"/>
    <w:rsid w:val="007055E0"/>
    <w:rsid w:val="00705C4B"/>
    <w:rsid w:val="007065C5"/>
    <w:rsid w:val="00706AA0"/>
    <w:rsid w:val="00706AD4"/>
    <w:rsid w:val="00707150"/>
    <w:rsid w:val="00707EFA"/>
    <w:rsid w:val="00713549"/>
    <w:rsid w:val="007136DB"/>
    <w:rsid w:val="007140BE"/>
    <w:rsid w:val="00715502"/>
    <w:rsid w:val="00715E4D"/>
    <w:rsid w:val="00716514"/>
    <w:rsid w:val="00716F48"/>
    <w:rsid w:val="00717114"/>
    <w:rsid w:val="0071779F"/>
    <w:rsid w:val="007211F5"/>
    <w:rsid w:val="00723435"/>
    <w:rsid w:val="00723436"/>
    <w:rsid w:val="007240E2"/>
    <w:rsid w:val="0072583E"/>
    <w:rsid w:val="00725BB5"/>
    <w:rsid w:val="00727735"/>
    <w:rsid w:val="00727C02"/>
    <w:rsid w:val="00730AE8"/>
    <w:rsid w:val="00730F1B"/>
    <w:rsid w:val="007313D5"/>
    <w:rsid w:val="0073186D"/>
    <w:rsid w:val="00732136"/>
    <w:rsid w:val="0073333D"/>
    <w:rsid w:val="007341C8"/>
    <w:rsid w:val="007343D9"/>
    <w:rsid w:val="00735448"/>
    <w:rsid w:val="00736BF2"/>
    <w:rsid w:val="00737DEC"/>
    <w:rsid w:val="00737FBD"/>
    <w:rsid w:val="00741493"/>
    <w:rsid w:val="007434E5"/>
    <w:rsid w:val="0074499B"/>
    <w:rsid w:val="007465A7"/>
    <w:rsid w:val="007477BD"/>
    <w:rsid w:val="00750B47"/>
    <w:rsid w:val="00752157"/>
    <w:rsid w:val="00752180"/>
    <w:rsid w:val="00752323"/>
    <w:rsid w:val="00753122"/>
    <w:rsid w:val="007532B7"/>
    <w:rsid w:val="00753CAB"/>
    <w:rsid w:val="00754A70"/>
    <w:rsid w:val="00754BC9"/>
    <w:rsid w:val="00755202"/>
    <w:rsid w:val="00755D3A"/>
    <w:rsid w:val="00756554"/>
    <w:rsid w:val="007566A0"/>
    <w:rsid w:val="0075751D"/>
    <w:rsid w:val="007578D3"/>
    <w:rsid w:val="007602CF"/>
    <w:rsid w:val="00760391"/>
    <w:rsid w:val="007609C6"/>
    <w:rsid w:val="007615F3"/>
    <w:rsid w:val="0076175D"/>
    <w:rsid w:val="007629D5"/>
    <w:rsid w:val="007634FE"/>
    <w:rsid w:val="00763B85"/>
    <w:rsid w:val="00764974"/>
    <w:rsid w:val="00764D18"/>
    <w:rsid w:val="0076521E"/>
    <w:rsid w:val="00765795"/>
    <w:rsid w:val="007661E9"/>
    <w:rsid w:val="00767062"/>
    <w:rsid w:val="00767777"/>
    <w:rsid w:val="0077108A"/>
    <w:rsid w:val="00771972"/>
    <w:rsid w:val="00772DAB"/>
    <w:rsid w:val="007740FE"/>
    <w:rsid w:val="00774D2C"/>
    <w:rsid w:val="00776169"/>
    <w:rsid w:val="00776527"/>
    <w:rsid w:val="00776533"/>
    <w:rsid w:val="00777040"/>
    <w:rsid w:val="00777CE6"/>
    <w:rsid w:val="00777F8B"/>
    <w:rsid w:val="007803F7"/>
    <w:rsid w:val="00780EF1"/>
    <w:rsid w:val="00781A91"/>
    <w:rsid w:val="00785778"/>
    <w:rsid w:val="00786C87"/>
    <w:rsid w:val="0078721E"/>
    <w:rsid w:val="0078755E"/>
    <w:rsid w:val="007877C9"/>
    <w:rsid w:val="00790764"/>
    <w:rsid w:val="0079085F"/>
    <w:rsid w:val="00791005"/>
    <w:rsid w:val="00793D78"/>
    <w:rsid w:val="0079453C"/>
    <w:rsid w:val="00794677"/>
    <w:rsid w:val="007A1616"/>
    <w:rsid w:val="007A170B"/>
    <w:rsid w:val="007A1CD6"/>
    <w:rsid w:val="007A33E2"/>
    <w:rsid w:val="007A342C"/>
    <w:rsid w:val="007A3CAF"/>
    <w:rsid w:val="007A516D"/>
    <w:rsid w:val="007A55BA"/>
    <w:rsid w:val="007A5E65"/>
    <w:rsid w:val="007A65E1"/>
    <w:rsid w:val="007A775D"/>
    <w:rsid w:val="007B02AC"/>
    <w:rsid w:val="007B0834"/>
    <w:rsid w:val="007B0E83"/>
    <w:rsid w:val="007B11FA"/>
    <w:rsid w:val="007B1396"/>
    <w:rsid w:val="007B16D6"/>
    <w:rsid w:val="007B2011"/>
    <w:rsid w:val="007B2CB3"/>
    <w:rsid w:val="007B2CFE"/>
    <w:rsid w:val="007B309B"/>
    <w:rsid w:val="007B35A5"/>
    <w:rsid w:val="007B3622"/>
    <w:rsid w:val="007B3D5E"/>
    <w:rsid w:val="007B3DCB"/>
    <w:rsid w:val="007B5725"/>
    <w:rsid w:val="007B6689"/>
    <w:rsid w:val="007B6747"/>
    <w:rsid w:val="007B6F72"/>
    <w:rsid w:val="007B780E"/>
    <w:rsid w:val="007C1F0C"/>
    <w:rsid w:val="007C1FFB"/>
    <w:rsid w:val="007C2812"/>
    <w:rsid w:val="007C2D94"/>
    <w:rsid w:val="007C5F92"/>
    <w:rsid w:val="007C6227"/>
    <w:rsid w:val="007C6BBD"/>
    <w:rsid w:val="007C6D89"/>
    <w:rsid w:val="007C7BE4"/>
    <w:rsid w:val="007D0382"/>
    <w:rsid w:val="007D1A1F"/>
    <w:rsid w:val="007D2E18"/>
    <w:rsid w:val="007D3A5A"/>
    <w:rsid w:val="007D40DF"/>
    <w:rsid w:val="007D42E5"/>
    <w:rsid w:val="007D4458"/>
    <w:rsid w:val="007E0D4A"/>
    <w:rsid w:val="007E1788"/>
    <w:rsid w:val="007E2618"/>
    <w:rsid w:val="007E29B4"/>
    <w:rsid w:val="007E2A0F"/>
    <w:rsid w:val="007E2F12"/>
    <w:rsid w:val="007E435A"/>
    <w:rsid w:val="007E49F7"/>
    <w:rsid w:val="007E4C70"/>
    <w:rsid w:val="007E4EFE"/>
    <w:rsid w:val="007E61A2"/>
    <w:rsid w:val="007E78B6"/>
    <w:rsid w:val="007E79B4"/>
    <w:rsid w:val="007E7E61"/>
    <w:rsid w:val="007F0845"/>
    <w:rsid w:val="007F08A4"/>
    <w:rsid w:val="007F20F3"/>
    <w:rsid w:val="007F2390"/>
    <w:rsid w:val="007F2CAC"/>
    <w:rsid w:val="007F4740"/>
    <w:rsid w:val="007F524A"/>
    <w:rsid w:val="007F595A"/>
    <w:rsid w:val="007F6E7E"/>
    <w:rsid w:val="007F708D"/>
    <w:rsid w:val="008006B3"/>
    <w:rsid w:val="00801E13"/>
    <w:rsid w:val="00803008"/>
    <w:rsid w:val="00803069"/>
    <w:rsid w:val="008067D4"/>
    <w:rsid w:val="00807145"/>
    <w:rsid w:val="0080734C"/>
    <w:rsid w:val="0080798E"/>
    <w:rsid w:val="00807C82"/>
    <w:rsid w:val="00811791"/>
    <w:rsid w:val="008117CC"/>
    <w:rsid w:val="008125A4"/>
    <w:rsid w:val="00813DCA"/>
    <w:rsid w:val="00814A0E"/>
    <w:rsid w:val="008161A6"/>
    <w:rsid w:val="00816905"/>
    <w:rsid w:val="00817A17"/>
    <w:rsid w:val="00817EC1"/>
    <w:rsid w:val="0082112D"/>
    <w:rsid w:val="0082121F"/>
    <w:rsid w:val="00821FF6"/>
    <w:rsid w:val="0082248B"/>
    <w:rsid w:val="00822574"/>
    <w:rsid w:val="00822CDC"/>
    <w:rsid w:val="00822F08"/>
    <w:rsid w:val="00823DBB"/>
    <w:rsid w:val="00825C4D"/>
    <w:rsid w:val="00826A08"/>
    <w:rsid w:val="00827186"/>
    <w:rsid w:val="00827776"/>
    <w:rsid w:val="00827C8E"/>
    <w:rsid w:val="00827D1E"/>
    <w:rsid w:val="00830AEA"/>
    <w:rsid w:val="00830E86"/>
    <w:rsid w:val="0083143E"/>
    <w:rsid w:val="008315D5"/>
    <w:rsid w:val="00831CDE"/>
    <w:rsid w:val="00834304"/>
    <w:rsid w:val="00834FAA"/>
    <w:rsid w:val="008354FB"/>
    <w:rsid w:val="00836086"/>
    <w:rsid w:val="0083630F"/>
    <w:rsid w:val="00836A06"/>
    <w:rsid w:val="008373F2"/>
    <w:rsid w:val="008374BC"/>
    <w:rsid w:val="00840293"/>
    <w:rsid w:val="008408D4"/>
    <w:rsid w:val="008417B5"/>
    <w:rsid w:val="00841901"/>
    <w:rsid w:val="00841C18"/>
    <w:rsid w:val="008458BD"/>
    <w:rsid w:val="00846121"/>
    <w:rsid w:val="008466C6"/>
    <w:rsid w:val="0084708F"/>
    <w:rsid w:val="008477C8"/>
    <w:rsid w:val="008478A6"/>
    <w:rsid w:val="0085114D"/>
    <w:rsid w:val="008520A8"/>
    <w:rsid w:val="00852217"/>
    <w:rsid w:val="008532BF"/>
    <w:rsid w:val="008537E8"/>
    <w:rsid w:val="00853F59"/>
    <w:rsid w:val="00855408"/>
    <w:rsid w:val="00855BD0"/>
    <w:rsid w:val="00855EFE"/>
    <w:rsid w:val="008562D8"/>
    <w:rsid w:val="00856D65"/>
    <w:rsid w:val="00861B41"/>
    <w:rsid w:val="00861B9F"/>
    <w:rsid w:val="00861BE3"/>
    <w:rsid w:val="008625D3"/>
    <w:rsid w:val="008630BD"/>
    <w:rsid w:val="00863434"/>
    <w:rsid w:val="0086344F"/>
    <w:rsid w:val="008637E8"/>
    <w:rsid w:val="008641AC"/>
    <w:rsid w:val="00865E4C"/>
    <w:rsid w:val="0086796D"/>
    <w:rsid w:val="00867DAB"/>
    <w:rsid w:val="0087000B"/>
    <w:rsid w:val="008701E4"/>
    <w:rsid w:val="008704E9"/>
    <w:rsid w:val="0087116C"/>
    <w:rsid w:val="008727DE"/>
    <w:rsid w:val="008734E7"/>
    <w:rsid w:val="0087368D"/>
    <w:rsid w:val="00874FE8"/>
    <w:rsid w:val="00875944"/>
    <w:rsid w:val="00875A32"/>
    <w:rsid w:val="00876086"/>
    <w:rsid w:val="00876E83"/>
    <w:rsid w:val="008772BC"/>
    <w:rsid w:val="008778F6"/>
    <w:rsid w:val="0088056A"/>
    <w:rsid w:val="00882911"/>
    <w:rsid w:val="0088419D"/>
    <w:rsid w:val="0088522F"/>
    <w:rsid w:val="00885D40"/>
    <w:rsid w:val="00886D96"/>
    <w:rsid w:val="008873D4"/>
    <w:rsid w:val="0088793C"/>
    <w:rsid w:val="00891EDF"/>
    <w:rsid w:val="00892872"/>
    <w:rsid w:val="0089296D"/>
    <w:rsid w:val="00893E85"/>
    <w:rsid w:val="00894031"/>
    <w:rsid w:val="00894C5D"/>
    <w:rsid w:val="00895508"/>
    <w:rsid w:val="008967E9"/>
    <w:rsid w:val="00896A5C"/>
    <w:rsid w:val="0089708C"/>
    <w:rsid w:val="008972D2"/>
    <w:rsid w:val="008974F1"/>
    <w:rsid w:val="0089754C"/>
    <w:rsid w:val="008A0ADD"/>
    <w:rsid w:val="008A0D27"/>
    <w:rsid w:val="008A2414"/>
    <w:rsid w:val="008A37E2"/>
    <w:rsid w:val="008A388E"/>
    <w:rsid w:val="008A3CBA"/>
    <w:rsid w:val="008A3DD6"/>
    <w:rsid w:val="008A4B59"/>
    <w:rsid w:val="008A63E1"/>
    <w:rsid w:val="008B1581"/>
    <w:rsid w:val="008B165B"/>
    <w:rsid w:val="008B27DF"/>
    <w:rsid w:val="008B3A80"/>
    <w:rsid w:val="008B3C07"/>
    <w:rsid w:val="008B3F7B"/>
    <w:rsid w:val="008B42C9"/>
    <w:rsid w:val="008B6106"/>
    <w:rsid w:val="008B692D"/>
    <w:rsid w:val="008B74AE"/>
    <w:rsid w:val="008B7C02"/>
    <w:rsid w:val="008B7D2B"/>
    <w:rsid w:val="008B7EF9"/>
    <w:rsid w:val="008C0049"/>
    <w:rsid w:val="008C0E88"/>
    <w:rsid w:val="008C198E"/>
    <w:rsid w:val="008C4B50"/>
    <w:rsid w:val="008C66EF"/>
    <w:rsid w:val="008C7569"/>
    <w:rsid w:val="008C7DDC"/>
    <w:rsid w:val="008D0DBD"/>
    <w:rsid w:val="008D127E"/>
    <w:rsid w:val="008D1CA8"/>
    <w:rsid w:val="008D1E6A"/>
    <w:rsid w:val="008D2A16"/>
    <w:rsid w:val="008D33F5"/>
    <w:rsid w:val="008D35E4"/>
    <w:rsid w:val="008D6C3A"/>
    <w:rsid w:val="008E292B"/>
    <w:rsid w:val="008E2C57"/>
    <w:rsid w:val="008E31FF"/>
    <w:rsid w:val="008E3287"/>
    <w:rsid w:val="008E5B5B"/>
    <w:rsid w:val="008E6DCB"/>
    <w:rsid w:val="008E6F06"/>
    <w:rsid w:val="008E79BB"/>
    <w:rsid w:val="008E7B8E"/>
    <w:rsid w:val="008E7FC9"/>
    <w:rsid w:val="008F029B"/>
    <w:rsid w:val="008F0E4E"/>
    <w:rsid w:val="008F2A5D"/>
    <w:rsid w:val="008F3636"/>
    <w:rsid w:val="008F3CF6"/>
    <w:rsid w:val="008F3FC9"/>
    <w:rsid w:val="008F4632"/>
    <w:rsid w:val="008F49E6"/>
    <w:rsid w:val="008F585B"/>
    <w:rsid w:val="008F6075"/>
    <w:rsid w:val="008F6351"/>
    <w:rsid w:val="009003A8"/>
    <w:rsid w:val="00900496"/>
    <w:rsid w:val="009021DA"/>
    <w:rsid w:val="00902500"/>
    <w:rsid w:val="00902EA5"/>
    <w:rsid w:val="00902EFF"/>
    <w:rsid w:val="00903A8E"/>
    <w:rsid w:val="0090406B"/>
    <w:rsid w:val="0090432C"/>
    <w:rsid w:val="00904F96"/>
    <w:rsid w:val="009052A3"/>
    <w:rsid w:val="009056D7"/>
    <w:rsid w:val="009057B8"/>
    <w:rsid w:val="00905B8D"/>
    <w:rsid w:val="00906401"/>
    <w:rsid w:val="009065CB"/>
    <w:rsid w:val="00906B79"/>
    <w:rsid w:val="00906FE2"/>
    <w:rsid w:val="0090786F"/>
    <w:rsid w:val="009110F7"/>
    <w:rsid w:val="0091155E"/>
    <w:rsid w:val="00912437"/>
    <w:rsid w:val="00912A92"/>
    <w:rsid w:val="009134A0"/>
    <w:rsid w:val="00915D07"/>
    <w:rsid w:val="009162AE"/>
    <w:rsid w:val="00916856"/>
    <w:rsid w:val="00917251"/>
    <w:rsid w:val="0091728D"/>
    <w:rsid w:val="00917DD4"/>
    <w:rsid w:val="009203CC"/>
    <w:rsid w:val="00920EC4"/>
    <w:rsid w:val="0092180B"/>
    <w:rsid w:val="00921F14"/>
    <w:rsid w:val="009225C2"/>
    <w:rsid w:val="00923CB0"/>
    <w:rsid w:val="00924871"/>
    <w:rsid w:val="00924AC8"/>
    <w:rsid w:val="00925429"/>
    <w:rsid w:val="0092597A"/>
    <w:rsid w:val="0092626B"/>
    <w:rsid w:val="00926520"/>
    <w:rsid w:val="00926CF0"/>
    <w:rsid w:val="009273A9"/>
    <w:rsid w:val="0093033E"/>
    <w:rsid w:val="009305FC"/>
    <w:rsid w:val="00930FB1"/>
    <w:rsid w:val="0093139F"/>
    <w:rsid w:val="00932443"/>
    <w:rsid w:val="00932B32"/>
    <w:rsid w:val="00932B66"/>
    <w:rsid w:val="00933562"/>
    <w:rsid w:val="00933F4A"/>
    <w:rsid w:val="00934F44"/>
    <w:rsid w:val="00934FF2"/>
    <w:rsid w:val="00935238"/>
    <w:rsid w:val="00935BD4"/>
    <w:rsid w:val="009373B2"/>
    <w:rsid w:val="00937AE2"/>
    <w:rsid w:val="00940449"/>
    <w:rsid w:val="009407A7"/>
    <w:rsid w:val="00941CD3"/>
    <w:rsid w:val="0094416B"/>
    <w:rsid w:val="0094427A"/>
    <w:rsid w:val="00944C7C"/>
    <w:rsid w:val="00945245"/>
    <w:rsid w:val="00945523"/>
    <w:rsid w:val="00950921"/>
    <w:rsid w:val="00952D37"/>
    <w:rsid w:val="009568DC"/>
    <w:rsid w:val="00957445"/>
    <w:rsid w:val="0095759C"/>
    <w:rsid w:val="00957C1B"/>
    <w:rsid w:val="009618EE"/>
    <w:rsid w:val="009624D2"/>
    <w:rsid w:val="009628D9"/>
    <w:rsid w:val="00962DA7"/>
    <w:rsid w:val="009637AE"/>
    <w:rsid w:val="00964776"/>
    <w:rsid w:val="009647FD"/>
    <w:rsid w:val="00964A4E"/>
    <w:rsid w:val="00964B35"/>
    <w:rsid w:val="009651C7"/>
    <w:rsid w:val="00965797"/>
    <w:rsid w:val="00965A10"/>
    <w:rsid w:val="009670A3"/>
    <w:rsid w:val="009674BE"/>
    <w:rsid w:val="00971C77"/>
    <w:rsid w:val="00972FCD"/>
    <w:rsid w:val="009741FC"/>
    <w:rsid w:val="00974923"/>
    <w:rsid w:val="00975909"/>
    <w:rsid w:val="00976378"/>
    <w:rsid w:val="00977C3D"/>
    <w:rsid w:val="00980D3D"/>
    <w:rsid w:val="0098103E"/>
    <w:rsid w:val="00983101"/>
    <w:rsid w:val="00983E41"/>
    <w:rsid w:val="00986EC6"/>
    <w:rsid w:val="00987A30"/>
    <w:rsid w:val="00990312"/>
    <w:rsid w:val="009908B9"/>
    <w:rsid w:val="0099182E"/>
    <w:rsid w:val="00992AAE"/>
    <w:rsid w:val="00992CF3"/>
    <w:rsid w:val="0099321E"/>
    <w:rsid w:val="00993AEB"/>
    <w:rsid w:val="00994868"/>
    <w:rsid w:val="00994D28"/>
    <w:rsid w:val="00994F2C"/>
    <w:rsid w:val="009957CC"/>
    <w:rsid w:val="0099584E"/>
    <w:rsid w:val="009968D6"/>
    <w:rsid w:val="00996E2F"/>
    <w:rsid w:val="009971E0"/>
    <w:rsid w:val="00997953"/>
    <w:rsid w:val="009A04FD"/>
    <w:rsid w:val="009A10A0"/>
    <w:rsid w:val="009A1CAB"/>
    <w:rsid w:val="009A2359"/>
    <w:rsid w:val="009A24F1"/>
    <w:rsid w:val="009A2F94"/>
    <w:rsid w:val="009A35A6"/>
    <w:rsid w:val="009A3E7C"/>
    <w:rsid w:val="009A4D57"/>
    <w:rsid w:val="009A60D1"/>
    <w:rsid w:val="009A64F5"/>
    <w:rsid w:val="009B00D2"/>
    <w:rsid w:val="009B05B3"/>
    <w:rsid w:val="009B284F"/>
    <w:rsid w:val="009B3764"/>
    <w:rsid w:val="009B4430"/>
    <w:rsid w:val="009B5F4B"/>
    <w:rsid w:val="009B66CE"/>
    <w:rsid w:val="009B6FD3"/>
    <w:rsid w:val="009B756A"/>
    <w:rsid w:val="009B7DB2"/>
    <w:rsid w:val="009C0696"/>
    <w:rsid w:val="009C1750"/>
    <w:rsid w:val="009C2A74"/>
    <w:rsid w:val="009C2E29"/>
    <w:rsid w:val="009C3E8F"/>
    <w:rsid w:val="009C554B"/>
    <w:rsid w:val="009C5EB3"/>
    <w:rsid w:val="009C656C"/>
    <w:rsid w:val="009C7126"/>
    <w:rsid w:val="009C719E"/>
    <w:rsid w:val="009C7799"/>
    <w:rsid w:val="009D07A9"/>
    <w:rsid w:val="009D0AE2"/>
    <w:rsid w:val="009D0EBB"/>
    <w:rsid w:val="009D3ACD"/>
    <w:rsid w:val="009D587D"/>
    <w:rsid w:val="009D75BE"/>
    <w:rsid w:val="009D7731"/>
    <w:rsid w:val="009E1120"/>
    <w:rsid w:val="009E178F"/>
    <w:rsid w:val="009E1922"/>
    <w:rsid w:val="009E1A3D"/>
    <w:rsid w:val="009E3B41"/>
    <w:rsid w:val="009E4715"/>
    <w:rsid w:val="009E5273"/>
    <w:rsid w:val="009E57A8"/>
    <w:rsid w:val="009E5B85"/>
    <w:rsid w:val="009E5DDB"/>
    <w:rsid w:val="009F4059"/>
    <w:rsid w:val="009F4982"/>
    <w:rsid w:val="009F4CA7"/>
    <w:rsid w:val="009F703C"/>
    <w:rsid w:val="009F74E1"/>
    <w:rsid w:val="009F7D36"/>
    <w:rsid w:val="009F7FC7"/>
    <w:rsid w:val="00A00E71"/>
    <w:rsid w:val="00A01CB0"/>
    <w:rsid w:val="00A02D00"/>
    <w:rsid w:val="00A0306F"/>
    <w:rsid w:val="00A03B10"/>
    <w:rsid w:val="00A03E2E"/>
    <w:rsid w:val="00A04616"/>
    <w:rsid w:val="00A04717"/>
    <w:rsid w:val="00A05EE4"/>
    <w:rsid w:val="00A076C8"/>
    <w:rsid w:val="00A10857"/>
    <w:rsid w:val="00A10D66"/>
    <w:rsid w:val="00A127B4"/>
    <w:rsid w:val="00A132EF"/>
    <w:rsid w:val="00A14114"/>
    <w:rsid w:val="00A1412D"/>
    <w:rsid w:val="00A1575D"/>
    <w:rsid w:val="00A16413"/>
    <w:rsid w:val="00A16545"/>
    <w:rsid w:val="00A16AED"/>
    <w:rsid w:val="00A16E1D"/>
    <w:rsid w:val="00A17A15"/>
    <w:rsid w:val="00A17D5B"/>
    <w:rsid w:val="00A201E1"/>
    <w:rsid w:val="00A20FE1"/>
    <w:rsid w:val="00A22900"/>
    <w:rsid w:val="00A22E10"/>
    <w:rsid w:val="00A23E43"/>
    <w:rsid w:val="00A24ED9"/>
    <w:rsid w:val="00A25216"/>
    <w:rsid w:val="00A2628E"/>
    <w:rsid w:val="00A2731E"/>
    <w:rsid w:val="00A309AC"/>
    <w:rsid w:val="00A30F65"/>
    <w:rsid w:val="00A319BC"/>
    <w:rsid w:val="00A3279E"/>
    <w:rsid w:val="00A34B0B"/>
    <w:rsid w:val="00A34B5F"/>
    <w:rsid w:val="00A35900"/>
    <w:rsid w:val="00A35ACA"/>
    <w:rsid w:val="00A37DAD"/>
    <w:rsid w:val="00A40EAC"/>
    <w:rsid w:val="00A418BC"/>
    <w:rsid w:val="00A41FCF"/>
    <w:rsid w:val="00A43CF8"/>
    <w:rsid w:val="00A43DF2"/>
    <w:rsid w:val="00A445A8"/>
    <w:rsid w:val="00A44B0D"/>
    <w:rsid w:val="00A44D21"/>
    <w:rsid w:val="00A45087"/>
    <w:rsid w:val="00A45489"/>
    <w:rsid w:val="00A45C56"/>
    <w:rsid w:val="00A465E9"/>
    <w:rsid w:val="00A468E7"/>
    <w:rsid w:val="00A46DE0"/>
    <w:rsid w:val="00A47CE8"/>
    <w:rsid w:val="00A50D73"/>
    <w:rsid w:val="00A52A88"/>
    <w:rsid w:val="00A52CAD"/>
    <w:rsid w:val="00A53FC7"/>
    <w:rsid w:val="00A54056"/>
    <w:rsid w:val="00A54698"/>
    <w:rsid w:val="00A54E18"/>
    <w:rsid w:val="00A55569"/>
    <w:rsid w:val="00A567D3"/>
    <w:rsid w:val="00A60276"/>
    <w:rsid w:val="00A61C55"/>
    <w:rsid w:val="00A626FF"/>
    <w:rsid w:val="00A62CE1"/>
    <w:rsid w:val="00A655D3"/>
    <w:rsid w:val="00A65FEF"/>
    <w:rsid w:val="00A662D9"/>
    <w:rsid w:val="00A66828"/>
    <w:rsid w:val="00A66B08"/>
    <w:rsid w:val="00A66B98"/>
    <w:rsid w:val="00A6741E"/>
    <w:rsid w:val="00A7016A"/>
    <w:rsid w:val="00A7018D"/>
    <w:rsid w:val="00A70337"/>
    <w:rsid w:val="00A7191D"/>
    <w:rsid w:val="00A722F9"/>
    <w:rsid w:val="00A72742"/>
    <w:rsid w:val="00A72D42"/>
    <w:rsid w:val="00A745F9"/>
    <w:rsid w:val="00A74D81"/>
    <w:rsid w:val="00A75E40"/>
    <w:rsid w:val="00A76DD3"/>
    <w:rsid w:val="00A76F33"/>
    <w:rsid w:val="00A77697"/>
    <w:rsid w:val="00A77D1D"/>
    <w:rsid w:val="00A81652"/>
    <w:rsid w:val="00A81AF2"/>
    <w:rsid w:val="00A82BFF"/>
    <w:rsid w:val="00A83150"/>
    <w:rsid w:val="00A83398"/>
    <w:rsid w:val="00A83D6E"/>
    <w:rsid w:val="00A8521A"/>
    <w:rsid w:val="00A857C0"/>
    <w:rsid w:val="00A90F2C"/>
    <w:rsid w:val="00A90FED"/>
    <w:rsid w:val="00A915CB"/>
    <w:rsid w:val="00A9189D"/>
    <w:rsid w:val="00A91AF6"/>
    <w:rsid w:val="00A91E71"/>
    <w:rsid w:val="00A925B1"/>
    <w:rsid w:val="00A92D10"/>
    <w:rsid w:val="00A934F9"/>
    <w:rsid w:val="00A95F1A"/>
    <w:rsid w:val="00A96116"/>
    <w:rsid w:val="00A9614E"/>
    <w:rsid w:val="00A96C0F"/>
    <w:rsid w:val="00A97162"/>
    <w:rsid w:val="00AA0D8A"/>
    <w:rsid w:val="00AA212F"/>
    <w:rsid w:val="00AA2199"/>
    <w:rsid w:val="00AA2996"/>
    <w:rsid w:val="00AA2AF4"/>
    <w:rsid w:val="00AA4282"/>
    <w:rsid w:val="00AA441B"/>
    <w:rsid w:val="00AA52BF"/>
    <w:rsid w:val="00AA559A"/>
    <w:rsid w:val="00AA619D"/>
    <w:rsid w:val="00AA6C31"/>
    <w:rsid w:val="00AA7CE8"/>
    <w:rsid w:val="00AB1457"/>
    <w:rsid w:val="00AB2AF1"/>
    <w:rsid w:val="00AB325B"/>
    <w:rsid w:val="00AB503F"/>
    <w:rsid w:val="00AB5A64"/>
    <w:rsid w:val="00AB5CA1"/>
    <w:rsid w:val="00AB6456"/>
    <w:rsid w:val="00AC044E"/>
    <w:rsid w:val="00AC2395"/>
    <w:rsid w:val="00AC24FA"/>
    <w:rsid w:val="00AC2960"/>
    <w:rsid w:val="00AC2AC4"/>
    <w:rsid w:val="00AC4284"/>
    <w:rsid w:val="00AC45BD"/>
    <w:rsid w:val="00AC50BB"/>
    <w:rsid w:val="00AC6149"/>
    <w:rsid w:val="00AC6259"/>
    <w:rsid w:val="00AD0EE7"/>
    <w:rsid w:val="00AD168E"/>
    <w:rsid w:val="00AD1F05"/>
    <w:rsid w:val="00AD306C"/>
    <w:rsid w:val="00AD44CD"/>
    <w:rsid w:val="00AD5AD2"/>
    <w:rsid w:val="00AD6462"/>
    <w:rsid w:val="00AD66C5"/>
    <w:rsid w:val="00AD68C4"/>
    <w:rsid w:val="00AD71F9"/>
    <w:rsid w:val="00AE019D"/>
    <w:rsid w:val="00AE09B3"/>
    <w:rsid w:val="00AE1A83"/>
    <w:rsid w:val="00AE30BE"/>
    <w:rsid w:val="00AE354B"/>
    <w:rsid w:val="00AE3707"/>
    <w:rsid w:val="00AE3E6A"/>
    <w:rsid w:val="00AE43E0"/>
    <w:rsid w:val="00AE797C"/>
    <w:rsid w:val="00AE7CE7"/>
    <w:rsid w:val="00AE7FAB"/>
    <w:rsid w:val="00AF0DE4"/>
    <w:rsid w:val="00AF10C1"/>
    <w:rsid w:val="00AF1E87"/>
    <w:rsid w:val="00AF28D4"/>
    <w:rsid w:val="00AF36D6"/>
    <w:rsid w:val="00AF436B"/>
    <w:rsid w:val="00AF5179"/>
    <w:rsid w:val="00AF5CC2"/>
    <w:rsid w:val="00AF6776"/>
    <w:rsid w:val="00AF6F98"/>
    <w:rsid w:val="00B00913"/>
    <w:rsid w:val="00B01593"/>
    <w:rsid w:val="00B01FF9"/>
    <w:rsid w:val="00B023F2"/>
    <w:rsid w:val="00B02D10"/>
    <w:rsid w:val="00B02D4D"/>
    <w:rsid w:val="00B038CA"/>
    <w:rsid w:val="00B05945"/>
    <w:rsid w:val="00B06DB4"/>
    <w:rsid w:val="00B10A4D"/>
    <w:rsid w:val="00B10C90"/>
    <w:rsid w:val="00B11002"/>
    <w:rsid w:val="00B111F5"/>
    <w:rsid w:val="00B121B2"/>
    <w:rsid w:val="00B141B6"/>
    <w:rsid w:val="00B14BC1"/>
    <w:rsid w:val="00B166B2"/>
    <w:rsid w:val="00B16EB8"/>
    <w:rsid w:val="00B17E71"/>
    <w:rsid w:val="00B17FDE"/>
    <w:rsid w:val="00B20632"/>
    <w:rsid w:val="00B20C52"/>
    <w:rsid w:val="00B212C6"/>
    <w:rsid w:val="00B2379C"/>
    <w:rsid w:val="00B23D5D"/>
    <w:rsid w:val="00B2687D"/>
    <w:rsid w:val="00B26A61"/>
    <w:rsid w:val="00B26ED6"/>
    <w:rsid w:val="00B3108D"/>
    <w:rsid w:val="00B314FA"/>
    <w:rsid w:val="00B315BE"/>
    <w:rsid w:val="00B32DDB"/>
    <w:rsid w:val="00B32F57"/>
    <w:rsid w:val="00B3345C"/>
    <w:rsid w:val="00B34528"/>
    <w:rsid w:val="00B34931"/>
    <w:rsid w:val="00B34CC9"/>
    <w:rsid w:val="00B35177"/>
    <w:rsid w:val="00B35496"/>
    <w:rsid w:val="00B3563B"/>
    <w:rsid w:val="00B35AAF"/>
    <w:rsid w:val="00B35EDB"/>
    <w:rsid w:val="00B37027"/>
    <w:rsid w:val="00B37D3A"/>
    <w:rsid w:val="00B402FC"/>
    <w:rsid w:val="00B405D1"/>
    <w:rsid w:val="00B422E2"/>
    <w:rsid w:val="00B42D5F"/>
    <w:rsid w:val="00B42F6E"/>
    <w:rsid w:val="00B436C1"/>
    <w:rsid w:val="00B439DA"/>
    <w:rsid w:val="00B4411A"/>
    <w:rsid w:val="00B46604"/>
    <w:rsid w:val="00B46CB8"/>
    <w:rsid w:val="00B47089"/>
    <w:rsid w:val="00B47587"/>
    <w:rsid w:val="00B52151"/>
    <w:rsid w:val="00B52818"/>
    <w:rsid w:val="00B530CD"/>
    <w:rsid w:val="00B53C7D"/>
    <w:rsid w:val="00B53E56"/>
    <w:rsid w:val="00B552ED"/>
    <w:rsid w:val="00B55A97"/>
    <w:rsid w:val="00B55F5E"/>
    <w:rsid w:val="00B560AD"/>
    <w:rsid w:val="00B5649D"/>
    <w:rsid w:val="00B56B6F"/>
    <w:rsid w:val="00B5752E"/>
    <w:rsid w:val="00B60234"/>
    <w:rsid w:val="00B60AC1"/>
    <w:rsid w:val="00B62316"/>
    <w:rsid w:val="00B63A11"/>
    <w:rsid w:val="00B63B09"/>
    <w:rsid w:val="00B64425"/>
    <w:rsid w:val="00B64C24"/>
    <w:rsid w:val="00B65336"/>
    <w:rsid w:val="00B65CEF"/>
    <w:rsid w:val="00B6608F"/>
    <w:rsid w:val="00B679FB"/>
    <w:rsid w:val="00B732FE"/>
    <w:rsid w:val="00B73A14"/>
    <w:rsid w:val="00B73B11"/>
    <w:rsid w:val="00B7592B"/>
    <w:rsid w:val="00B7680F"/>
    <w:rsid w:val="00B76D1E"/>
    <w:rsid w:val="00B77543"/>
    <w:rsid w:val="00B77584"/>
    <w:rsid w:val="00B77CE4"/>
    <w:rsid w:val="00B80EC6"/>
    <w:rsid w:val="00B81288"/>
    <w:rsid w:val="00B81AA0"/>
    <w:rsid w:val="00B81D70"/>
    <w:rsid w:val="00B8203E"/>
    <w:rsid w:val="00B831FB"/>
    <w:rsid w:val="00B833B9"/>
    <w:rsid w:val="00B83E07"/>
    <w:rsid w:val="00B84CF6"/>
    <w:rsid w:val="00B85016"/>
    <w:rsid w:val="00B8561A"/>
    <w:rsid w:val="00B86643"/>
    <w:rsid w:val="00B86E56"/>
    <w:rsid w:val="00B90131"/>
    <w:rsid w:val="00B92951"/>
    <w:rsid w:val="00B92D1D"/>
    <w:rsid w:val="00B92E9A"/>
    <w:rsid w:val="00B930CE"/>
    <w:rsid w:val="00B938C5"/>
    <w:rsid w:val="00B94BA6"/>
    <w:rsid w:val="00B9554A"/>
    <w:rsid w:val="00B95940"/>
    <w:rsid w:val="00B95ACA"/>
    <w:rsid w:val="00B95B92"/>
    <w:rsid w:val="00B9632F"/>
    <w:rsid w:val="00B97ACC"/>
    <w:rsid w:val="00BA0495"/>
    <w:rsid w:val="00BA098F"/>
    <w:rsid w:val="00BA1866"/>
    <w:rsid w:val="00BA3787"/>
    <w:rsid w:val="00BA46E8"/>
    <w:rsid w:val="00BA554E"/>
    <w:rsid w:val="00BA6436"/>
    <w:rsid w:val="00BA684E"/>
    <w:rsid w:val="00BA6C2B"/>
    <w:rsid w:val="00BA7B64"/>
    <w:rsid w:val="00BB02A3"/>
    <w:rsid w:val="00BB0351"/>
    <w:rsid w:val="00BB15C3"/>
    <w:rsid w:val="00BB1AF4"/>
    <w:rsid w:val="00BB2202"/>
    <w:rsid w:val="00BB3C6B"/>
    <w:rsid w:val="00BB3FD6"/>
    <w:rsid w:val="00BB453F"/>
    <w:rsid w:val="00BB46F3"/>
    <w:rsid w:val="00BB4CB1"/>
    <w:rsid w:val="00BB4F98"/>
    <w:rsid w:val="00BB5ABF"/>
    <w:rsid w:val="00BB6EA2"/>
    <w:rsid w:val="00BB7B5B"/>
    <w:rsid w:val="00BC003F"/>
    <w:rsid w:val="00BC327F"/>
    <w:rsid w:val="00BC3816"/>
    <w:rsid w:val="00BC4291"/>
    <w:rsid w:val="00BC5332"/>
    <w:rsid w:val="00BC5C12"/>
    <w:rsid w:val="00BC7154"/>
    <w:rsid w:val="00BC731E"/>
    <w:rsid w:val="00BC7614"/>
    <w:rsid w:val="00BD25BB"/>
    <w:rsid w:val="00BD2AF8"/>
    <w:rsid w:val="00BD305F"/>
    <w:rsid w:val="00BD366B"/>
    <w:rsid w:val="00BD4A73"/>
    <w:rsid w:val="00BD4F09"/>
    <w:rsid w:val="00BD59F1"/>
    <w:rsid w:val="00BD6C75"/>
    <w:rsid w:val="00BD6D50"/>
    <w:rsid w:val="00BE0AD1"/>
    <w:rsid w:val="00BE0EF9"/>
    <w:rsid w:val="00BE1093"/>
    <w:rsid w:val="00BE117B"/>
    <w:rsid w:val="00BE18B9"/>
    <w:rsid w:val="00BE190A"/>
    <w:rsid w:val="00BE2495"/>
    <w:rsid w:val="00BE24DD"/>
    <w:rsid w:val="00BE3745"/>
    <w:rsid w:val="00BE386D"/>
    <w:rsid w:val="00BE4314"/>
    <w:rsid w:val="00BE557B"/>
    <w:rsid w:val="00BE5B92"/>
    <w:rsid w:val="00BE6F74"/>
    <w:rsid w:val="00BF02C8"/>
    <w:rsid w:val="00BF1578"/>
    <w:rsid w:val="00BF1D12"/>
    <w:rsid w:val="00BF1D3A"/>
    <w:rsid w:val="00BF2B5B"/>
    <w:rsid w:val="00BF32DC"/>
    <w:rsid w:val="00BF430C"/>
    <w:rsid w:val="00BF4E43"/>
    <w:rsid w:val="00BF5C4C"/>
    <w:rsid w:val="00BF5D23"/>
    <w:rsid w:val="00BF6F62"/>
    <w:rsid w:val="00BF717A"/>
    <w:rsid w:val="00C009D1"/>
    <w:rsid w:val="00C00BD7"/>
    <w:rsid w:val="00C01410"/>
    <w:rsid w:val="00C02F64"/>
    <w:rsid w:val="00C04B78"/>
    <w:rsid w:val="00C052AA"/>
    <w:rsid w:val="00C06EE3"/>
    <w:rsid w:val="00C07749"/>
    <w:rsid w:val="00C07ADB"/>
    <w:rsid w:val="00C07F12"/>
    <w:rsid w:val="00C11A15"/>
    <w:rsid w:val="00C11D48"/>
    <w:rsid w:val="00C125A0"/>
    <w:rsid w:val="00C1493E"/>
    <w:rsid w:val="00C15AE9"/>
    <w:rsid w:val="00C15DBD"/>
    <w:rsid w:val="00C17E2F"/>
    <w:rsid w:val="00C2010D"/>
    <w:rsid w:val="00C20CB5"/>
    <w:rsid w:val="00C20F4B"/>
    <w:rsid w:val="00C21430"/>
    <w:rsid w:val="00C21E61"/>
    <w:rsid w:val="00C21F94"/>
    <w:rsid w:val="00C223C3"/>
    <w:rsid w:val="00C23334"/>
    <w:rsid w:val="00C233A6"/>
    <w:rsid w:val="00C234DB"/>
    <w:rsid w:val="00C2479A"/>
    <w:rsid w:val="00C24903"/>
    <w:rsid w:val="00C24CEC"/>
    <w:rsid w:val="00C255C4"/>
    <w:rsid w:val="00C2590D"/>
    <w:rsid w:val="00C25D9C"/>
    <w:rsid w:val="00C27913"/>
    <w:rsid w:val="00C303A4"/>
    <w:rsid w:val="00C31F21"/>
    <w:rsid w:val="00C32631"/>
    <w:rsid w:val="00C33301"/>
    <w:rsid w:val="00C33311"/>
    <w:rsid w:val="00C33B68"/>
    <w:rsid w:val="00C35570"/>
    <w:rsid w:val="00C36A79"/>
    <w:rsid w:val="00C401D2"/>
    <w:rsid w:val="00C4031A"/>
    <w:rsid w:val="00C405D4"/>
    <w:rsid w:val="00C419D5"/>
    <w:rsid w:val="00C43D63"/>
    <w:rsid w:val="00C44A31"/>
    <w:rsid w:val="00C4513B"/>
    <w:rsid w:val="00C50E79"/>
    <w:rsid w:val="00C525FB"/>
    <w:rsid w:val="00C5385B"/>
    <w:rsid w:val="00C5390B"/>
    <w:rsid w:val="00C53DBC"/>
    <w:rsid w:val="00C54257"/>
    <w:rsid w:val="00C54697"/>
    <w:rsid w:val="00C550CE"/>
    <w:rsid w:val="00C553A5"/>
    <w:rsid w:val="00C55402"/>
    <w:rsid w:val="00C5603B"/>
    <w:rsid w:val="00C568D3"/>
    <w:rsid w:val="00C6014A"/>
    <w:rsid w:val="00C608AF"/>
    <w:rsid w:val="00C61F47"/>
    <w:rsid w:val="00C62828"/>
    <w:rsid w:val="00C638ED"/>
    <w:rsid w:val="00C719A3"/>
    <w:rsid w:val="00C71AC9"/>
    <w:rsid w:val="00C71D2F"/>
    <w:rsid w:val="00C72161"/>
    <w:rsid w:val="00C72984"/>
    <w:rsid w:val="00C73101"/>
    <w:rsid w:val="00C73885"/>
    <w:rsid w:val="00C73C93"/>
    <w:rsid w:val="00C7435A"/>
    <w:rsid w:val="00C747B1"/>
    <w:rsid w:val="00C75A58"/>
    <w:rsid w:val="00C77454"/>
    <w:rsid w:val="00C82191"/>
    <w:rsid w:val="00C82778"/>
    <w:rsid w:val="00C83134"/>
    <w:rsid w:val="00C832F3"/>
    <w:rsid w:val="00C85545"/>
    <w:rsid w:val="00C855B5"/>
    <w:rsid w:val="00C85F0E"/>
    <w:rsid w:val="00C90CF4"/>
    <w:rsid w:val="00C922DE"/>
    <w:rsid w:val="00C92843"/>
    <w:rsid w:val="00C92EB6"/>
    <w:rsid w:val="00C93389"/>
    <w:rsid w:val="00CA0346"/>
    <w:rsid w:val="00CA1BD6"/>
    <w:rsid w:val="00CA1E35"/>
    <w:rsid w:val="00CA37FF"/>
    <w:rsid w:val="00CA423A"/>
    <w:rsid w:val="00CA44A3"/>
    <w:rsid w:val="00CA5554"/>
    <w:rsid w:val="00CA6AB4"/>
    <w:rsid w:val="00CB04F1"/>
    <w:rsid w:val="00CB172B"/>
    <w:rsid w:val="00CB2351"/>
    <w:rsid w:val="00CB3E1F"/>
    <w:rsid w:val="00CB4930"/>
    <w:rsid w:val="00CB4C63"/>
    <w:rsid w:val="00CB5A48"/>
    <w:rsid w:val="00CB5CA9"/>
    <w:rsid w:val="00CB5E10"/>
    <w:rsid w:val="00CB613B"/>
    <w:rsid w:val="00CB6152"/>
    <w:rsid w:val="00CC04E9"/>
    <w:rsid w:val="00CC0834"/>
    <w:rsid w:val="00CC20FE"/>
    <w:rsid w:val="00CC2E7D"/>
    <w:rsid w:val="00CC655F"/>
    <w:rsid w:val="00CC6F86"/>
    <w:rsid w:val="00CC6FE5"/>
    <w:rsid w:val="00CC76BD"/>
    <w:rsid w:val="00CD10A5"/>
    <w:rsid w:val="00CD1129"/>
    <w:rsid w:val="00CD1262"/>
    <w:rsid w:val="00CD15D7"/>
    <w:rsid w:val="00CD1A80"/>
    <w:rsid w:val="00CD1CB5"/>
    <w:rsid w:val="00CD1CFD"/>
    <w:rsid w:val="00CD2076"/>
    <w:rsid w:val="00CD24CE"/>
    <w:rsid w:val="00CD29B5"/>
    <w:rsid w:val="00CD2B78"/>
    <w:rsid w:val="00CD37B1"/>
    <w:rsid w:val="00CD3FAB"/>
    <w:rsid w:val="00CD5456"/>
    <w:rsid w:val="00CD5798"/>
    <w:rsid w:val="00CD5C3E"/>
    <w:rsid w:val="00CD6331"/>
    <w:rsid w:val="00CE0BC4"/>
    <w:rsid w:val="00CE0D1A"/>
    <w:rsid w:val="00CE14BE"/>
    <w:rsid w:val="00CE17A4"/>
    <w:rsid w:val="00CE1BA9"/>
    <w:rsid w:val="00CE2A6D"/>
    <w:rsid w:val="00CE2BC4"/>
    <w:rsid w:val="00CE2D8F"/>
    <w:rsid w:val="00CE38E2"/>
    <w:rsid w:val="00CE47B8"/>
    <w:rsid w:val="00CE62FA"/>
    <w:rsid w:val="00CE670B"/>
    <w:rsid w:val="00CE6833"/>
    <w:rsid w:val="00CE69DA"/>
    <w:rsid w:val="00CE7483"/>
    <w:rsid w:val="00CF4908"/>
    <w:rsid w:val="00CF51EC"/>
    <w:rsid w:val="00CF545D"/>
    <w:rsid w:val="00CF5873"/>
    <w:rsid w:val="00CF6B3C"/>
    <w:rsid w:val="00CF73AE"/>
    <w:rsid w:val="00D01462"/>
    <w:rsid w:val="00D0242D"/>
    <w:rsid w:val="00D03A72"/>
    <w:rsid w:val="00D040DD"/>
    <w:rsid w:val="00D05C65"/>
    <w:rsid w:val="00D06ACE"/>
    <w:rsid w:val="00D06D68"/>
    <w:rsid w:val="00D06E66"/>
    <w:rsid w:val="00D075BE"/>
    <w:rsid w:val="00D07D13"/>
    <w:rsid w:val="00D10C15"/>
    <w:rsid w:val="00D11476"/>
    <w:rsid w:val="00D11C6C"/>
    <w:rsid w:val="00D12C25"/>
    <w:rsid w:val="00D1316D"/>
    <w:rsid w:val="00D133B4"/>
    <w:rsid w:val="00D13986"/>
    <w:rsid w:val="00D14C5B"/>
    <w:rsid w:val="00D15FED"/>
    <w:rsid w:val="00D214EF"/>
    <w:rsid w:val="00D21D6D"/>
    <w:rsid w:val="00D21D83"/>
    <w:rsid w:val="00D22F7B"/>
    <w:rsid w:val="00D235B7"/>
    <w:rsid w:val="00D23FAE"/>
    <w:rsid w:val="00D25F28"/>
    <w:rsid w:val="00D26071"/>
    <w:rsid w:val="00D269B9"/>
    <w:rsid w:val="00D27973"/>
    <w:rsid w:val="00D31537"/>
    <w:rsid w:val="00D31E1E"/>
    <w:rsid w:val="00D32663"/>
    <w:rsid w:val="00D32824"/>
    <w:rsid w:val="00D334E2"/>
    <w:rsid w:val="00D35AD6"/>
    <w:rsid w:val="00D35BBB"/>
    <w:rsid w:val="00D35E1A"/>
    <w:rsid w:val="00D35E5F"/>
    <w:rsid w:val="00D36DFB"/>
    <w:rsid w:val="00D36E1C"/>
    <w:rsid w:val="00D373AF"/>
    <w:rsid w:val="00D37A6A"/>
    <w:rsid w:val="00D4026D"/>
    <w:rsid w:val="00D40556"/>
    <w:rsid w:val="00D41ED8"/>
    <w:rsid w:val="00D41F74"/>
    <w:rsid w:val="00D4399E"/>
    <w:rsid w:val="00D43ED2"/>
    <w:rsid w:val="00D50F46"/>
    <w:rsid w:val="00D53057"/>
    <w:rsid w:val="00D5384E"/>
    <w:rsid w:val="00D53DF6"/>
    <w:rsid w:val="00D544E7"/>
    <w:rsid w:val="00D56409"/>
    <w:rsid w:val="00D56FBF"/>
    <w:rsid w:val="00D57677"/>
    <w:rsid w:val="00D57BAD"/>
    <w:rsid w:val="00D60415"/>
    <w:rsid w:val="00D61291"/>
    <w:rsid w:val="00D61B52"/>
    <w:rsid w:val="00D6215F"/>
    <w:rsid w:val="00D635D3"/>
    <w:rsid w:val="00D63BE5"/>
    <w:rsid w:val="00D63F6B"/>
    <w:rsid w:val="00D6475F"/>
    <w:rsid w:val="00D66223"/>
    <w:rsid w:val="00D6670E"/>
    <w:rsid w:val="00D66756"/>
    <w:rsid w:val="00D667B8"/>
    <w:rsid w:val="00D66B08"/>
    <w:rsid w:val="00D671CD"/>
    <w:rsid w:val="00D6758B"/>
    <w:rsid w:val="00D70289"/>
    <w:rsid w:val="00D70822"/>
    <w:rsid w:val="00D72076"/>
    <w:rsid w:val="00D726A9"/>
    <w:rsid w:val="00D743E0"/>
    <w:rsid w:val="00D75CB7"/>
    <w:rsid w:val="00D76025"/>
    <w:rsid w:val="00D77252"/>
    <w:rsid w:val="00D8084C"/>
    <w:rsid w:val="00D81809"/>
    <w:rsid w:val="00D82EF1"/>
    <w:rsid w:val="00D84246"/>
    <w:rsid w:val="00D84F43"/>
    <w:rsid w:val="00D85821"/>
    <w:rsid w:val="00D8598C"/>
    <w:rsid w:val="00D85B26"/>
    <w:rsid w:val="00D864D0"/>
    <w:rsid w:val="00D87C06"/>
    <w:rsid w:val="00D915EA"/>
    <w:rsid w:val="00D922A1"/>
    <w:rsid w:val="00D924E9"/>
    <w:rsid w:val="00D928BE"/>
    <w:rsid w:val="00D95C5D"/>
    <w:rsid w:val="00D97D00"/>
    <w:rsid w:val="00DA06E8"/>
    <w:rsid w:val="00DA096C"/>
    <w:rsid w:val="00DA1AB6"/>
    <w:rsid w:val="00DA26C4"/>
    <w:rsid w:val="00DA35CD"/>
    <w:rsid w:val="00DA368A"/>
    <w:rsid w:val="00DA3BCB"/>
    <w:rsid w:val="00DA3BE9"/>
    <w:rsid w:val="00DA544C"/>
    <w:rsid w:val="00DA5F8E"/>
    <w:rsid w:val="00DA6364"/>
    <w:rsid w:val="00DA6520"/>
    <w:rsid w:val="00DA653C"/>
    <w:rsid w:val="00DA6792"/>
    <w:rsid w:val="00DA69EF"/>
    <w:rsid w:val="00DA7114"/>
    <w:rsid w:val="00DA7C0C"/>
    <w:rsid w:val="00DA7C4E"/>
    <w:rsid w:val="00DB08A9"/>
    <w:rsid w:val="00DB08D8"/>
    <w:rsid w:val="00DB0C5D"/>
    <w:rsid w:val="00DB212F"/>
    <w:rsid w:val="00DB2DFA"/>
    <w:rsid w:val="00DB2EC8"/>
    <w:rsid w:val="00DB33D2"/>
    <w:rsid w:val="00DB38E0"/>
    <w:rsid w:val="00DB459B"/>
    <w:rsid w:val="00DB5D35"/>
    <w:rsid w:val="00DB5E9A"/>
    <w:rsid w:val="00DB657E"/>
    <w:rsid w:val="00DB7342"/>
    <w:rsid w:val="00DB7DA2"/>
    <w:rsid w:val="00DC002D"/>
    <w:rsid w:val="00DC169F"/>
    <w:rsid w:val="00DC17D0"/>
    <w:rsid w:val="00DC2B41"/>
    <w:rsid w:val="00DC3683"/>
    <w:rsid w:val="00DC435B"/>
    <w:rsid w:val="00DC53D8"/>
    <w:rsid w:val="00DC56FE"/>
    <w:rsid w:val="00DC5B3B"/>
    <w:rsid w:val="00DC6C2D"/>
    <w:rsid w:val="00DC7B1A"/>
    <w:rsid w:val="00DD129F"/>
    <w:rsid w:val="00DD32DD"/>
    <w:rsid w:val="00DD3F86"/>
    <w:rsid w:val="00DD5287"/>
    <w:rsid w:val="00DD59A0"/>
    <w:rsid w:val="00DD6C73"/>
    <w:rsid w:val="00DD7150"/>
    <w:rsid w:val="00DE0D8B"/>
    <w:rsid w:val="00DE1237"/>
    <w:rsid w:val="00DE140F"/>
    <w:rsid w:val="00DE2491"/>
    <w:rsid w:val="00DE3B58"/>
    <w:rsid w:val="00DE7AC8"/>
    <w:rsid w:val="00DF1857"/>
    <w:rsid w:val="00DF358E"/>
    <w:rsid w:val="00DF3613"/>
    <w:rsid w:val="00DF3643"/>
    <w:rsid w:val="00DF42FF"/>
    <w:rsid w:val="00DF4369"/>
    <w:rsid w:val="00DF4423"/>
    <w:rsid w:val="00DF4ADF"/>
    <w:rsid w:val="00DF5D1E"/>
    <w:rsid w:val="00E01C0E"/>
    <w:rsid w:val="00E0368F"/>
    <w:rsid w:val="00E03D73"/>
    <w:rsid w:val="00E03F9A"/>
    <w:rsid w:val="00E04694"/>
    <w:rsid w:val="00E06050"/>
    <w:rsid w:val="00E129E7"/>
    <w:rsid w:val="00E12ABE"/>
    <w:rsid w:val="00E12B1E"/>
    <w:rsid w:val="00E13BA4"/>
    <w:rsid w:val="00E1444C"/>
    <w:rsid w:val="00E161D9"/>
    <w:rsid w:val="00E16A95"/>
    <w:rsid w:val="00E17262"/>
    <w:rsid w:val="00E20016"/>
    <w:rsid w:val="00E2009B"/>
    <w:rsid w:val="00E20154"/>
    <w:rsid w:val="00E20BB9"/>
    <w:rsid w:val="00E21661"/>
    <w:rsid w:val="00E2251C"/>
    <w:rsid w:val="00E22716"/>
    <w:rsid w:val="00E2363D"/>
    <w:rsid w:val="00E2385F"/>
    <w:rsid w:val="00E238E5"/>
    <w:rsid w:val="00E23C6A"/>
    <w:rsid w:val="00E253A2"/>
    <w:rsid w:val="00E256D7"/>
    <w:rsid w:val="00E260F6"/>
    <w:rsid w:val="00E27127"/>
    <w:rsid w:val="00E27233"/>
    <w:rsid w:val="00E31771"/>
    <w:rsid w:val="00E31A3E"/>
    <w:rsid w:val="00E32080"/>
    <w:rsid w:val="00E3309D"/>
    <w:rsid w:val="00E33FE9"/>
    <w:rsid w:val="00E364EF"/>
    <w:rsid w:val="00E378B1"/>
    <w:rsid w:val="00E417BE"/>
    <w:rsid w:val="00E41CD5"/>
    <w:rsid w:val="00E43673"/>
    <w:rsid w:val="00E43A9E"/>
    <w:rsid w:val="00E44766"/>
    <w:rsid w:val="00E453F9"/>
    <w:rsid w:val="00E45D7D"/>
    <w:rsid w:val="00E4665D"/>
    <w:rsid w:val="00E46661"/>
    <w:rsid w:val="00E47854"/>
    <w:rsid w:val="00E47DFE"/>
    <w:rsid w:val="00E47EBA"/>
    <w:rsid w:val="00E50156"/>
    <w:rsid w:val="00E5076C"/>
    <w:rsid w:val="00E50D2E"/>
    <w:rsid w:val="00E50E4A"/>
    <w:rsid w:val="00E53470"/>
    <w:rsid w:val="00E539F6"/>
    <w:rsid w:val="00E54698"/>
    <w:rsid w:val="00E55791"/>
    <w:rsid w:val="00E578A2"/>
    <w:rsid w:val="00E61740"/>
    <w:rsid w:val="00E61EB5"/>
    <w:rsid w:val="00E6326B"/>
    <w:rsid w:val="00E6519D"/>
    <w:rsid w:val="00E66062"/>
    <w:rsid w:val="00E67305"/>
    <w:rsid w:val="00E67696"/>
    <w:rsid w:val="00E702E4"/>
    <w:rsid w:val="00E70DC9"/>
    <w:rsid w:val="00E71A58"/>
    <w:rsid w:val="00E72A26"/>
    <w:rsid w:val="00E72A7A"/>
    <w:rsid w:val="00E747DC"/>
    <w:rsid w:val="00E75C94"/>
    <w:rsid w:val="00E76110"/>
    <w:rsid w:val="00E76B9B"/>
    <w:rsid w:val="00E76E61"/>
    <w:rsid w:val="00E771F0"/>
    <w:rsid w:val="00E77929"/>
    <w:rsid w:val="00E80CA3"/>
    <w:rsid w:val="00E82618"/>
    <w:rsid w:val="00E8277F"/>
    <w:rsid w:val="00E8593F"/>
    <w:rsid w:val="00E90CA8"/>
    <w:rsid w:val="00E90E6E"/>
    <w:rsid w:val="00E919CC"/>
    <w:rsid w:val="00E92118"/>
    <w:rsid w:val="00E930A1"/>
    <w:rsid w:val="00E93820"/>
    <w:rsid w:val="00E94A86"/>
    <w:rsid w:val="00E96143"/>
    <w:rsid w:val="00E96833"/>
    <w:rsid w:val="00E96BA3"/>
    <w:rsid w:val="00EA01E3"/>
    <w:rsid w:val="00EA0C68"/>
    <w:rsid w:val="00EA1504"/>
    <w:rsid w:val="00EA1D0E"/>
    <w:rsid w:val="00EA2841"/>
    <w:rsid w:val="00EA32BC"/>
    <w:rsid w:val="00EA35A7"/>
    <w:rsid w:val="00EA3B32"/>
    <w:rsid w:val="00EA3D05"/>
    <w:rsid w:val="00EA4402"/>
    <w:rsid w:val="00EA513E"/>
    <w:rsid w:val="00EA596C"/>
    <w:rsid w:val="00EA7419"/>
    <w:rsid w:val="00EB0E32"/>
    <w:rsid w:val="00EB4511"/>
    <w:rsid w:val="00EB4A8E"/>
    <w:rsid w:val="00EB4BC5"/>
    <w:rsid w:val="00EB5BF7"/>
    <w:rsid w:val="00EB5E79"/>
    <w:rsid w:val="00EB6081"/>
    <w:rsid w:val="00EB6FAC"/>
    <w:rsid w:val="00EC03D7"/>
    <w:rsid w:val="00EC13A7"/>
    <w:rsid w:val="00EC1829"/>
    <w:rsid w:val="00EC1A2B"/>
    <w:rsid w:val="00EC2EB6"/>
    <w:rsid w:val="00EC7BC7"/>
    <w:rsid w:val="00ED0495"/>
    <w:rsid w:val="00ED0EF0"/>
    <w:rsid w:val="00ED12B9"/>
    <w:rsid w:val="00ED16B8"/>
    <w:rsid w:val="00ED2EA1"/>
    <w:rsid w:val="00ED3F10"/>
    <w:rsid w:val="00ED4D04"/>
    <w:rsid w:val="00ED5990"/>
    <w:rsid w:val="00ED5F5B"/>
    <w:rsid w:val="00ED62C6"/>
    <w:rsid w:val="00ED64C1"/>
    <w:rsid w:val="00ED6516"/>
    <w:rsid w:val="00EE0A6C"/>
    <w:rsid w:val="00EE3446"/>
    <w:rsid w:val="00EE3E78"/>
    <w:rsid w:val="00EE4B1B"/>
    <w:rsid w:val="00EE5FBA"/>
    <w:rsid w:val="00EE6E06"/>
    <w:rsid w:val="00EF0C83"/>
    <w:rsid w:val="00EF150D"/>
    <w:rsid w:val="00EF1BBE"/>
    <w:rsid w:val="00EF1F5A"/>
    <w:rsid w:val="00EF47BF"/>
    <w:rsid w:val="00EF5A13"/>
    <w:rsid w:val="00EF5FF9"/>
    <w:rsid w:val="00EF6BDC"/>
    <w:rsid w:val="00EF7CC7"/>
    <w:rsid w:val="00F01084"/>
    <w:rsid w:val="00F0160B"/>
    <w:rsid w:val="00F017E4"/>
    <w:rsid w:val="00F03F8D"/>
    <w:rsid w:val="00F040BC"/>
    <w:rsid w:val="00F04811"/>
    <w:rsid w:val="00F0488C"/>
    <w:rsid w:val="00F073ED"/>
    <w:rsid w:val="00F07C4C"/>
    <w:rsid w:val="00F10941"/>
    <w:rsid w:val="00F10F11"/>
    <w:rsid w:val="00F12CFB"/>
    <w:rsid w:val="00F12CFF"/>
    <w:rsid w:val="00F15AAA"/>
    <w:rsid w:val="00F15BEF"/>
    <w:rsid w:val="00F17898"/>
    <w:rsid w:val="00F20242"/>
    <w:rsid w:val="00F207C2"/>
    <w:rsid w:val="00F20BA9"/>
    <w:rsid w:val="00F219A1"/>
    <w:rsid w:val="00F23E20"/>
    <w:rsid w:val="00F23E40"/>
    <w:rsid w:val="00F24407"/>
    <w:rsid w:val="00F24FAA"/>
    <w:rsid w:val="00F25040"/>
    <w:rsid w:val="00F2665F"/>
    <w:rsid w:val="00F27071"/>
    <w:rsid w:val="00F27331"/>
    <w:rsid w:val="00F27EE5"/>
    <w:rsid w:val="00F30C65"/>
    <w:rsid w:val="00F32053"/>
    <w:rsid w:val="00F325F9"/>
    <w:rsid w:val="00F33523"/>
    <w:rsid w:val="00F3364D"/>
    <w:rsid w:val="00F3404D"/>
    <w:rsid w:val="00F349BF"/>
    <w:rsid w:val="00F34DDC"/>
    <w:rsid w:val="00F379A9"/>
    <w:rsid w:val="00F37EDC"/>
    <w:rsid w:val="00F432EE"/>
    <w:rsid w:val="00F437CC"/>
    <w:rsid w:val="00F44537"/>
    <w:rsid w:val="00F44640"/>
    <w:rsid w:val="00F46185"/>
    <w:rsid w:val="00F46423"/>
    <w:rsid w:val="00F4696A"/>
    <w:rsid w:val="00F46F70"/>
    <w:rsid w:val="00F47067"/>
    <w:rsid w:val="00F47B07"/>
    <w:rsid w:val="00F500AA"/>
    <w:rsid w:val="00F508F3"/>
    <w:rsid w:val="00F525EB"/>
    <w:rsid w:val="00F52CB5"/>
    <w:rsid w:val="00F5392C"/>
    <w:rsid w:val="00F53A68"/>
    <w:rsid w:val="00F55A92"/>
    <w:rsid w:val="00F55B87"/>
    <w:rsid w:val="00F57E16"/>
    <w:rsid w:val="00F602CF"/>
    <w:rsid w:val="00F614F7"/>
    <w:rsid w:val="00F6217C"/>
    <w:rsid w:val="00F62BFF"/>
    <w:rsid w:val="00F63AAE"/>
    <w:rsid w:val="00F63DDE"/>
    <w:rsid w:val="00F63FB7"/>
    <w:rsid w:val="00F6421B"/>
    <w:rsid w:val="00F649D2"/>
    <w:rsid w:val="00F64C6F"/>
    <w:rsid w:val="00F655EF"/>
    <w:rsid w:val="00F6602B"/>
    <w:rsid w:val="00F7150B"/>
    <w:rsid w:val="00F71DE6"/>
    <w:rsid w:val="00F72D71"/>
    <w:rsid w:val="00F7381C"/>
    <w:rsid w:val="00F73A0C"/>
    <w:rsid w:val="00F7549F"/>
    <w:rsid w:val="00F75580"/>
    <w:rsid w:val="00F756DB"/>
    <w:rsid w:val="00F767A8"/>
    <w:rsid w:val="00F768CC"/>
    <w:rsid w:val="00F8184A"/>
    <w:rsid w:val="00F83FF0"/>
    <w:rsid w:val="00F84E7D"/>
    <w:rsid w:val="00F85066"/>
    <w:rsid w:val="00F85761"/>
    <w:rsid w:val="00F87A4D"/>
    <w:rsid w:val="00F90814"/>
    <w:rsid w:val="00F913B7"/>
    <w:rsid w:val="00F93688"/>
    <w:rsid w:val="00F939F3"/>
    <w:rsid w:val="00F93D8A"/>
    <w:rsid w:val="00F959CC"/>
    <w:rsid w:val="00F9644E"/>
    <w:rsid w:val="00F97E48"/>
    <w:rsid w:val="00FA0105"/>
    <w:rsid w:val="00FA05A0"/>
    <w:rsid w:val="00FA08BA"/>
    <w:rsid w:val="00FA17CC"/>
    <w:rsid w:val="00FA1F01"/>
    <w:rsid w:val="00FA26DF"/>
    <w:rsid w:val="00FA38FB"/>
    <w:rsid w:val="00FA5112"/>
    <w:rsid w:val="00FA5526"/>
    <w:rsid w:val="00FA5BC0"/>
    <w:rsid w:val="00FA5D4D"/>
    <w:rsid w:val="00FA6637"/>
    <w:rsid w:val="00FA70D3"/>
    <w:rsid w:val="00FA7AEC"/>
    <w:rsid w:val="00FB0AEA"/>
    <w:rsid w:val="00FB0EE2"/>
    <w:rsid w:val="00FB1762"/>
    <w:rsid w:val="00FB1A79"/>
    <w:rsid w:val="00FB208B"/>
    <w:rsid w:val="00FB256A"/>
    <w:rsid w:val="00FB2B2D"/>
    <w:rsid w:val="00FB5302"/>
    <w:rsid w:val="00FB542E"/>
    <w:rsid w:val="00FB564F"/>
    <w:rsid w:val="00FB662B"/>
    <w:rsid w:val="00FB6977"/>
    <w:rsid w:val="00FB7473"/>
    <w:rsid w:val="00FB7DBB"/>
    <w:rsid w:val="00FC05F8"/>
    <w:rsid w:val="00FC0E5F"/>
    <w:rsid w:val="00FC1266"/>
    <w:rsid w:val="00FC16F6"/>
    <w:rsid w:val="00FC1A95"/>
    <w:rsid w:val="00FC1ED4"/>
    <w:rsid w:val="00FC36BA"/>
    <w:rsid w:val="00FC3BEC"/>
    <w:rsid w:val="00FC440B"/>
    <w:rsid w:val="00FC56DE"/>
    <w:rsid w:val="00FC5A83"/>
    <w:rsid w:val="00FC64DE"/>
    <w:rsid w:val="00FC684B"/>
    <w:rsid w:val="00FC7132"/>
    <w:rsid w:val="00FC7D98"/>
    <w:rsid w:val="00FD1135"/>
    <w:rsid w:val="00FD3265"/>
    <w:rsid w:val="00FD3CF7"/>
    <w:rsid w:val="00FD4916"/>
    <w:rsid w:val="00FD4D12"/>
    <w:rsid w:val="00FD4DCD"/>
    <w:rsid w:val="00FD4F73"/>
    <w:rsid w:val="00FD595E"/>
    <w:rsid w:val="00FD6633"/>
    <w:rsid w:val="00FD7AFE"/>
    <w:rsid w:val="00FE27C7"/>
    <w:rsid w:val="00FE2C7E"/>
    <w:rsid w:val="00FE2E2B"/>
    <w:rsid w:val="00FE2F78"/>
    <w:rsid w:val="00FE3137"/>
    <w:rsid w:val="00FE3942"/>
    <w:rsid w:val="00FE3B9E"/>
    <w:rsid w:val="00FE48E4"/>
    <w:rsid w:val="00FE634C"/>
    <w:rsid w:val="00FE6E69"/>
    <w:rsid w:val="00FE6F59"/>
    <w:rsid w:val="00FE7013"/>
    <w:rsid w:val="00FF036B"/>
    <w:rsid w:val="00FF2C2F"/>
    <w:rsid w:val="00FF2EF4"/>
    <w:rsid w:val="00FF3D76"/>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2B7AF073"/>
  <w15:docId w15:val="{4227B688-5359-4AB5-96D5-D86FA480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37986801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okumenty\Anal&#253;za\Q\2018Q4\eng\Makroanal&#253;za%20grafy_en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kumenty\Anal&#253;za\Q\2018Q4\eng\Makroanal&#253;za%20grafy_e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okumenty\Anal&#253;za\Q\2018Q4\eng\Makroanal&#253;za%20grafy_eng.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okumenty\Anal&#253;za\Q\2018Q4\eng\Makroanal&#253;za%20grafy_e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2240163796014418E-2"/>
          <c:y val="2.3046636085626952E-2"/>
          <c:w val="0.93617042384329663"/>
          <c:h val="0.74192840256670856"/>
        </c:manualLayout>
      </c:layout>
      <c:barChart>
        <c:barDir val="col"/>
        <c:grouping val="clustered"/>
        <c:varyColors val="0"/>
        <c:ser>
          <c:idx val="0"/>
          <c:order val="0"/>
          <c:tx>
            <c:strRef>
              <c:f>'souhrnná výkonnost 1'!$C$4</c:f>
              <c:strCache>
                <c:ptCount val="1"/>
                <c:pt idx="0">
                  <c:v>CR year-on-year change</c:v>
                </c:pt>
              </c:strCache>
            </c:strRef>
          </c:tx>
          <c:spPr>
            <a:solidFill>
              <a:schemeClr val="bg1">
                <a:lumMod val="65000"/>
              </a:schemeClr>
            </a:solidFill>
            <a:ln>
              <a:noFill/>
            </a:ln>
          </c:spPr>
          <c:invertIfNegative val="0"/>
          <c:cat>
            <c:multiLvlStrRef>
              <c:f>'souhrnná výkonnost 1'!$A$9:$B$32</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2013</c:v>
                  </c:pt>
                  <c:pt idx="4">
                    <c:v>2014</c:v>
                  </c:pt>
                  <c:pt idx="8">
                    <c:v>2015</c:v>
                  </c:pt>
                  <c:pt idx="12">
                    <c:v>2016</c:v>
                  </c:pt>
                  <c:pt idx="16">
                    <c:v>2017</c:v>
                  </c:pt>
                  <c:pt idx="20">
                    <c:v>2018</c:v>
                  </c:pt>
                </c:lvl>
              </c:multiLvlStrCache>
            </c:multiLvlStrRef>
          </c:cat>
          <c:val>
            <c:numRef>
              <c:f>'souhrnná výkonnost 1'!$C$9:$C$32</c:f>
              <c:numCache>
                <c:formatCode>#\ ##0.0</c:formatCode>
                <c:ptCount val="24"/>
                <c:pt idx="0">
                  <c:v>-1.8</c:v>
                </c:pt>
                <c:pt idx="1">
                  <c:v>-1.1000000000000001</c:v>
                </c:pt>
                <c:pt idx="2">
                  <c:v>-0.3</c:v>
                </c:pt>
                <c:pt idx="3">
                  <c:v>1.3</c:v>
                </c:pt>
                <c:pt idx="4">
                  <c:v>1.5996926444218076</c:v>
                </c:pt>
                <c:pt idx="5">
                  <c:v>2.4019552100365473</c:v>
                </c:pt>
                <c:pt idx="6">
                  <c:v>3.4030564515715724</c:v>
                </c:pt>
                <c:pt idx="7">
                  <c:v>3.4380052076485867</c:v>
                </c:pt>
                <c:pt idx="8">
                  <c:v>5.2550726107844667</c:v>
                </c:pt>
                <c:pt idx="9">
                  <c:v>5.7987847820089087</c:v>
                </c:pt>
                <c:pt idx="10">
                  <c:v>5.5707669225332381</c:v>
                </c:pt>
                <c:pt idx="11">
                  <c:v>4.9148252973919995</c:v>
                </c:pt>
                <c:pt idx="12">
                  <c:v>3.562390609972212</c:v>
                </c:pt>
                <c:pt idx="13">
                  <c:v>2.4146777549828045</c:v>
                </c:pt>
                <c:pt idx="14">
                  <c:v>1.6940486553423995</c:v>
                </c:pt>
                <c:pt idx="15">
                  <c:v>1.8037525372218255</c:v>
                </c:pt>
                <c:pt idx="16">
                  <c:v>3</c:v>
                </c:pt>
                <c:pt idx="17">
                  <c:v>5</c:v>
                </c:pt>
                <c:pt idx="18">
                  <c:v>5.2</c:v>
                </c:pt>
                <c:pt idx="19">
                  <c:v>4.9881960614611103</c:v>
                </c:pt>
                <c:pt idx="20">
                  <c:v>4.2</c:v>
                </c:pt>
                <c:pt idx="21" formatCode="General">
                  <c:v>2.2999999999999998</c:v>
                </c:pt>
                <c:pt idx="22" formatCode="General">
                  <c:v>2.4</c:v>
                </c:pt>
                <c:pt idx="23">
                  <c:v>2.6</c:v>
                </c:pt>
              </c:numCache>
            </c:numRef>
          </c:val>
          <c:extLst>
            <c:ext xmlns:c16="http://schemas.microsoft.com/office/drawing/2014/chart" uri="{C3380CC4-5D6E-409C-BE32-E72D297353CC}">
              <c16:uniqueId val="{00000000-8CB9-4BCD-84FB-F063816A34B2}"/>
            </c:ext>
          </c:extLst>
        </c:ser>
        <c:ser>
          <c:idx val="1"/>
          <c:order val="1"/>
          <c:tx>
            <c:strRef>
              <c:f>'souhrnná výkonnost 1'!$D$4</c:f>
              <c:strCache>
                <c:ptCount val="1"/>
                <c:pt idx="0">
                  <c:v>EU28 year-on-year change</c:v>
                </c:pt>
              </c:strCache>
            </c:strRef>
          </c:tx>
          <c:spPr>
            <a:solidFill>
              <a:schemeClr val="bg1">
                <a:lumMod val="50000"/>
              </a:schemeClr>
            </a:solidFill>
            <a:ln>
              <a:noFill/>
            </a:ln>
          </c:spPr>
          <c:invertIfNegative val="0"/>
          <c:cat>
            <c:multiLvlStrRef>
              <c:f>'souhrnná výkonnost 1'!$A$9:$B$32</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2013</c:v>
                  </c:pt>
                  <c:pt idx="4">
                    <c:v>2014</c:v>
                  </c:pt>
                  <c:pt idx="8">
                    <c:v>2015</c:v>
                  </c:pt>
                  <c:pt idx="12">
                    <c:v>2016</c:v>
                  </c:pt>
                  <c:pt idx="16">
                    <c:v>2017</c:v>
                  </c:pt>
                  <c:pt idx="20">
                    <c:v>2018</c:v>
                  </c:pt>
                </c:lvl>
              </c:multiLvlStrCache>
            </c:multiLvlStrRef>
          </c:cat>
          <c:val>
            <c:numRef>
              <c:f>'souhrnná výkonnost 1'!$D$9:$D$32</c:f>
              <c:numCache>
                <c:formatCode>#\ ##0.0</c:formatCode>
                <c:ptCount val="24"/>
                <c:pt idx="0">
                  <c:v>-0.6</c:v>
                </c:pt>
                <c:pt idx="1">
                  <c:v>0.1</c:v>
                </c:pt>
                <c:pt idx="2">
                  <c:v>0.5</c:v>
                </c:pt>
                <c:pt idx="3">
                  <c:v>1.2</c:v>
                </c:pt>
                <c:pt idx="4">
                  <c:v>1.8</c:v>
                </c:pt>
                <c:pt idx="5">
                  <c:v>1.6</c:v>
                </c:pt>
                <c:pt idx="6">
                  <c:v>1.7</c:v>
                </c:pt>
                <c:pt idx="7">
                  <c:v>1.9</c:v>
                </c:pt>
                <c:pt idx="8">
                  <c:v>2.2000000000000002</c:v>
                </c:pt>
                <c:pt idx="9">
                  <c:v>2.2999999999999998</c:v>
                </c:pt>
                <c:pt idx="10">
                  <c:v>2.2000000000000002</c:v>
                </c:pt>
                <c:pt idx="11">
                  <c:v>2.2000000000000002</c:v>
                </c:pt>
                <c:pt idx="12">
                  <c:v>2</c:v>
                </c:pt>
                <c:pt idx="13">
                  <c:v>1.9</c:v>
                </c:pt>
                <c:pt idx="14">
                  <c:v>1.8</c:v>
                </c:pt>
                <c:pt idx="15">
                  <c:v>2.1</c:v>
                </c:pt>
                <c:pt idx="16">
                  <c:v>2.2000000000000002</c:v>
                </c:pt>
                <c:pt idx="17">
                  <c:v>2.5</c:v>
                </c:pt>
                <c:pt idx="18">
                  <c:v>2.8</c:v>
                </c:pt>
                <c:pt idx="19">
                  <c:v>2.7</c:v>
                </c:pt>
                <c:pt idx="20">
                  <c:v>2.4</c:v>
                </c:pt>
                <c:pt idx="21">
                  <c:v>2.2000000000000002</c:v>
                </c:pt>
                <c:pt idx="22">
                  <c:v>1.8</c:v>
                </c:pt>
                <c:pt idx="23">
                  <c:v>1.4</c:v>
                </c:pt>
              </c:numCache>
            </c:numRef>
          </c:val>
          <c:extLst>
            <c:ext xmlns:c16="http://schemas.microsoft.com/office/drawing/2014/chart" uri="{C3380CC4-5D6E-409C-BE32-E72D297353CC}">
              <c16:uniqueId val="{00000001-8CB9-4BCD-84FB-F063816A34B2}"/>
            </c:ext>
          </c:extLst>
        </c:ser>
        <c:dLbls>
          <c:showLegendKey val="0"/>
          <c:showVal val="0"/>
          <c:showCatName val="0"/>
          <c:showSerName val="0"/>
          <c:showPercent val="0"/>
          <c:showBubbleSize val="0"/>
        </c:dLbls>
        <c:gapWidth val="100"/>
        <c:axId val="115054080"/>
        <c:axId val="115056000"/>
      </c:barChart>
      <c:lineChart>
        <c:grouping val="standard"/>
        <c:varyColors val="0"/>
        <c:ser>
          <c:idx val="2"/>
          <c:order val="2"/>
          <c:tx>
            <c:strRef>
              <c:f>'souhrnná výkonnost 1'!$E$4</c:f>
              <c:strCache>
                <c:ptCount val="1"/>
                <c:pt idx="0">
                  <c:v>ČR quarter-on-quarter change</c:v>
                </c:pt>
              </c:strCache>
            </c:strRef>
          </c:tx>
          <c:spPr>
            <a:ln w="19050">
              <a:noFill/>
            </a:ln>
          </c:spPr>
          <c:marker>
            <c:symbol val="dash"/>
            <c:size val="8"/>
            <c:spPr>
              <a:solidFill>
                <a:schemeClr val="accent1"/>
              </a:solidFill>
              <a:ln>
                <a:noFill/>
              </a:ln>
            </c:spPr>
          </c:marker>
          <c:cat>
            <c:multiLvlStrRef>
              <c:f>'souhrnná výkonnost 1'!$A$9:$B$32</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2013</c:v>
                  </c:pt>
                  <c:pt idx="4">
                    <c:v>2014</c:v>
                  </c:pt>
                  <c:pt idx="8">
                    <c:v>2015</c:v>
                  </c:pt>
                  <c:pt idx="12">
                    <c:v>2016</c:v>
                  </c:pt>
                  <c:pt idx="16">
                    <c:v>2017</c:v>
                  </c:pt>
                  <c:pt idx="20">
                    <c:v>2018</c:v>
                  </c:pt>
                </c:lvl>
              </c:multiLvlStrCache>
            </c:multiLvlStrRef>
          </c:cat>
          <c:val>
            <c:numRef>
              <c:f>'souhrnná výkonnost 1'!$E$9:$E$32</c:f>
              <c:numCache>
                <c:formatCode>#\ ##0.0</c:formatCode>
                <c:ptCount val="24"/>
                <c:pt idx="0">
                  <c:v>-0.5</c:v>
                </c:pt>
                <c:pt idx="1">
                  <c:v>0.2</c:v>
                </c:pt>
                <c:pt idx="2">
                  <c:v>0.3</c:v>
                </c:pt>
                <c:pt idx="3">
                  <c:v>1.3</c:v>
                </c:pt>
                <c:pt idx="4">
                  <c:v>-0.15199361076162177</c:v>
                </c:pt>
                <c:pt idx="5">
                  <c:v>0.94354943170505123</c:v>
                </c:pt>
                <c:pt idx="6">
                  <c:v>1.300826710614885</c:v>
                </c:pt>
                <c:pt idx="7">
                  <c:v>1.3092680104703618</c:v>
                </c:pt>
                <c:pt idx="8">
                  <c:v>1.6020092561128081</c:v>
                </c:pt>
                <c:pt idx="9">
                  <c:v>1.4649897297471739</c:v>
                </c:pt>
                <c:pt idx="10">
                  <c:v>1.0825028639160621</c:v>
                </c:pt>
                <c:pt idx="11">
                  <c:v>0.67980430723308416</c:v>
                </c:pt>
                <c:pt idx="12">
                  <c:v>0.29227937532607484</c:v>
                </c:pt>
                <c:pt idx="13">
                  <c:v>0.34052096885528726</c:v>
                </c:pt>
                <c:pt idx="14">
                  <c:v>0.37124745966146122</c:v>
                </c:pt>
                <c:pt idx="15">
                  <c:v>0.78841405879090587</c:v>
                </c:pt>
                <c:pt idx="16">
                  <c:v>1.4</c:v>
                </c:pt>
                <c:pt idx="17">
                  <c:v>2.2999999999999998</c:v>
                </c:pt>
                <c:pt idx="18">
                  <c:v>0.6</c:v>
                </c:pt>
                <c:pt idx="19">
                  <c:v>0.6</c:v>
                </c:pt>
                <c:pt idx="20">
                  <c:v>0.6</c:v>
                </c:pt>
                <c:pt idx="21">
                  <c:v>0.5</c:v>
                </c:pt>
                <c:pt idx="22">
                  <c:v>0.7</c:v>
                </c:pt>
                <c:pt idx="23">
                  <c:v>0.8</c:v>
                </c:pt>
              </c:numCache>
            </c:numRef>
          </c:val>
          <c:smooth val="0"/>
          <c:extLst>
            <c:ext xmlns:c16="http://schemas.microsoft.com/office/drawing/2014/chart" uri="{C3380CC4-5D6E-409C-BE32-E72D297353CC}">
              <c16:uniqueId val="{00000002-8CB9-4BCD-84FB-F063816A34B2}"/>
            </c:ext>
          </c:extLst>
        </c:ser>
        <c:ser>
          <c:idx val="3"/>
          <c:order val="3"/>
          <c:tx>
            <c:strRef>
              <c:f>'souhrnná výkonnost 1'!$F$4</c:f>
              <c:strCache>
                <c:ptCount val="1"/>
                <c:pt idx="0">
                  <c:v>EU28 quarter-on-quarter change</c:v>
                </c:pt>
              </c:strCache>
            </c:strRef>
          </c:tx>
          <c:spPr>
            <a:ln w="19050">
              <a:noFill/>
            </a:ln>
          </c:spPr>
          <c:marker>
            <c:symbol val="dash"/>
            <c:size val="8"/>
            <c:spPr>
              <a:solidFill>
                <a:schemeClr val="accent2"/>
              </a:solidFill>
              <a:ln>
                <a:noFill/>
              </a:ln>
            </c:spPr>
          </c:marker>
          <c:cat>
            <c:multiLvlStrRef>
              <c:f>'souhrnná výkonnost 1'!$A$9:$B$32</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2013</c:v>
                  </c:pt>
                  <c:pt idx="4">
                    <c:v>2014</c:v>
                  </c:pt>
                  <c:pt idx="8">
                    <c:v>2015</c:v>
                  </c:pt>
                  <c:pt idx="12">
                    <c:v>2016</c:v>
                  </c:pt>
                  <c:pt idx="16">
                    <c:v>2017</c:v>
                  </c:pt>
                  <c:pt idx="20">
                    <c:v>2018</c:v>
                  </c:pt>
                </c:lvl>
              </c:multiLvlStrCache>
            </c:multiLvlStrRef>
          </c:cat>
          <c:val>
            <c:numRef>
              <c:f>'souhrnná výkonnost 1'!$F$9:$F$32</c:f>
              <c:numCache>
                <c:formatCode>#\ ##0.0</c:formatCode>
                <c:ptCount val="24"/>
                <c:pt idx="0">
                  <c:v>-0.1</c:v>
                </c:pt>
                <c:pt idx="1">
                  <c:v>0.5</c:v>
                </c:pt>
                <c:pt idx="2">
                  <c:v>0.5</c:v>
                </c:pt>
                <c:pt idx="3">
                  <c:v>0.3</c:v>
                </c:pt>
                <c:pt idx="4">
                  <c:v>0.5</c:v>
                </c:pt>
                <c:pt idx="5">
                  <c:v>0.3</c:v>
                </c:pt>
                <c:pt idx="6">
                  <c:v>0.5</c:v>
                </c:pt>
                <c:pt idx="7">
                  <c:v>0.5</c:v>
                </c:pt>
                <c:pt idx="8">
                  <c:v>0.8</c:v>
                </c:pt>
                <c:pt idx="9">
                  <c:v>0.4</c:v>
                </c:pt>
                <c:pt idx="10">
                  <c:v>0.5</c:v>
                </c:pt>
                <c:pt idx="11">
                  <c:v>0.5</c:v>
                </c:pt>
                <c:pt idx="12">
                  <c:v>0.5</c:v>
                </c:pt>
                <c:pt idx="13">
                  <c:v>0.3</c:v>
                </c:pt>
                <c:pt idx="14">
                  <c:v>0.4</c:v>
                </c:pt>
                <c:pt idx="15">
                  <c:v>0.8</c:v>
                </c:pt>
                <c:pt idx="16">
                  <c:v>0.7</c:v>
                </c:pt>
                <c:pt idx="17">
                  <c:v>0.6</c:v>
                </c:pt>
                <c:pt idx="18">
                  <c:v>0.6</c:v>
                </c:pt>
                <c:pt idx="19">
                  <c:v>0.7</c:v>
                </c:pt>
                <c:pt idx="20">
                  <c:v>0.4</c:v>
                </c:pt>
                <c:pt idx="21">
                  <c:v>0.5</c:v>
                </c:pt>
                <c:pt idx="22">
                  <c:v>0.3</c:v>
                </c:pt>
                <c:pt idx="23">
                  <c:v>0.3</c:v>
                </c:pt>
              </c:numCache>
            </c:numRef>
          </c:val>
          <c:smooth val="0"/>
          <c:extLst>
            <c:ext xmlns:c16="http://schemas.microsoft.com/office/drawing/2014/chart" uri="{C3380CC4-5D6E-409C-BE32-E72D297353CC}">
              <c16:uniqueId val="{00000003-8CB9-4BCD-84FB-F063816A34B2}"/>
            </c:ext>
          </c:extLst>
        </c:ser>
        <c:dLbls>
          <c:showLegendKey val="0"/>
          <c:showVal val="0"/>
          <c:showCatName val="0"/>
          <c:showSerName val="0"/>
          <c:showPercent val="0"/>
          <c:showBubbleSize val="0"/>
        </c:dLbls>
        <c:marker val="1"/>
        <c:smooth val="0"/>
        <c:axId val="115054080"/>
        <c:axId val="115056000"/>
      </c:lineChart>
      <c:catAx>
        <c:axId val="115054080"/>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115056000"/>
        <c:crosses val="autoZero"/>
        <c:auto val="1"/>
        <c:lblAlgn val="ctr"/>
        <c:lblOffset val="100"/>
        <c:noMultiLvlLbl val="0"/>
      </c:catAx>
      <c:valAx>
        <c:axId val="115056000"/>
        <c:scaling>
          <c:orientation val="minMax"/>
          <c:max val="6"/>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5054080"/>
        <c:crosses val="autoZero"/>
        <c:crossBetween val="between"/>
      </c:valAx>
      <c:spPr>
        <a:ln>
          <a:solidFill>
            <a:schemeClr val="tx1"/>
          </a:solidFill>
        </a:ln>
      </c:spPr>
    </c:plotArea>
    <c:legend>
      <c:legendPos val="b"/>
      <c:layout>
        <c:manualLayout>
          <c:xMode val="edge"/>
          <c:yMode val="edge"/>
          <c:x val="3.9667131036811888E-2"/>
          <c:y val="0.89437255125717996"/>
          <c:w val="0.93714918946301962"/>
          <c:h val="9.0301755758791014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3724701079031984E-2"/>
          <c:y val="2.6970778117567422E-2"/>
          <c:w val="0.87770649039240944"/>
          <c:h val="0.76009512552065761"/>
        </c:manualLayout>
      </c:layout>
      <c:barChart>
        <c:barDir val="col"/>
        <c:grouping val="clustered"/>
        <c:varyColors val="0"/>
        <c:ser>
          <c:idx val="0"/>
          <c:order val="0"/>
          <c:tx>
            <c:strRef>
              <c:f>'souhrnná výkonnost 2'!$C$5</c:f>
              <c:strCache>
                <c:ptCount val="1"/>
                <c:pt idx="0">
                  <c:v>GDP (right axis)</c:v>
                </c:pt>
              </c:strCache>
            </c:strRef>
          </c:tx>
          <c:spPr>
            <a:solidFill>
              <a:schemeClr val="bg1">
                <a:lumMod val="65000"/>
              </a:schemeClr>
            </a:solidFill>
            <a:ln>
              <a:noFill/>
            </a:ln>
          </c:spPr>
          <c:invertIfNegative val="0"/>
          <c:val>
            <c:numRef>
              <c:f>'souhrnná výkonnost 2'!$C$18:$C$89</c:f>
              <c:numCache>
                <c:formatCode>0.0</c:formatCode>
                <c:ptCount val="72"/>
                <c:pt idx="0">
                  <c:v>-1.8</c:v>
                </c:pt>
                <c:pt idx="1">
                  <c:v>-1.8</c:v>
                </c:pt>
                <c:pt idx="2">
                  <c:v>-1.8</c:v>
                </c:pt>
                <c:pt idx="3">
                  <c:v>-1.1000000000000001</c:v>
                </c:pt>
                <c:pt idx="4">
                  <c:v>-1.1000000000000001</c:v>
                </c:pt>
                <c:pt idx="5">
                  <c:v>-1.1000000000000001</c:v>
                </c:pt>
                <c:pt idx="6">
                  <c:v>-0.3</c:v>
                </c:pt>
                <c:pt idx="7">
                  <c:v>-0.3</c:v>
                </c:pt>
                <c:pt idx="8">
                  <c:v>-0.3</c:v>
                </c:pt>
                <c:pt idx="9">
                  <c:v>1.3</c:v>
                </c:pt>
                <c:pt idx="10">
                  <c:v>1.3</c:v>
                </c:pt>
                <c:pt idx="11">
                  <c:v>1.3</c:v>
                </c:pt>
                <c:pt idx="12">
                  <c:v>1.6</c:v>
                </c:pt>
                <c:pt idx="13">
                  <c:v>1.6</c:v>
                </c:pt>
                <c:pt idx="14">
                  <c:v>1.6</c:v>
                </c:pt>
                <c:pt idx="15">
                  <c:v>2.4</c:v>
                </c:pt>
                <c:pt idx="16">
                  <c:v>2.4</c:v>
                </c:pt>
                <c:pt idx="17">
                  <c:v>2.4</c:v>
                </c:pt>
                <c:pt idx="18">
                  <c:v>3.4</c:v>
                </c:pt>
                <c:pt idx="19">
                  <c:v>3.4</c:v>
                </c:pt>
                <c:pt idx="20">
                  <c:v>3.4</c:v>
                </c:pt>
                <c:pt idx="21">
                  <c:v>3.4</c:v>
                </c:pt>
                <c:pt idx="22">
                  <c:v>3.4</c:v>
                </c:pt>
                <c:pt idx="23">
                  <c:v>3.4</c:v>
                </c:pt>
                <c:pt idx="24">
                  <c:v>5.3</c:v>
                </c:pt>
                <c:pt idx="25">
                  <c:v>5.3</c:v>
                </c:pt>
                <c:pt idx="26">
                  <c:v>5.3</c:v>
                </c:pt>
                <c:pt idx="27">
                  <c:v>5.8</c:v>
                </c:pt>
                <c:pt idx="28">
                  <c:v>5.8</c:v>
                </c:pt>
                <c:pt idx="29">
                  <c:v>5.8</c:v>
                </c:pt>
                <c:pt idx="30">
                  <c:v>5.6</c:v>
                </c:pt>
                <c:pt idx="31">
                  <c:v>5.6</c:v>
                </c:pt>
                <c:pt idx="32">
                  <c:v>5.6</c:v>
                </c:pt>
                <c:pt idx="33">
                  <c:v>4.9000000000000004</c:v>
                </c:pt>
                <c:pt idx="34">
                  <c:v>4.9000000000000004</c:v>
                </c:pt>
                <c:pt idx="35">
                  <c:v>4.9000000000000004</c:v>
                </c:pt>
                <c:pt idx="36">
                  <c:v>3.6</c:v>
                </c:pt>
                <c:pt idx="37">
                  <c:v>3.6</c:v>
                </c:pt>
                <c:pt idx="38">
                  <c:v>3.6</c:v>
                </c:pt>
                <c:pt idx="39">
                  <c:v>2.4</c:v>
                </c:pt>
                <c:pt idx="40">
                  <c:v>2.4</c:v>
                </c:pt>
                <c:pt idx="41" formatCode="General">
                  <c:v>2.4</c:v>
                </c:pt>
                <c:pt idx="42" formatCode="General">
                  <c:v>1.7</c:v>
                </c:pt>
                <c:pt idx="43" formatCode="General">
                  <c:v>1.7</c:v>
                </c:pt>
                <c:pt idx="44" formatCode="General">
                  <c:v>1.7</c:v>
                </c:pt>
                <c:pt idx="45" formatCode="General">
                  <c:v>1.8</c:v>
                </c:pt>
                <c:pt idx="46" formatCode="General">
                  <c:v>1.8</c:v>
                </c:pt>
                <c:pt idx="47" formatCode="General">
                  <c:v>1.8</c:v>
                </c:pt>
                <c:pt idx="48" formatCode="General">
                  <c:v>2.9</c:v>
                </c:pt>
                <c:pt idx="49" formatCode="General">
                  <c:v>2.9</c:v>
                </c:pt>
                <c:pt idx="50" formatCode="General">
                  <c:v>2.9</c:v>
                </c:pt>
                <c:pt idx="51" formatCode="General">
                  <c:v>4.9000000000000004</c:v>
                </c:pt>
                <c:pt idx="52" formatCode="General">
                  <c:v>4.9000000000000004</c:v>
                </c:pt>
                <c:pt idx="53" formatCode="General">
                  <c:v>4.9000000000000004</c:v>
                </c:pt>
                <c:pt idx="54" formatCode="General">
                  <c:v>5.0999999999999996</c:v>
                </c:pt>
                <c:pt idx="55" formatCode="General">
                  <c:v>5.0999999999999996</c:v>
                </c:pt>
                <c:pt idx="56" formatCode="General">
                  <c:v>5.0999999999999996</c:v>
                </c:pt>
                <c:pt idx="57" formatCode="General">
                  <c:v>5</c:v>
                </c:pt>
                <c:pt idx="58" formatCode="General">
                  <c:v>5</c:v>
                </c:pt>
                <c:pt idx="59" formatCode="General">
                  <c:v>5</c:v>
                </c:pt>
                <c:pt idx="60" formatCode="General">
                  <c:v>4.0999999999999996</c:v>
                </c:pt>
                <c:pt idx="61" formatCode="General">
                  <c:v>4.0999999999999996</c:v>
                </c:pt>
                <c:pt idx="62" formatCode="General">
                  <c:v>4.0999999999999996</c:v>
                </c:pt>
                <c:pt idx="63" formatCode="General">
                  <c:v>2.4</c:v>
                </c:pt>
                <c:pt idx="64" formatCode="General">
                  <c:v>2.4</c:v>
                </c:pt>
                <c:pt idx="65" formatCode="General">
                  <c:v>2.4</c:v>
                </c:pt>
                <c:pt idx="66" formatCode="General">
                  <c:v>2.4</c:v>
                </c:pt>
                <c:pt idx="67" formatCode="General">
                  <c:v>2.4</c:v>
                </c:pt>
                <c:pt idx="68" formatCode="General">
                  <c:v>2.4</c:v>
                </c:pt>
                <c:pt idx="69" formatCode="General">
                  <c:v>2.6</c:v>
                </c:pt>
                <c:pt idx="70" formatCode="General">
                  <c:v>2.6</c:v>
                </c:pt>
                <c:pt idx="71" formatCode="General">
                  <c:v>2.6</c:v>
                </c:pt>
              </c:numCache>
            </c:numRef>
          </c:val>
          <c:extLst>
            <c:ext xmlns:c16="http://schemas.microsoft.com/office/drawing/2014/chart" uri="{C3380CC4-5D6E-409C-BE32-E72D297353CC}">
              <c16:uniqueId val="{00000000-A7F3-4049-858E-806BB384A4F9}"/>
            </c:ext>
          </c:extLst>
        </c:ser>
        <c:dLbls>
          <c:showLegendKey val="0"/>
          <c:showVal val="0"/>
          <c:showCatName val="0"/>
          <c:showSerName val="0"/>
          <c:showPercent val="0"/>
          <c:showBubbleSize val="0"/>
        </c:dLbls>
        <c:gapWidth val="30"/>
        <c:axId val="115166592"/>
        <c:axId val="115165056"/>
      </c:barChart>
      <c:lineChart>
        <c:grouping val="standard"/>
        <c:varyColors val="0"/>
        <c:ser>
          <c:idx val="3"/>
          <c:order val="1"/>
          <c:tx>
            <c:strRef>
              <c:f>'souhrnná výkonnost 2'!$D$5</c:f>
              <c:strCache>
                <c:ptCount val="1"/>
                <c:pt idx="0">
                  <c:v>Entrepreneur confidence</c:v>
                </c:pt>
              </c:strCache>
            </c:strRef>
          </c:tx>
          <c:spPr>
            <a:ln w="19050">
              <a:solidFill>
                <a:srgbClr val="0071BC"/>
              </a:solidFill>
            </a:ln>
          </c:spPr>
          <c:marker>
            <c:symbol val="none"/>
          </c:marker>
          <c:cat>
            <c:multiLvlStrRef>
              <c:f>'souhrnná výkonnost 2'!$A$18:$B$89</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2013</c:v>
                  </c:pt>
                  <c:pt idx="12">
                    <c:v>2014</c:v>
                  </c:pt>
                  <c:pt idx="24">
                    <c:v>2015</c:v>
                  </c:pt>
                  <c:pt idx="36">
                    <c:v>2016</c:v>
                  </c:pt>
                  <c:pt idx="48">
                    <c:v>2017</c:v>
                  </c:pt>
                  <c:pt idx="60">
                    <c:v>2018</c:v>
                  </c:pt>
                </c:lvl>
              </c:multiLvlStrCache>
            </c:multiLvlStrRef>
          </c:cat>
          <c:val>
            <c:numRef>
              <c:f>'souhrnná výkonnost 2'!$D$18:$D$89</c:f>
              <c:numCache>
                <c:formatCode>###\ ###\ ##0.0</c:formatCode>
                <c:ptCount val="72"/>
                <c:pt idx="0">
                  <c:v>84.6</c:v>
                </c:pt>
                <c:pt idx="1">
                  <c:v>85.2</c:v>
                </c:pt>
                <c:pt idx="2" formatCode="###\ ###\ ##0">
                  <c:v>85</c:v>
                </c:pt>
                <c:pt idx="3">
                  <c:v>82.7</c:v>
                </c:pt>
                <c:pt idx="4">
                  <c:v>83.6</c:v>
                </c:pt>
                <c:pt idx="5" formatCode="###\ ###\ ##0">
                  <c:v>84</c:v>
                </c:pt>
                <c:pt idx="6" formatCode="###\ ###\ ##0">
                  <c:v>84</c:v>
                </c:pt>
                <c:pt idx="7">
                  <c:v>84.8</c:v>
                </c:pt>
                <c:pt idx="8">
                  <c:v>87.5</c:v>
                </c:pt>
                <c:pt idx="9" formatCode="###\ ###\ ##0">
                  <c:v>89</c:v>
                </c:pt>
                <c:pt idx="10">
                  <c:v>89.9</c:v>
                </c:pt>
                <c:pt idx="11">
                  <c:v>90.9</c:v>
                </c:pt>
                <c:pt idx="12">
                  <c:v>90.1</c:v>
                </c:pt>
                <c:pt idx="13">
                  <c:v>90.9</c:v>
                </c:pt>
                <c:pt idx="14">
                  <c:v>91.6</c:v>
                </c:pt>
                <c:pt idx="15">
                  <c:v>91.5</c:v>
                </c:pt>
                <c:pt idx="16">
                  <c:v>91.5</c:v>
                </c:pt>
                <c:pt idx="17">
                  <c:v>92.5</c:v>
                </c:pt>
                <c:pt idx="18">
                  <c:v>91.6</c:v>
                </c:pt>
                <c:pt idx="19">
                  <c:v>92.5</c:v>
                </c:pt>
                <c:pt idx="20">
                  <c:v>93.2</c:v>
                </c:pt>
                <c:pt idx="21">
                  <c:v>92.8</c:v>
                </c:pt>
                <c:pt idx="22">
                  <c:v>93.5</c:v>
                </c:pt>
                <c:pt idx="23">
                  <c:v>94.8</c:v>
                </c:pt>
                <c:pt idx="24">
                  <c:v>94.3</c:v>
                </c:pt>
                <c:pt idx="25">
                  <c:v>93.4</c:v>
                </c:pt>
                <c:pt idx="26">
                  <c:v>92.9</c:v>
                </c:pt>
                <c:pt idx="27">
                  <c:v>93.2</c:v>
                </c:pt>
                <c:pt idx="28">
                  <c:v>93.8</c:v>
                </c:pt>
                <c:pt idx="29">
                  <c:v>95.5</c:v>
                </c:pt>
                <c:pt idx="30">
                  <c:v>94.6</c:v>
                </c:pt>
                <c:pt idx="31">
                  <c:v>94.2</c:v>
                </c:pt>
                <c:pt idx="32">
                  <c:v>94.4</c:v>
                </c:pt>
                <c:pt idx="33">
                  <c:v>93.2</c:v>
                </c:pt>
                <c:pt idx="34">
                  <c:v>94.2</c:v>
                </c:pt>
                <c:pt idx="35">
                  <c:v>94.3</c:v>
                </c:pt>
                <c:pt idx="36" formatCode="0.0">
                  <c:v>96</c:v>
                </c:pt>
                <c:pt idx="37" formatCode="0.0">
                  <c:v>95.3</c:v>
                </c:pt>
                <c:pt idx="38" formatCode="0.0">
                  <c:v>95.1</c:v>
                </c:pt>
                <c:pt idx="39" formatCode="0.0">
                  <c:v>93.8</c:v>
                </c:pt>
                <c:pt idx="40" formatCode="0.0">
                  <c:v>94.3</c:v>
                </c:pt>
                <c:pt idx="41" formatCode="0.0">
                  <c:v>93.5</c:v>
                </c:pt>
                <c:pt idx="42" formatCode="0.0">
                  <c:v>94</c:v>
                </c:pt>
                <c:pt idx="43" formatCode="0.0">
                  <c:v>95.3</c:v>
                </c:pt>
                <c:pt idx="44" formatCode="0.0">
                  <c:v>95.2</c:v>
                </c:pt>
                <c:pt idx="45" formatCode="0.0">
                  <c:v>95.2</c:v>
                </c:pt>
                <c:pt idx="46" formatCode="0.0">
                  <c:v>97.5</c:v>
                </c:pt>
                <c:pt idx="47" formatCode="0.0">
                  <c:v>97.1</c:v>
                </c:pt>
                <c:pt idx="48" formatCode="0.0">
                  <c:v>97</c:v>
                </c:pt>
                <c:pt idx="49" formatCode="0.0">
                  <c:v>95.9</c:v>
                </c:pt>
                <c:pt idx="50" formatCode="0.0">
                  <c:v>94.1</c:v>
                </c:pt>
                <c:pt idx="51" formatCode="0.0">
                  <c:v>95.1</c:v>
                </c:pt>
                <c:pt idx="52" formatCode="0.0">
                  <c:v>94.9</c:v>
                </c:pt>
                <c:pt idx="53" formatCode="0.0">
                  <c:v>95.2</c:v>
                </c:pt>
                <c:pt idx="54" formatCode="0.0">
                  <c:v>96.1</c:v>
                </c:pt>
                <c:pt idx="55" formatCode="0.0">
                  <c:v>96.8</c:v>
                </c:pt>
                <c:pt idx="56" formatCode="0.0">
                  <c:v>97</c:v>
                </c:pt>
                <c:pt idx="57" formatCode="0.0">
                  <c:v>97.4</c:v>
                </c:pt>
                <c:pt idx="58" formatCode="0.0">
                  <c:v>96.7</c:v>
                </c:pt>
                <c:pt idx="59" formatCode="0.0">
                  <c:v>97.5</c:v>
                </c:pt>
                <c:pt idx="60" formatCode="0.0">
                  <c:v>96.9</c:v>
                </c:pt>
                <c:pt idx="61" formatCode="0.0">
                  <c:v>97.5</c:v>
                </c:pt>
                <c:pt idx="62" formatCode="0.0">
                  <c:v>97</c:v>
                </c:pt>
                <c:pt idx="63" formatCode="0.0">
                  <c:v>97.6</c:v>
                </c:pt>
                <c:pt idx="64" formatCode="0.0">
                  <c:v>96.2</c:v>
                </c:pt>
                <c:pt idx="65" formatCode="0.0">
                  <c:v>97.4</c:v>
                </c:pt>
                <c:pt idx="66" formatCode="0.0">
                  <c:v>96.1</c:v>
                </c:pt>
                <c:pt idx="67" formatCode="0.0">
                  <c:v>96.9</c:v>
                </c:pt>
                <c:pt idx="68" formatCode="0.0">
                  <c:v>97.3</c:v>
                </c:pt>
                <c:pt idx="69" formatCode="0.0">
                  <c:v>97.3</c:v>
                </c:pt>
                <c:pt idx="70" formatCode="0.0">
                  <c:v>97.8</c:v>
                </c:pt>
                <c:pt idx="71" formatCode="0.0">
                  <c:v>96.4</c:v>
                </c:pt>
              </c:numCache>
            </c:numRef>
          </c:val>
          <c:smooth val="0"/>
          <c:extLst>
            <c:ext xmlns:c16="http://schemas.microsoft.com/office/drawing/2014/chart" uri="{C3380CC4-5D6E-409C-BE32-E72D297353CC}">
              <c16:uniqueId val="{00000001-A7F3-4049-858E-806BB384A4F9}"/>
            </c:ext>
          </c:extLst>
        </c:ser>
        <c:ser>
          <c:idx val="2"/>
          <c:order val="2"/>
          <c:tx>
            <c:strRef>
              <c:f>'souhrnná výkonnost 2'!$E$5</c:f>
              <c:strCache>
                <c:ptCount val="1"/>
                <c:pt idx="0">
                  <c:v>Consumer confidence</c:v>
                </c:pt>
              </c:strCache>
            </c:strRef>
          </c:tx>
          <c:spPr>
            <a:ln w="19050">
              <a:solidFill>
                <a:srgbClr val="BD1B21"/>
              </a:solidFill>
            </a:ln>
          </c:spPr>
          <c:marker>
            <c:symbol val="none"/>
          </c:marker>
          <c:cat>
            <c:multiLvlStrRef>
              <c:f>'souhrnná výkonnost 2'!$A$18:$B$89</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2013</c:v>
                  </c:pt>
                  <c:pt idx="12">
                    <c:v>2014</c:v>
                  </c:pt>
                  <c:pt idx="24">
                    <c:v>2015</c:v>
                  </c:pt>
                  <c:pt idx="36">
                    <c:v>2016</c:v>
                  </c:pt>
                  <c:pt idx="48">
                    <c:v>2017</c:v>
                  </c:pt>
                  <c:pt idx="60">
                    <c:v>2018</c:v>
                  </c:pt>
                </c:lvl>
              </c:multiLvlStrCache>
            </c:multiLvlStrRef>
          </c:cat>
          <c:val>
            <c:numRef>
              <c:f>'souhrnná výkonnost 2'!$E$18:$E$89</c:f>
              <c:numCache>
                <c:formatCode>###\ ###\ ##0.0</c:formatCode>
                <c:ptCount val="72"/>
                <c:pt idx="0">
                  <c:v>73.8</c:v>
                </c:pt>
                <c:pt idx="1">
                  <c:v>79.5</c:v>
                </c:pt>
                <c:pt idx="2" formatCode="###\ ###\ ##0">
                  <c:v>81</c:v>
                </c:pt>
                <c:pt idx="3">
                  <c:v>77.900000000000006</c:v>
                </c:pt>
                <c:pt idx="4" formatCode="###\ ###\ ##0">
                  <c:v>82</c:v>
                </c:pt>
                <c:pt idx="5">
                  <c:v>82.8</c:v>
                </c:pt>
                <c:pt idx="6">
                  <c:v>81.3</c:v>
                </c:pt>
                <c:pt idx="7">
                  <c:v>84.9</c:v>
                </c:pt>
                <c:pt idx="8">
                  <c:v>87.7</c:v>
                </c:pt>
                <c:pt idx="9">
                  <c:v>88.5</c:v>
                </c:pt>
                <c:pt idx="10">
                  <c:v>92.8</c:v>
                </c:pt>
                <c:pt idx="11">
                  <c:v>92.6</c:v>
                </c:pt>
                <c:pt idx="12">
                  <c:v>96.9</c:v>
                </c:pt>
                <c:pt idx="13">
                  <c:v>93.1</c:v>
                </c:pt>
                <c:pt idx="14">
                  <c:v>96.7</c:v>
                </c:pt>
                <c:pt idx="15">
                  <c:v>98.4</c:v>
                </c:pt>
                <c:pt idx="16">
                  <c:v>98.2</c:v>
                </c:pt>
                <c:pt idx="17">
                  <c:v>99.4</c:v>
                </c:pt>
                <c:pt idx="18">
                  <c:v>99.9</c:v>
                </c:pt>
                <c:pt idx="19">
                  <c:v>97.9</c:v>
                </c:pt>
                <c:pt idx="20">
                  <c:v>96.3</c:v>
                </c:pt>
                <c:pt idx="21">
                  <c:v>100.2</c:v>
                </c:pt>
                <c:pt idx="22">
                  <c:v>103.6</c:v>
                </c:pt>
                <c:pt idx="23">
                  <c:v>105.1</c:v>
                </c:pt>
                <c:pt idx="24">
                  <c:v>106.7</c:v>
                </c:pt>
                <c:pt idx="25">
                  <c:v>105.7</c:v>
                </c:pt>
                <c:pt idx="26">
                  <c:v>105.7</c:v>
                </c:pt>
                <c:pt idx="27">
                  <c:v>104.3</c:v>
                </c:pt>
                <c:pt idx="28">
                  <c:v>103.6</c:v>
                </c:pt>
                <c:pt idx="29">
                  <c:v>104.3</c:v>
                </c:pt>
                <c:pt idx="30">
                  <c:v>103.6</c:v>
                </c:pt>
                <c:pt idx="31">
                  <c:v>103.6</c:v>
                </c:pt>
                <c:pt idx="32">
                  <c:v>103.3</c:v>
                </c:pt>
                <c:pt idx="33">
                  <c:v>104.8</c:v>
                </c:pt>
                <c:pt idx="34">
                  <c:v>105.3</c:v>
                </c:pt>
                <c:pt idx="35">
                  <c:v>107.4</c:v>
                </c:pt>
                <c:pt idx="36" formatCode="0.0">
                  <c:v>110</c:v>
                </c:pt>
                <c:pt idx="37" formatCode="0.0">
                  <c:v>106.2</c:v>
                </c:pt>
                <c:pt idx="38" formatCode="0.0">
                  <c:v>104.8</c:v>
                </c:pt>
                <c:pt idx="39" formatCode="0.0">
                  <c:v>104.3</c:v>
                </c:pt>
                <c:pt idx="40" formatCode="0.0">
                  <c:v>104.3</c:v>
                </c:pt>
                <c:pt idx="41" formatCode="0.0">
                  <c:v>103.8</c:v>
                </c:pt>
                <c:pt idx="42" formatCode="0.0">
                  <c:v>102.3</c:v>
                </c:pt>
                <c:pt idx="43" formatCode="0.0">
                  <c:v>104.3</c:v>
                </c:pt>
                <c:pt idx="44" formatCode="0.0">
                  <c:v>106.4</c:v>
                </c:pt>
                <c:pt idx="45" formatCode="0.0">
                  <c:v>108.9</c:v>
                </c:pt>
                <c:pt idx="46" formatCode="0.0">
                  <c:v>107.9</c:v>
                </c:pt>
                <c:pt idx="47" formatCode="0.0">
                  <c:v>108.7</c:v>
                </c:pt>
                <c:pt idx="48" formatCode="0.0">
                  <c:v>110</c:v>
                </c:pt>
                <c:pt idx="49" formatCode="0.0">
                  <c:v>108.2</c:v>
                </c:pt>
                <c:pt idx="50" formatCode="0.0">
                  <c:v>108.7</c:v>
                </c:pt>
                <c:pt idx="51" formatCode="0.0">
                  <c:v>108.4</c:v>
                </c:pt>
                <c:pt idx="52" formatCode="0.0">
                  <c:v>108.4</c:v>
                </c:pt>
                <c:pt idx="53" formatCode="0.0">
                  <c:v>106.2</c:v>
                </c:pt>
                <c:pt idx="54" formatCode="0.0">
                  <c:v>105.7</c:v>
                </c:pt>
                <c:pt idx="55" formatCode="0.0">
                  <c:v>107.9</c:v>
                </c:pt>
                <c:pt idx="56" formatCode="0.0">
                  <c:v>109.2</c:v>
                </c:pt>
                <c:pt idx="57" formatCode="0.0">
                  <c:v>108.7</c:v>
                </c:pt>
                <c:pt idx="58" formatCode="0.0">
                  <c:v>110.3</c:v>
                </c:pt>
                <c:pt idx="59" formatCode="0.0">
                  <c:v>110</c:v>
                </c:pt>
                <c:pt idx="60" formatCode="0.0">
                  <c:v>112.3</c:v>
                </c:pt>
                <c:pt idx="61" formatCode="0.0">
                  <c:v>112</c:v>
                </c:pt>
                <c:pt idx="62" formatCode="0.0">
                  <c:v>112.8</c:v>
                </c:pt>
                <c:pt idx="63" formatCode="0.0">
                  <c:v>112.5</c:v>
                </c:pt>
                <c:pt idx="64" formatCode="0.0">
                  <c:v>113.8</c:v>
                </c:pt>
                <c:pt idx="65" formatCode="0.0">
                  <c:v>113</c:v>
                </c:pt>
                <c:pt idx="66" formatCode="0.0">
                  <c:v>111.8</c:v>
                </c:pt>
                <c:pt idx="67" formatCode="0.0">
                  <c:v>110.3</c:v>
                </c:pt>
                <c:pt idx="68" formatCode="0.0">
                  <c:v>111</c:v>
                </c:pt>
                <c:pt idx="69" formatCode="0.0">
                  <c:v>112</c:v>
                </c:pt>
                <c:pt idx="70" formatCode="0.0">
                  <c:v>106.9</c:v>
                </c:pt>
                <c:pt idx="71" formatCode="0.0">
                  <c:v>109.2</c:v>
                </c:pt>
              </c:numCache>
            </c:numRef>
          </c:val>
          <c:smooth val="0"/>
          <c:extLst>
            <c:ext xmlns:c16="http://schemas.microsoft.com/office/drawing/2014/chart" uri="{C3380CC4-5D6E-409C-BE32-E72D297353CC}">
              <c16:uniqueId val="{00000002-A7F3-4049-858E-806BB384A4F9}"/>
            </c:ext>
          </c:extLst>
        </c:ser>
        <c:ser>
          <c:idx val="1"/>
          <c:order val="3"/>
          <c:tx>
            <c:strRef>
              <c:f>'souhrnná výkonnost 2'!$F$5</c:f>
              <c:strCache>
                <c:ptCount val="1"/>
                <c:pt idx="0">
                  <c:v>Total indicator</c:v>
                </c:pt>
              </c:strCache>
            </c:strRef>
          </c:tx>
          <c:spPr>
            <a:ln w="19050">
              <a:solidFill>
                <a:schemeClr val="tx1"/>
              </a:solidFill>
            </a:ln>
          </c:spPr>
          <c:marker>
            <c:symbol val="none"/>
          </c:marker>
          <c:cat>
            <c:multiLvlStrRef>
              <c:f>'souhrnná výkonnost 2'!$A$18:$B$89</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2013</c:v>
                  </c:pt>
                  <c:pt idx="12">
                    <c:v>2014</c:v>
                  </c:pt>
                  <c:pt idx="24">
                    <c:v>2015</c:v>
                  </c:pt>
                  <c:pt idx="36">
                    <c:v>2016</c:v>
                  </c:pt>
                  <c:pt idx="48">
                    <c:v>2017</c:v>
                  </c:pt>
                  <c:pt idx="60">
                    <c:v>2018</c:v>
                  </c:pt>
                </c:lvl>
              </c:multiLvlStrCache>
            </c:multiLvlStrRef>
          </c:cat>
          <c:val>
            <c:numRef>
              <c:f>'souhrnná výkonnost 2'!$F$18:$F$89</c:f>
              <c:numCache>
                <c:formatCode>###\ ###\ ##0.0</c:formatCode>
                <c:ptCount val="72"/>
                <c:pt idx="0">
                  <c:v>82.8</c:v>
                </c:pt>
                <c:pt idx="1">
                  <c:v>84.2</c:v>
                </c:pt>
                <c:pt idx="2">
                  <c:v>84.4</c:v>
                </c:pt>
                <c:pt idx="3">
                  <c:v>81.900000000000006</c:v>
                </c:pt>
                <c:pt idx="4">
                  <c:v>83.3</c:v>
                </c:pt>
                <c:pt idx="5">
                  <c:v>83.8</c:v>
                </c:pt>
                <c:pt idx="6">
                  <c:v>83.6</c:v>
                </c:pt>
                <c:pt idx="7">
                  <c:v>84.8</c:v>
                </c:pt>
                <c:pt idx="8">
                  <c:v>87.5</c:v>
                </c:pt>
                <c:pt idx="9">
                  <c:v>88.9</c:v>
                </c:pt>
                <c:pt idx="10">
                  <c:v>90.4</c:v>
                </c:pt>
                <c:pt idx="11">
                  <c:v>91.2</c:v>
                </c:pt>
                <c:pt idx="12">
                  <c:v>91.3</c:v>
                </c:pt>
                <c:pt idx="13">
                  <c:v>91.2</c:v>
                </c:pt>
                <c:pt idx="14">
                  <c:v>92.4</c:v>
                </c:pt>
                <c:pt idx="15">
                  <c:v>92.6</c:v>
                </c:pt>
                <c:pt idx="16">
                  <c:v>92.6</c:v>
                </c:pt>
                <c:pt idx="17">
                  <c:v>93.6</c:v>
                </c:pt>
                <c:pt idx="18" formatCode="###\ ###\ ##0">
                  <c:v>93</c:v>
                </c:pt>
                <c:pt idx="19">
                  <c:v>93.4</c:v>
                </c:pt>
                <c:pt idx="20">
                  <c:v>93.7</c:v>
                </c:pt>
                <c:pt idx="21">
                  <c:v>94.1</c:v>
                </c:pt>
                <c:pt idx="22">
                  <c:v>95.2</c:v>
                </c:pt>
                <c:pt idx="23">
                  <c:v>96.5</c:v>
                </c:pt>
                <c:pt idx="24">
                  <c:v>96.4</c:v>
                </c:pt>
                <c:pt idx="25">
                  <c:v>95.5</c:v>
                </c:pt>
                <c:pt idx="26">
                  <c:v>95.1</c:v>
                </c:pt>
                <c:pt idx="27">
                  <c:v>95.1</c:v>
                </c:pt>
                <c:pt idx="28">
                  <c:v>95.5</c:v>
                </c:pt>
                <c:pt idx="29" formatCode="###\ ###\ ##0">
                  <c:v>97</c:v>
                </c:pt>
                <c:pt idx="30">
                  <c:v>96.1</c:v>
                </c:pt>
                <c:pt idx="31">
                  <c:v>95.7</c:v>
                </c:pt>
                <c:pt idx="32">
                  <c:v>95.9</c:v>
                </c:pt>
                <c:pt idx="33">
                  <c:v>95.1</c:v>
                </c:pt>
                <c:pt idx="34" formatCode="###\ ###\ ##0">
                  <c:v>96</c:v>
                </c:pt>
                <c:pt idx="35">
                  <c:v>96.5</c:v>
                </c:pt>
                <c:pt idx="36" formatCode="0.0">
                  <c:v>98.4</c:v>
                </c:pt>
                <c:pt idx="37" formatCode="0.0">
                  <c:v>97.1</c:v>
                </c:pt>
                <c:pt idx="38" formatCode="0.0">
                  <c:v>96.7</c:v>
                </c:pt>
                <c:pt idx="39" formatCode="0.0">
                  <c:v>95.6</c:v>
                </c:pt>
                <c:pt idx="40" formatCode="0.0">
                  <c:v>96</c:v>
                </c:pt>
                <c:pt idx="41" formatCode="0.0">
                  <c:v>95.3</c:v>
                </c:pt>
                <c:pt idx="42" formatCode="0.0">
                  <c:v>95.4</c:v>
                </c:pt>
                <c:pt idx="43" formatCode="0.0">
                  <c:v>96.8</c:v>
                </c:pt>
                <c:pt idx="44" formatCode="0.0">
                  <c:v>97.1</c:v>
                </c:pt>
                <c:pt idx="45" formatCode="0.0">
                  <c:v>97.5</c:v>
                </c:pt>
                <c:pt idx="46" formatCode="0.0">
                  <c:v>99.3</c:v>
                </c:pt>
                <c:pt idx="47" formatCode="0.0">
                  <c:v>99.1</c:v>
                </c:pt>
                <c:pt idx="48" formatCode="0.0">
                  <c:v>99.2</c:v>
                </c:pt>
                <c:pt idx="49" formatCode="0.0">
                  <c:v>98</c:v>
                </c:pt>
                <c:pt idx="50" formatCode="0.0">
                  <c:v>96.6</c:v>
                </c:pt>
                <c:pt idx="51" formatCode="0.0">
                  <c:v>97.4</c:v>
                </c:pt>
                <c:pt idx="52" formatCode="0.0">
                  <c:v>97.2</c:v>
                </c:pt>
                <c:pt idx="53" formatCode="0.0">
                  <c:v>97.1</c:v>
                </c:pt>
                <c:pt idx="54" formatCode="0.0">
                  <c:v>97.7</c:v>
                </c:pt>
                <c:pt idx="55" formatCode="0.0">
                  <c:v>98.7</c:v>
                </c:pt>
                <c:pt idx="56" formatCode="0.0">
                  <c:v>99.1</c:v>
                </c:pt>
                <c:pt idx="57" formatCode="0.0">
                  <c:v>99.3</c:v>
                </c:pt>
                <c:pt idx="58" formatCode="0.0">
                  <c:v>99</c:v>
                </c:pt>
                <c:pt idx="59" formatCode="0.0">
                  <c:v>99.6</c:v>
                </c:pt>
                <c:pt idx="60" formatCode="0.0">
                  <c:v>99.5</c:v>
                </c:pt>
                <c:pt idx="61" formatCode="0.0">
                  <c:v>99.9</c:v>
                </c:pt>
                <c:pt idx="62" formatCode="0.0">
                  <c:v>99.7</c:v>
                </c:pt>
                <c:pt idx="63" formatCode="0.0">
                  <c:v>100.1</c:v>
                </c:pt>
                <c:pt idx="64" formatCode="0.0">
                  <c:v>99.2</c:v>
                </c:pt>
                <c:pt idx="65" formatCode="0.0">
                  <c:v>100</c:v>
                </c:pt>
                <c:pt idx="66" formatCode="0.0">
                  <c:v>98.7</c:v>
                </c:pt>
                <c:pt idx="67" formatCode="0.0">
                  <c:v>99.1</c:v>
                </c:pt>
                <c:pt idx="68" formatCode="0.0">
                  <c:v>99.6</c:v>
                </c:pt>
                <c:pt idx="69" formatCode="0.0">
                  <c:v>99.8</c:v>
                </c:pt>
                <c:pt idx="70" formatCode="0.0">
                  <c:v>99.3</c:v>
                </c:pt>
                <c:pt idx="71" formatCode="0.0">
                  <c:v>98.6</c:v>
                </c:pt>
              </c:numCache>
            </c:numRef>
          </c:val>
          <c:smooth val="0"/>
          <c:extLst>
            <c:ext xmlns:c16="http://schemas.microsoft.com/office/drawing/2014/chart" uri="{C3380CC4-5D6E-409C-BE32-E72D297353CC}">
              <c16:uniqueId val="{00000003-A7F3-4049-858E-806BB384A4F9}"/>
            </c:ext>
          </c:extLst>
        </c:ser>
        <c:dLbls>
          <c:showLegendKey val="0"/>
          <c:showVal val="0"/>
          <c:showCatName val="0"/>
          <c:showSerName val="0"/>
          <c:showPercent val="0"/>
          <c:showBubbleSize val="0"/>
        </c:dLbls>
        <c:marker val="1"/>
        <c:smooth val="0"/>
        <c:axId val="115149440"/>
        <c:axId val="115163520"/>
      </c:lineChart>
      <c:catAx>
        <c:axId val="115149440"/>
        <c:scaling>
          <c:orientation val="minMax"/>
        </c:scaling>
        <c:delete val="0"/>
        <c:axPos val="b"/>
        <c:numFmt formatCode="General" sourceLinked="0"/>
        <c:majorTickMark val="out"/>
        <c:minorTickMark val="none"/>
        <c:tickLblPos val="low"/>
        <c:spPr>
          <a:ln>
            <a:solidFill>
              <a:schemeClr val="tx1"/>
            </a:solidFill>
          </a:ln>
        </c:spPr>
        <c:crossAx val="115163520"/>
        <c:crossesAt val="100"/>
        <c:auto val="1"/>
        <c:lblAlgn val="ctr"/>
        <c:lblOffset val="100"/>
        <c:noMultiLvlLbl val="0"/>
      </c:catAx>
      <c:valAx>
        <c:axId val="115163520"/>
        <c:scaling>
          <c:orientation val="minMax"/>
          <c:max val="130"/>
          <c:min val="70"/>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5149440"/>
        <c:crosses val="autoZero"/>
        <c:crossBetween val="between"/>
        <c:majorUnit val="5"/>
      </c:valAx>
      <c:valAx>
        <c:axId val="115165056"/>
        <c:scaling>
          <c:orientation val="minMax"/>
          <c:max val="6"/>
          <c:min val="-6"/>
        </c:scaling>
        <c:delete val="0"/>
        <c:axPos val="r"/>
        <c:numFmt formatCode="0" sourceLinked="0"/>
        <c:majorTickMark val="out"/>
        <c:minorTickMark val="none"/>
        <c:tickLblPos val="nextTo"/>
        <c:spPr>
          <a:ln>
            <a:solidFill>
              <a:schemeClr val="tx1"/>
            </a:solidFill>
          </a:ln>
        </c:spPr>
        <c:crossAx val="115166592"/>
        <c:crosses val="max"/>
        <c:crossBetween val="between"/>
        <c:majorUnit val="1"/>
      </c:valAx>
      <c:catAx>
        <c:axId val="115166592"/>
        <c:scaling>
          <c:orientation val="minMax"/>
        </c:scaling>
        <c:delete val="1"/>
        <c:axPos val="b"/>
        <c:majorTickMark val="out"/>
        <c:minorTickMark val="none"/>
        <c:tickLblPos val="none"/>
        <c:crossAx val="115165056"/>
        <c:crossesAt val="0"/>
        <c:auto val="1"/>
        <c:lblAlgn val="ctr"/>
        <c:lblOffset val="100"/>
        <c:noMultiLvlLbl val="0"/>
      </c:catAx>
      <c:spPr>
        <a:ln>
          <a:solidFill>
            <a:schemeClr val="tx1"/>
          </a:solidFill>
        </a:ln>
      </c:spPr>
    </c:plotArea>
    <c:legend>
      <c:legendPos val="b"/>
      <c:layout>
        <c:manualLayout>
          <c:xMode val="edge"/>
          <c:yMode val="edge"/>
          <c:x val="6.2295583422442583E-2"/>
          <c:y val="0.90228835978835553"/>
          <c:w val="0.88075331324325201"/>
          <c:h val="8.2645784081954179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6948352704928246E-2"/>
          <c:y val="2.8458510079622041E-2"/>
          <c:w val="0.93956464282120367"/>
          <c:h val="0.6497469886299676"/>
        </c:manualLayout>
      </c:layout>
      <c:barChart>
        <c:barDir val="col"/>
        <c:grouping val="stacked"/>
        <c:varyColors val="0"/>
        <c:ser>
          <c:idx val="5"/>
          <c:order val="1"/>
          <c:tx>
            <c:strRef>
              <c:f>'souhrnná výkonnost 3'!$D$5</c:f>
              <c:strCache>
                <c:ptCount val="1"/>
                <c:pt idx="0">
                  <c:v>Final consumption expenditure of households (inc. non-profit inst.)</c:v>
                </c:pt>
              </c:strCache>
            </c:strRef>
          </c:tx>
          <c:spPr>
            <a:solidFill>
              <a:srgbClr val="0071BC"/>
            </a:solidFill>
            <a:ln>
              <a:noFill/>
            </a:ln>
          </c:spPr>
          <c:invertIfNegative val="0"/>
          <c:val>
            <c:numRef>
              <c:f>'souhrnná výkonnost 3'!$D$10:$D$33</c:f>
              <c:numCache>
                <c:formatCode>#\ ##0.0</c:formatCode>
                <c:ptCount val="24"/>
                <c:pt idx="0">
                  <c:v>0.40597446298276663</c:v>
                </c:pt>
                <c:pt idx="1">
                  <c:v>0.39628462481417587</c:v>
                </c:pt>
                <c:pt idx="2">
                  <c:v>0.10072438430113123</c:v>
                </c:pt>
                <c:pt idx="3">
                  <c:v>-0.14406158457489229</c:v>
                </c:pt>
                <c:pt idx="4">
                  <c:v>-0.34634066091739607</c:v>
                </c:pt>
                <c:pt idx="5">
                  <c:v>1.9385986465040451E-2</c:v>
                </c:pt>
                <c:pt idx="6">
                  <c:v>0.6409759581575154</c:v>
                </c:pt>
                <c:pt idx="7">
                  <c:v>1.1222751214521565</c:v>
                </c:pt>
                <c:pt idx="8">
                  <c:v>0.95324800193997639</c:v>
                </c:pt>
                <c:pt idx="9">
                  <c:v>0.87834008534043184</c:v>
                </c:pt>
                <c:pt idx="10">
                  <c:v>0.98282233736482061</c:v>
                </c:pt>
                <c:pt idx="11">
                  <c:v>1.2011732247886713</c:v>
                </c:pt>
                <c:pt idx="12">
                  <c:v>0.93830506590305751</c:v>
                </c:pt>
                <c:pt idx="13">
                  <c:v>1.0153624426824208</c:v>
                </c:pt>
                <c:pt idx="14">
                  <c:v>1.2128070502408641</c:v>
                </c:pt>
                <c:pt idx="15">
                  <c:v>1.1229514324692931</c:v>
                </c:pt>
                <c:pt idx="16">
                  <c:v>1.9458738005336886</c:v>
                </c:pt>
                <c:pt idx="17">
                  <c:v>2.2652735745102026</c:v>
                </c:pt>
                <c:pt idx="18">
                  <c:v>2.0895125347925299</c:v>
                </c:pt>
                <c:pt idx="19">
                  <c:v>1.9257383607728384</c:v>
                </c:pt>
                <c:pt idx="20">
                  <c:v>1.4872469872456544</c:v>
                </c:pt>
                <c:pt idx="21">
                  <c:v>1.0676463699887155</c:v>
                </c:pt>
                <c:pt idx="22">
                  <c:v>0.81935055793072309</c:v>
                </c:pt>
                <c:pt idx="23">
                  <c:v>0.56103747497586398</c:v>
                </c:pt>
              </c:numCache>
            </c:numRef>
          </c:val>
          <c:extLst>
            <c:ext xmlns:c16="http://schemas.microsoft.com/office/drawing/2014/chart" uri="{C3380CC4-5D6E-409C-BE32-E72D297353CC}">
              <c16:uniqueId val="{00000000-D3D7-49F7-A3CA-45F473437FC5}"/>
            </c:ext>
          </c:extLst>
        </c:ser>
        <c:ser>
          <c:idx val="4"/>
          <c:order val="2"/>
          <c:tx>
            <c:strRef>
              <c:f>'souhrnná výkonnost 3'!$E$5</c:f>
              <c:strCache>
                <c:ptCount val="1"/>
                <c:pt idx="0">
                  <c:v>Final consumption expenditure of government institutions</c:v>
                </c:pt>
              </c:strCache>
            </c:strRef>
          </c:tx>
          <c:spPr>
            <a:solidFill>
              <a:srgbClr val="A6CDE8"/>
            </a:solidFill>
            <a:ln>
              <a:noFill/>
            </a:ln>
          </c:spPr>
          <c:invertIfNegative val="0"/>
          <c:val>
            <c:numRef>
              <c:f>'souhrnná výkonnost 3'!$E$10:$E$33</c:f>
              <c:numCache>
                <c:formatCode>#\ ##0.0</c:formatCode>
                <c:ptCount val="24"/>
                <c:pt idx="0">
                  <c:v>0.29182349651824041</c:v>
                </c:pt>
                <c:pt idx="1">
                  <c:v>0.39883827436684793</c:v>
                </c:pt>
                <c:pt idx="2">
                  <c:v>0.61835595894915019</c:v>
                </c:pt>
                <c:pt idx="3">
                  <c:v>0.4999741414388828</c:v>
                </c:pt>
                <c:pt idx="4">
                  <c:v>0.1647650452266268</c:v>
                </c:pt>
                <c:pt idx="5">
                  <c:v>0.35920558983442286</c:v>
                </c:pt>
                <c:pt idx="6">
                  <c:v>3.375533070618371E-3</c:v>
                </c:pt>
                <c:pt idx="7">
                  <c:v>0.43296248055129644</c:v>
                </c:pt>
                <c:pt idx="8">
                  <c:v>0.38860653049012461</c:v>
                </c:pt>
                <c:pt idx="9">
                  <c:v>0.42050971602096776</c:v>
                </c:pt>
                <c:pt idx="10">
                  <c:v>0.6826406447636606</c:v>
                </c:pt>
                <c:pt idx="11">
                  <c:v>0.4517370628889108</c:v>
                </c:pt>
                <c:pt idx="12">
                  <c:v>0.43519225643702975</c:v>
                </c:pt>
                <c:pt idx="13">
                  <c:v>0.57425071934076943</c:v>
                </c:pt>
                <c:pt idx="14">
                  <c:v>0.47033661242885427</c:v>
                </c:pt>
                <c:pt idx="15">
                  <c:v>0.44566852961049669</c:v>
                </c:pt>
                <c:pt idx="16">
                  <c:v>0.39517296657767198</c:v>
                </c:pt>
                <c:pt idx="17">
                  <c:v>0.24462460795774524</c:v>
                </c:pt>
                <c:pt idx="18">
                  <c:v>0.15366770388227927</c:v>
                </c:pt>
                <c:pt idx="19">
                  <c:v>0.18391952152497579</c:v>
                </c:pt>
                <c:pt idx="20">
                  <c:v>0.51547910815386211</c:v>
                </c:pt>
                <c:pt idx="21">
                  <c:v>0.49029690704907958</c:v>
                </c:pt>
                <c:pt idx="22">
                  <c:v>0.9</c:v>
                </c:pt>
                <c:pt idx="23">
                  <c:v>0.7</c:v>
                </c:pt>
              </c:numCache>
            </c:numRef>
          </c:val>
          <c:extLst>
            <c:ext xmlns:c16="http://schemas.microsoft.com/office/drawing/2014/chart" uri="{C3380CC4-5D6E-409C-BE32-E72D297353CC}">
              <c16:uniqueId val="{00000001-D3D7-49F7-A3CA-45F473437FC5}"/>
            </c:ext>
          </c:extLst>
        </c:ser>
        <c:ser>
          <c:idx val="3"/>
          <c:order val="3"/>
          <c:tx>
            <c:strRef>
              <c:f>'souhrnná výkonnost 3'!$G$5</c:f>
              <c:strCache>
                <c:ptCount val="1"/>
                <c:pt idx="0">
                  <c:v>Gross capital formation</c:v>
                </c:pt>
              </c:strCache>
            </c:strRef>
          </c:tx>
          <c:spPr>
            <a:solidFill>
              <a:srgbClr val="BD1B21"/>
            </a:solidFill>
            <a:ln>
              <a:noFill/>
            </a:ln>
          </c:spPr>
          <c:invertIfNegative val="0"/>
          <c:val>
            <c:numRef>
              <c:f>'souhrnná výkonnost 3'!$G$10:$G$33</c:f>
              <c:numCache>
                <c:formatCode>#\ ##0.0</c:formatCode>
                <c:ptCount val="24"/>
                <c:pt idx="0">
                  <c:v>-1.539756128807021</c:v>
                </c:pt>
                <c:pt idx="1">
                  <c:v>-2.8196114680342084</c:v>
                </c:pt>
                <c:pt idx="2">
                  <c:v>0.14424204081739037</c:v>
                </c:pt>
                <c:pt idx="3">
                  <c:v>0.30085195313780394</c:v>
                </c:pt>
                <c:pt idx="4">
                  <c:v>3.1093775840910038E-3</c:v>
                </c:pt>
                <c:pt idx="5">
                  <c:v>1.7228402322588214</c:v>
                </c:pt>
                <c:pt idx="6">
                  <c:v>1.2740748429655091</c:v>
                </c:pt>
                <c:pt idx="7">
                  <c:v>0.34209608794035873</c:v>
                </c:pt>
                <c:pt idx="8">
                  <c:v>3.0940088082174997</c:v>
                </c:pt>
                <c:pt idx="9">
                  <c:v>3.9603163536228339</c:v>
                </c:pt>
                <c:pt idx="10">
                  <c:v>2.423010190583867</c:v>
                </c:pt>
                <c:pt idx="11">
                  <c:v>1.1383788063935298</c:v>
                </c:pt>
                <c:pt idx="12">
                  <c:v>0.69863508777302097</c:v>
                </c:pt>
                <c:pt idx="13">
                  <c:v>-1.3723494139423089</c:v>
                </c:pt>
                <c:pt idx="14">
                  <c:v>-0.97881672565525502</c:v>
                </c:pt>
                <c:pt idx="15">
                  <c:v>-0.61772712880565761</c:v>
                </c:pt>
                <c:pt idx="16">
                  <c:v>-0.91202695306872372</c:v>
                </c:pt>
                <c:pt idx="17">
                  <c:v>0.39448109649743185</c:v>
                </c:pt>
                <c:pt idx="18">
                  <c:v>1.7505503340288129</c:v>
                </c:pt>
                <c:pt idx="19">
                  <c:v>2.1128152209543964</c:v>
                </c:pt>
                <c:pt idx="20">
                  <c:v>1.7</c:v>
                </c:pt>
                <c:pt idx="21">
                  <c:v>0.53438288039647419</c:v>
                </c:pt>
                <c:pt idx="22">
                  <c:v>0.6</c:v>
                </c:pt>
                <c:pt idx="23">
                  <c:v>0.5</c:v>
                </c:pt>
              </c:numCache>
            </c:numRef>
          </c:val>
          <c:extLst>
            <c:ext xmlns:c16="http://schemas.microsoft.com/office/drawing/2014/chart" uri="{C3380CC4-5D6E-409C-BE32-E72D297353CC}">
              <c16:uniqueId val="{00000002-D3D7-49F7-A3CA-45F473437FC5}"/>
            </c:ext>
          </c:extLst>
        </c:ser>
        <c:ser>
          <c:idx val="1"/>
          <c:order val="4"/>
          <c:tx>
            <c:strRef>
              <c:f>'souhrnná výkonnost 3'!$F$5</c:f>
              <c:strCache>
                <c:ptCount val="1"/>
                <c:pt idx="0">
                  <c:v>Foreign trade balance</c:v>
                </c:pt>
              </c:strCache>
            </c:strRef>
          </c:tx>
          <c:spPr>
            <a:solidFill>
              <a:srgbClr val="7DBB2D"/>
            </a:solidFill>
            <a:ln>
              <a:noFill/>
            </a:ln>
          </c:spPr>
          <c:invertIfNegative val="0"/>
          <c:val>
            <c:numRef>
              <c:f>'souhrnná výkonnost 3'!$F$10:$F$33</c:f>
              <c:numCache>
                <c:formatCode>#\ ##0.0</c:formatCode>
                <c:ptCount val="24"/>
                <c:pt idx="0">
                  <c:v>-1.1212539863066788</c:v>
                </c:pt>
                <c:pt idx="1">
                  <c:v>0.92540979141000812</c:v>
                </c:pt>
                <c:pt idx="2">
                  <c:v>-1.0354498395259251</c:v>
                </c:pt>
                <c:pt idx="3">
                  <c:v>0.55721289260917883</c:v>
                </c:pt>
                <c:pt idx="4">
                  <c:v>1.7889130945120968</c:v>
                </c:pt>
                <c:pt idx="5">
                  <c:v>0.28187217433750344</c:v>
                </c:pt>
                <c:pt idx="6">
                  <c:v>1.4439285779814037</c:v>
                </c:pt>
                <c:pt idx="7">
                  <c:v>1.4927511797532684</c:v>
                </c:pt>
                <c:pt idx="8">
                  <c:v>0.84168612845165525</c:v>
                </c:pt>
                <c:pt idx="9">
                  <c:v>0.57781958996686633</c:v>
                </c:pt>
                <c:pt idx="10">
                  <c:v>1.5186993594783789</c:v>
                </c:pt>
                <c:pt idx="11">
                  <c:v>2.1434487917698908</c:v>
                </c:pt>
                <c:pt idx="12">
                  <c:v>1.4573635285701187</c:v>
                </c:pt>
                <c:pt idx="13">
                  <c:v>2.1300532057503894</c:v>
                </c:pt>
                <c:pt idx="14">
                  <c:v>0.94178716932770379</c:v>
                </c:pt>
                <c:pt idx="15">
                  <c:v>0.8164685092271653</c:v>
                </c:pt>
                <c:pt idx="16">
                  <c:v>1.4723667997214176</c:v>
                </c:pt>
                <c:pt idx="17">
                  <c:v>2.0147147493291326</c:v>
                </c:pt>
                <c:pt idx="18">
                  <c:v>1.1771214609805769</c:v>
                </c:pt>
                <c:pt idx="19">
                  <c:v>0.82510354577362399</c:v>
                </c:pt>
                <c:pt idx="20">
                  <c:v>0.41800471804078176</c:v>
                </c:pt>
                <c:pt idx="21">
                  <c:v>0.27612011495077349</c:v>
                </c:pt>
                <c:pt idx="22">
                  <c:v>2.0278219585428303E-2</c:v>
                </c:pt>
                <c:pt idx="23">
                  <c:v>0.92533076303029871</c:v>
                </c:pt>
              </c:numCache>
            </c:numRef>
          </c:val>
          <c:extLst>
            <c:ext xmlns:c16="http://schemas.microsoft.com/office/drawing/2014/chart" uri="{C3380CC4-5D6E-409C-BE32-E72D297353CC}">
              <c16:uniqueId val="{00000003-D3D7-49F7-A3CA-45F473437FC5}"/>
            </c:ext>
          </c:extLst>
        </c:ser>
        <c:dLbls>
          <c:showLegendKey val="0"/>
          <c:showVal val="0"/>
          <c:showCatName val="0"/>
          <c:showSerName val="0"/>
          <c:showPercent val="0"/>
          <c:showBubbleSize val="0"/>
        </c:dLbls>
        <c:gapWidth val="40"/>
        <c:overlap val="100"/>
        <c:axId val="115206784"/>
        <c:axId val="115286400"/>
      </c:barChart>
      <c:lineChart>
        <c:grouping val="standard"/>
        <c:varyColors val="0"/>
        <c:ser>
          <c:idx val="0"/>
          <c:order val="0"/>
          <c:tx>
            <c:strRef>
              <c:f>'souhrnná výkonnost 3'!$C$5</c:f>
              <c:strCache>
                <c:ptCount val="1"/>
                <c:pt idx="0">
                  <c:v>GDP</c:v>
                </c:pt>
              </c:strCache>
            </c:strRef>
          </c:tx>
          <c:spPr>
            <a:ln>
              <a:solidFill>
                <a:prstClr val="black"/>
              </a:solidFill>
            </a:ln>
          </c:spPr>
          <c:marker>
            <c:symbol val="none"/>
          </c:marker>
          <c:cat>
            <c:multiLvlStrRef>
              <c:f>'souhrnná výkonnost 3'!$A$10:$B$33</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2013</c:v>
                  </c:pt>
                  <c:pt idx="4">
                    <c:v>2014</c:v>
                  </c:pt>
                  <c:pt idx="8">
                    <c:v>2015</c:v>
                  </c:pt>
                  <c:pt idx="12">
                    <c:v>2016</c:v>
                  </c:pt>
                  <c:pt idx="16">
                    <c:v>2017</c:v>
                  </c:pt>
                  <c:pt idx="20">
                    <c:v>2018</c:v>
                  </c:pt>
                </c:lvl>
              </c:multiLvlStrCache>
            </c:multiLvlStrRef>
          </c:cat>
          <c:val>
            <c:numRef>
              <c:f>'souhrnná výkonnost 3'!$C$10:$C$33</c:f>
              <c:numCache>
                <c:formatCode>#\ ##0.0</c:formatCode>
                <c:ptCount val="24"/>
                <c:pt idx="0">
                  <c:v>-1.7511683134985221</c:v>
                </c:pt>
                <c:pt idx="1">
                  <c:v>-1.1225511599608557</c:v>
                </c:pt>
                <c:pt idx="2">
                  <c:v>-0.35187335671896869</c:v>
                </c:pt>
                <c:pt idx="3">
                  <c:v>1.3064560933108733</c:v>
                </c:pt>
                <c:pt idx="4">
                  <c:v>1.5996926444217838</c:v>
                </c:pt>
                <c:pt idx="5">
                  <c:v>2.4019552100365242</c:v>
                </c:pt>
                <c:pt idx="6">
                  <c:v>3.4030564515715609</c:v>
                </c:pt>
                <c:pt idx="7">
                  <c:v>3.4380052076485548</c:v>
                </c:pt>
                <c:pt idx="8">
                  <c:v>5.2550726107844561</c:v>
                </c:pt>
                <c:pt idx="9">
                  <c:v>5.7987847820088794</c:v>
                </c:pt>
                <c:pt idx="10">
                  <c:v>5.570766922533239</c:v>
                </c:pt>
                <c:pt idx="11">
                  <c:v>4.9148252973920021</c:v>
                </c:pt>
                <c:pt idx="12">
                  <c:v>3.5623906099722102</c:v>
                </c:pt>
                <c:pt idx="13">
                  <c:v>2.4146777549828156</c:v>
                </c:pt>
                <c:pt idx="14">
                  <c:v>1.6940486553423915</c:v>
                </c:pt>
                <c:pt idx="15">
                  <c:v>1.8037525372218224</c:v>
                </c:pt>
                <c:pt idx="16">
                  <c:v>2.951494542529185</c:v>
                </c:pt>
                <c:pt idx="17">
                  <c:v>4.9632301254937214</c:v>
                </c:pt>
                <c:pt idx="18">
                  <c:v>5.1967259795663656</c:v>
                </c:pt>
                <c:pt idx="19">
                  <c:v>5.0477771937091704</c:v>
                </c:pt>
                <c:pt idx="20">
                  <c:v>4.2055290436672985</c:v>
                </c:pt>
                <c:pt idx="21">
                  <c:v>2.2999999999999998</c:v>
                </c:pt>
                <c:pt idx="22">
                  <c:v>2.4</c:v>
                </c:pt>
                <c:pt idx="23">
                  <c:v>2.6</c:v>
                </c:pt>
              </c:numCache>
            </c:numRef>
          </c:val>
          <c:smooth val="0"/>
          <c:extLst>
            <c:ext xmlns:c16="http://schemas.microsoft.com/office/drawing/2014/chart" uri="{C3380CC4-5D6E-409C-BE32-E72D297353CC}">
              <c16:uniqueId val="{00000004-D3D7-49F7-A3CA-45F473437FC5}"/>
            </c:ext>
          </c:extLst>
        </c:ser>
        <c:dLbls>
          <c:showLegendKey val="0"/>
          <c:showVal val="0"/>
          <c:showCatName val="0"/>
          <c:showSerName val="0"/>
          <c:showPercent val="0"/>
          <c:showBubbleSize val="0"/>
        </c:dLbls>
        <c:marker val="1"/>
        <c:smooth val="0"/>
        <c:axId val="115206784"/>
        <c:axId val="115286400"/>
      </c:lineChart>
      <c:catAx>
        <c:axId val="115206784"/>
        <c:scaling>
          <c:orientation val="minMax"/>
        </c:scaling>
        <c:delete val="0"/>
        <c:axPos val="b"/>
        <c:majorTickMark val="out"/>
        <c:minorTickMark val="none"/>
        <c:tickLblPos val="low"/>
        <c:spPr>
          <a:ln>
            <a:solidFill>
              <a:schemeClr val="tx1"/>
            </a:solidFill>
          </a:ln>
        </c:spPr>
        <c:txPr>
          <a:bodyPr rot="0" vert="horz"/>
          <a:lstStyle/>
          <a:p>
            <a:pPr>
              <a:defRPr/>
            </a:pPr>
            <a:endParaRPr lang="cs-CZ"/>
          </a:p>
        </c:txPr>
        <c:crossAx val="115286400"/>
        <c:crosses val="autoZero"/>
        <c:auto val="1"/>
        <c:lblAlgn val="ctr"/>
        <c:lblOffset val="100"/>
        <c:noMultiLvlLbl val="0"/>
      </c:catAx>
      <c:valAx>
        <c:axId val="115286400"/>
        <c:scaling>
          <c:orientation val="minMax"/>
          <c:max val="6"/>
          <c:min val="-4"/>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5206784"/>
        <c:crosses val="autoZero"/>
        <c:crossBetween val="between"/>
        <c:majorUnit val="1"/>
      </c:valAx>
      <c:spPr>
        <a:ln>
          <a:solidFill>
            <a:schemeClr val="tx1"/>
          </a:solidFill>
        </a:ln>
      </c:spPr>
    </c:plotArea>
    <c:legend>
      <c:legendPos val="b"/>
      <c:layout>
        <c:manualLayout>
          <c:xMode val="edge"/>
          <c:yMode val="edge"/>
          <c:x val="4.4891184424094004E-2"/>
          <c:y val="0.79301446583361457"/>
          <c:w val="0.94049666651103803"/>
          <c:h val="0.19014325115388939"/>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4404035346808687E-2"/>
          <c:y val="3.7154479717354444E-2"/>
          <c:w val="0.93674937195830332"/>
          <c:h val="0.63445260610154264"/>
        </c:manualLayout>
      </c:layout>
      <c:barChart>
        <c:barDir val="col"/>
        <c:grouping val="stacked"/>
        <c:varyColors val="0"/>
        <c:ser>
          <c:idx val="4"/>
          <c:order val="0"/>
          <c:tx>
            <c:strRef>
              <c:f>'souhrnná výkonnost 4'!$C$5</c:f>
              <c:strCache>
                <c:ptCount val="1"/>
                <c:pt idx="0">
                  <c:v>Agriculture, forestry and fishing</c:v>
                </c:pt>
              </c:strCache>
            </c:strRef>
          </c:tx>
          <c:spPr>
            <a:solidFill>
              <a:srgbClr val="0071BC"/>
            </a:solidFill>
            <a:ln>
              <a:noFill/>
            </a:ln>
          </c:spPr>
          <c:invertIfNegative val="0"/>
          <c:val>
            <c:numRef>
              <c:f>'souhrnná výkonnost 4'!$C$10:$C$33</c:f>
              <c:numCache>
                <c:formatCode>#\ ##0.0</c:formatCode>
                <c:ptCount val="24"/>
                <c:pt idx="0">
                  <c:v>-4.7206269934129422E-2</c:v>
                </c:pt>
                <c:pt idx="1">
                  <c:v>-0.11971862255114971</c:v>
                </c:pt>
                <c:pt idx="2">
                  <c:v>-8.9582831798117546E-2</c:v>
                </c:pt>
                <c:pt idx="3">
                  <c:v>1.1154895629322209E-3</c:v>
                </c:pt>
                <c:pt idx="4">
                  <c:v>0.10484022899366492</c:v>
                </c:pt>
                <c:pt idx="5">
                  <c:v>0.23303189360207813</c:v>
                </c:pt>
                <c:pt idx="6">
                  <c:v>0.28109723711472029</c:v>
                </c:pt>
                <c:pt idx="7">
                  <c:v>0.24717682951386641</c:v>
                </c:pt>
                <c:pt idx="8">
                  <c:v>0.26823173927838584</c:v>
                </c:pt>
                <c:pt idx="9">
                  <c:v>0.14948544343377107</c:v>
                </c:pt>
                <c:pt idx="10">
                  <c:v>9.4306850455799285E-2</c:v>
                </c:pt>
                <c:pt idx="11">
                  <c:v>9.406314403563476E-2</c:v>
                </c:pt>
                <c:pt idx="12">
                  <c:v>1.5298427987703245E-2</c:v>
                </c:pt>
                <c:pt idx="13">
                  <c:v>0.12019796922604381</c:v>
                </c:pt>
                <c:pt idx="14">
                  <c:v>0.11238136571352417</c:v>
                </c:pt>
                <c:pt idx="15">
                  <c:v>8.4281943656207142E-2</c:v>
                </c:pt>
                <c:pt idx="16">
                  <c:v>1.5223476963877533E-2</c:v>
                </c:pt>
                <c:pt idx="17">
                  <c:v>-7.4308208257119993E-2</c:v>
                </c:pt>
                <c:pt idx="18">
                  <c:v>-0.1100961441944634</c:v>
                </c:pt>
                <c:pt idx="19">
                  <c:v>-0.10583189318283943</c:v>
                </c:pt>
                <c:pt idx="20">
                  <c:v>-9.6355561876134116E-2</c:v>
                </c:pt>
                <c:pt idx="21">
                  <c:v>-8.2873829708365362E-2</c:v>
                </c:pt>
                <c:pt idx="22">
                  <c:v>-5.2133372629545101E-2</c:v>
                </c:pt>
                <c:pt idx="23">
                  <c:v>-3.2058598089916103E-2</c:v>
                </c:pt>
              </c:numCache>
            </c:numRef>
          </c:val>
          <c:extLst>
            <c:ext xmlns:c16="http://schemas.microsoft.com/office/drawing/2014/chart" uri="{C3380CC4-5D6E-409C-BE32-E72D297353CC}">
              <c16:uniqueId val="{00000000-4A91-4A02-9044-D6AC3B285219}"/>
            </c:ext>
          </c:extLst>
        </c:ser>
        <c:ser>
          <c:idx val="3"/>
          <c:order val="1"/>
          <c:tx>
            <c:strRef>
              <c:f>'souhrnná výkonnost 4'!$D$5</c:f>
              <c:strCache>
                <c:ptCount val="1"/>
                <c:pt idx="0">
                  <c:v>Manufacturing (CZ-NACE C)</c:v>
                </c:pt>
              </c:strCache>
            </c:strRef>
          </c:tx>
          <c:spPr>
            <a:solidFill>
              <a:srgbClr val="A6CDE8"/>
            </a:solidFill>
            <a:ln>
              <a:noFill/>
            </a:ln>
          </c:spPr>
          <c:invertIfNegative val="0"/>
          <c:val>
            <c:numRef>
              <c:f>'souhrnná výkonnost 4'!$D$10:$D$33</c:f>
              <c:numCache>
                <c:formatCode>#\ ##0.0</c:formatCode>
                <c:ptCount val="24"/>
                <c:pt idx="0">
                  <c:v>-0.82108999780391001</c:v>
                </c:pt>
                <c:pt idx="1">
                  <c:v>-0.62795053182774518</c:v>
                </c:pt>
                <c:pt idx="2">
                  <c:v>-0.63177475521928539</c:v>
                </c:pt>
                <c:pt idx="3">
                  <c:v>-0.60159903153105143</c:v>
                </c:pt>
                <c:pt idx="4">
                  <c:v>0.42074322312377188</c:v>
                </c:pt>
                <c:pt idx="5">
                  <c:v>1.1868852285094129</c:v>
                </c:pt>
                <c:pt idx="6">
                  <c:v>1.9567554935777904</c:v>
                </c:pt>
                <c:pt idx="7">
                  <c:v>2.5583690194642501</c:v>
                </c:pt>
                <c:pt idx="8">
                  <c:v>2.0456114828451173</c:v>
                </c:pt>
                <c:pt idx="9">
                  <c:v>1.6702996907805565</c:v>
                </c:pt>
                <c:pt idx="10">
                  <c:v>1.3766545744913377</c:v>
                </c:pt>
                <c:pt idx="11">
                  <c:v>0.74581262523505754</c:v>
                </c:pt>
                <c:pt idx="12">
                  <c:v>1.0172208499984978</c:v>
                </c:pt>
                <c:pt idx="13">
                  <c:v>0.54073292742156021</c:v>
                </c:pt>
                <c:pt idx="14">
                  <c:v>0.74515782437277844</c:v>
                </c:pt>
                <c:pt idx="15">
                  <c:v>1.1608262664011106</c:v>
                </c:pt>
                <c:pt idx="16">
                  <c:v>1.9829195456844466</c:v>
                </c:pt>
                <c:pt idx="17">
                  <c:v>3.383770141372497</c:v>
                </c:pt>
                <c:pt idx="18">
                  <c:v>3.5515728725029971</c:v>
                </c:pt>
                <c:pt idx="19">
                  <c:v>3.0210161964588012</c:v>
                </c:pt>
                <c:pt idx="20">
                  <c:v>2.0156583927773184</c:v>
                </c:pt>
                <c:pt idx="21">
                  <c:v>0.66648902265502485</c:v>
                </c:pt>
                <c:pt idx="22">
                  <c:v>0.32803863027081887</c:v>
                </c:pt>
                <c:pt idx="23">
                  <c:v>0.69907970655174434</c:v>
                </c:pt>
              </c:numCache>
            </c:numRef>
          </c:val>
          <c:extLst>
            <c:ext xmlns:c16="http://schemas.microsoft.com/office/drawing/2014/chart" uri="{C3380CC4-5D6E-409C-BE32-E72D297353CC}">
              <c16:uniqueId val="{00000001-4A91-4A02-9044-D6AC3B285219}"/>
            </c:ext>
          </c:extLst>
        </c:ser>
        <c:ser>
          <c:idx val="2"/>
          <c:order val="2"/>
          <c:tx>
            <c:strRef>
              <c:f>'souhrnná výkonnost 4'!$E$5</c:f>
              <c:strCache>
                <c:ptCount val="1"/>
                <c:pt idx="0">
                  <c:v>Other industrial branches (CZ-NACE B,D,E)</c:v>
                </c:pt>
              </c:strCache>
            </c:strRef>
          </c:tx>
          <c:spPr>
            <a:solidFill>
              <a:srgbClr val="BD1B21"/>
            </a:solidFill>
            <a:ln>
              <a:noFill/>
            </a:ln>
          </c:spPr>
          <c:invertIfNegative val="0"/>
          <c:val>
            <c:numRef>
              <c:f>'souhrnná výkonnost 4'!$E$10:$E$33</c:f>
              <c:numCache>
                <c:formatCode>#\ ##0.0</c:formatCode>
                <c:ptCount val="24"/>
                <c:pt idx="0">
                  <c:v>-0.98505210312746827</c:v>
                </c:pt>
                <c:pt idx="1">
                  <c:v>-1.0097047828852694</c:v>
                </c:pt>
                <c:pt idx="2">
                  <c:v>-0.65192200514203069</c:v>
                </c:pt>
                <c:pt idx="3">
                  <c:v>-0.22723397016880276</c:v>
                </c:pt>
                <c:pt idx="4">
                  <c:v>0.37424666108654747</c:v>
                </c:pt>
                <c:pt idx="5">
                  <c:v>0.10237488857645771</c:v>
                </c:pt>
                <c:pt idx="6">
                  <c:v>-0.10556119406722497</c:v>
                </c:pt>
                <c:pt idx="7">
                  <c:v>-0.159619194225185</c:v>
                </c:pt>
                <c:pt idx="8">
                  <c:v>-0.12486694839002821</c:v>
                </c:pt>
                <c:pt idx="9">
                  <c:v>9.7685740381325825E-3</c:v>
                </c:pt>
                <c:pt idx="10">
                  <c:v>1.8886282982711888E-2</c:v>
                </c:pt>
                <c:pt idx="11">
                  <c:v>-0.11860623658777791</c:v>
                </c:pt>
                <c:pt idx="12">
                  <c:v>-0.46095331826814501</c:v>
                </c:pt>
                <c:pt idx="13">
                  <c:v>-0.29612577965425507</c:v>
                </c:pt>
                <c:pt idx="14">
                  <c:v>-0.38011145584839146</c:v>
                </c:pt>
                <c:pt idx="15">
                  <c:v>-0.15646644139843158</c:v>
                </c:pt>
                <c:pt idx="16">
                  <c:v>7.4826037810895807E-2</c:v>
                </c:pt>
                <c:pt idx="17">
                  <c:v>-4.1125865248032412E-2</c:v>
                </c:pt>
                <c:pt idx="18">
                  <c:v>0.12800220372520066</c:v>
                </c:pt>
                <c:pt idx="19">
                  <c:v>-2.0745047871292055E-2</c:v>
                </c:pt>
                <c:pt idx="20">
                  <c:v>-0.1530317502417462</c:v>
                </c:pt>
                <c:pt idx="21">
                  <c:v>-6.0934899112849328E-2</c:v>
                </c:pt>
                <c:pt idx="22" formatCode="General">
                  <c:v>0.19935125060450237</c:v>
                </c:pt>
                <c:pt idx="23" formatCode="General">
                  <c:v>4.7198815832797614E-2</c:v>
                </c:pt>
              </c:numCache>
            </c:numRef>
          </c:val>
          <c:extLst>
            <c:ext xmlns:c16="http://schemas.microsoft.com/office/drawing/2014/chart" uri="{C3380CC4-5D6E-409C-BE32-E72D297353CC}">
              <c16:uniqueId val="{00000002-4A91-4A02-9044-D6AC3B285219}"/>
            </c:ext>
          </c:extLst>
        </c:ser>
        <c:ser>
          <c:idx val="1"/>
          <c:order val="3"/>
          <c:tx>
            <c:strRef>
              <c:f>'souhrnná výkonnost 4'!$F$5</c:f>
              <c:strCache>
                <c:ptCount val="1"/>
                <c:pt idx="0">
                  <c:v>Construction</c:v>
                </c:pt>
              </c:strCache>
            </c:strRef>
          </c:tx>
          <c:spPr>
            <a:solidFill>
              <a:srgbClr val="E8AFB2"/>
            </a:solidFill>
            <a:ln>
              <a:noFill/>
            </a:ln>
          </c:spPr>
          <c:invertIfNegative val="0"/>
          <c:val>
            <c:numRef>
              <c:f>'souhrnná výkonnost 4'!$F$10:$F$33</c:f>
              <c:numCache>
                <c:formatCode>#\ ##0.0</c:formatCode>
                <c:ptCount val="24"/>
                <c:pt idx="0">
                  <c:v>-9.3325688188071534E-2</c:v>
                </c:pt>
                <c:pt idx="1">
                  <c:v>6.9142616979526436E-2</c:v>
                </c:pt>
                <c:pt idx="2">
                  <c:v>0.13786913343723728</c:v>
                </c:pt>
                <c:pt idx="3">
                  <c:v>0.16383091405829647</c:v>
                </c:pt>
                <c:pt idx="4">
                  <c:v>0.20523242964120858</c:v>
                </c:pt>
                <c:pt idx="5">
                  <c:v>8.0476659503907658E-2</c:v>
                </c:pt>
                <c:pt idx="6">
                  <c:v>3.4966330205502577E-2</c:v>
                </c:pt>
                <c:pt idx="7">
                  <c:v>0.13500830058584118</c:v>
                </c:pt>
                <c:pt idx="8">
                  <c:v>0.12988031583912305</c:v>
                </c:pt>
                <c:pt idx="9">
                  <c:v>0.27364277251097802</c:v>
                </c:pt>
                <c:pt idx="10">
                  <c:v>0.34260174976950719</c:v>
                </c:pt>
                <c:pt idx="11">
                  <c:v>0.14326265942419522</c:v>
                </c:pt>
                <c:pt idx="12">
                  <c:v>-2.8321751396452415E-2</c:v>
                </c:pt>
                <c:pt idx="13">
                  <c:v>-0.2266549076208873</c:v>
                </c:pt>
                <c:pt idx="14">
                  <c:v>-0.33919566041548832</c:v>
                </c:pt>
                <c:pt idx="15">
                  <c:v>-0.26185884641425</c:v>
                </c:pt>
                <c:pt idx="16">
                  <c:v>-0.2919792752497829</c:v>
                </c:pt>
                <c:pt idx="17">
                  <c:v>-0.12429976252850211</c:v>
                </c:pt>
                <c:pt idx="18">
                  <c:v>-5.2539251264632304E-2</c:v>
                </c:pt>
                <c:pt idx="19">
                  <c:v>-4.7966155185397485E-2</c:v>
                </c:pt>
                <c:pt idx="20">
                  <c:v>0.3116803113499747</c:v>
                </c:pt>
                <c:pt idx="21">
                  <c:v>0.32122271333089875</c:v>
                </c:pt>
                <c:pt idx="22">
                  <c:v>0.37091271338336862</c:v>
                </c:pt>
                <c:pt idx="23">
                  <c:v>0.41610819905952123</c:v>
                </c:pt>
              </c:numCache>
            </c:numRef>
          </c:val>
          <c:extLst>
            <c:ext xmlns:c16="http://schemas.microsoft.com/office/drawing/2014/chart" uri="{C3380CC4-5D6E-409C-BE32-E72D297353CC}">
              <c16:uniqueId val="{00000003-4A91-4A02-9044-D6AC3B285219}"/>
            </c:ext>
          </c:extLst>
        </c:ser>
        <c:ser>
          <c:idx val="0"/>
          <c:order val="4"/>
          <c:tx>
            <c:strRef>
              <c:f>'souhrnná výkonnost 4'!$G$5</c:f>
              <c:strCache>
                <c:ptCount val="1"/>
                <c:pt idx="0">
                  <c:v>Services (CZ-NACE G to U)</c:v>
                </c:pt>
              </c:strCache>
            </c:strRef>
          </c:tx>
          <c:spPr>
            <a:solidFill>
              <a:srgbClr val="7DBB2D"/>
            </a:solidFill>
            <a:ln>
              <a:noFill/>
            </a:ln>
          </c:spPr>
          <c:invertIfNegative val="0"/>
          <c:val>
            <c:numRef>
              <c:f>'souhrnná výkonnost 4'!$G$10:$G$33</c:f>
              <c:numCache>
                <c:formatCode>#\ ##0.0</c:formatCode>
                <c:ptCount val="24"/>
                <c:pt idx="0">
                  <c:v>0.33531387573904448</c:v>
                </c:pt>
                <c:pt idx="1">
                  <c:v>0.82602965393402783</c:v>
                </c:pt>
                <c:pt idx="2">
                  <c:v>1.0647317258626734</c:v>
                </c:pt>
                <c:pt idx="3">
                  <c:v>1.3526094152015899</c:v>
                </c:pt>
                <c:pt idx="4">
                  <c:v>1.2015462411733087</c:v>
                </c:pt>
                <c:pt idx="5">
                  <c:v>1.3618962066899474</c:v>
                </c:pt>
                <c:pt idx="6">
                  <c:v>1.6305753628128847</c:v>
                </c:pt>
                <c:pt idx="7">
                  <c:v>1.7371534802280579</c:v>
                </c:pt>
                <c:pt idx="8">
                  <c:v>2.3293944432592837</c:v>
                </c:pt>
                <c:pt idx="9">
                  <c:v>2.9607261994462402</c:v>
                </c:pt>
                <c:pt idx="10">
                  <c:v>3.3104809685977723</c:v>
                </c:pt>
                <c:pt idx="11">
                  <c:v>3.5102997095503525</c:v>
                </c:pt>
                <c:pt idx="12">
                  <c:v>2.8263627195651684</c:v>
                </c:pt>
                <c:pt idx="13">
                  <c:v>2.1630843086592866</c:v>
                </c:pt>
                <c:pt idx="14">
                  <c:v>1.4107617066750833</c:v>
                </c:pt>
                <c:pt idx="15">
                  <c:v>1.1370846005544948</c:v>
                </c:pt>
                <c:pt idx="16">
                  <c:v>1.1261629003567881</c:v>
                </c:pt>
                <c:pt idx="17">
                  <c:v>1.7690458157205164</c:v>
                </c:pt>
                <c:pt idx="18">
                  <c:v>1.6362557113068485</c:v>
                </c:pt>
                <c:pt idx="19">
                  <c:v>1.9697866170629317</c:v>
                </c:pt>
                <c:pt idx="20">
                  <c:v>2.1</c:v>
                </c:pt>
                <c:pt idx="21">
                  <c:v>1.5</c:v>
                </c:pt>
                <c:pt idx="22" formatCode="General">
                  <c:v>1.7</c:v>
                </c:pt>
                <c:pt idx="23" formatCode="General">
                  <c:v>1.8</c:v>
                </c:pt>
              </c:numCache>
            </c:numRef>
          </c:val>
          <c:extLst>
            <c:ext xmlns:c16="http://schemas.microsoft.com/office/drawing/2014/chart" uri="{C3380CC4-5D6E-409C-BE32-E72D297353CC}">
              <c16:uniqueId val="{00000004-4A91-4A02-9044-D6AC3B285219}"/>
            </c:ext>
          </c:extLst>
        </c:ser>
        <c:dLbls>
          <c:showLegendKey val="0"/>
          <c:showVal val="0"/>
          <c:showCatName val="0"/>
          <c:showSerName val="0"/>
          <c:showPercent val="0"/>
          <c:showBubbleSize val="0"/>
        </c:dLbls>
        <c:gapWidth val="70"/>
        <c:overlap val="100"/>
        <c:axId val="115446144"/>
        <c:axId val="115447680"/>
      </c:barChart>
      <c:lineChart>
        <c:grouping val="standard"/>
        <c:varyColors val="0"/>
        <c:ser>
          <c:idx val="5"/>
          <c:order val="5"/>
          <c:tx>
            <c:strRef>
              <c:f>'souhrnná výkonnost 4'!$H$5</c:f>
              <c:strCache>
                <c:ptCount val="1"/>
                <c:pt idx="0">
                  <c:v>Total gross value added</c:v>
                </c:pt>
              </c:strCache>
            </c:strRef>
          </c:tx>
          <c:spPr>
            <a:ln w="19050">
              <a:solidFill>
                <a:prstClr val="black"/>
              </a:solidFill>
            </a:ln>
          </c:spPr>
          <c:marker>
            <c:symbol val="none"/>
          </c:marker>
          <c:cat>
            <c:multiLvlStrRef>
              <c:f>'souhrnná výkonnost 4'!$A$10:$B$33</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2013</c:v>
                  </c:pt>
                  <c:pt idx="4">
                    <c:v>2014</c:v>
                  </c:pt>
                  <c:pt idx="8">
                    <c:v>2015</c:v>
                  </c:pt>
                  <c:pt idx="12">
                    <c:v>2016</c:v>
                  </c:pt>
                  <c:pt idx="16">
                    <c:v>2017</c:v>
                  </c:pt>
                  <c:pt idx="20">
                    <c:v>2018</c:v>
                  </c:pt>
                </c:lvl>
              </c:multiLvlStrCache>
            </c:multiLvlStrRef>
          </c:cat>
          <c:val>
            <c:numRef>
              <c:f>'souhrnná výkonnost 4'!$H$10:$H$33</c:f>
              <c:numCache>
                <c:formatCode>#\ ##0.0</c:formatCode>
                <c:ptCount val="24"/>
                <c:pt idx="0">
                  <c:v>-1.6029638849506325</c:v>
                </c:pt>
                <c:pt idx="1">
                  <c:v>-0.85391471561866972</c:v>
                </c:pt>
                <c:pt idx="2">
                  <c:v>-0.17856994731182421</c:v>
                </c:pt>
                <c:pt idx="3">
                  <c:v>0.67978995359543581</c:v>
                </c:pt>
                <c:pt idx="4">
                  <c:v>2.3247275605985616</c:v>
                </c:pt>
                <c:pt idx="5">
                  <c:v>2.9677793446742413</c:v>
                </c:pt>
                <c:pt idx="6">
                  <c:v>3.7862627849497223</c:v>
                </c:pt>
                <c:pt idx="7">
                  <c:v>4.5085738953991772</c:v>
                </c:pt>
                <c:pt idx="8">
                  <c:v>4.6449632769544067</c:v>
                </c:pt>
                <c:pt idx="9">
                  <c:v>5.0617095222013688</c:v>
                </c:pt>
                <c:pt idx="10">
                  <c:v>5.1392793226927225</c:v>
                </c:pt>
                <c:pt idx="11">
                  <c:v>4.3837812230315532</c:v>
                </c:pt>
                <c:pt idx="12">
                  <c:v>3.3693001484089824</c:v>
                </c:pt>
                <c:pt idx="13">
                  <c:v>2.3056178950667725</c:v>
                </c:pt>
                <c:pt idx="14">
                  <c:v>1.5499257674343776</c:v>
                </c:pt>
                <c:pt idx="15">
                  <c:v>1.9589295741354551</c:v>
                </c:pt>
                <c:pt idx="16">
                  <c:v>2.9235011230373464</c:v>
                </c:pt>
                <c:pt idx="17">
                  <c:v>4.9159154362708826</c:v>
                </c:pt>
                <c:pt idx="18">
                  <c:v>5.1480576847178785</c:v>
                </c:pt>
                <c:pt idx="19">
                  <c:v>4.8024567059751302</c:v>
                </c:pt>
                <c:pt idx="20">
                  <c:v>4.3062539535985307</c:v>
                </c:pt>
                <c:pt idx="21">
                  <c:v>2.409560175355995</c:v>
                </c:pt>
                <c:pt idx="22">
                  <c:v>2.5</c:v>
                </c:pt>
                <c:pt idx="23">
                  <c:v>2.9</c:v>
                </c:pt>
              </c:numCache>
            </c:numRef>
          </c:val>
          <c:smooth val="0"/>
          <c:extLst>
            <c:ext xmlns:c16="http://schemas.microsoft.com/office/drawing/2014/chart" uri="{C3380CC4-5D6E-409C-BE32-E72D297353CC}">
              <c16:uniqueId val="{00000005-4A91-4A02-9044-D6AC3B285219}"/>
            </c:ext>
          </c:extLst>
        </c:ser>
        <c:dLbls>
          <c:showLegendKey val="0"/>
          <c:showVal val="0"/>
          <c:showCatName val="0"/>
          <c:showSerName val="0"/>
          <c:showPercent val="0"/>
          <c:showBubbleSize val="0"/>
        </c:dLbls>
        <c:marker val="1"/>
        <c:smooth val="0"/>
        <c:axId val="115446144"/>
        <c:axId val="115447680"/>
      </c:lineChart>
      <c:catAx>
        <c:axId val="115446144"/>
        <c:scaling>
          <c:orientation val="minMax"/>
        </c:scaling>
        <c:delete val="0"/>
        <c:axPos val="b"/>
        <c:majorTickMark val="out"/>
        <c:minorTickMark val="none"/>
        <c:tickLblPos val="low"/>
        <c:spPr>
          <a:ln>
            <a:solidFill>
              <a:schemeClr val="tx1"/>
            </a:solidFill>
          </a:ln>
        </c:spPr>
        <c:txPr>
          <a:bodyPr rot="0" vert="horz"/>
          <a:lstStyle/>
          <a:p>
            <a:pPr>
              <a:defRPr/>
            </a:pPr>
            <a:endParaRPr lang="cs-CZ"/>
          </a:p>
        </c:txPr>
        <c:crossAx val="115447680"/>
        <c:crosses val="autoZero"/>
        <c:auto val="1"/>
        <c:lblAlgn val="ctr"/>
        <c:lblOffset val="100"/>
        <c:noMultiLvlLbl val="0"/>
      </c:catAx>
      <c:valAx>
        <c:axId val="115447680"/>
        <c:scaling>
          <c:orientation val="minMax"/>
          <c:max val="6"/>
          <c:min val="-3"/>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5446144"/>
        <c:crosses val="autoZero"/>
        <c:crossBetween val="between"/>
        <c:majorUnit val="1"/>
      </c:valAx>
      <c:spPr>
        <a:ln>
          <a:solidFill>
            <a:schemeClr val="tx1"/>
          </a:solidFill>
        </a:ln>
      </c:spPr>
    </c:plotArea>
    <c:legend>
      <c:legendPos val="b"/>
      <c:layout>
        <c:manualLayout>
          <c:xMode val="edge"/>
          <c:yMode val="edge"/>
          <c:x val="4.8782884397989404E-2"/>
          <c:y val="0.79016604750647301"/>
          <c:w val="0.92922619274506457"/>
          <c:h val="0.19462484520995055"/>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1E0A1-2060-421A-85BF-8550405A3E3D}">
  <ds:schemaRefs>
    <ds:schemaRef ds:uri="http://schemas.openxmlformats.org/officeDocument/2006/bibliography"/>
  </ds:schemaRefs>
</ds:datastoreItem>
</file>

<file path=customXml/itemProps2.xml><?xml version="1.0" encoding="utf-8"?>
<ds:datastoreItem xmlns:ds="http://schemas.openxmlformats.org/officeDocument/2006/customXml" ds:itemID="{B52C2F86-19C9-422B-8777-F8DF43EF7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1</TotalTime>
  <Pages>6</Pages>
  <Words>1746</Words>
  <Characters>10302</Characters>
  <Application>Microsoft Office Word</Application>
  <DocSecurity>0</DocSecurity>
  <Lines>85</Lines>
  <Paragraphs>24</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12024</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kamenicky3604</cp:lastModifiedBy>
  <cp:revision>3</cp:revision>
  <cp:lastPrinted>2019-05-10T12:21:00Z</cp:lastPrinted>
  <dcterms:created xsi:type="dcterms:W3CDTF">2019-05-10T12:29:00Z</dcterms:created>
  <dcterms:modified xsi:type="dcterms:W3CDTF">2019-05-10T12:30:00Z</dcterms:modified>
</cp:coreProperties>
</file>