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BD6" w:rsidRDefault="00C62BD6" w:rsidP="006701EE">
      <w:pPr>
        <w:pStyle w:val="Nadpis2"/>
        <w:spacing w:after="100"/>
      </w:pPr>
      <w:bookmarkStart w:id="0" w:name="_Toc513101505"/>
      <w:r>
        <w:t>4.</w:t>
      </w:r>
      <w:r w:rsidR="009A6833">
        <w:t>6</w:t>
      </w:r>
      <w:r>
        <w:t>. Evropská statistika pracovních úrazů (ESAW)</w:t>
      </w:r>
      <w:bookmarkEnd w:id="0"/>
    </w:p>
    <w:p w:rsidR="00DE244A" w:rsidRDefault="00F25D37" w:rsidP="00F25D37">
      <w:pPr>
        <w:jc w:val="both"/>
      </w:pPr>
      <w:r w:rsidRPr="00AF5176">
        <w:rPr>
          <w:rFonts w:cs="Arial"/>
          <w:szCs w:val="20"/>
        </w:rPr>
        <w:t xml:space="preserve">Evropská statistika pracovních úrazů </w:t>
      </w:r>
      <w:r>
        <w:rPr>
          <w:rFonts w:cs="Arial"/>
          <w:szCs w:val="20"/>
        </w:rPr>
        <w:t>–</w:t>
      </w:r>
      <w:r w:rsidRPr="00AF5176">
        <w:rPr>
          <w:rFonts w:cs="Arial"/>
          <w:szCs w:val="20"/>
        </w:rPr>
        <w:t xml:space="preserve"> systém ESAW </w:t>
      </w:r>
      <w:r>
        <w:rPr>
          <w:rFonts w:cs="Arial"/>
          <w:szCs w:val="20"/>
        </w:rPr>
        <w:t xml:space="preserve">– </w:t>
      </w:r>
      <w:r w:rsidRPr="00AF5176">
        <w:rPr>
          <w:rFonts w:cs="Arial"/>
          <w:szCs w:val="20"/>
        </w:rPr>
        <w:t xml:space="preserve">umožňuje sledovat pracovní úrazovost na základě jednotné metodiky, kterou připravil </w:t>
      </w:r>
      <w:proofErr w:type="spellStart"/>
      <w:r w:rsidRPr="00AF5176">
        <w:rPr>
          <w:rFonts w:cs="Arial"/>
          <w:szCs w:val="20"/>
        </w:rPr>
        <w:t>Eurostat</w:t>
      </w:r>
      <w:proofErr w:type="spellEnd"/>
      <w:r w:rsidRPr="00AF5176">
        <w:rPr>
          <w:rFonts w:cs="Arial"/>
          <w:szCs w:val="20"/>
        </w:rPr>
        <w:t>. Hlavním cílem je snížit jak výskyt pracovních úr</w:t>
      </w:r>
      <w:r>
        <w:rPr>
          <w:rFonts w:cs="Arial"/>
          <w:szCs w:val="20"/>
        </w:rPr>
        <w:t>azů, tak dopady s nimi spojené (</w:t>
      </w:r>
      <w:r w:rsidRPr="00AF5176">
        <w:rPr>
          <w:rFonts w:cs="Arial"/>
          <w:szCs w:val="20"/>
        </w:rPr>
        <w:t>sociální problémy</w:t>
      </w:r>
      <w:r>
        <w:rPr>
          <w:rFonts w:cs="Arial"/>
          <w:szCs w:val="20"/>
        </w:rPr>
        <w:t xml:space="preserve">, </w:t>
      </w:r>
      <w:r w:rsidRPr="00AF5176">
        <w:rPr>
          <w:rFonts w:cs="Arial"/>
          <w:szCs w:val="20"/>
        </w:rPr>
        <w:t>ekonomické ztráty</w:t>
      </w:r>
      <w:r>
        <w:rPr>
          <w:rFonts w:cs="Arial"/>
          <w:szCs w:val="20"/>
        </w:rPr>
        <w:t>)</w:t>
      </w:r>
      <w:r w:rsidRPr="00AF5176">
        <w:rPr>
          <w:rFonts w:cs="Arial"/>
          <w:szCs w:val="20"/>
        </w:rPr>
        <w:t>. Projekt ESAW přispívá na evropské úrovni svými výsledky významnou měrou k hlavnímu cíli statistiky pracovních úrazů, tj. vytvoření dostatečného objemu údajů o pracovní úrazovosti, na jejichž základě je zvyšována bezpečnost a ochrana zdraví při práci prostřednictvím účinných opatření, která umožňují aktivním způsobem předcházet pracovním úrazům a tak snižovat jejich počet</w:t>
      </w:r>
      <w:r w:rsidR="00DE244A">
        <w:t>.</w:t>
      </w:r>
    </w:p>
    <w:p w:rsidR="00F25D37" w:rsidRDefault="00F25D37" w:rsidP="00F25D37">
      <w:pPr>
        <w:jc w:val="both"/>
        <w:rPr>
          <w:rFonts w:cs="Arial"/>
          <w:szCs w:val="20"/>
        </w:rPr>
      </w:pPr>
      <w:r w:rsidRPr="00E12E46">
        <w:rPr>
          <w:rFonts w:cs="Arial"/>
          <w:szCs w:val="20"/>
        </w:rPr>
        <w:t>Rámcová směrnice 89/391/EHS týkající se opatření pro zlepšení bezpečnosti a ochrany zdraví zaměstnanců při práci zavedla povinnost pro zaměstnavatele vést seznam pracovních úrazů, které měly za následek pracovní neschopnost delší než tři pracovní dny a vypracovávat v souladu s vnitrostátními právními předpisy nebo zvyklostmi zprávy o pracovních úrazech, které utrpěli jeho zaměstnanci.</w:t>
      </w:r>
      <w:r w:rsidRPr="00F25D37">
        <w:rPr>
          <w:rFonts w:cs="Arial"/>
          <w:szCs w:val="20"/>
        </w:rPr>
        <w:t xml:space="preserve"> </w:t>
      </w:r>
      <w:r w:rsidRPr="00E12E46">
        <w:rPr>
          <w:rFonts w:cs="Arial"/>
          <w:szCs w:val="20"/>
        </w:rPr>
        <w:t>Na tomto základě byl v roce 1990 zahájen projekt evropské statistiky pracovních úrazů s cílem harmonizovat údaje o pracovních úrazech u všech úrazů, které měly za následek více než třídenní pracovní neschopnost.</w:t>
      </w:r>
      <w:r w:rsidRPr="00F25D37">
        <w:rPr>
          <w:rFonts w:cs="Arial"/>
          <w:szCs w:val="20"/>
        </w:rPr>
        <w:t xml:space="preserve"> </w:t>
      </w:r>
      <w:r w:rsidRPr="00E12E46">
        <w:rPr>
          <w:rFonts w:cs="Arial"/>
          <w:szCs w:val="20"/>
        </w:rPr>
        <w:t>Nařízení Evropského parlamentu a Rady (ES) č. 1338/2008 ze dne 16. prosince 2008 o statistice Společenství v oblasti veřejného zdraví a bezpečnosti a ochrany zdraví při práci stanoví povinnost poskytovat statistiky pracovních úrazů Komisi (</w:t>
      </w:r>
      <w:proofErr w:type="spellStart"/>
      <w:r w:rsidRPr="00E12E46">
        <w:rPr>
          <w:rFonts w:cs="Arial"/>
          <w:szCs w:val="20"/>
        </w:rPr>
        <w:t>Eurostatu</w:t>
      </w:r>
      <w:proofErr w:type="spellEnd"/>
      <w:r w:rsidRPr="00E12E46">
        <w:rPr>
          <w:rFonts w:cs="Arial"/>
          <w:szCs w:val="20"/>
        </w:rPr>
        <w:t xml:space="preserve">). </w:t>
      </w:r>
    </w:p>
    <w:p w:rsidR="00F25D37" w:rsidRDefault="00F25D37" w:rsidP="00F25D3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 České republice byl </w:t>
      </w:r>
      <w:r w:rsidRPr="00502F2A">
        <w:rPr>
          <w:rFonts w:cs="Arial"/>
          <w:szCs w:val="20"/>
        </w:rPr>
        <w:t xml:space="preserve">rozhodnutím Ministerstva práce a sociálních věcí pověřen </w:t>
      </w:r>
      <w:r w:rsidR="005164AE" w:rsidRPr="00502F2A">
        <w:rPr>
          <w:rFonts w:cs="Arial"/>
          <w:szCs w:val="20"/>
        </w:rPr>
        <w:t xml:space="preserve">Státní úřad inspekce práce </w:t>
      </w:r>
      <w:r w:rsidRPr="00502F2A">
        <w:rPr>
          <w:rFonts w:cs="Arial"/>
          <w:szCs w:val="20"/>
        </w:rPr>
        <w:t xml:space="preserve">zpracováním Zprávy o pracovní úrazovosti v České </w:t>
      </w:r>
      <w:r w:rsidR="006F290A">
        <w:rPr>
          <w:rFonts w:cs="Arial"/>
          <w:szCs w:val="20"/>
        </w:rPr>
        <w:t>r</w:t>
      </w:r>
      <w:r w:rsidRPr="00502F2A">
        <w:rPr>
          <w:rFonts w:cs="Arial"/>
          <w:szCs w:val="20"/>
        </w:rPr>
        <w:t>epublice a</w:t>
      </w:r>
      <w:r>
        <w:rPr>
          <w:rFonts w:cs="Arial"/>
          <w:szCs w:val="20"/>
        </w:rPr>
        <w:t xml:space="preserve"> </w:t>
      </w:r>
      <w:r w:rsidRPr="00502F2A">
        <w:rPr>
          <w:rFonts w:cs="Arial"/>
          <w:szCs w:val="20"/>
        </w:rPr>
        <w:t xml:space="preserve">databáze statistických údajů o pracovních úrazech ve formátu ESAW k zaslání </w:t>
      </w:r>
      <w:r>
        <w:rPr>
          <w:rFonts w:cs="Arial"/>
          <w:szCs w:val="20"/>
        </w:rPr>
        <w:t>do</w:t>
      </w:r>
      <w:r w:rsidRPr="00502F2A">
        <w:rPr>
          <w:rFonts w:cs="Arial"/>
          <w:szCs w:val="20"/>
        </w:rPr>
        <w:t xml:space="preserve"> </w:t>
      </w:r>
      <w:proofErr w:type="spellStart"/>
      <w:r w:rsidRPr="00502F2A">
        <w:rPr>
          <w:rFonts w:cs="Arial"/>
          <w:szCs w:val="20"/>
        </w:rPr>
        <w:t>E</w:t>
      </w:r>
      <w:r>
        <w:rPr>
          <w:rFonts w:cs="Arial"/>
          <w:szCs w:val="20"/>
        </w:rPr>
        <w:t>urostatu</w:t>
      </w:r>
      <w:proofErr w:type="spellEnd"/>
      <w:r w:rsidRPr="00502F2A">
        <w:rPr>
          <w:rFonts w:cs="Arial"/>
          <w:szCs w:val="20"/>
        </w:rPr>
        <w:t>. Státní úřad inspekce práce</w:t>
      </w:r>
      <w:r>
        <w:rPr>
          <w:rFonts w:cs="Arial"/>
          <w:szCs w:val="20"/>
        </w:rPr>
        <w:t xml:space="preserve"> (SÚIP) </w:t>
      </w:r>
      <w:r w:rsidR="007C5A37">
        <w:rPr>
          <w:rFonts w:cs="Arial"/>
          <w:szCs w:val="20"/>
        </w:rPr>
        <w:t>úzce spolupracuje</w:t>
      </w:r>
      <w:r w:rsidRPr="00502F2A">
        <w:rPr>
          <w:rFonts w:cs="Arial"/>
          <w:szCs w:val="20"/>
        </w:rPr>
        <w:t xml:space="preserve"> v této oblasti s Českým báňským úřadem</w:t>
      </w:r>
      <w:r w:rsidR="00E37668">
        <w:rPr>
          <w:rFonts w:cs="Arial"/>
          <w:szCs w:val="20"/>
        </w:rPr>
        <w:t xml:space="preserve"> (ČBÚ</w:t>
      </w:r>
      <w:r>
        <w:rPr>
          <w:rFonts w:cs="Arial"/>
          <w:szCs w:val="20"/>
        </w:rPr>
        <w:t>)</w:t>
      </w:r>
      <w:r w:rsidRPr="00502F2A">
        <w:rPr>
          <w:rFonts w:cs="Arial"/>
          <w:szCs w:val="20"/>
        </w:rPr>
        <w:t xml:space="preserve"> a </w:t>
      </w:r>
      <w:r w:rsidR="007C5A37">
        <w:rPr>
          <w:rFonts w:cs="Arial"/>
          <w:szCs w:val="20"/>
        </w:rPr>
        <w:t>ČSÚ</w:t>
      </w:r>
      <w:r w:rsidRPr="00502F2A">
        <w:rPr>
          <w:rFonts w:cs="Arial"/>
          <w:szCs w:val="20"/>
        </w:rPr>
        <w:t>.</w:t>
      </w:r>
    </w:p>
    <w:p w:rsidR="003A1C4E" w:rsidRPr="00502F2A" w:rsidRDefault="003A1C4E" w:rsidP="003A1C4E">
      <w:pPr>
        <w:spacing w:after="120"/>
        <w:jc w:val="both"/>
        <w:rPr>
          <w:rFonts w:cs="Arial"/>
          <w:szCs w:val="20"/>
        </w:rPr>
      </w:pPr>
      <w:r w:rsidRPr="00502F2A">
        <w:rPr>
          <w:rFonts w:cs="Arial"/>
          <w:szCs w:val="20"/>
        </w:rPr>
        <w:t xml:space="preserve">Statistiky se </w:t>
      </w:r>
      <w:proofErr w:type="spellStart"/>
      <w:r>
        <w:rPr>
          <w:rFonts w:cs="Arial"/>
          <w:szCs w:val="20"/>
        </w:rPr>
        <w:t>Eurostatu</w:t>
      </w:r>
      <w:proofErr w:type="spellEnd"/>
      <w:r>
        <w:rPr>
          <w:rFonts w:cs="Arial"/>
          <w:szCs w:val="20"/>
        </w:rPr>
        <w:t xml:space="preserve"> </w:t>
      </w:r>
      <w:r w:rsidRPr="00502F2A">
        <w:rPr>
          <w:rFonts w:cs="Arial"/>
          <w:szCs w:val="20"/>
        </w:rPr>
        <w:t>poskytují každoročně a předkládají se nejpozději 18 měsíců po skončení referenčního roku</w:t>
      </w:r>
      <w:r>
        <w:rPr>
          <w:rFonts w:cs="Arial"/>
          <w:szCs w:val="20"/>
        </w:rPr>
        <w:t xml:space="preserve">. </w:t>
      </w:r>
      <w:proofErr w:type="spellStart"/>
      <w:r>
        <w:rPr>
          <w:rFonts w:cs="Arial"/>
          <w:szCs w:val="20"/>
        </w:rPr>
        <w:t>Eurostat</w:t>
      </w:r>
      <w:proofErr w:type="spellEnd"/>
      <w:r>
        <w:rPr>
          <w:rFonts w:cs="Arial"/>
          <w:szCs w:val="20"/>
        </w:rPr>
        <w:t xml:space="preserve"> zveřejňuje na svých stránkách výsledky zpracování dat za členské země EU, a to </w:t>
      </w:r>
      <w:r w:rsidR="00642E80">
        <w:rPr>
          <w:rFonts w:cs="Arial"/>
          <w:szCs w:val="20"/>
        </w:rPr>
        <w:t xml:space="preserve">podle závažnosti pracovního úrazu </w:t>
      </w:r>
      <w:r>
        <w:rPr>
          <w:rFonts w:cs="Arial"/>
          <w:szCs w:val="20"/>
        </w:rPr>
        <w:t>samostatně za smrtelné pracovní úrazy a za ostatní pracovní úrazy, které mají za následek pracovní neschopnost delší než tři pracovní dny</w:t>
      </w:r>
      <w:r w:rsidR="00642E80">
        <w:rPr>
          <w:rFonts w:cs="Arial"/>
          <w:szCs w:val="20"/>
        </w:rPr>
        <w:t xml:space="preserve">. K dispozici jsou </w:t>
      </w:r>
      <w:r w:rsidR="00CD2783">
        <w:rPr>
          <w:rFonts w:cs="Arial"/>
          <w:szCs w:val="20"/>
        </w:rPr>
        <w:t xml:space="preserve">dva základní ukazatele – absolutní ukazatel počtu pracovních úrazů a relativní ukazatel standardizovaná míra výskytu, a </w:t>
      </w:r>
      <w:r w:rsidR="00642E80">
        <w:rPr>
          <w:rFonts w:cs="Arial"/>
          <w:szCs w:val="20"/>
        </w:rPr>
        <w:t>další třídění dat – podle pohlaví, věku, zaměstnání oběti, ekonomické činnosti zaměstnavatele</w:t>
      </w:r>
      <w:r w:rsidR="00FD3E96">
        <w:rPr>
          <w:rFonts w:cs="Arial"/>
          <w:szCs w:val="20"/>
        </w:rPr>
        <w:t xml:space="preserve"> a </w:t>
      </w:r>
      <w:r w:rsidR="00CD2783">
        <w:rPr>
          <w:rFonts w:cs="Arial"/>
          <w:szCs w:val="20"/>
        </w:rPr>
        <w:t>jiné</w:t>
      </w:r>
      <w:r>
        <w:rPr>
          <w:rFonts w:cs="Arial"/>
          <w:szCs w:val="20"/>
        </w:rPr>
        <w:t>.</w:t>
      </w:r>
      <w:r w:rsidR="008301EE">
        <w:rPr>
          <w:rStyle w:val="Znakapoznpodarou"/>
          <w:rFonts w:cs="Arial"/>
          <w:szCs w:val="20"/>
        </w:rPr>
        <w:footnoteReference w:id="1"/>
      </w:r>
      <w:r>
        <w:rPr>
          <w:rFonts w:cs="Arial"/>
          <w:szCs w:val="20"/>
        </w:rPr>
        <w:t xml:space="preserve"> </w:t>
      </w:r>
    </w:p>
    <w:p w:rsidR="00C26854" w:rsidRPr="00A2036D" w:rsidRDefault="00C26854" w:rsidP="00C26854">
      <w:pPr>
        <w:pStyle w:val="Box1"/>
        <w:jc w:val="both"/>
        <w:rPr>
          <w:i/>
        </w:rPr>
      </w:pPr>
      <w:r>
        <w:rPr>
          <w:b/>
          <w:i/>
        </w:rPr>
        <w:t xml:space="preserve">Míra výskytu (četnost) </w:t>
      </w:r>
      <w:r w:rsidR="00C62BD6" w:rsidRPr="00C26854">
        <w:rPr>
          <w:i/>
        </w:rPr>
        <w:t>–</w:t>
      </w:r>
      <w:r w:rsidR="00C62BD6" w:rsidRPr="00F46EA8">
        <w:rPr>
          <w:i/>
        </w:rPr>
        <w:t xml:space="preserve"> </w:t>
      </w:r>
      <w:r>
        <w:rPr>
          <w:i/>
        </w:rPr>
        <w:t>u</w:t>
      </w:r>
      <w:r w:rsidRPr="00A2036D">
        <w:rPr>
          <w:i/>
        </w:rPr>
        <w:t xml:space="preserve">kazatel vyjadřuje počet </w:t>
      </w:r>
      <w:r>
        <w:rPr>
          <w:i/>
        </w:rPr>
        <w:t>pracovních úrazů na 100 000 zaměstnaných osob. Samostatné míry výskytu se počítají u smrtelných pracovních úrazů a pracovních úrazů, které mají za následek pracovní neschopnost delší než tři pracovní dny.</w:t>
      </w:r>
      <w:r w:rsidRPr="00A2036D">
        <w:rPr>
          <w:i/>
        </w:rPr>
        <w:t xml:space="preserve"> </w:t>
      </w:r>
    </w:p>
    <w:p w:rsidR="00C26854" w:rsidRPr="00A2036D" w:rsidRDefault="00C26854" w:rsidP="00C26854">
      <w:pPr>
        <w:pStyle w:val="Box1"/>
        <w:jc w:val="both"/>
        <w:rPr>
          <w:i/>
          <w:u w:val="single"/>
        </w:rPr>
      </w:pPr>
      <w:r w:rsidRPr="00A2036D">
        <w:rPr>
          <w:i/>
          <w:u w:val="single"/>
        </w:rPr>
        <w:t>Způsob výpočtu:</w:t>
      </w:r>
    </w:p>
    <w:p w:rsidR="00C26854" w:rsidRDefault="00C26854" w:rsidP="00C26854">
      <w:pPr>
        <w:pStyle w:val="Box1"/>
        <w:jc w:val="both"/>
        <w:rPr>
          <w:i/>
        </w:rPr>
      </w:pPr>
      <w:r>
        <w:rPr>
          <w:i/>
        </w:rPr>
        <w:t>Míra výskytu</w:t>
      </w:r>
      <w:r w:rsidRPr="00A2036D">
        <w:rPr>
          <w:i/>
        </w:rPr>
        <w:t xml:space="preserve"> = </w:t>
      </w:r>
      <w:r>
        <w:rPr>
          <w:i/>
        </w:rPr>
        <w:t xml:space="preserve">počet úrazů (smrtelných nebo ostatních) </w:t>
      </w:r>
      <w:r w:rsidRPr="00A2036D">
        <w:rPr>
          <w:i/>
        </w:rPr>
        <w:t xml:space="preserve">/ počet </w:t>
      </w:r>
      <w:r>
        <w:rPr>
          <w:i/>
        </w:rPr>
        <w:t xml:space="preserve">zaměstnaných </w:t>
      </w:r>
      <w:r w:rsidRPr="00A2036D">
        <w:rPr>
          <w:i/>
        </w:rPr>
        <w:t>osob</w:t>
      </w:r>
      <w:r>
        <w:rPr>
          <w:i/>
        </w:rPr>
        <w:t xml:space="preserve"> ve sledované populaci x 100 000.</w:t>
      </w:r>
    </w:p>
    <w:p w:rsidR="00C26854" w:rsidRDefault="00C26854" w:rsidP="00C26854">
      <w:pPr>
        <w:pStyle w:val="Box1"/>
        <w:jc w:val="both"/>
        <w:rPr>
          <w:i/>
        </w:rPr>
      </w:pPr>
    </w:p>
    <w:p w:rsidR="00C62BD6" w:rsidRDefault="001A6B70" w:rsidP="00374DBC">
      <w:pPr>
        <w:pStyle w:val="Box1"/>
        <w:jc w:val="both"/>
        <w:rPr>
          <w:i/>
        </w:rPr>
      </w:pPr>
      <w:r w:rsidRPr="00CB71CA">
        <w:rPr>
          <w:b/>
          <w:i/>
        </w:rPr>
        <w:t>Standardizovaná míra výskytu</w:t>
      </w:r>
      <w:r>
        <w:rPr>
          <w:i/>
        </w:rPr>
        <w:t xml:space="preserve"> – </w:t>
      </w:r>
      <w:r w:rsidR="00CB71CA">
        <w:rPr>
          <w:i/>
        </w:rPr>
        <w:t>standardizovaný počet pracovních úrazů na 100 000 zaměstnaných osob, spočívající v použití stejné (standardizované) váhy v každém odvětví v každé zemi, jako je celková v rámci EU („standardizovaná“ míra úrazovosti)</w:t>
      </w:r>
      <w:r w:rsidR="00C26854" w:rsidRPr="00A2036D">
        <w:rPr>
          <w:i/>
        </w:rPr>
        <w:t>.</w:t>
      </w:r>
      <w:r w:rsidR="00CB71CA">
        <w:rPr>
          <w:i/>
        </w:rPr>
        <w:t xml:space="preserve"> Použití standardizovaného ukazatele řeší problém </w:t>
      </w:r>
      <w:r w:rsidR="00374DBC">
        <w:rPr>
          <w:i/>
        </w:rPr>
        <w:t>častějšího výskytu pracovních úrazů v některých zaměstnáních v závislosti na vyšším podílu vysoce rizikových odvětví v průmyslové struktuře země.</w:t>
      </w:r>
    </w:p>
    <w:p w:rsidR="002646DA" w:rsidRDefault="00893D9C" w:rsidP="00CD2783">
      <w:pPr>
        <w:jc w:val="both"/>
      </w:pPr>
      <w:r w:rsidRPr="00893D9C">
        <w:t>Pro mezinárodní srovnání</w:t>
      </w:r>
      <w:r>
        <w:t xml:space="preserve"> za členské státy EU byl v této publikaci použit relativní ukazatel – standardizovaná míra výskytu pracovních úrazů na 100 tis. zaměstnaných osob, který je pro srovnání zemí různé velikosti vhodnějším ukazatelem než ukazatel absolutní. Pro zachycení vývoje míry úrazovosti v jednotlivých členských zemích EU</w:t>
      </w:r>
      <w:r w:rsidR="00C46A1C">
        <w:t xml:space="preserve"> byly použity údaje za roky 2011 – 2015.</w:t>
      </w:r>
      <w:r w:rsidR="0040332E">
        <w:t xml:space="preserve"> </w:t>
      </w:r>
    </w:p>
    <w:p w:rsidR="002B3776" w:rsidRDefault="0040332E" w:rsidP="00CD2783">
      <w:pPr>
        <w:jc w:val="both"/>
      </w:pPr>
      <w:r>
        <w:lastRenderedPageBreak/>
        <w:t>Je nutné však upozornit na</w:t>
      </w:r>
      <w:r w:rsidR="002646DA">
        <w:t xml:space="preserve"> skutečnost, že vnitrostátní legislativa nebo zvyklosti v oblasti pracovní úrazovosti se mohou v jednotlivých zemích poměrně značně lišit, a tak i data předávaná do </w:t>
      </w:r>
      <w:proofErr w:type="spellStart"/>
      <w:r w:rsidR="002646DA">
        <w:t>Eurostatu</w:t>
      </w:r>
      <w:proofErr w:type="spellEnd"/>
      <w:r w:rsidR="00F018FD">
        <w:t>,</w:t>
      </w:r>
      <w:r w:rsidR="002646DA">
        <w:t xml:space="preserve"> i přes veškerou snahu statistiků o harmonizaci a standardizaci</w:t>
      </w:r>
      <w:r w:rsidR="00F018FD">
        <w:t>,</w:t>
      </w:r>
      <w:r w:rsidR="002646DA">
        <w:t xml:space="preserve"> nemusí být zcela srovnatelná.</w:t>
      </w:r>
    </w:p>
    <w:p w:rsidR="00C46A1C" w:rsidRPr="00893D9C" w:rsidRDefault="00B353F9" w:rsidP="00CD2783">
      <w:pPr>
        <w:jc w:val="both"/>
      </w:pPr>
      <w:r>
        <w:t>Co se týče pra</w:t>
      </w:r>
      <w:r w:rsidR="00096738">
        <w:t>covních úrazů, které si vyžádaly</w:t>
      </w:r>
      <w:r>
        <w:t xml:space="preserve"> pracovní neschopnost delší než 3 pracovní dny, se Česká republika s hodnotou 953 pracovních úrazů na 100 tis. zaměstnaných osob v roce 2015 řadila na 13. místo v rámci EU28.</w:t>
      </w:r>
      <w:r w:rsidR="00E4543C">
        <w:t xml:space="preserve"> Přibližně stejné hodnoty dosáhly Velká Británie, Irsko a Chorvatsko. Nejvyšší míra pracovní úrazovosti </w:t>
      </w:r>
      <w:r w:rsidR="0076054D">
        <w:t>byla</w:t>
      </w:r>
      <w:r w:rsidR="00E4543C">
        <w:t xml:space="preserve"> podle </w:t>
      </w:r>
      <w:proofErr w:type="spellStart"/>
      <w:r w:rsidR="00E4543C">
        <w:t>Eurostatu</w:t>
      </w:r>
      <w:proofErr w:type="spellEnd"/>
      <w:r w:rsidR="00E4543C">
        <w:t xml:space="preserve"> v Portugalsku, Francii a ve Španělsku (více než 3 tis. pracovních úrazů na 100 tis. zaměstnaných osob), okolo hranice 2 tis. pracovních úrazů se pohyb</w:t>
      </w:r>
      <w:r w:rsidR="0076054D">
        <w:t>oval</w:t>
      </w:r>
      <w:r w:rsidR="00096738">
        <w:t>o</w:t>
      </w:r>
      <w:r w:rsidR="00E4543C">
        <w:t xml:space="preserve"> Lucembursko, Německo a Finsko. Nejnižší míra pracovní úrazovosti (pod hranicí 500 pracovních úrazů) </w:t>
      </w:r>
      <w:r w:rsidR="0076054D">
        <w:t>byla v roce 2015</w:t>
      </w:r>
      <w:r w:rsidR="00E4543C">
        <w:t xml:space="preserve"> pak vykazována v Bulharsku, Rumunsku, Řecku, Lotyšsku a Litvě.</w:t>
      </w:r>
    </w:p>
    <w:p w:rsidR="006B3F46" w:rsidRPr="004529E3" w:rsidRDefault="006B3F46" w:rsidP="004C73DA">
      <w:pPr>
        <w:jc w:val="both"/>
        <w:rPr>
          <w:b/>
        </w:rPr>
      </w:pPr>
      <w:r w:rsidRPr="004529E3">
        <w:rPr>
          <w:b/>
        </w:rPr>
        <w:t xml:space="preserve">Graf 6.1 – Pracovní úrazy s pracovní neschopností delší než 3 pracovní dny v EU v roce 2015 </w:t>
      </w:r>
      <w:r>
        <w:rPr>
          <w:b/>
        </w:rPr>
        <w:t>(</w:t>
      </w:r>
      <w:r w:rsidRPr="004529E3">
        <w:rPr>
          <w:b/>
        </w:rPr>
        <w:t>standardizovaná míra výskytu</w:t>
      </w:r>
      <w:r>
        <w:rPr>
          <w:b/>
        </w:rPr>
        <w:t>)</w:t>
      </w:r>
    </w:p>
    <w:p w:rsidR="006B3F46" w:rsidRDefault="006B3F46" w:rsidP="006B3F46">
      <w:pPr>
        <w:rPr>
          <w:b/>
        </w:rPr>
      </w:pPr>
      <w:r w:rsidRPr="004529E3">
        <w:rPr>
          <w:noProof/>
        </w:rPr>
        <w:drawing>
          <wp:inline distT="0" distB="0" distL="0" distR="0">
            <wp:extent cx="5429250" cy="5629275"/>
            <wp:effectExtent l="19050" t="0" r="0" b="0"/>
            <wp:docPr id="2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62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F46" w:rsidRPr="001338A0" w:rsidRDefault="006B3F46" w:rsidP="006B3F46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Zdroj: </w:t>
      </w:r>
      <w:proofErr w:type="spellStart"/>
      <w:r>
        <w:rPr>
          <w:rFonts w:cs="Arial"/>
          <w:sz w:val="16"/>
          <w:szCs w:val="16"/>
        </w:rPr>
        <w:t>Eurostat</w:t>
      </w:r>
      <w:proofErr w:type="spellEnd"/>
      <w:r>
        <w:rPr>
          <w:rFonts w:cs="Arial"/>
          <w:sz w:val="16"/>
          <w:szCs w:val="16"/>
        </w:rPr>
        <w:t xml:space="preserve"> (ESAW)</w:t>
      </w:r>
    </w:p>
    <w:p w:rsidR="006B3F46" w:rsidRDefault="006B3F46" w:rsidP="006B3F46"/>
    <w:p w:rsidR="006B3F46" w:rsidRDefault="006B3F46" w:rsidP="005164AE">
      <w:pPr>
        <w:jc w:val="both"/>
      </w:pPr>
      <w:r>
        <w:lastRenderedPageBreak/>
        <w:t>Vývoj pracovní úrazovosti v posledních pěti letech je v jednotlivých zemích EU různý (viz tab. 6.1), trvale klesající trend zaznamenáváme v Belgii, Dánsku, Německu a Rakousku.</w:t>
      </w:r>
    </w:p>
    <w:p w:rsidR="006B3F46" w:rsidRDefault="006B3F46" w:rsidP="00C62BD6">
      <w:pPr>
        <w:rPr>
          <w:b/>
        </w:rPr>
      </w:pPr>
    </w:p>
    <w:p w:rsidR="00D15AAE" w:rsidRPr="00D15AAE" w:rsidRDefault="00D15AAE" w:rsidP="004C73DA">
      <w:pPr>
        <w:jc w:val="both"/>
        <w:rPr>
          <w:b/>
        </w:rPr>
      </w:pPr>
      <w:r w:rsidRPr="00D15AAE">
        <w:rPr>
          <w:b/>
        </w:rPr>
        <w:t>Tab. 6.1 – Pracovní úrazy s pracovní neschopností delší než 3 pracovní dny v EU v letech 201</w:t>
      </w:r>
      <w:r w:rsidR="00893D9C">
        <w:rPr>
          <w:b/>
        </w:rPr>
        <w:t>1</w:t>
      </w:r>
      <w:r w:rsidRPr="00D15AAE">
        <w:rPr>
          <w:b/>
        </w:rPr>
        <w:t xml:space="preserve"> – 2015 </w:t>
      </w:r>
    </w:p>
    <w:p w:rsidR="004529E3" w:rsidRPr="002B3776" w:rsidRDefault="00CD2783" w:rsidP="00C62BD6">
      <w:r w:rsidRPr="00CD2783">
        <w:rPr>
          <w:noProof/>
        </w:rPr>
        <w:drawing>
          <wp:inline distT="0" distB="0" distL="0" distR="0">
            <wp:extent cx="4572000" cy="6143625"/>
            <wp:effectExtent l="19050" t="0" r="0" b="0"/>
            <wp:docPr id="1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14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AAE" w:rsidRPr="001338A0" w:rsidRDefault="00D15AAE" w:rsidP="00D15AAE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Zdroj: </w:t>
      </w:r>
      <w:proofErr w:type="spellStart"/>
      <w:r>
        <w:rPr>
          <w:rFonts w:cs="Arial"/>
          <w:sz w:val="16"/>
          <w:szCs w:val="16"/>
        </w:rPr>
        <w:t>Eurostat</w:t>
      </w:r>
      <w:proofErr w:type="spellEnd"/>
      <w:r>
        <w:rPr>
          <w:rFonts w:cs="Arial"/>
          <w:sz w:val="16"/>
          <w:szCs w:val="16"/>
        </w:rPr>
        <w:t xml:space="preserve"> (ESAW)</w:t>
      </w:r>
    </w:p>
    <w:p w:rsidR="00502782" w:rsidRDefault="00502782" w:rsidP="00C62BD6"/>
    <w:p w:rsidR="006B3F46" w:rsidRDefault="006B3F46" w:rsidP="006B3F46">
      <w:pPr>
        <w:jc w:val="both"/>
      </w:pPr>
      <w:r>
        <w:t xml:space="preserve">V oblasti smrtelných pracovních úrazů se Česká republika s hodnotou 3,44 smrtelných pracovních úrazů na 100 tis. zaměstnaných osob v roce 2015 řadila na 16. místo v rámci EU28. Přibližně stejné hodnoty dosáhly Malta, Španělsko, Slovinsko a Slovensko. Nejvyšší míra smrtelné pracovní úrazovosti byla podle </w:t>
      </w:r>
      <w:proofErr w:type="spellStart"/>
      <w:r>
        <w:t>Eurostatu</w:t>
      </w:r>
      <w:proofErr w:type="spellEnd"/>
      <w:r>
        <w:t xml:space="preserve"> v Rumunsku (7,49 smrtelných úrazů na 100 tis. zaměstnaných osob), vyšší míru smrtelné pracovní úrazovosti (nad hranicí 4 smrteln</w:t>
      </w:r>
      <w:r w:rsidR="00096738">
        <w:t>ých</w:t>
      </w:r>
      <w:r>
        <w:t xml:space="preserve"> úraz</w:t>
      </w:r>
      <w:r w:rsidR="00096738">
        <w:t>ů</w:t>
      </w:r>
      <w:r>
        <w:t xml:space="preserve">) měli v Portugalsku, Lucembursku, Bulharsku, Litvě, Rakousku a </w:t>
      </w:r>
      <w:r>
        <w:lastRenderedPageBreak/>
        <w:t>Lotyšsku. Nejnižší míra smrtelné pracovní úrazovosti byla v roce 2015 v Nizozemsku (0,76), v rozmezí 1 – 2 smrtelné úrazy na 100 tis. zaměstnaných osob se pohybovali ve Švédsku, Německu, Dánsku, Kypru, Velké Británii a Finsku.</w:t>
      </w:r>
    </w:p>
    <w:p w:rsidR="00D15AAE" w:rsidRDefault="00D15AAE" w:rsidP="004529E3">
      <w:pPr>
        <w:rPr>
          <w:b/>
        </w:rPr>
      </w:pPr>
    </w:p>
    <w:p w:rsidR="004529E3" w:rsidRPr="004529E3" w:rsidRDefault="004529E3" w:rsidP="004C73DA">
      <w:pPr>
        <w:jc w:val="both"/>
        <w:rPr>
          <w:b/>
        </w:rPr>
      </w:pPr>
      <w:r w:rsidRPr="004529E3">
        <w:rPr>
          <w:b/>
        </w:rPr>
        <w:t>Graf 6.</w:t>
      </w:r>
      <w:r>
        <w:rPr>
          <w:b/>
        </w:rPr>
        <w:t>2</w:t>
      </w:r>
      <w:r w:rsidRPr="004529E3">
        <w:rPr>
          <w:b/>
        </w:rPr>
        <w:t xml:space="preserve"> – </w:t>
      </w:r>
      <w:r>
        <w:rPr>
          <w:b/>
        </w:rPr>
        <w:t>Smrtelné p</w:t>
      </w:r>
      <w:r w:rsidRPr="004529E3">
        <w:rPr>
          <w:b/>
        </w:rPr>
        <w:t xml:space="preserve">racovní úrazy v EU v roce 2015 </w:t>
      </w:r>
      <w:r>
        <w:rPr>
          <w:b/>
        </w:rPr>
        <w:t>(</w:t>
      </w:r>
      <w:r w:rsidRPr="004529E3">
        <w:rPr>
          <w:b/>
        </w:rPr>
        <w:t>standardizovaná míra výskytu</w:t>
      </w:r>
      <w:r>
        <w:rPr>
          <w:b/>
        </w:rPr>
        <w:t>)</w:t>
      </w:r>
    </w:p>
    <w:p w:rsidR="004529E3" w:rsidRDefault="004529E3" w:rsidP="00C62BD6">
      <w:pPr>
        <w:rPr>
          <w:b/>
        </w:rPr>
      </w:pPr>
      <w:r w:rsidRPr="004529E3">
        <w:rPr>
          <w:noProof/>
        </w:rPr>
        <w:drawing>
          <wp:inline distT="0" distB="0" distL="0" distR="0">
            <wp:extent cx="5419725" cy="5495925"/>
            <wp:effectExtent l="19050" t="0" r="9525" b="0"/>
            <wp:docPr id="36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9E3" w:rsidRPr="001338A0" w:rsidRDefault="004529E3" w:rsidP="004529E3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Zdroj: </w:t>
      </w:r>
      <w:proofErr w:type="spellStart"/>
      <w:r>
        <w:rPr>
          <w:rFonts w:cs="Arial"/>
          <w:sz w:val="16"/>
          <w:szCs w:val="16"/>
        </w:rPr>
        <w:t>Eurostat</w:t>
      </w:r>
      <w:proofErr w:type="spellEnd"/>
      <w:r>
        <w:rPr>
          <w:rFonts w:cs="Arial"/>
          <w:sz w:val="16"/>
          <w:szCs w:val="16"/>
        </w:rPr>
        <w:t xml:space="preserve"> (ESAW)</w:t>
      </w:r>
    </w:p>
    <w:p w:rsidR="00DE244A" w:rsidRDefault="00DE244A" w:rsidP="00C62BD6">
      <w:pPr>
        <w:rPr>
          <w:b/>
        </w:rPr>
      </w:pPr>
    </w:p>
    <w:p w:rsidR="00FA1E74" w:rsidRDefault="00FA1E74" w:rsidP="006B3F46">
      <w:pPr>
        <w:jc w:val="both"/>
      </w:pPr>
      <w:r>
        <w:t xml:space="preserve">Vývoj smrtelné pracovní úrazovosti v posledních pěti letech v jednotlivých zemích EU je patrný z tab. 6.2, trvale klesající trend </w:t>
      </w:r>
      <w:r w:rsidR="006B3F46">
        <w:t>vykazují pouze Dánsko a Kypr</w:t>
      </w:r>
      <w:r>
        <w:t>.</w:t>
      </w:r>
    </w:p>
    <w:p w:rsidR="00502782" w:rsidRDefault="00502782" w:rsidP="004C73DA">
      <w:pPr>
        <w:jc w:val="both"/>
        <w:rPr>
          <w:b/>
        </w:rPr>
      </w:pPr>
    </w:p>
    <w:p w:rsidR="009C0788" w:rsidRDefault="009C0788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6B3F46" w:rsidRPr="00D15AAE" w:rsidRDefault="006B3F46" w:rsidP="004C73DA">
      <w:pPr>
        <w:jc w:val="both"/>
        <w:rPr>
          <w:b/>
        </w:rPr>
      </w:pPr>
      <w:r w:rsidRPr="00D15AAE">
        <w:rPr>
          <w:b/>
        </w:rPr>
        <w:lastRenderedPageBreak/>
        <w:t>Tab. 6.</w:t>
      </w:r>
      <w:r>
        <w:rPr>
          <w:b/>
        </w:rPr>
        <w:t>2</w:t>
      </w:r>
      <w:r w:rsidRPr="00D15AAE">
        <w:rPr>
          <w:b/>
        </w:rPr>
        <w:t xml:space="preserve"> – </w:t>
      </w:r>
      <w:r>
        <w:rPr>
          <w:b/>
        </w:rPr>
        <w:t>Smrtelné p</w:t>
      </w:r>
      <w:r w:rsidRPr="00D15AAE">
        <w:rPr>
          <w:b/>
        </w:rPr>
        <w:t>racovní úrazy v EU v letech 201</w:t>
      </w:r>
      <w:r>
        <w:rPr>
          <w:b/>
        </w:rPr>
        <w:t>1</w:t>
      </w:r>
      <w:r w:rsidRPr="00D15AAE">
        <w:rPr>
          <w:b/>
        </w:rPr>
        <w:t xml:space="preserve"> – 2015 </w:t>
      </w:r>
    </w:p>
    <w:p w:rsidR="006B3F46" w:rsidRDefault="006B3F46" w:rsidP="006B3F46">
      <w:pPr>
        <w:rPr>
          <w:b/>
        </w:rPr>
      </w:pPr>
      <w:r w:rsidRPr="00CD2783">
        <w:rPr>
          <w:noProof/>
        </w:rPr>
        <w:drawing>
          <wp:inline distT="0" distB="0" distL="0" distR="0">
            <wp:extent cx="4562475" cy="6143625"/>
            <wp:effectExtent l="19050" t="0" r="9525" b="0"/>
            <wp:docPr id="2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614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F46" w:rsidRPr="001338A0" w:rsidRDefault="006B3F46" w:rsidP="006B3F46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Zdroj: </w:t>
      </w:r>
      <w:proofErr w:type="spellStart"/>
      <w:r>
        <w:rPr>
          <w:rFonts w:cs="Arial"/>
          <w:sz w:val="16"/>
          <w:szCs w:val="16"/>
        </w:rPr>
        <w:t>Eurostat</w:t>
      </w:r>
      <w:proofErr w:type="spellEnd"/>
      <w:r>
        <w:rPr>
          <w:rFonts w:cs="Arial"/>
          <w:sz w:val="16"/>
          <w:szCs w:val="16"/>
        </w:rPr>
        <w:t xml:space="preserve"> (ESAW)</w:t>
      </w:r>
    </w:p>
    <w:sectPr w:rsidR="006B3F46" w:rsidRPr="001338A0" w:rsidSect="006F5416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D6B" w:rsidRDefault="00C96D6B" w:rsidP="00E71A58">
      <w:r>
        <w:separator/>
      </w:r>
    </w:p>
  </w:endnote>
  <w:endnote w:type="continuationSeparator" w:id="0">
    <w:p w:rsidR="00C96D6B" w:rsidRDefault="00C96D6B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E6" w:rsidRPr="00932443" w:rsidRDefault="00BC2EE6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>
      <w:rPr>
        <w:szCs w:val="16"/>
      </w:rPr>
      <w:t>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E6" w:rsidRPr="00932443" w:rsidRDefault="00BC2EE6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2017</w:t>
    </w:r>
    <w:r w:rsidRPr="00932443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D6B" w:rsidRDefault="00C96D6B" w:rsidP="00E71A58">
      <w:r>
        <w:separator/>
      </w:r>
    </w:p>
  </w:footnote>
  <w:footnote w:type="continuationSeparator" w:id="0">
    <w:p w:rsidR="00C96D6B" w:rsidRDefault="00C96D6B" w:rsidP="00E71A58">
      <w:r>
        <w:continuationSeparator/>
      </w:r>
    </w:p>
  </w:footnote>
  <w:footnote w:id="1">
    <w:p w:rsidR="00BC2EE6" w:rsidRPr="008301EE" w:rsidRDefault="00BC2EE6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8301EE">
        <w:rPr>
          <w:sz w:val="16"/>
          <w:szCs w:val="16"/>
        </w:rPr>
        <w:t xml:space="preserve">Poslední dostupná data s mezinárodním srovnáním za členské státy EU28 byla v době zpracování této publikace za rok 2015. Jejich zdrojem je databáze </w:t>
      </w:r>
      <w:proofErr w:type="spellStart"/>
      <w:r w:rsidRPr="008301EE">
        <w:rPr>
          <w:sz w:val="16"/>
          <w:szCs w:val="16"/>
        </w:rPr>
        <w:t>Eurostatu</w:t>
      </w:r>
      <w:proofErr w:type="spellEnd"/>
      <w:r w:rsidRPr="008301EE">
        <w:rPr>
          <w:sz w:val="16"/>
          <w:szCs w:val="16"/>
        </w:rPr>
        <w:t xml:space="preserve">: </w:t>
      </w:r>
      <w:hyperlink r:id="rId1" w:history="1">
        <w:r w:rsidRPr="008301EE">
          <w:rPr>
            <w:rStyle w:val="Hypertextovodkaz"/>
            <w:sz w:val="16"/>
            <w:szCs w:val="16"/>
          </w:rPr>
          <w:t>http://ec.europa.eu/eurostat/web/health/health-safety-work/data/database</w:t>
        </w:r>
      </w:hyperlink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E6" w:rsidRPr="00C62BD6" w:rsidRDefault="00BC2EE6" w:rsidP="00C62BD6">
    <w:pPr>
      <w:pStyle w:val="Zhlav"/>
    </w:pPr>
    <w:r>
      <w:t>Pracovní neschopnost pro nemoc a úraz v České republice za rok 2017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E6" w:rsidRPr="00C62BD6" w:rsidRDefault="00BC2EE6" w:rsidP="00C62BD6">
    <w:pPr>
      <w:pStyle w:val="Zhlav"/>
    </w:pPr>
    <w:r>
      <w:t>Pracovní neschopnost pro nemoc a úraz v České republice za rok 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746EB"/>
    <w:multiLevelType w:val="hybridMultilevel"/>
    <w:tmpl w:val="D616B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AE0212"/>
    <w:multiLevelType w:val="hybridMultilevel"/>
    <w:tmpl w:val="B27CA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94626"/>
    <w:multiLevelType w:val="hybridMultilevel"/>
    <w:tmpl w:val="C29C8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FB3472"/>
    <w:multiLevelType w:val="hybridMultilevel"/>
    <w:tmpl w:val="306E3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D14163"/>
    <w:multiLevelType w:val="hybridMultilevel"/>
    <w:tmpl w:val="8E526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BE7536"/>
    <w:multiLevelType w:val="hybridMultilevel"/>
    <w:tmpl w:val="CA56DB9C"/>
    <w:lvl w:ilvl="0" w:tplc="578C2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01B91"/>
    <w:multiLevelType w:val="hybridMultilevel"/>
    <w:tmpl w:val="6C904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363618"/>
    <w:multiLevelType w:val="hybridMultilevel"/>
    <w:tmpl w:val="E3E8E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0017F3"/>
    <w:multiLevelType w:val="hybridMultilevel"/>
    <w:tmpl w:val="D4C40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FB04D0"/>
    <w:multiLevelType w:val="hybridMultilevel"/>
    <w:tmpl w:val="A5FC2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DF280C"/>
    <w:multiLevelType w:val="hybridMultilevel"/>
    <w:tmpl w:val="022C8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9"/>
  </w:num>
  <w:num w:numId="14">
    <w:abstractNumId w:val="11"/>
  </w:num>
  <w:num w:numId="15">
    <w:abstractNumId w:val="16"/>
  </w:num>
  <w:num w:numId="16">
    <w:abstractNumId w:val="10"/>
  </w:num>
  <w:num w:numId="17">
    <w:abstractNumId w:val="22"/>
  </w:num>
  <w:num w:numId="18">
    <w:abstractNumId w:val="13"/>
  </w:num>
  <w:num w:numId="19">
    <w:abstractNumId w:val="21"/>
  </w:num>
  <w:num w:numId="20">
    <w:abstractNumId w:val="15"/>
  </w:num>
  <w:num w:numId="21">
    <w:abstractNumId w:val="17"/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7346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3C629F"/>
    <w:rsid w:val="00000F9E"/>
    <w:rsid w:val="0000209D"/>
    <w:rsid w:val="00004D5A"/>
    <w:rsid w:val="000056D5"/>
    <w:rsid w:val="00006FF8"/>
    <w:rsid w:val="0000767A"/>
    <w:rsid w:val="00010702"/>
    <w:rsid w:val="00012D4C"/>
    <w:rsid w:val="00016992"/>
    <w:rsid w:val="000234D6"/>
    <w:rsid w:val="00023D29"/>
    <w:rsid w:val="00025962"/>
    <w:rsid w:val="00026389"/>
    <w:rsid w:val="00031AE0"/>
    <w:rsid w:val="000322EF"/>
    <w:rsid w:val="00033FCD"/>
    <w:rsid w:val="00037892"/>
    <w:rsid w:val="00041CEC"/>
    <w:rsid w:val="00043077"/>
    <w:rsid w:val="000441B2"/>
    <w:rsid w:val="0004694F"/>
    <w:rsid w:val="000522E4"/>
    <w:rsid w:val="00052494"/>
    <w:rsid w:val="000610E1"/>
    <w:rsid w:val="00062AE9"/>
    <w:rsid w:val="00062EC5"/>
    <w:rsid w:val="00062F22"/>
    <w:rsid w:val="00063B7E"/>
    <w:rsid w:val="00070698"/>
    <w:rsid w:val="000712B3"/>
    <w:rsid w:val="00074D94"/>
    <w:rsid w:val="0008263E"/>
    <w:rsid w:val="00082C19"/>
    <w:rsid w:val="00085395"/>
    <w:rsid w:val="00085DD0"/>
    <w:rsid w:val="00085EA1"/>
    <w:rsid w:val="00087634"/>
    <w:rsid w:val="00087D6A"/>
    <w:rsid w:val="00087F2B"/>
    <w:rsid w:val="0009095C"/>
    <w:rsid w:val="00090DF3"/>
    <w:rsid w:val="00091189"/>
    <w:rsid w:val="00096738"/>
    <w:rsid w:val="000974D1"/>
    <w:rsid w:val="0009799E"/>
    <w:rsid w:val="00097C3A"/>
    <w:rsid w:val="000A1183"/>
    <w:rsid w:val="000A1A53"/>
    <w:rsid w:val="000A256D"/>
    <w:rsid w:val="000A376E"/>
    <w:rsid w:val="000A3A2C"/>
    <w:rsid w:val="000A7FAF"/>
    <w:rsid w:val="000B1299"/>
    <w:rsid w:val="000B30FA"/>
    <w:rsid w:val="000B3152"/>
    <w:rsid w:val="000B3416"/>
    <w:rsid w:val="000B3EF7"/>
    <w:rsid w:val="000B78F7"/>
    <w:rsid w:val="000C3408"/>
    <w:rsid w:val="000C6AFD"/>
    <w:rsid w:val="000D0984"/>
    <w:rsid w:val="000D0B70"/>
    <w:rsid w:val="000D3D37"/>
    <w:rsid w:val="000D5637"/>
    <w:rsid w:val="000D5763"/>
    <w:rsid w:val="000E5B2D"/>
    <w:rsid w:val="000E6FBD"/>
    <w:rsid w:val="000F1056"/>
    <w:rsid w:val="000F2C27"/>
    <w:rsid w:val="000F64E8"/>
    <w:rsid w:val="00100F5C"/>
    <w:rsid w:val="001030DF"/>
    <w:rsid w:val="0010437D"/>
    <w:rsid w:val="00104C4C"/>
    <w:rsid w:val="0010665F"/>
    <w:rsid w:val="001077C2"/>
    <w:rsid w:val="001122E0"/>
    <w:rsid w:val="0012192F"/>
    <w:rsid w:val="00121BBA"/>
    <w:rsid w:val="00125D69"/>
    <w:rsid w:val="00126448"/>
    <w:rsid w:val="00130594"/>
    <w:rsid w:val="00130A21"/>
    <w:rsid w:val="0013313C"/>
    <w:rsid w:val="001338A0"/>
    <w:rsid w:val="001405FA"/>
    <w:rsid w:val="001425C3"/>
    <w:rsid w:val="0014311C"/>
    <w:rsid w:val="001458CD"/>
    <w:rsid w:val="00150CBE"/>
    <w:rsid w:val="00156FA0"/>
    <w:rsid w:val="00157C82"/>
    <w:rsid w:val="00157F4D"/>
    <w:rsid w:val="00161A21"/>
    <w:rsid w:val="0016256B"/>
    <w:rsid w:val="00163793"/>
    <w:rsid w:val="001670A7"/>
    <w:rsid w:val="0017027A"/>
    <w:rsid w:val="001706D6"/>
    <w:rsid w:val="001714F2"/>
    <w:rsid w:val="00172DAA"/>
    <w:rsid w:val="00172F7F"/>
    <w:rsid w:val="00173D29"/>
    <w:rsid w:val="00175140"/>
    <w:rsid w:val="001771A3"/>
    <w:rsid w:val="00184B08"/>
    <w:rsid w:val="00185010"/>
    <w:rsid w:val="00194E14"/>
    <w:rsid w:val="00196668"/>
    <w:rsid w:val="001A1661"/>
    <w:rsid w:val="001A552F"/>
    <w:rsid w:val="001A6B70"/>
    <w:rsid w:val="001B2CA9"/>
    <w:rsid w:val="001B2E27"/>
    <w:rsid w:val="001B3110"/>
    <w:rsid w:val="001B4729"/>
    <w:rsid w:val="001B64E2"/>
    <w:rsid w:val="001B6683"/>
    <w:rsid w:val="001B6C09"/>
    <w:rsid w:val="001C05CD"/>
    <w:rsid w:val="001C2FEB"/>
    <w:rsid w:val="001D4179"/>
    <w:rsid w:val="001D4D07"/>
    <w:rsid w:val="001D520B"/>
    <w:rsid w:val="001D68B2"/>
    <w:rsid w:val="001D7E19"/>
    <w:rsid w:val="001F07BD"/>
    <w:rsid w:val="001F3AEC"/>
    <w:rsid w:val="001F4597"/>
    <w:rsid w:val="00204A73"/>
    <w:rsid w:val="002110A0"/>
    <w:rsid w:val="00211604"/>
    <w:rsid w:val="002118B9"/>
    <w:rsid w:val="00215605"/>
    <w:rsid w:val="0021605D"/>
    <w:rsid w:val="00217C5B"/>
    <w:rsid w:val="00217DDE"/>
    <w:rsid w:val="00220202"/>
    <w:rsid w:val="0022139E"/>
    <w:rsid w:val="00223EE6"/>
    <w:rsid w:val="00224078"/>
    <w:rsid w:val="002247CA"/>
    <w:rsid w:val="002252E0"/>
    <w:rsid w:val="002255F6"/>
    <w:rsid w:val="00225ECD"/>
    <w:rsid w:val="00227850"/>
    <w:rsid w:val="00227A53"/>
    <w:rsid w:val="00230C6E"/>
    <w:rsid w:val="002321F2"/>
    <w:rsid w:val="0023272F"/>
    <w:rsid w:val="00236443"/>
    <w:rsid w:val="002436BA"/>
    <w:rsid w:val="0024398E"/>
    <w:rsid w:val="00244A15"/>
    <w:rsid w:val="00247319"/>
    <w:rsid w:val="0024799E"/>
    <w:rsid w:val="00253C0F"/>
    <w:rsid w:val="002646DA"/>
    <w:rsid w:val="0026618C"/>
    <w:rsid w:val="00271088"/>
    <w:rsid w:val="00271465"/>
    <w:rsid w:val="0028194C"/>
    <w:rsid w:val="00285412"/>
    <w:rsid w:val="00292EA8"/>
    <w:rsid w:val="00297EB5"/>
    <w:rsid w:val="002A00BE"/>
    <w:rsid w:val="002A16D4"/>
    <w:rsid w:val="002A2003"/>
    <w:rsid w:val="002A230C"/>
    <w:rsid w:val="002B03C8"/>
    <w:rsid w:val="002B1C15"/>
    <w:rsid w:val="002B2842"/>
    <w:rsid w:val="002B3776"/>
    <w:rsid w:val="002B3C69"/>
    <w:rsid w:val="002B4327"/>
    <w:rsid w:val="002B7597"/>
    <w:rsid w:val="002C0154"/>
    <w:rsid w:val="002C394F"/>
    <w:rsid w:val="002C43BD"/>
    <w:rsid w:val="002C55B2"/>
    <w:rsid w:val="002C63D7"/>
    <w:rsid w:val="002C7AE2"/>
    <w:rsid w:val="002C7B67"/>
    <w:rsid w:val="002D0E59"/>
    <w:rsid w:val="002E0185"/>
    <w:rsid w:val="002E02A1"/>
    <w:rsid w:val="002E1172"/>
    <w:rsid w:val="002E246B"/>
    <w:rsid w:val="002E3A71"/>
    <w:rsid w:val="002E4E4C"/>
    <w:rsid w:val="002F2413"/>
    <w:rsid w:val="002F5756"/>
    <w:rsid w:val="003007A7"/>
    <w:rsid w:val="00304771"/>
    <w:rsid w:val="003052D4"/>
    <w:rsid w:val="00306C5B"/>
    <w:rsid w:val="003116A3"/>
    <w:rsid w:val="00312502"/>
    <w:rsid w:val="00316B01"/>
    <w:rsid w:val="003209D6"/>
    <w:rsid w:val="00321924"/>
    <w:rsid w:val="00323C27"/>
    <w:rsid w:val="0032656E"/>
    <w:rsid w:val="00326B09"/>
    <w:rsid w:val="00332190"/>
    <w:rsid w:val="00334C1B"/>
    <w:rsid w:val="00335F3A"/>
    <w:rsid w:val="003417AC"/>
    <w:rsid w:val="003417FB"/>
    <w:rsid w:val="0034383F"/>
    <w:rsid w:val="00344668"/>
    <w:rsid w:val="00344BAE"/>
    <w:rsid w:val="003462D9"/>
    <w:rsid w:val="00350E50"/>
    <w:rsid w:val="003528D9"/>
    <w:rsid w:val="00357586"/>
    <w:rsid w:val="003607F1"/>
    <w:rsid w:val="00360C86"/>
    <w:rsid w:val="0036354F"/>
    <w:rsid w:val="003657F3"/>
    <w:rsid w:val="003705BC"/>
    <w:rsid w:val="00374DBC"/>
    <w:rsid w:val="0037575F"/>
    <w:rsid w:val="003759C4"/>
    <w:rsid w:val="00377D0A"/>
    <w:rsid w:val="00377F6C"/>
    <w:rsid w:val="003818DC"/>
    <w:rsid w:val="00384327"/>
    <w:rsid w:val="00385D98"/>
    <w:rsid w:val="00386032"/>
    <w:rsid w:val="0039169F"/>
    <w:rsid w:val="00393054"/>
    <w:rsid w:val="00393E1C"/>
    <w:rsid w:val="00397E88"/>
    <w:rsid w:val="003A1C4E"/>
    <w:rsid w:val="003A2B4D"/>
    <w:rsid w:val="003A2E6F"/>
    <w:rsid w:val="003A478C"/>
    <w:rsid w:val="003A5525"/>
    <w:rsid w:val="003A66F7"/>
    <w:rsid w:val="003A6B38"/>
    <w:rsid w:val="003A6C48"/>
    <w:rsid w:val="003B2E45"/>
    <w:rsid w:val="003B305D"/>
    <w:rsid w:val="003B49FF"/>
    <w:rsid w:val="003B51A0"/>
    <w:rsid w:val="003B5A32"/>
    <w:rsid w:val="003C29AB"/>
    <w:rsid w:val="003C3490"/>
    <w:rsid w:val="003C629F"/>
    <w:rsid w:val="003D6920"/>
    <w:rsid w:val="003E12C3"/>
    <w:rsid w:val="003E2845"/>
    <w:rsid w:val="003E4C91"/>
    <w:rsid w:val="003E7488"/>
    <w:rsid w:val="003F1703"/>
    <w:rsid w:val="003F313C"/>
    <w:rsid w:val="003F4B2C"/>
    <w:rsid w:val="003F551C"/>
    <w:rsid w:val="003F647B"/>
    <w:rsid w:val="003F7D23"/>
    <w:rsid w:val="00401F91"/>
    <w:rsid w:val="0040332E"/>
    <w:rsid w:val="0040736D"/>
    <w:rsid w:val="00407C13"/>
    <w:rsid w:val="00407DB7"/>
    <w:rsid w:val="00410638"/>
    <w:rsid w:val="0041080A"/>
    <w:rsid w:val="0042086A"/>
    <w:rsid w:val="00432A58"/>
    <w:rsid w:val="00434617"/>
    <w:rsid w:val="00440900"/>
    <w:rsid w:val="00442489"/>
    <w:rsid w:val="004441A0"/>
    <w:rsid w:val="004522CC"/>
    <w:rsid w:val="004529E3"/>
    <w:rsid w:val="00452AB0"/>
    <w:rsid w:val="00460FB3"/>
    <w:rsid w:val="0046583C"/>
    <w:rsid w:val="0047002D"/>
    <w:rsid w:val="00472BF3"/>
    <w:rsid w:val="0047619A"/>
    <w:rsid w:val="00476240"/>
    <w:rsid w:val="00476439"/>
    <w:rsid w:val="0047735C"/>
    <w:rsid w:val="004776BC"/>
    <w:rsid w:val="0048139F"/>
    <w:rsid w:val="00481E40"/>
    <w:rsid w:val="00484ECE"/>
    <w:rsid w:val="004852BF"/>
    <w:rsid w:val="004900FF"/>
    <w:rsid w:val="004915CB"/>
    <w:rsid w:val="004924DC"/>
    <w:rsid w:val="004949FA"/>
    <w:rsid w:val="00494E37"/>
    <w:rsid w:val="004952C5"/>
    <w:rsid w:val="004974FE"/>
    <w:rsid w:val="004A14E4"/>
    <w:rsid w:val="004A3212"/>
    <w:rsid w:val="004A4B7A"/>
    <w:rsid w:val="004A61C5"/>
    <w:rsid w:val="004A77DF"/>
    <w:rsid w:val="004B1417"/>
    <w:rsid w:val="004B17A6"/>
    <w:rsid w:val="004B1E06"/>
    <w:rsid w:val="004B2E40"/>
    <w:rsid w:val="004B4122"/>
    <w:rsid w:val="004B55B7"/>
    <w:rsid w:val="004B6468"/>
    <w:rsid w:val="004C384C"/>
    <w:rsid w:val="004C3867"/>
    <w:rsid w:val="004C4CD0"/>
    <w:rsid w:val="004C70DC"/>
    <w:rsid w:val="004C73DA"/>
    <w:rsid w:val="004D0211"/>
    <w:rsid w:val="004D043B"/>
    <w:rsid w:val="004D0794"/>
    <w:rsid w:val="004D341B"/>
    <w:rsid w:val="004D6588"/>
    <w:rsid w:val="004E2877"/>
    <w:rsid w:val="004E46B4"/>
    <w:rsid w:val="004E62A5"/>
    <w:rsid w:val="004E6D7F"/>
    <w:rsid w:val="004E6FD3"/>
    <w:rsid w:val="004E7C48"/>
    <w:rsid w:val="004E7CB3"/>
    <w:rsid w:val="004F06F5"/>
    <w:rsid w:val="004F2E80"/>
    <w:rsid w:val="004F33A0"/>
    <w:rsid w:val="00500A8A"/>
    <w:rsid w:val="00501105"/>
    <w:rsid w:val="0050262D"/>
    <w:rsid w:val="00502782"/>
    <w:rsid w:val="005108C0"/>
    <w:rsid w:val="00511873"/>
    <w:rsid w:val="005129CB"/>
    <w:rsid w:val="00512A2F"/>
    <w:rsid w:val="00513B7E"/>
    <w:rsid w:val="00515C74"/>
    <w:rsid w:val="005164AE"/>
    <w:rsid w:val="00516DC4"/>
    <w:rsid w:val="0052007E"/>
    <w:rsid w:val="00520FF1"/>
    <w:rsid w:val="005229A8"/>
    <w:rsid w:val="0052337A"/>
    <w:rsid w:val="00524184"/>
    <w:rsid w:val="00525137"/>
    <w:rsid w:val="005251DD"/>
    <w:rsid w:val="00532CE7"/>
    <w:rsid w:val="00532E6C"/>
    <w:rsid w:val="0053324C"/>
    <w:rsid w:val="00534A28"/>
    <w:rsid w:val="00535648"/>
    <w:rsid w:val="00536482"/>
    <w:rsid w:val="00541508"/>
    <w:rsid w:val="005454FC"/>
    <w:rsid w:val="005506C4"/>
    <w:rsid w:val="00551034"/>
    <w:rsid w:val="0055182B"/>
    <w:rsid w:val="0055378A"/>
    <w:rsid w:val="00553F56"/>
    <w:rsid w:val="0055576C"/>
    <w:rsid w:val="0055599F"/>
    <w:rsid w:val="00556D68"/>
    <w:rsid w:val="00557423"/>
    <w:rsid w:val="005647BF"/>
    <w:rsid w:val="005701A4"/>
    <w:rsid w:val="00570BDC"/>
    <w:rsid w:val="00573578"/>
    <w:rsid w:val="0057364B"/>
    <w:rsid w:val="00574773"/>
    <w:rsid w:val="00574C7C"/>
    <w:rsid w:val="00575802"/>
    <w:rsid w:val="00583FFD"/>
    <w:rsid w:val="005911BE"/>
    <w:rsid w:val="00593152"/>
    <w:rsid w:val="005A10F2"/>
    <w:rsid w:val="005A21E0"/>
    <w:rsid w:val="005A28FF"/>
    <w:rsid w:val="005A3DF8"/>
    <w:rsid w:val="005A3EC3"/>
    <w:rsid w:val="005A5549"/>
    <w:rsid w:val="005A7888"/>
    <w:rsid w:val="005B121D"/>
    <w:rsid w:val="005C06ED"/>
    <w:rsid w:val="005C2F72"/>
    <w:rsid w:val="005C568A"/>
    <w:rsid w:val="005D5802"/>
    <w:rsid w:val="005D7890"/>
    <w:rsid w:val="005E0948"/>
    <w:rsid w:val="005E23AF"/>
    <w:rsid w:val="005E4739"/>
    <w:rsid w:val="005E7C78"/>
    <w:rsid w:val="005F2E14"/>
    <w:rsid w:val="005F3EB1"/>
    <w:rsid w:val="005F5469"/>
    <w:rsid w:val="005F554F"/>
    <w:rsid w:val="006006C5"/>
    <w:rsid w:val="00603EB8"/>
    <w:rsid w:val="00604307"/>
    <w:rsid w:val="0060487F"/>
    <w:rsid w:val="00604EAD"/>
    <w:rsid w:val="006104FB"/>
    <w:rsid w:val="00612A2F"/>
    <w:rsid w:val="00614B4C"/>
    <w:rsid w:val="00616E05"/>
    <w:rsid w:val="00624093"/>
    <w:rsid w:val="006301B8"/>
    <w:rsid w:val="006355CC"/>
    <w:rsid w:val="006404A7"/>
    <w:rsid w:val="00642E80"/>
    <w:rsid w:val="006437C1"/>
    <w:rsid w:val="00644534"/>
    <w:rsid w:val="006451E4"/>
    <w:rsid w:val="006452AE"/>
    <w:rsid w:val="00645B33"/>
    <w:rsid w:val="006516CB"/>
    <w:rsid w:val="006574B7"/>
    <w:rsid w:val="00657E87"/>
    <w:rsid w:val="00660123"/>
    <w:rsid w:val="006601C5"/>
    <w:rsid w:val="0066149B"/>
    <w:rsid w:val="00664803"/>
    <w:rsid w:val="00665BA4"/>
    <w:rsid w:val="00667AF2"/>
    <w:rsid w:val="006701EE"/>
    <w:rsid w:val="0067037C"/>
    <w:rsid w:val="006710C9"/>
    <w:rsid w:val="0067418E"/>
    <w:rsid w:val="00674D89"/>
    <w:rsid w:val="00675E37"/>
    <w:rsid w:val="0068174E"/>
    <w:rsid w:val="00681DCE"/>
    <w:rsid w:val="0068260E"/>
    <w:rsid w:val="00685594"/>
    <w:rsid w:val="00692196"/>
    <w:rsid w:val="00695851"/>
    <w:rsid w:val="00695BEF"/>
    <w:rsid w:val="00695EF9"/>
    <w:rsid w:val="006970CA"/>
    <w:rsid w:val="006977F6"/>
    <w:rsid w:val="00697A13"/>
    <w:rsid w:val="006A109C"/>
    <w:rsid w:val="006A3987"/>
    <w:rsid w:val="006B344A"/>
    <w:rsid w:val="006B3F46"/>
    <w:rsid w:val="006B78D8"/>
    <w:rsid w:val="006B78EE"/>
    <w:rsid w:val="006C113F"/>
    <w:rsid w:val="006C123E"/>
    <w:rsid w:val="006C56D4"/>
    <w:rsid w:val="006C6924"/>
    <w:rsid w:val="006C7CA6"/>
    <w:rsid w:val="006D03D8"/>
    <w:rsid w:val="006D3527"/>
    <w:rsid w:val="006D3E8A"/>
    <w:rsid w:val="006D61F6"/>
    <w:rsid w:val="006E279A"/>
    <w:rsid w:val="006E313B"/>
    <w:rsid w:val="006E49D7"/>
    <w:rsid w:val="006E6496"/>
    <w:rsid w:val="006E7B95"/>
    <w:rsid w:val="006E7F28"/>
    <w:rsid w:val="006F290A"/>
    <w:rsid w:val="006F5416"/>
    <w:rsid w:val="006F61FF"/>
    <w:rsid w:val="006F7068"/>
    <w:rsid w:val="006F7137"/>
    <w:rsid w:val="00700B12"/>
    <w:rsid w:val="00702DFC"/>
    <w:rsid w:val="00706AD4"/>
    <w:rsid w:val="007140BE"/>
    <w:rsid w:val="00717B13"/>
    <w:rsid w:val="007211F5"/>
    <w:rsid w:val="00724433"/>
    <w:rsid w:val="00724A1D"/>
    <w:rsid w:val="00725BB5"/>
    <w:rsid w:val="00730AE8"/>
    <w:rsid w:val="007315D5"/>
    <w:rsid w:val="00733A55"/>
    <w:rsid w:val="00734018"/>
    <w:rsid w:val="00735A37"/>
    <w:rsid w:val="0074069C"/>
    <w:rsid w:val="00741493"/>
    <w:rsid w:val="007441F5"/>
    <w:rsid w:val="007445BF"/>
    <w:rsid w:val="00745E8A"/>
    <w:rsid w:val="007508FD"/>
    <w:rsid w:val="00752180"/>
    <w:rsid w:val="00755202"/>
    <w:rsid w:val="00755D3A"/>
    <w:rsid w:val="007568DD"/>
    <w:rsid w:val="007578D3"/>
    <w:rsid w:val="0076054D"/>
    <w:rsid w:val="007609C6"/>
    <w:rsid w:val="00760B64"/>
    <w:rsid w:val="0076175D"/>
    <w:rsid w:val="00764989"/>
    <w:rsid w:val="00764EDB"/>
    <w:rsid w:val="0076521E"/>
    <w:rsid w:val="007661E9"/>
    <w:rsid w:val="00776169"/>
    <w:rsid w:val="007761A6"/>
    <w:rsid w:val="00776527"/>
    <w:rsid w:val="00780EF1"/>
    <w:rsid w:val="00783112"/>
    <w:rsid w:val="00783E45"/>
    <w:rsid w:val="00786257"/>
    <w:rsid w:val="00790764"/>
    <w:rsid w:val="0079453C"/>
    <w:rsid w:val="00794677"/>
    <w:rsid w:val="00796E73"/>
    <w:rsid w:val="007A0E7D"/>
    <w:rsid w:val="007A30B2"/>
    <w:rsid w:val="007A32F7"/>
    <w:rsid w:val="007A7C65"/>
    <w:rsid w:val="007B17CC"/>
    <w:rsid w:val="007B2702"/>
    <w:rsid w:val="007B6689"/>
    <w:rsid w:val="007B7979"/>
    <w:rsid w:val="007C21CE"/>
    <w:rsid w:val="007C48B2"/>
    <w:rsid w:val="007C540D"/>
    <w:rsid w:val="007C5A37"/>
    <w:rsid w:val="007D1522"/>
    <w:rsid w:val="007D40DF"/>
    <w:rsid w:val="007D5731"/>
    <w:rsid w:val="007E0679"/>
    <w:rsid w:val="007E34D5"/>
    <w:rsid w:val="007E3F3A"/>
    <w:rsid w:val="007E46E2"/>
    <w:rsid w:val="007E7E61"/>
    <w:rsid w:val="007F0845"/>
    <w:rsid w:val="007F1D5D"/>
    <w:rsid w:val="007F39CF"/>
    <w:rsid w:val="007F6998"/>
    <w:rsid w:val="007F799E"/>
    <w:rsid w:val="008021F7"/>
    <w:rsid w:val="00807C82"/>
    <w:rsid w:val="00807F51"/>
    <w:rsid w:val="008112F3"/>
    <w:rsid w:val="00813687"/>
    <w:rsid w:val="00816905"/>
    <w:rsid w:val="008176E8"/>
    <w:rsid w:val="00821FF6"/>
    <w:rsid w:val="00822BA7"/>
    <w:rsid w:val="00825C4D"/>
    <w:rsid w:val="008301EE"/>
    <w:rsid w:val="008310A4"/>
    <w:rsid w:val="0083143E"/>
    <w:rsid w:val="00831CDE"/>
    <w:rsid w:val="00834304"/>
    <w:rsid w:val="00834FAA"/>
    <w:rsid w:val="0083606E"/>
    <w:rsid w:val="00836086"/>
    <w:rsid w:val="0084708F"/>
    <w:rsid w:val="008477C8"/>
    <w:rsid w:val="00847FF3"/>
    <w:rsid w:val="0085114D"/>
    <w:rsid w:val="00852217"/>
    <w:rsid w:val="00855408"/>
    <w:rsid w:val="008557F6"/>
    <w:rsid w:val="00856D65"/>
    <w:rsid w:val="00861B41"/>
    <w:rsid w:val="00863434"/>
    <w:rsid w:val="00865E4C"/>
    <w:rsid w:val="008701E4"/>
    <w:rsid w:val="00870D8A"/>
    <w:rsid w:val="00875A32"/>
    <w:rsid w:val="00876086"/>
    <w:rsid w:val="008803BD"/>
    <w:rsid w:val="00882C6E"/>
    <w:rsid w:val="008868E6"/>
    <w:rsid w:val="008873D4"/>
    <w:rsid w:val="0089159B"/>
    <w:rsid w:val="00892950"/>
    <w:rsid w:val="00893D9C"/>
    <w:rsid w:val="00893E85"/>
    <w:rsid w:val="00894031"/>
    <w:rsid w:val="008947FE"/>
    <w:rsid w:val="008961BE"/>
    <w:rsid w:val="008A1E01"/>
    <w:rsid w:val="008B111A"/>
    <w:rsid w:val="008B3DA5"/>
    <w:rsid w:val="008B7776"/>
    <w:rsid w:val="008B7C02"/>
    <w:rsid w:val="008B7D2B"/>
    <w:rsid w:val="008C0049"/>
    <w:rsid w:val="008C0E38"/>
    <w:rsid w:val="008C0E88"/>
    <w:rsid w:val="008C2DFB"/>
    <w:rsid w:val="008C667A"/>
    <w:rsid w:val="008D1E6A"/>
    <w:rsid w:val="008D2A16"/>
    <w:rsid w:val="008D451C"/>
    <w:rsid w:val="008D4AB7"/>
    <w:rsid w:val="008E048A"/>
    <w:rsid w:val="008E2B76"/>
    <w:rsid w:val="008E2C57"/>
    <w:rsid w:val="008E31FF"/>
    <w:rsid w:val="008E657B"/>
    <w:rsid w:val="008E687A"/>
    <w:rsid w:val="008E6F06"/>
    <w:rsid w:val="008F029B"/>
    <w:rsid w:val="008F3FC9"/>
    <w:rsid w:val="008F585B"/>
    <w:rsid w:val="009003A8"/>
    <w:rsid w:val="00902500"/>
    <w:rsid w:val="00902CC1"/>
    <w:rsid w:val="00902EFF"/>
    <w:rsid w:val="00906401"/>
    <w:rsid w:val="0091006C"/>
    <w:rsid w:val="0091155E"/>
    <w:rsid w:val="009124AB"/>
    <w:rsid w:val="00912A92"/>
    <w:rsid w:val="009159A2"/>
    <w:rsid w:val="00916B54"/>
    <w:rsid w:val="0091728D"/>
    <w:rsid w:val="00921332"/>
    <w:rsid w:val="0092180B"/>
    <w:rsid w:val="00921F14"/>
    <w:rsid w:val="00924AC8"/>
    <w:rsid w:val="0092597A"/>
    <w:rsid w:val="00927F23"/>
    <w:rsid w:val="00932443"/>
    <w:rsid w:val="009340AD"/>
    <w:rsid w:val="009354B5"/>
    <w:rsid w:val="00937AE2"/>
    <w:rsid w:val="00942578"/>
    <w:rsid w:val="009439D1"/>
    <w:rsid w:val="0094427A"/>
    <w:rsid w:val="00944344"/>
    <w:rsid w:val="00954EB4"/>
    <w:rsid w:val="009557DA"/>
    <w:rsid w:val="00962306"/>
    <w:rsid w:val="009674BF"/>
    <w:rsid w:val="00972D12"/>
    <w:rsid w:val="00972F12"/>
    <w:rsid w:val="00973496"/>
    <w:rsid w:val="00974923"/>
    <w:rsid w:val="00977F2A"/>
    <w:rsid w:val="00980D3D"/>
    <w:rsid w:val="0098169D"/>
    <w:rsid w:val="009870BD"/>
    <w:rsid w:val="00987526"/>
    <w:rsid w:val="00987A30"/>
    <w:rsid w:val="00992CF3"/>
    <w:rsid w:val="009968D6"/>
    <w:rsid w:val="009A1CAB"/>
    <w:rsid w:val="009A55F5"/>
    <w:rsid w:val="009A60D1"/>
    <w:rsid w:val="009A6833"/>
    <w:rsid w:val="009B13DF"/>
    <w:rsid w:val="009B2BB2"/>
    <w:rsid w:val="009B6FD3"/>
    <w:rsid w:val="009C0788"/>
    <w:rsid w:val="009C1750"/>
    <w:rsid w:val="009C2E29"/>
    <w:rsid w:val="009C554B"/>
    <w:rsid w:val="009C719E"/>
    <w:rsid w:val="009D3ACD"/>
    <w:rsid w:val="009D6320"/>
    <w:rsid w:val="009D6623"/>
    <w:rsid w:val="009E14BE"/>
    <w:rsid w:val="009E22F5"/>
    <w:rsid w:val="009E468E"/>
    <w:rsid w:val="009E5273"/>
    <w:rsid w:val="009E5330"/>
    <w:rsid w:val="009E5DDB"/>
    <w:rsid w:val="009F4CA7"/>
    <w:rsid w:val="009F57D7"/>
    <w:rsid w:val="00A02A9E"/>
    <w:rsid w:val="00A0398B"/>
    <w:rsid w:val="00A05546"/>
    <w:rsid w:val="00A07544"/>
    <w:rsid w:val="00A10D66"/>
    <w:rsid w:val="00A14114"/>
    <w:rsid w:val="00A15600"/>
    <w:rsid w:val="00A16413"/>
    <w:rsid w:val="00A2036D"/>
    <w:rsid w:val="00A209E5"/>
    <w:rsid w:val="00A21FDD"/>
    <w:rsid w:val="00A23E43"/>
    <w:rsid w:val="00A247BC"/>
    <w:rsid w:val="00A2673E"/>
    <w:rsid w:val="00A26EB2"/>
    <w:rsid w:val="00A26F00"/>
    <w:rsid w:val="00A30F65"/>
    <w:rsid w:val="00A322CE"/>
    <w:rsid w:val="00A35FA0"/>
    <w:rsid w:val="00A418BC"/>
    <w:rsid w:val="00A46DE0"/>
    <w:rsid w:val="00A50D73"/>
    <w:rsid w:val="00A50DA1"/>
    <w:rsid w:val="00A5168E"/>
    <w:rsid w:val="00A52CAD"/>
    <w:rsid w:val="00A53336"/>
    <w:rsid w:val="00A53FC7"/>
    <w:rsid w:val="00A62CE1"/>
    <w:rsid w:val="00A63EEE"/>
    <w:rsid w:val="00A6741E"/>
    <w:rsid w:val="00A735F6"/>
    <w:rsid w:val="00A75E40"/>
    <w:rsid w:val="00A77D1D"/>
    <w:rsid w:val="00A82D93"/>
    <w:rsid w:val="00A857C0"/>
    <w:rsid w:val="00A87EC2"/>
    <w:rsid w:val="00A92BED"/>
    <w:rsid w:val="00A94F86"/>
    <w:rsid w:val="00A96047"/>
    <w:rsid w:val="00A96828"/>
    <w:rsid w:val="00AA1C10"/>
    <w:rsid w:val="00AA2996"/>
    <w:rsid w:val="00AA52BF"/>
    <w:rsid w:val="00AA559A"/>
    <w:rsid w:val="00AA58EB"/>
    <w:rsid w:val="00AA5FC4"/>
    <w:rsid w:val="00AB2AF1"/>
    <w:rsid w:val="00AB63F2"/>
    <w:rsid w:val="00AC0812"/>
    <w:rsid w:val="00AC09DD"/>
    <w:rsid w:val="00AC5C2A"/>
    <w:rsid w:val="00AC74F3"/>
    <w:rsid w:val="00AD306C"/>
    <w:rsid w:val="00AD32E7"/>
    <w:rsid w:val="00AD3FEE"/>
    <w:rsid w:val="00AD43E3"/>
    <w:rsid w:val="00AD5376"/>
    <w:rsid w:val="00AD6583"/>
    <w:rsid w:val="00AD74B8"/>
    <w:rsid w:val="00AD787C"/>
    <w:rsid w:val="00AE09B3"/>
    <w:rsid w:val="00AE1A83"/>
    <w:rsid w:val="00AE1E1F"/>
    <w:rsid w:val="00AF0E9A"/>
    <w:rsid w:val="00AF2E89"/>
    <w:rsid w:val="00AF7A82"/>
    <w:rsid w:val="00B00913"/>
    <w:rsid w:val="00B01593"/>
    <w:rsid w:val="00B0599A"/>
    <w:rsid w:val="00B100E6"/>
    <w:rsid w:val="00B10A4D"/>
    <w:rsid w:val="00B1279D"/>
    <w:rsid w:val="00B13C76"/>
    <w:rsid w:val="00B17E71"/>
    <w:rsid w:val="00B17FDE"/>
    <w:rsid w:val="00B2379C"/>
    <w:rsid w:val="00B2687D"/>
    <w:rsid w:val="00B30F55"/>
    <w:rsid w:val="00B32CA3"/>
    <w:rsid w:val="00B32DDB"/>
    <w:rsid w:val="00B34528"/>
    <w:rsid w:val="00B353F9"/>
    <w:rsid w:val="00B402FC"/>
    <w:rsid w:val="00B445C5"/>
    <w:rsid w:val="00B46604"/>
    <w:rsid w:val="00B466E5"/>
    <w:rsid w:val="00B47D35"/>
    <w:rsid w:val="00B520C9"/>
    <w:rsid w:val="00B530CD"/>
    <w:rsid w:val="00B55638"/>
    <w:rsid w:val="00B55F4A"/>
    <w:rsid w:val="00B55F5E"/>
    <w:rsid w:val="00B5752E"/>
    <w:rsid w:val="00B57734"/>
    <w:rsid w:val="00B630A8"/>
    <w:rsid w:val="00B63A11"/>
    <w:rsid w:val="00B64C24"/>
    <w:rsid w:val="00B6608F"/>
    <w:rsid w:val="00B679FB"/>
    <w:rsid w:val="00B72CBF"/>
    <w:rsid w:val="00B732D9"/>
    <w:rsid w:val="00B757BC"/>
    <w:rsid w:val="00B7631B"/>
    <w:rsid w:val="00B76D1E"/>
    <w:rsid w:val="00B80EC6"/>
    <w:rsid w:val="00B817E5"/>
    <w:rsid w:val="00B81CC4"/>
    <w:rsid w:val="00B83E6D"/>
    <w:rsid w:val="00B92D1D"/>
    <w:rsid w:val="00B938C5"/>
    <w:rsid w:val="00B95940"/>
    <w:rsid w:val="00B97385"/>
    <w:rsid w:val="00BA3AFA"/>
    <w:rsid w:val="00BA3CED"/>
    <w:rsid w:val="00BA5ABB"/>
    <w:rsid w:val="00BB46F3"/>
    <w:rsid w:val="00BB4CB1"/>
    <w:rsid w:val="00BB4F98"/>
    <w:rsid w:val="00BB70FA"/>
    <w:rsid w:val="00BC2D19"/>
    <w:rsid w:val="00BC2EE6"/>
    <w:rsid w:val="00BC7154"/>
    <w:rsid w:val="00BD30CC"/>
    <w:rsid w:val="00BD366B"/>
    <w:rsid w:val="00BD49E8"/>
    <w:rsid w:val="00BD664B"/>
    <w:rsid w:val="00BD6D50"/>
    <w:rsid w:val="00BE18B9"/>
    <w:rsid w:val="00BE2495"/>
    <w:rsid w:val="00BF1578"/>
    <w:rsid w:val="00C03857"/>
    <w:rsid w:val="00C132AF"/>
    <w:rsid w:val="00C1393C"/>
    <w:rsid w:val="00C20048"/>
    <w:rsid w:val="00C21F94"/>
    <w:rsid w:val="00C26854"/>
    <w:rsid w:val="00C26C4E"/>
    <w:rsid w:val="00C27913"/>
    <w:rsid w:val="00C27980"/>
    <w:rsid w:val="00C27ECC"/>
    <w:rsid w:val="00C3345B"/>
    <w:rsid w:val="00C33B68"/>
    <w:rsid w:val="00C36A79"/>
    <w:rsid w:val="00C37FBC"/>
    <w:rsid w:val="00C405D4"/>
    <w:rsid w:val="00C41518"/>
    <w:rsid w:val="00C422D8"/>
    <w:rsid w:val="00C447C1"/>
    <w:rsid w:val="00C4513B"/>
    <w:rsid w:val="00C46A1C"/>
    <w:rsid w:val="00C53647"/>
    <w:rsid w:val="00C53D42"/>
    <w:rsid w:val="00C54697"/>
    <w:rsid w:val="00C62BD6"/>
    <w:rsid w:val="00C63197"/>
    <w:rsid w:val="00C634E0"/>
    <w:rsid w:val="00C63D29"/>
    <w:rsid w:val="00C700FC"/>
    <w:rsid w:val="00C73885"/>
    <w:rsid w:val="00C747B1"/>
    <w:rsid w:val="00C82191"/>
    <w:rsid w:val="00C86A96"/>
    <w:rsid w:val="00C90CF4"/>
    <w:rsid w:val="00C92EB6"/>
    <w:rsid w:val="00C93389"/>
    <w:rsid w:val="00C93504"/>
    <w:rsid w:val="00C95C73"/>
    <w:rsid w:val="00C96D6B"/>
    <w:rsid w:val="00CA04F2"/>
    <w:rsid w:val="00CA25B2"/>
    <w:rsid w:val="00CA50DA"/>
    <w:rsid w:val="00CB4930"/>
    <w:rsid w:val="00CB71CA"/>
    <w:rsid w:val="00CC2E7D"/>
    <w:rsid w:val="00CC6E4B"/>
    <w:rsid w:val="00CD10A5"/>
    <w:rsid w:val="00CD2076"/>
    <w:rsid w:val="00CD2783"/>
    <w:rsid w:val="00CD2DB7"/>
    <w:rsid w:val="00CD5722"/>
    <w:rsid w:val="00CD7F0B"/>
    <w:rsid w:val="00CE670B"/>
    <w:rsid w:val="00CF51EC"/>
    <w:rsid w:val="00CF73AE"/>
    <w:rsid w:val="00D02FB3"/>
    <w:rsid w:val="00D040DD"/>
    <w:rsid w:val="00D0614E"/>
    <w:rsid w:val="00D06983"/>
    <w:rsid w:val="00D11B8B"/>
    <w:rsid w:val="00D13986"/>
    <w:rsid w:val="00D15AAE"/>
    <w:rsid w:val="00D235B7"/>
    <w:rsid w:val="00D2462F"/>
    <w:rsid w:val="00D24A11"/>
    <w:rsid w:val="00D251E2"/>
    <w:rsid w:val="00D25F28"/>
    <w:rsid w:val="00D27973"/>
    <w:rsid w:val="00D30E0E"/>
    <w:rsid w:val="00D43819"/>
    <w:rsid w:val="00D47982"/>
    <w:rsid w:val="00D50F46"/>
    <w:rsid w:val="00D606E9"/>
    <w:rsid w:val="00D64773"/>
    <w:rsid w:val="00D66223"/>
    <w:rsid w:val="00D72304"/>
    <w:rsid w:val="00D74C16"/>
    <w:rsid w:val="00D8084C"/>
    <w:rsid w:val="00D80917"/>
    <w:rsid w:val="00D963CC"/>
    <w:rsid w:val="00D9745B"/>
    <w:rsid w:val="00D97F77"/>
    <w:rsid w:val="00DA0DF0"/>
    <w:rsid w:val="00DA2071"/>
    <w:rsid w:val="00DA7B0A"/>
    <w:rsid w:val="00DA7C0C"/>
    <w:rsid w:val="00DB2EC8"/>
    <w:rsid w:val="00DB44CC"/>
    <w:rsid w:val="00DB67FD"/>
    <w:rsid w:val="00DC4F91"/>
    <w:rsid w:val="00DC5B3B"/>
    <w:rsid w:val="00DD04C2"/>
    <w:rsid w:val="00DD129F"/>
    <w:rsid w:val="00DD6112"/>
    <w:rsid w:val="00DD72DE"/>
    <w:rsid w:val="00DD7AA0"/>
    <w:rsid w:val="00DE244A"/>
    <w:rsid w:val="00DE3224"/>
    <w:rsid w:val="00DE6447"/>
    <w:rsid w:val="00DF24E1"/>
    <w:rsid w:val="00DF42FF"/>
    <w:rsid w:val="00DF4A21"/>
    <w:rsid w:val="00DF6103"/>
    <w:rsid w:val="00E01C0E"/>
    <w:rsid w:val="00E02B4A"/>
    <w:rsid w:val="00E03F9A"/>
    <w:rsid w:val="00E04694"/>
    <w:rsid w:val="00E065C6"/>
    <w:rsid w:val="00E06E04"/>
    <w:rsid w:val="00E119FC"/>
    <w:rsid w:val="00E12B1E"/>
    <w:rsid w:val="00E17262"/>
    <w:rsid w:val="00E20908"/>
    <w:rsid w:val="00E253A2"/>
    <w:rsid w:val="00E25EE7"/>
    <w:rsid w:val="00E304B8"/>
    <w:rsid w:val="00E31A21"/>
    <w:rsid w:val="00E3309D"/>
    <w:rsid w:val="00E35DB6"/>
    <w:rsid w:val="00E365EF"/>
    <w:rsid w:val="00E37668"/>
    <w:rsid w:val="00E377DA"/>
    <w:rsid w:val="00E4543C"/>
    <w:rsid w:val="00E476DF"/>
    <w:rsid w:val="00E50156"/>
    <w:rsid w:val="00E53470"/>
    <w:rsid w:val="00E539F6"/>
    <w:rsid w:val="00E543DC"/>
    <w:rsid w:val="00E57EBE"/>
    <w:rsid w:val="00E62416"/>
    <w:rsid w:val="00E6519D"/>
    <w:rsid w:val="00E655F4"/>
    <w:rsid w:val="00E67696"/>
    <w:rsid w:val="00E7195D"/>
    <w:rsid w:val="00E71A58"/>
    <w:rsid w:val="00E72A7A"/>
    <w:rsid w:val="00E75C94"/>
    <w:rsid w:val="00E76D7A"/>
    <w:rsid w:val="00E814CF"/>
    <w:rsid w:val="00E835E4"/>
    <w:rsid w:val="00E8731A"/>
    <w:rsid w:val="00E87F02"/>
    <w:rsid w:val="00E9007A"/>
    <w:rsid w:val="00E93820"/>
    <w:rsid w:val="00EA09A4"/>
    <w:rsid w:val="00EA0C68"/>
    <w:rsid w:val="00EA0DC0"/>
    <w:rsid w:val="00EA1AC5"/>
    <w:rsid w:val="00EA32BC"/>
    <w:rsid w:val="00EB35FF"/>
    <w:rsid w:val="00EB4511"/>
    <w:rsid w:val="00EC03D7"/>
    <w:rsid w:val="00EC1220"/>
    <w:rsid w:val="00EC277B"/>
    <w:rsid w:val="00ED62C6"/>
    <w:rsid w:val="00ED64C1"/>
    <w:rsid w:val="00EE09C9"/>
    <w:rsid w:val="00EE3446"/>
    <w:rsid w:val="00EE3E78"/>
    <w:rsid w:val="00EE4B1B"/>
    <w:rsid w:val="00EF150D"/>
    <w:rsid w:val="00EF1F5A"/>
    <w:rsid w:val="00EF38A1"/>
    <w:rsid w:val="00EF47BF"/>
    <w:rsid w:val="00EF6CC6"/>
    <w:rsid w:val="00F00C8A"/>
    <w:rsid w:val="00F018FD"/>
    <w:rsid w:val="00F01ECB"/>
    <w:rsid w:val="00F02CF5"/>
    <w:rsid w:val="00F04811"/>
    <w:rsid w:val="00F0488C"/>
    <w:rsid w:val="00F05F5E"/>
    <w:rsid w:val="00F10F11"/>
    <w:rsid w:val="00F11480"/>
    <w:rsid w:val="00F12F00"/>
    <w:rsid w:val="00F14D4C"/>
    <w:rsid w:val="00F15AAA"/>
    <w:rsid w:val="00F15BEF"/>
    <w:rsid w:val="00F20251"/>
    <w:rsid w:val="00F23DB0"/>
    <w:rsid w:val="00F24407"/>
    <w:rsid w:val="00F24FAA"/>
    <w:rsid w:val="00F25D37"/>
    <w:rsid w:val="00F269BC"/>
    <w:rsid w:val="00F32DE9"/>
    <w:rsid w:val="00F3364D"/>
    <w:rsid w:val="00F368B6"/>
    <w:rsid w:val="00F40DD1"/>
    <w:rsid w:val="00F437CC"/>
    <w:rsid w:val="00F45472"/>
    <w:rsid w:val="00F46792"/>
    <w:rsid w:val="00F46EA8"/>
    <w:rsid w:val="00F47067"/>
    <w:rsid w:val="00F5018B"/>
    <w:rsid w:val="00F516B1"/>
    <w:rsid w:val="00F525EB"/>
    <w:rsid w:val="00F52952"/>
    <w:rsid w:val="00F53BD9"/>
    <w:rsid w:val="00F5640A"/>
    <w:rsid w:val="00F60985"/>
    <w:rsid w:val="00F61DF1"/>
    <w:rsid w:val="00F63DDE"/>
    <w:rsid w:val="00F63FB7"/>
    <w:rsid w:val="00F649D2"/>
    <w:rsid w:val="00F65853"/>
    <w:rsid w:val="00F6602B"/>
    <w:rsid w:val="00F7260E"/>
    <w:rsid w:val="00F72B45"/>
    <w:rsid w:val="00F72B48"/>
    <w:rsid w:val="00F737C3"/>
    <w:rsid w:val="00F73A0C"/>
    <w:rsid w:val="00F73A5D"/>
    <w:rsid w:val="00F756DB"/>
    <w:rsid w:val="00F77E3B"/>
    <w:rsid w:val="00F80A26"/>
    <w:rsid w:val="00F826BA"/>
    <w:rsid w:val="00F85066"/>
    <w:rsid w:val="00F8597B"/>
    <w:rsid w:val="00F906E8"/>
    <w:rsid w:val="00F96D4A"/>
    <w:rsid w:val="00FA1E74"/>
    <w:rsid w:val="00FA2642"/>
    <w:rsid w:val="00FA436A"/>
    <w:rsid w:val="00FA5D4D"/>
    <w:rsid w:val="00FA6210"/>
    <w:rsid w:val="00FA6C3F"/>
    <w:rsid w:val="00FB09FE"/>
    <w:rsid w:val="00FB0EE2"/>
    <w:rsid w:val="00FB4E48"/>
    <w:rsid w:val="00FB542E"/>
    <w:rsid w:val="00FC0E5F"/>
    <w:rsid w:val="00FC1A95"/>
    <w:rsid w:val="00FC358D"/>
    <w:rsid w:val="00FC4C80"/>
    <w:rsid w:val="00FC56DE"/>
    <w:rsid w:val="00FC684B"/>
    <w:rsid w:val="00FD3265"/>
    <w:rsid w:val="00FD3E96"/>
    <w:rsid w:val="00FE049D"/>
    <w:rsid w:val="00FE0CF2"/>
    <w:rsid w:val="00FE2407"/>
    <w:rsid w:val="00FE2F78"/>
    <w:rsid w:val="00FE31A5"/>
    <w:rsid w:val="00FF1661"/>
    <w:rsid w:val="00FF308E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6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styleId="Odkaznakoment">
    <w:name w:val="annotation reference"/>
    <w:basedOn w:val="Standardnpsmoodstavce"/>
    <w:uiPriority w:val="99"/>
    <w:semiHidden/>
    <w:unhideWhenUsed/>
    <w:rsid w:val="008915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159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159B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15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159B"/>
    <w:rPr>
      <w:rFonts w:ascii="Arial" w:eastAsia="Times New Roman" w:hAnsi="Arial"/>
      <w:b/>
      <w:bCs/>
      <w:lang w:eastAsia="cs-CZ"/>
    </w:rPr>
  </w:style>
  <w:style w:type="character" w:styleId="Znakapoznpodarou">
    <w:name w:val="footnote reference"/>
    <w:uiPriority w:val="99"/>
    <w:rsid w:val="00A82D93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A82D93"/>
    <w:pPr>
      <w:suppressAutoHyphens/>
      <w:spacing w:before="280" w:after="280" w:line="240" w:lineRule="auto"/>
      <w:ind w:left="720"/>
    </w:pPr>
    <w:rPr>
      <w:rFonts w:ascii="Times New Roman" w:hAnsi="Times New Roman"/>
      <w:sz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A82D93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2D93"/>
    <w:rPr>
      <w:rFonts w:ascii="Arial" w:eastAsia="Times New Roman" w:hAnsi="Arial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94E37"/>
    <w:rPr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8E657B"/>
    <w:pPr>
      <w:spacing w:after="0" w:line="240" w:lineRule="auto"/>
      <w:ind w:left="360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E657B"/>
    <w:rPr>
      <w:rFonts w:ascii="Arial" w:eastAsia="Times New Roman" w:hAnsi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8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urostat/web/health/health-safety-work/data/databas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Odbor%2063\NEM_UR\tabulky_moje\Publikace%20bar%20CZ_lide%20a%20spolecnost_2017-08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4FEAA-AC30-4BF1-B8B0-27437027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spolecnost_2017-08-14.dotx</Template>
  <TotalTime>2</TotalTime>
  <Pages>5</Pages>
  <Words>906</Words>
  <Characters>5350</Characters>
  <Application>Microsoft Office Word</Application>
  <DocSecurity>0</DocSecurity>
  <Lines>44</Lines>
  <Paragraphs>12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6244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Kostkova</dc:creator>
  <cp:lastModifiedBy>Jana Kostkova</cp:lastModifiedBy>
  <cp:revision>2</cp:revision>
  <cp:lastPrinted>2018-05-24T08:01:00Z</cp:lastPrinted>
  <dcterms:created xsi:type="dcterms:W3CDTF">2018-05-25T11:37:00Z</dcterms:created>
  <dcterms:modified xsi:type="dcterms:W3CDTF">2018-05-25T11:37:00Z</dcterms:modified>
</cp:coreProperties>
</file>