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5742" w14:textId="1F18EE2D" w:rsidR="00683166" w:rsidRPr="00E17DC9" w:rsidRDefault="00683166" w:rsidP="00683166">
      <w:pPr>
        <w:pStyle w:val="Nadpis1"/>
      </w:pPr>
      <w:r w:rsidRPr="00E17DC9">
        <w:t xml:space="preserve">Analýza sektorových účtů – </w:t>
      </w:r>
      <w:r>
        <w:t>1</w:t>
      </w:r>
      <w:r w:rsidRPr="00E17DC9">
        <w:t>. čtvrtletí 202</w:t>
      </w:r>
      <w:r>
        <w:t>6</w:t>
      </w:r>
    </w:p>
    <w:p w14:paraId="602EBCF8" w14:textId="77777777" w:rsidR="00683166" w:rsidRPr="00E17DC9" w:rsidRDefault="00683166" w:rsidP="00683166">
      <w:pPr>
        <w:pStyle w:val="Datum"/>
      </w:pPr>
      <w:r>
        <w:t>24</w:t>
      </w:r>
      <w:r w:rsidRPr="00E17DC9">
        <w:t>. </w:t>
      </w:r>
      <w:r>
        <w:t xml:space="preserve">července </w:t>
      </w:r>
      <w:r w:rsidRPr="00E17DC9">
        <w:t>202</w:t>
      </w:r>
      <w:r>
        <w:t>6</w:t>
      </w:r>
    </w:p>
    <w:p w14:paraId="34E9175D" w14:textId="77777777" w:rsidR="00683166" w:rsidRDefault="00683166" w:rsidP="00683166">
      <w:pPr>
        <w:pStyle w:val="Nadpis2"/>
      </w:pPr>
      <w:r>
        <w:t xml:space="preserve">Základní ekonomické tendence </w:t>
      </w:r>
    </w:p>
    <w:p w14:paraId="6D322320" w14:textId="6B93E139" w:rsidR="00683166" w:rsidRPr="004274E8" w:rsidRDefault="00683166" w:rsidP="00683166">
      <w:pPr>
        <w:spacing w:after="120"/>
        <w:rPr>
          <w:spacing w:val="-2"/>
        </w:rPr>
      </w:pPr>
      <w:r>
        <w:rPr>
          <w:spacing w:val="-2"/>
        </w:rPr>
        <w:t>Růst české ekonomiky pokračoval v 1. čtvrtletí 2026 podobným, byť mírně nižším, meziročním tempem jako v průběhu celého roku 2025. Meziročně byl hrubý domácí produkt (HDP) v 1. čtvrtletí 2026 vyšší o</w:t>
      </w:r>
      <w:r w:rsidR="00A1255F">
        <w:rPr>
          <w:spacing w:val="-2"/>
        </w:rPr>
        <w:t> </w:t>
      </w:r>
      <w:r>
        <w:rPr>
          <w:spacing w:val="-2"/>
        </w:rPr>
        <w:t>2,2 </w:t>
      </w:r>
      <w:r w:rsidRPr="00494F60">
        <w:rPr>
          <w:spacing w:val="-2"/>
        </w:rPr>
        <w:t>%</w:t>
      </w:r>
      <w:r w:rsidRPr="00494F60">
        <w:rPr>
          <w:rStyle w:val="Znakapoznpodarou"/>
          <w:spacing w:val="-2"/>
        </w:rPr>
        <w:footnoteReference w:id="1"/>
      </w:r>
      <w:r>
        <w:rPr>
          <w:spacing w:val="-2"/>
        </w:rPr>
        <w:t>, zatímco za celý rok 2025 vzrostl HDP o 2,7 %</w:t>
      </w:r>
      <w:r w:rsidRPr="00184DEB">
        <w:rPr>
          <w:spacing w:val="-2"/>
          <w:vertAlign w:val="superscript"/>
        </w:rPr>
        <w:t>1</w:t>
      </w:r>
      <w:r w:rsidRPr="00494F60">
        <w:rPr>
          <w:spacing w:val="-2"/>
        </w:rPr>
        <w:t xml:space="preserve">. </w:t>
      </w:r>
      <w:r>
        <w:rPr>
          <w:spacing w:val="-2"/>
        </w:rPr>
        <w:t>Zpomalení reálného tempa růstu je patrné i</w:t>
      </w:r>
      <w:r w:rsidR="00A1255F">
        <w:rPr>
          <w:spacing w:val="-2"/>
        </w:rPr>
        <w:t> </w:t>
      </w:r>
      <w:r>
        <w:rPr>
          <w:spacing w:val="-2"/>
        </w:rPr>
        <w:t>v případě mezičtvrtletního vývoje. V porovnání s</w:t>
      </w:r>
      <w:r w:rsidR="00A1255F">
        <w:rPr>
          <w:spacing w:val="-2"/>
        </w:rPr>
        <w:t xml:space="preserve">e </w:t>
      </w:r>
      <w:r>
        <w:rPr>
          <w:spacing w:val="-2"/>
        </w:rPr>
        <w:t xml:space="preserve">4. čtvrtletí 2025 byl HDP v pouze o </w:t>
      </w:r>
      <w:r w:rsidRPr="00494F60">
        <w:rPr>
          <w:spacing w:val="-2"/>
        </w:rPr>
        <w:t>0,</w:t>
      </w:r>
      <w:r>
        <w:rPr>
          <w:spacing w:val="-2"/>
        </w:rPr>
        <w:t>2</w:t>
      </w:r>
      <w:r w:rsidRPr="00494F60">
        <w:rPr>
          <w:spacing w:val="-2"/>
        </w:rPr>
        <w:t> %</w:t>
      </w:r>
      <w:r w:rsidRPr="00E4610F"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>vyšší, což je nejpomalejší mezičtvrtletní růst za poslední 2 roky. Podobně jako v předchozích čtvrtletích byl meziroční růst české ekonomiky tažen domácí</w:t>
      </w:r>
      <w:r>
        <w:rPr>
          <w:rStyle w:val="Znakapoznpodarou"/>
          <w:spacing w:val="-2"/>
        </w:rPr>
        <w:footnoteReference w:id="2"/>
      </w:r>
      <w:r>
        <w:rPr>
          <w:spacing w:val="-2"/>
        </w:rPr>
        <w:t xml:space="preserve"> poptávkou, </w:t>
      </w:r>
      <w:r w:rsidR="007723F3">
        <w:rPr>
          <w:spacing w:val="-2"/>
        </w:rPr>
        <w:t>ale</w:t>
      </w:r>
      <w:r w:rsidR="007723F3" w:rsidRPr="007723F3">
        <w:rPr>
          <w:spacing w:val="-2"/>
        </w:rPr>
        <w:t xml:space="preserve"> příspěvek zahraniční poptávky byl tentokrát záporný</w:t>
      </w:r>
      <w:r>
        <w:rPr>
          <w:spacing w:val="-2"/>
        </w:rPr>
        <w:t xml:space="preserve">. </w:t>
      </w:r>
      <w:r w:rsidRPr="001B28DE">
        <w:rPr>
          <w:spacing w:val="-2"/>
        </w:rPr>
        <w:t>Mezičtvrtletn</w:t>
      </w:r>
      <w:r>
        <w:rPr>
          <w:spacing w:val="-2"/>
        </w:rPr>
        <w:t xml:space="preserve">í </w:t>
      </w:r>
      <w:r w:rsidRPr="001B28DE">
        <w:rPr>
          <w:spacing w:val="-2"/>
        </w:rPr>
        <w:t xml:space="preserve">růst </w:t>
      </w:r>
      <w:r>
        <w:rPr>
          <w:spacing w:val="-2"/>
        </w:rPr>
        <w:t xml:space="preserve">byl </w:t>
      </w:r>
      <w:r w:rsidRPr="001B28DE">
        <w:rPr>
          <w:spacing w:val="-2"/>
        </w:rPr>
        <w:t xml:space="preserve">podpořen </w:t>
      </w:r>
      <w:r>
        <w:rPr>
          <w:spacing w:val="-2"/>
        </w:rPr>
        <w:t>pouze zvýšenou investiční aktivitou, ostatní složky měly negativní nebo zanedbatelný vliv</w:t>
      </w:r>
      <w:r w:rsidRPr="00F70EB9">
        <w:rPr>
          <w:spacing w:val="-2"/>
        </w:rPr>
        <w:t xml:space="preserve">. </w:t>
      </w:r>
      <w:r w:rsidRPr="00F70EB9">
        <w:t>Meziročn</w:t>
      </w:r>
      <w:r>
        <w:t xml:space="preserve">ě se dařilo zejména obchodu, </w:t>
      </w:r>
      <w:r>
        <w:rPr>
          <w:spacing w:val="-2"/>
        </w:rPr>
        <w:t xml:space="preserve">zpracovatelskému průmyslu, </w:t>
      </w:r>
      <w:r w:rsidRPr="00F70EB9">
        <w:rPr>
          <w:spacing w:val="-2"/>
        </w:rPr>
        <w:t>dopravě</w:t>
      </w:r>
      <w:r>
        <w:rPr>
          <w:spacing w:val="-2"/>
        </w:rPr>
        <w:t>, stavebnictví či informačním a komun</w:t>
      </w:r>
      <w:r w:rsidR="00281F2D">
        <w:rPr>
          <w:spacing w:val="-2"/>
        </w:rPr>
        <w:t>i</w:t>
      </w:r>
      <w:r>
        <w:rPr>
          <w:spacing w:val="-2"/>
        </w:rPr>
        <w:t xml:space="preserve">kačním činnostem. Mezičtvrtletně se nejvíce dařilo obchodu, zatímco například výkon zpracovatelského průmyslu mírně poklesl. </w:t>
      </w:r>
    </w:p>
    <w:p w14:paraId="377A6262" w14:textId="77777777" w:rsidR="00683166" w:rsidRPr="008F4243" w:rsidRDefault="00683166" w:rsidP="00C056A9">
      <w:pPr>
        <w:pStyle w:val="TabulkaGraf"/>
        <w:keepNext/>
      </w:pPr>
      <w:r w:rsidRPr="008F4243">
        <w:t>Graf 1: Příspěvky</w:t>
      </w:r>
      <w:r w:rsidRPr="00281F2D">
        <w:rPr>
          <w:rStyle w:val="Znakapoznpodarou"/>
        </w:rPr>
        <w:footnoteReference w:id="3"/>
      </w:r>
      <w:r w:rsidRPr="008F4243">
        <w:t xml:space="preserve"> k meziročnímu reálnému růstu HDP</w:t>
      </w:r>
      <w:r w:rsidRPr="00F843F9">
        <w:rPr>
          <w:vertAlign w:val="superscript"/>
        </w:rPr>
        <w:t>1</w:t>
      </w:r>
      <w:r w:rsidRPr="008F4243">
        <w:t xml:space="preserve"> (v procentních bodech)</w:t>
      </w:r>
    </w:p>
    <w:p w14:paraId="6D1D28D5" w14:textId="77777777" w:rsidR="00683166" w:rsidRPr="009C515A" w:rsidRDefault="00683166" w:rsidP="00683166">
      <w:r>
        <w:rPr>
          <w:noProof/>
        </w:rPr>
        <w:drawing>
          <wp:inline distT="0" distB="0" distL="0" distR="0" wp14:anchorId="2F568862" wp14:editId="71BAF8D1">
            <wp:extent cx="4809600" cy="2023200"/>
            <wp:effectExtent l="0" t="0" r="0" b="0"/>
            <wp:docPr id="174858922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B46E6A" w14:textId="77777777" w:rsidR="00683166" w:rsidRPr="008F4243" w:rsidRDefault="00683166" w:rsidP="00C056A9">
      <w:pPr>
        <w:pStyle w:val="TabulkaGraf"/>
        <w:keepNext/>
      </w:pPr>
      <w:r w:rsidRPr="008F4243">
        <w:t>Graf 2: Příspěvky</w:t>
      </w:r>
      <w:r w:rsidRPr="00281F2D">
        <w:rPr>
          <w:vertAlign w:val="superscript"/>
        </w:rPr>
        <w:t>3</w:t>
      </w:r>
      <w:r w:rsidRPr="008F4243">
        <w:t xml:space="preserve"> k mezičtvrtletnímu reálnému růstu HDP1 (v procentních bodech)</w:t>
      </w:r>
    </w:p>
    <w:p w14:paraId="2EFC95E0" w14:textId="77777777" w:rsidR="00683166" w:rsidRPr="009C515A" w:rsidRDefault="00683166" w:rsidP="00683166">
      <w:r>
        <w:rPr>
          <w:noProof/>
        </w:rPr>
        <w:drawing>
          <wp:inline distT="0" distB="0" distL="0" distR="0" wp14:anchorId="1099648B" wp14:editId="43B429F8">
            <wp:extent cx="4809600" cy="2102400"/>
            <wp:effectExtent l="0" t="0" r="0" b="0"/>
            <wp:docPr id="186292415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0E8326" w14:textId="77777777" w:rsidR="00683166" w:rsidRPr="00997580" w:rsidRDefault="00683166" w:rsidP="00683166">
      <w:pPr>
        <w:pStyle w:val="Nadpis2"/>
      </w:pPr>
      <w:r w:rsidRPr="00997580">
        <w:lastRenderedPageBreak/>
        <w:t>Sektor nefinančních podniků</w:t>
      </w:r>
    </w:p>
    <w:p w14:paraId="66CA1B4C" w14:textId="747CB12A" w:rsidR="00683166" w:rsidRDefault="00683166" w:rsidP="00683166">
      <w:pPr>
        <w:spacing w:after="120"/>
      </w:pPr>
      <w:r>
        <w:t xml:space="preserve">Sektor nefinančních podniků je tradičně hlavním hybatelem výkonosti české ekonomiky. </w:t>
      </w:r>
      <w:r w:rsidR="00985B7C">
        <w:t>Nicméně r</w:t>
      </w:r>
      <w:r w:rsidRPr="00304CD0">
        <w:t xml:space="preserve">eálný výkon </w:t>
      </w:r>
      <w:r>
        <w:t xml:space="preserve">nefinančních podniků </w:t>
      </w:r>
      <w:r w:rsidR="00597356">
        <w:t xml:space="preserve">byl </w:t>
      </w:r>
      <w:r>
        <w:t>v </w:t>
      </w:r>
      <w:r w:rsidR="00340C69">
        <w:t>1</w:t>
      </w:r>
      <w:r>
        <w:t>. čtvrtletí 202</w:t>
      </w:r>
      <w:r w:rsidR="00340C69">
        <w:t>6</w:t>
      </w:r>
      <w:r>
        <w:t xml:space="preserve"> </w:t>
      </w:r>
      <w:r w:rsidR="00985B7C">
        <w:t xml:space="preserve">mírně pod tempem růstu </w:t>
      </w:r>
      <w:r>
        <w:t xml:space="preserve">celé ekonomiky. </w:t>
      </w:r>
      <w:r w:rsidRPr="00AA3393">
        <w:rPr>
          <w:b/>
          <w:bCs/>
        </w:rPr>
        <w:t>Hrubá přidaná hodnota</w:t>
      </w:r>
      <w:r>
        <w:t xml:space="preserve"> byla reálně </w:t>
      </w:r>
      <w:r w:rsidRPr="00304CD0">
        <w:t xml:space="preserve">o </w:t>
      </w:r>
      <w:r w:rsidR="00985B7C">
        <w:t>1,5</w:t>
      </w:r>
      <w:r w:rsidRPr="00304CD0">
        <w:t> %</w:t>
      </w:r>
      <w:r w:rsidRPr="00304CD0">
        <w:rPr>
          <w:rStyle w:val="Znakapoznpodarou"/>
        </w:rPr>
        <w:footnoteReference w:id="4"/>
      </w:r>
      <w:r>
        <w:t xml:space="preserve"> vyšší než před rokem a oproti předchozímu čtvrtletí vzrostla o 0,</w:t>
      </w:r>
      <w:r w:rsidR="00985B7C">
        <w:t>7</w:t>
      </w:r>
      <w:r>
        <w:t> </w:t>
      </w:r>
      <w:r w:rsidRPr="00304CD0">
        <w:t>%</w:t>
      </w:r>
      <w:r w:rsidRPr="00304CD0">
        <w:rPr>
          <w:rStyle w:val="Znakapoznpodarou"/>
        </w:rPr>
        <w:footnoteReference w:id="5"/>
      </w:r>
      <w:r w:rsidRPr="00304CD0">
        <w:t xml:space="preserve">. Mezi odvětvími nicméně existovaly značné rozdíly. </w:t>
      </w:r>
      <w:r w:rsidR="00985B7C">
        <w:t xml:space="preserve">Dařilo se zejména službám, např. </w:t>
      </w:r>
      <w:r w:rsidR="00985B7C" w:rsidRPr="00304CD0">
        <w:t>obchod</w:t>
      </w:r>
      <w:r w:rsidR="00985B7C">
        <w:t xml:space="preserve">u, </w:t>
      </w:r>
      <w:r w:rsidR="00985B7C" w:rsidRPr="00304CD0">
        <w:t>doprav</w:t>
      </w:r>
      <w:r w:rsidR="00985B7C">
        <w:t>ě</w:t>
      </w:r>
      <w:r w:rsidR="00985B7C" w:rsidRPr="00304CD0">
        <w:t xml:space="preserve"> či </w:t>
      </w:r>
      <w:r w:rsidR="00985B7C">
        <w:t xml:space="preserve">informačním službám. </w:t>
      </w:r>
      <w:r>
        <w:t xml:space="preserve">Meziroční růst zpracovatelského průmyslu byl </w:t>
      </w:r>
      <w:r w:rsidR="00985B7C">
        <w:t>také na relativně vyšší úrovni, nicméně v porovnání s</w:t>
      </w:r>
      <w:r>
        <w:t> předchozí</w:t>
      </w:r>
      <w:r w:rsidR="00985B7C">
        <w:t>m</w:t>
      </w:r>
      <w:r>
        <w:t xml:space="preserve"> čtvrtletí</w:t>
      </w:r>
      <w:r w:rsidR="00985B7C">
        <w:t xml:space="preserve">m došlo k mírnému poklesu. Podobně se dařilo i stavebnictví: </w:t>
      </w:r>
      <w:r>
        <w:t xml:space="preserve">meziročně </w:t>
      </w:r>
      <w:r w:rsidR="00985B7C">
        <w:t xml:space="preserve">růst </w:t>
      </w:r>
      <w:r>
        <w:t>zpomalil</w:t>
      </w:r>
      <w:r w:rsidR="00985B7C">
        <w:t xml:space="preserve">, ale </w:t>
      </w:r>
      <w:r>
        <w:t xml:space="preserve">mezičtvrtletně </w:t>
      </w:r>
      <w:r w:rsidR="00985B7C">
        <w:t>si zachoval mírný růst</w:t>
      </w:r>
      <w:r>
        <w:t>.</w:t>
      </w:r>
      <w:r w:rsidRPr="00304CD0">
        <w:t xml:space="preserve"> </w:t>
      </w:r>
    </w:p>
    <w:p w14:paraId="72863249" w14:textId="731E4C0D" w:rsidR="00683166" w:rsidRDefault="00683166" w:rsidP="00683166">
      <w:pPr>
        <w:spacing w:after="120"/>
      </w:pPr>
      <w:r>
        <w:t>Tento vývoj byl doprovázen mírným růstem zaměstnanosti</w:t>
      </w:r>
      <w:r w:rsidR="00150D82">
        <w:t xml:space="preserve"> v sektoru nefinančních podniků</w:t>
      </w:r>
      <w:r>
        <w:t xml:space="preserve">. </w:t>
      </w:r>
      <w:r w:rsidRPr="0030604C">
        <w:t xml:space="preserve">Celková </w:t>
      </w:r>
      <w:r w:rsidRPr="0030604C">
        <w:rPr>
          <w:b/>
        </w:rPr>
        <w:t>zaměstnanost</w:t>
      </w:r>
      <w:r w:rsidRPr="0030604C">
        <w:rPr>
          <w:rStyle w:val="Znakapoznpodarou"/>
        </w:rPr>
        <w:footnoteReference w:id="6"/>
      </w:r>
      <w:r w:rsidRPr="0030604C">
        <w:t xml:space="preserve"> </w:t>
      </w:r>
      <w:r>
        <w:t xml:space="preserve">byla </w:t>
      </w:r>
      <w:r w:rsidRPr="0030604C">
        <w:t>v</w:t>
      </w:r>
      <w:r>
        <w:t xml:space="preserve"> </w:t>
      </w:r>
      <w:r w:rsidR="00150D82">
        <w:t>1</w:t>
      </w:r>
      <w:r w:rsidRPr="0030604C">
        <w:t xml:space="preserve">. čtvrtletí </w:t>
      </w:r>
      <w:r>
        <w:t>202</w:t>
      </w:r>
      <w:r w:rsidR="00150D82">
        <w:t>6</w:t>
      </w:r>
      <w:r>
        <w:t xml:space="preserve"> o 0,</w:t>
      </w:r>
      <w:r w:rsidR="0016521D">
        <w:t>4</w:t>
      </w:r>
      <w:r>
        <w:t> % vyšší než před rokem</w:t>
      </w:r>
      <w:r w:rsidRPr="0030604C">
        <w:t xml:space="preserve">. </w:t>
      </w:r>
      <w:r>
        <w:t xml:space="preserve">Pokud jde </w:t>
      </w:r>
      <w:r w:rsidR="0016521D">
        <w:t xml:space="preserve">například </w:t>
      </w:r>
      <w:r>
        <w:t xml:space="preserve">o zpracovatelský průmysl, zaměstnanost meziročně </w:t>
      </w:r>
      <w:r w:rsidR="0016521D">
        <w:t>poklesla a pokračuje tak v dlouhodobém trendu posledních let</w:t>
      </w:r>
      <w:r>
        <w:t xml:space="preserve">. </w:t>
      </w:r>
    </w:p>
    <w:p w14:paraId="21440824" w14:textId="77777777" w:rsidR="00683166" w:rsidRPr="008F4243" w:rsidRDefault="00683166" w:rsidP="00C056A9">
      <w:pPr>
        <w:pStyle w:val="TabulkaGraf"/>
        <w:keepNext/>
      </w:pPr>
      <w:r w:rsidRPr="008F4243">
        <w:t>Graf 3: Rozklad meziroční nominální změny hrubé přidané hodnoty sektoru nefinančních podniků (v mil. Kč, sezónně neočištěno)</w:t>
      </w:r>
    </w:p>
    <w:p w14:paraId="49F91D07" w14:textId="108408DD" w:rsidR="00683166" w:rsidRPr="00C53D32" w:rsidRDefault="00C056A9" w:rsidP="00683166">
      <w:r>
        <w:rPr>
          <w:noProof/>
        </w:rPr>
        <w:drawing>
          <wp:inline distT="0" distB="0" distL="0" distR="0" wp14:anchorId="3454BA36" wp14:editId="31787EBD">
            <wp:extent cx="5040000" cy="2160000"/>
            <wp:effectExtent l="0" t="0" r="8255" b="0"/>
            <wp:docPr id="198166767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DB681C" w14:textId="77777777" w:rsidR="00683166" w:rsidRPr="0095197C" w:rsidRDefault="00683166" w:rsidP="0016521D">
      <w:pPr>
        <w:pStyle w:val="TabulkaGraf"/>
        <w:keepNext/>
        <w:spacing w:before="240"/>
        <w:rPr>
          <w:highlight w:val="yellow"/>
        </w:rPr>
      </w:pPr>
      <w:r w:rsidRPr="0095197C">
        <w:t>Graf 4: Míra zisku a podíl náhrad zaměstnanců na hrubé přidané hodnotě sektoru nefinančních podniků (v %</w:t>
      </w:r>
      <w:r>
        <w:t>, sezónně očištěno</w:t>
      </w:r>
      <w:r w:rsidRPr="0095197C">
        <w:t>)</w:t>
      </w:r>
    </w:p>
    <w:p w14:paraId="203600D2" w14:textId="4040E79E" w:rsidR="00683166" w:rsidRPr="0095197C" w:rsidRDefault="00C056A9" w:rsidP="00683166">
      <w:r>
        <w:rPr>
          <w:noProof/>
        </w:rPr>
        <w:drawing>
          <wp:inline distT="0" distB="0" distL="0" distR="0" wp14:anchorId="150270E4" wp14:editId="19B1A22A">
            <wp:extent cx="5040000" cy="2160000"/>
            <wp:effectExtent l="0" t="0" r="8255" b="0"/>
            <wp:docPr id="195415660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CA3B80" w14:textId="545A515A" w:rsidR="00683166" w:rsidRPr="001469C6" w:rsidRDefault="00683166" w:rsidP="00683166">
      <w:pPr>
        <w:spacing w:after="120"/>
      </w:pPr>
      <w:r w:rsidRPr="00A0533B">
        <w:lastRenderedPageBreak/>
        <w:t>Růst hrubé přidané hodnoty</w:t>
      </w:r>
      <w:r w:rsidRPr="00A0533B">
        <w:rPr>
          <w:rStyle w:val="Znakapoznpodarou"/>
        </w:rPr>
        <w:footnoteReference w:id="7"/>
      </w:r>
      <w:r w:rsidRPr="00A0533B">
        <w:t xml:space="preserve"> </w:t>
      </w:r>
      <w:r w:rsidR="00AA4C4E">
        <w:t>v 1. čtvrtletí 2026 podle předběžných údajů ne</w:t>
      </w:r>
      <w:r w:rsidRPr="00A0533B">
        <w:t>stačil na pokrytí růstu mzdových nákladů nefinančních podniků (o 8,</w:t>
      </w:r>
      <w:r w:rsidR="00AA4C4E">
        <w:t>7</w:t>
      </w:r>
      <w:r w:rsidRPr="00A0533B">
        <w:t> % v běžných cenách</w:t>
      </w:r>
      <w:r w:rsidRPr="00A0533B">
        <w:rPr>
          <w:rStyle w:val="Znakapoznpodarou"/>
        </w:rPr>
        <w:footnoteReference w:id="8"/>
      </w:r>
      <w:r w:rsidRPr="00A0533B">
        <w:t>), tak</w:t>
      </w:r>
      <w:r w:rsidR="00AA4C4E">
        <w:t xml:space="preserve">že </w:t>
      </w:r>
      <w:r w:rsidRPr="00A0533B">
        <w:t>tvorb</w:t>
      </w:r>
      <w:r w:rsidR="00AA4C4E">
        <w:t>a</w:t>
      </w:r>
      <w:r w:rsidRPr="00A0533B">
        <w:t xml:space="preserve"> zisku z pohledu celého sektoru</w:t>
      </w:r>
      <w:r w:rsidR="00AA4C4E">
        <w:t xml:space="preserve"> mírně poklesla</w:t>
      </w:r>
      <w:r w:rsidRPr="00A0533B">
        <w:t xml:space="preserve">. Hrubý provozní přebytek </w:t>
      </w:r>
      <w:r w:rsidR="00AA4C4E">
        <w:t>byl nominálně</w:t>
      </w:r>
      <w:r w:rsidRPr="00A0533B">
        <w:t xml:space="preserve"> o </w:t>
      </w:r>
      <w:r w:rsidR="00AA4C4E">
        <w:t>1,6</w:t>
      </w:r>
      <w:r w:rsidRPr="00A0533B">
        <w:t> %</w:t>
      </w:r>
      <w:r w:rsidR="00AA4C4E">
        <w:t xml:space="preserve"> nižší než před rokem</w:t>
      </w:r>
      <w:r w:rsidRPr="00A0533B">
        <w:t xml:space="preserve">. </w:t>
      </w:r>
      <w:r w:rsidRPr="00A0533B">
        <w:rPr>
          <w:b/>
        </w:rPr>
        <w:t>Míra zisku</w:t>
      </w:r>
      <w:r w:rsidRPr="00A0533B">
        <w:t xml:space="preserve"> tak dosahovala 4</w:t>
      </w:r>
      <w:r>
        <w:t>2,</w:t>
      </w:r>
      <w:r w:rsidR="00AA4C4E">
        <w:t>5</w:t>
      </w:r>
      <w:r w:rsidRPr="00A0533B">
        <w:t> %</w:t>
      </w:r>
      <w:r w:rsidRPr="00A0533B">
        <w:rPr>
          <w:rStyle w:val="Znakapoznpodarou"/>
        </w:rPr>
        <w:footnoteReference w:id="9"/>
      </w:r>
      <w:r w:rsidRPr="00A0533B">
        <w:t xml:space="preserve">, což bylo </w:t>
      </w:r>
      <w:r>
        <w:t xml:space="preserve">o </w:t>
      </w:r>
      <w:r w:rsidR="00AA4C4E">
        <w:t>1,3</w:t>
      </w:r>
      <w:r>
        <w:t xml:space="preserve"> </w:t>
      </w:r>
      <w:proofErr w:type="spellStart"/>
      <w:r>
        <w:t>p.b</w:t>
      </w:r>
      <w:proofErr w:type="spellEnd"/>
      <w:r>
        <w:t xml:space="preserve">. méně než v předchozím čtvrtletí </w:t>
      </w:r>
      <w:r w:rsidRPr="00A0533B">
        <w:t>a</w:t>
      </w:r>
      <w:r>
        <w:t xml:space="preserve"> </w:t>
      </w:r>
      <w:r w:rsidRPr="00A0533B">
        <w:t xml:space="preserve">o </w:t>
      </w:r>
      <w:r w:rsidR="00AA4C4E">
        <w:t>2,2</w:t>
      </w:r>
      <w:r w:rsidRPr="00A0533B">
        <w:t> </w:t>
      </w:r>
      <w:proofErr w:type="spellStart"/>
      <w:r w:rsidRPr="00A0533B">
        <w:t>p.b</w:t>
      </w:r>
      <w:proofErr w:type="spellEnd"/>
      <w:r w:rsidRPr="00A0533B">
        <w:t>. méně než před rokem.</w:t>
      </w:r>
      <w:r w:rsidRPr="001469C6">
        <w:t xml:space="preserve"> </w:t>
      </w:r>
    </w:p>
    <w:p w14:paraId="335974B8" w14:textId="52D6B743" w:rsidR="00683166" w:rsidRPr="00964AE2" w:rsidRDefault="0068544E" w:rsidP="00683166">
      <w:pPr>
        <w:spacing w:after="60"/>
      </w:pPr>
      <w:r>
        <w:t>Pokles z</w:t>
      </w:r>
      <w:r w:rsidR="00683166" w:rsidRPr="003702FA">
        <w:t>isku</w:t>
      </w:r>
      <w:r w:rsidR="00683166" w:rsidRPr="003702FA">
        <w:rPr>
          <w:rStyle w:val="Znakapoznpodarou"/>
        </w:rPr>
        <w:footnoteReference w:id="10"/>
      </w:r>
      <w:r w:rsidR="00683166" w:rsidRPr="003702FA">
        <w:t xml:space="preserve"> v sektoru nefinančních podniků byl podle předběžných údajů doprovázen </w:t>
      </w:r>
      <w:r w:rsidR="00683166">
        <w:t xml:space="preserve">výrazným </w:t>
      </w:r>
      <w:r w:rsidR="00683166" w:rsidRPr="003702FA">
        <w:t xml:space="preserve">meziročním zhoršením </w:t>
      </w:r>
      <w:r w:rsidR="00683166" w:rsidRPr="003702FA">
        <w:rPr>
          <w:b/>
        </w:rPr>
        <w:t>salda důchodů z vlastnictví</w:t>
      </w:r>
      <w:r w:rsidR="00683166" w:rsidRPr="003702FA">
        <w:t xml:space="preserve">. Tyto dva jevy tak působily </w:t>
      </w:r>
      <w:r w:rsidR="00DA5FC1">
        <w:t>stejným směrem a </w:t>
      </w:r>
      <w:r w:rsidR="00683166" w:rsidRPr="003702FA">
        <w:t>výsledné saldo prvotních důchodů nefinančních podniků</w:t>
      </w:r>
      <w:r w:rsidR="00683166" w:rsidRPr="00964AE2">
        <w:t xml:space="preserve"> v porovnání s předchozím rokem nominálně </w:t>
      </w:r>
      <w:r w:rsidR="00683166">
        <w:t>výrazně pokleslo</w:t>
      </w:r>
      <w:r w:rsidR="00683166" w:rsidRPr="00964AE2">
        <w:t xml:space="preserve">. </w:t>
      </w:r>
    </w:p>
    <w:p w14:paraId="09DF7ACF" w14:textId="77777777" w:rsidR="00683166" w:rsidRPr="008F4243" w:rsidRDefault="00683166" w:rsidP="00C056A9">
      <w:pPr>
        <w:pStyle w:val="TabulkaGraf"/>
        <w:keepNext/>
      </w:pPr>
      <w:r w:rsidRPr="008F4243">
        <w:t>Graf 5: Rozklad meziroční nominální změny salda důchodů z vlastnictví na přijaté a vyplacené důchody nefinančních podniků (v mil. Kč)</w:t>
      </w:r>
    </w:p>
    <w:p w14:paraId="5D770102" w14:textId="6E99D304" w:rsidR="00683166" w:rsidRPr="0070496D" w:rsidRDefault="00F508AE" w:rsidP="00683166">
      <w:r w:rsidRPr="00F508AE">
        <w:rPr>
          <w:noProof/>
        </w:rPr>
        <w:drawing>
          <wp:inline distT="0" distB="0" distL="0" distR="0" wp14:anchorId="0FEB3ACC" wp14:editId="4035E4DD">
            <wp:extent cx="5041900" cy="2197100"/>
            <wp:effectExtent l="0" t="0" r="6350" b="0"/>
            <wp:docPr id="5420547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9134" w14:textId="5867DCB2" w:rsidR="00683166" w:rsidRPr="00F116C2" w:rsidRDefault="00683166" w:rsidP="00683166">
      <w:pPr>
        <w:spacing w:before="120" w:after="120"/>
      </w:pPr>
      <w:r w:rsidRPr="001F4F2D">
        <w:t xml:space="preserve">Tento pokles prvotních důchodů byl zároveň provázen </w:t>
      </w:r>
      <w:r w:rsidR="005E1A50">
        <w:t xml:space="preserve">velmi </w:t>
      </w:r>
      <w:r>
        <w:t xml:space="preserve">mírným </w:t>
      </w:r>
      <w:r w:rsidRPr="001F4F2D">
        <w:t>meziročn</w:t>
      </w:r>
      <w:r>
        <w:t xml:space="preserve">ím růstem </w:t>
      </w:r>
      <w:r w:rsidRPr="001F4F2D">
        <w:t>odvod</w:t>
      </w:r>
      <w:r>
        <w:t>u</w:t>
      </w:r>
      <w:r w:rsidRPr="001F4F2D">
        <w:t xml:space="preserve"> daní</w:t>
      </w:r>
      <w:r w:rsidRPr="001F4F2D">
        <w:rPr>
          <w:rStyle w:val="Znakapoznpodarou"/>
        </w:rPr>
        <w:footnoteReference w:id="11"/>
      </w:r>
      <w:r w:rsidR="00891DB2">
        <w:t xml:space="preserve">, </w:t>
      </w:r>
      <w:r>
        <w:t>a </w:t>
      </w:r>
      <w:r w:rsidR="005E1A50">
        <w:t>tím i mírným</w:t>
      </w:r>
      <w:r>
        <w:t xml:space="preserve"> zhoršením </w:t>
      </w:r>
      <w:r w:rsidR="005E1A50">
        <w:t xml:space="preserve">celkového </w:t>
      </w:r>
      <w:r>
        <w:t>druhotného salda. Ve výsledku tak podnikům zůstalo méně finančních prostředků než před rokem</w:t>
      </w:r>
      <w:r>
        <w:rPr>
          <w:rStyle w:val="Znakapoznpodarou"/>
        </w:rPr>
        <w:footnoteReference w:id="12"/>
      </w:r>
      <w:r>
        <w:t xml:space="preserve"> a </w:t>
      </w:r>
      <w:r w:rsidRPr="00056AF8">
        <w:rPr>
          <w:b/>
        </w:rPr>
        <w:t>m</w:t>
      </w:r>
      <w:r w:rsidRPr="0082354D">
        <w:rPr>
          <w:b/>
        </w:rPr>
        <w:t>íra úspor</w:t>
      </w:r>
      <w:r w:rsidRPr="0082354D">
        <w:rPr>
          <w:rStyle w:val="Znakapoznpodarou"/>
        </w:rPr>
        <w:footnoteReference w:id="13"/>
      </w:r>
      <w:r w:rsidRPr="0082354D">
        <w:t xml:space="preserve"> klesla meziročně o </w:t>
      </w:r>
      <w:r w:rsidR="00443D02">
        <w:t>9,6</w:t>
      </w:r>
      <w:r>
        <w:t xml:space="preserve"> </w:t>
      </w:r>
      <w:proofErr w:type="spellStart"/>
      <w:r w:rsidRPr="0082354D">
        <w:t>p.b</w:t>
      </w:r>
      <w:proofErr w:type="spellEnd"/>
      <w:r w:rsidRPr="0082354D">
        <w:t xml:space="preserve">. na </w:t>
      </w:r>
      <w:r w:rsidR="00443D02">
        <w:t>19,6</w:t>
      </w:r>
      <w:r>
        <w:t xml:space="preserve"> %</w:t>
      </w:r>
      <w:r w:rsidRPr="0082354D">
        <w:t>.</w:t>
      </w:r>
    </w:p>
    <w:p w14:paraId="61C54BCF" w14:textId="77777777" w:rsidR="00683166" w:rsidRPr="008F4243" w:rsidRDefault="00683166" w:rsidP="00C056A9">
      <w:pPr>
        <w:pStyle w:val="TabulkaGraf"/>
        <w:keepNext/>
      </w:pPr>
      <w:r w:rsidRPr="008F4243">
        <w:t xml:space="preserve">Graf 6: Investiční aktivita a potřeba jejího financování v sektoru nefinančních podniků </w:t>
      </w:r>
    </w:p>
    <w:p w14:paraId="68FA2ED2" w14:textId="4A599AEE" w:rsidR="00683166" w:rsidRDefault="00DA5FC1" w:rsidP="00683166">
      <w:r w:rsidRPr="00DA5FC1">
        <w:rPr>
          <w:noProof/>
        </w:rPr>
        <w:drawing>
          <wp:inline distT="0" distB="0" distL="0" distR="0" wp14:anchorId="5946866B" wp14:editId="40D1C404">
            <wp:extent cx="5041900" cy="2159000"/>
            <wp:effectExtent l="0" t="0" r="6350" b="0"/>
            <wp:docPr id="143460525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1A55" w14:textId="26654FC1" w:rsidR="00683166" w:rsidRPr="00F677CC" w:rsidRDefault="00683166" w:rsidP="00683166">
      <w:pPr>
        <w:spacing w:after="120"/>
      </w:pPr>
      <w:r w:rsidRPr="00984F27">
        <w:lastRenderedPageBreak/>
        <w:t xml:space="preserve">Spolu s poklesem úspor v </w:t>
      </w:r>
      <w:r w:rsidR="00443D02">
        <w:t>1</w:t>
      </w:r>
      <w:r w:rsidRPr="00984F27">
        <w:t>. čtvrtletí 202</w:t>
      </w:r>
      <w:r w:rsidR="00443D02">
        <w:t>6</w:t>
      </w:r>
      <w:r w:rsidRPr="00984F27">
        <w:t xml:space="preserve"> </w:t>
      </w:r>
      <w:r w:rsidR="00443D02">
        <w:t xml:space="preserve">ovšem </w:t>
      </w:r>
      <w:r>
        <w:t>rostla</w:t>
      </w:r>
      <w:r w:rsidRPr="00984F27">
        <w:t xml:space="preserve"> investiční aktivita nefinančních podniků. Nominálně byly investice</w:t>
      </w:r>
      <w:r w:rsidRPr="00984F27">
        <w:rPr>
          <w:rStyle w:val="Znakapoznpodarou"/>
        </w:rPr>
        <w:footnoteReference w:id="14"/>
      </w:r>
      <w:r w:rsidRPr="00984F27">
        <w:t xml:space="preserve"> o </w:t>
      </w:r>
      <w:r w:rsidR="00443D02">
        <w:t>10,9</w:t>
      </w:r>
      <w:r w:rsidRPr="00984F27">
        <w:t> % vyšší než před rokem a mezičtvrtletně byly vyšší o </w:t>
      </w:r>
      <w:r w:rsidR="00443D02">
        <w:t>2,7</w:t>
      </w:r>
      <w:r w:rsidRPr="00984F27">
        <w:t> %</w:t>
      </w:r>
      <w:r w:rsidRPr="00984F27">
        <w:rPr>
          <w:rStyle w:val="Znakapoznpodarou"/>
        </w:rPr>
        <w:footnoteReference w:id="15"/>
      </w:r>
      <w:r w:rsidR="00661628">
        <w:t xml:space="preserve">. </w:t>
      </w:r>
      <w:r w:rsidR="00661628">
        <w:rPr>
          <w:b/>
        </w:rPr>
        <w:t>M</w:t>
      </w:r>
      <w:r w:rsidRPr="00984F27">
        <w:rPr>
          <w:b/>
        </w:rPr>
        <w:t>íra investic</w:t>
      </w:r>
      <w:r w:rsidRPr="00984F27">
        <w:rPr>
          <w:rStyle w:val="Znakapoznpodarou"/>
        </w:rPr>
        <w:footnoteReference w:id="16"/>
      </w:r>
      <w:r w:rsidRPr="00984F27">
        <w:t xml:space="preserve"> </w:t>
      </w:r>
      <w:r w:rsidR="00443D02">
        <w:t>vzrostla</w:t>
      </w:r>
      <w:r w:rsidRPr="00984F27">
        <w:t xml:space="preserve"> na 2</w:t>
      </w:r>
      <w:r w:rsidR="00443D02">
        <w:t>8,2</w:t>
      </w:r>
      <w:r w:rsidRPr="00984F27">
        <w:t xml:space="preserve"> %</w:t>
      </w:r>
      <w:r w:rsidRPr="00984F27">
        <w:rPr>
          <w:rStyle w:val="Znakapoznpodarou"/>
        </w:rPr>
        <w:footnoteReference w:id="17"/>
      </w:r>
      <w:r w:rsidRPr="00984F27">
        <w:t xml:space="preserve">, což bylo meziročně </w:t>
      </w:r>
      <w:r w:rsidR="00443D02">
        <w:t>více</w:t>
      </w:r>
      <w:r w:rsidRPr="00984F27">
        <w:t xml:space="preserve"> o 1,</w:t>
      </w:r>
      <w:r w:rsidR="00443D02">
        <w:t>6</w:t>
      </w:r>
      <w:r w:rsidRPr="00984F27">
        <w:t xml:space="preserve"> </w:t>
      </w:r>
      <w:proofErr w:type="spellStart"/>
      <w:r w:rsidRPr="00984F27">
        <w:t>p.b</w:t>
      </w:r>
      <w:proofErr w:type="spellEnd"/>
      <w:r w:rsidRPr="00984F27">
        <w:t xml:space="preserve">. </w:t>
      </w:r>
      <w:r w:rsidRPr="00F677CC">
        <w:t>V důsledku souběhu všech výše zmíněných tendencí se snížilo množství volných prostředků, které nefinančním podnikům zbývaly k financování dalších podnikatelských aktivit, což vedlo ke zvýšené potřebě půjčovat si od ostatních sektorů</w:t>
      </w:r>
      <w:r w:rsidRPr="00F677CC">
        <w:rPr>
          <w:rStyle w:val="Znakapoznpodarou"/>
        </w:rPr>
        <w:footnoteReference w:id="18"/>
      </w:r>
      <w:r w:rsidRPr="00F677CC">
        <w:t xml:space="preserve">. </w:t>
      </w:r>
    </w:p>
    <w:p w14:paraId="03762C3D" w14:textId="77777777" w:rsidR="00683166" w:rsidRPr="008F4243" w:rsidRDefault="00683166" w:rsidP="00C056A9">
      <w:pPr>
        <w:pStyle w:val="TabulkaGraf"/>
        <w:keepNext/>
      </w:pPr>
      <w:r w:rsidRPr="008F4243">
        <w:t xml:space="preserve">Graf 7: Rozklad meziroční nominální změny čistých půjček/výpůjček (-) sektoru nefinančních podniků (v mil. Kč) </w:t>
      </w:r>
    </w:p>
    <w:p w14:paraId="678BCF37" w14:textId="6714A703" w:rsidR="00683166" w:rsidRDefault="00CA7894" w:rsidP="00683166">
      <w:pPr>
        <w:spacing w:before="120" w:after="120"/>
      </w:pPr>
      <w:r w:rsidRPr="00CA7894">
        <w:rPr>
          <w:noProof/>
        </w:rPr>
        <w:drawing>
          <wp:inline distT="0" distB="0" distL="0" distR="0" wp14:anchorId="4535E7A3" wp14:editId="7ADF6438">
            <wp:extent cx="5041900" cy="2159000"/>
            <wp:effectExtent l="0" t="0" r="6350" b="0"/>
            <wp:docPr id="18609635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4D84" w14:textId="77777777" w:rsidR="00683166" w:rsidRPr="008F4243" w:rsidRDefault="00683166" w:rsidP="00C056A9">
      <w:pPr>
        <w:pStyle w:val="TabulkaGraf"/>
        <w:keepNext/>
      </w:pPr>
      <w:r w:rsidRPr="008F4243">
        <w:t>Graf 8: Rozklad potřeby financování sektoru nefinančních podniků (v mil. Kč)</w:t>
      </w:r>
    </w:p>
    <w:p w14:paraId="093FA74F" w14:textId="767D0DD6" w:rsidR="00683166" w:rsidRDefault="00CA7894" w:rsidP="00683166">
      <w:pPr>
        <w:spacing w:before="120" w:after="120"/>
      </w:pPr>
      <w:r w:rsidRPr="00CA7894">
        <w:rPr>
          <w:noProof/>
        </w:rPr>
        <w:drawing>
          <wp:inline distT="0" distB="0" distL="0" distR="0" wp14:anchorId="0BBD1ED9" wp14:editId="704A892A">
            <wp:extent cx="5041900" cy="2178050"/>
            <wp:effectExtent l="0" t="0" r="6350" b="0"/>
            <wp:docPr id="185210102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239F8" w14:textId="77777777" w:rsidR="00683166" w:rsidRPr="00997580" w:rsidRDefault="00683166" w:rsidP="00683166">
      <w:pPr>
        <w:pStyle w:val="Nadpis2"/>
        <w:rPr>
          <w:b w:val="0"/>
          <w:bCs w:val="0"/>
        </w:rPr>
      </w:pPr>
      <w:r w:rsidRPr="00427C19">
        <w:lastRenderedPageBreak/>
        <w:t>Sektor vládních institucí</w:t>
      </w:r>
      <w:r w:rsidRPr="00427C19">
        <w:rPr>
          <w:rStyle w:val="Znakapoznpodarou"/>
        </w:rPr>
        <w:footnoteReference w:id="19"/>
      </w:r>
    </w:p>
    <w:p w14:paraId="7276C8BD" w14:textId="0E501E06" w:rsidR="00683166" w:rsidRDefault="00683166" w:rsidP="00683166">
      <w:pPr>
        <w:spacing w:after="240"/>
      </w:pPr>
      <w:r w:rsidRPr="00672473">
        <w:rPr>
          <w:b/>
        </w:rPr>
        <w:t>Saldo hospodaření</w:t>
      </w:r>
      <w:r w:rsidRPr="00672473">
        <w:rPr>
          <w:rStyle w:val="Znakapoznpodarou"/>
        </w:rPr>
        <w:footnoteReference w:id="20"/>
      </w:r>
      <w:r w:rsidRPr="00672473">
        <w:t xml:space="preserve"> sektoru vládních institucí </w:t>
      </w:r>
      <w:r>
        <w:t xml:space="preserve">dosáhlo </w:t>
      </w:r>
      <w:r w:rsidRPr="00672473">
        <w:t xml:space="preserve">v </w:t>
      </w:r>
      <w:r w:rsidR="00CA7894">
        <w:t>1</w:t>
      </w:r>
      <w:r w:rsidRPr="00672473">
        <w:t>. čtvrtletí roku 202</w:t>
      </w:r>
      <w:r w:rsidR="00CA7894">
        <w:t>6</w:t>
      </w:r>
      <w:r w:rsidRPr="00672473">
        <w:t xml:space="preserve"> </w:t>
      </w:r>
      <w:r>
        <w:t>deficitu</w:t>
      </w:r>
      <w:r w:rsidRPr="00672473">
        <w:t xml:space="preserve"> </w:t>
      </w:r>
      <w:r w:rsidR="0059741B">
        <w:t>72,3</w:t>
      </w:r>
      <w:r w:rsidRPr="00672473">
        <w:t xml:space="preserve"> mld. Kč, což </w:t>
      </w:r>
      <w:r>
        <w:t xml:space="preserve">byl o </w:t>
      </w:r>
      <w:r w:rsidR="0059741B">
        <w:t>1,6</w:t>
      </w:r>
      <w:r w:rsidRPr="00672473">
        <w:t xml:space="preserve"> mld. Kč </w:t>
      </w:r>
      <w:r>
        <w:t xml:space="preserve">více </w:t>
      </w:r>
      <w:r w:rsidRPr="00672473">
        <w:t xml:space="preserve">než v předchozím roce. </w:t>
      </w:r>
      <w:r>
        <w:t xml:space="preserve">Deficit </w:t>
      </w:r>
      <w:r w:rsidRPr="00672473">
        <w:t xml:space="preserve">dosahoval v tomto čtvrtletí hodnoty </w:t>
      </w:r>
      <w:r w:rsidR="0059741B">
        <w:t>3,5</w:t>
      </w:r>
      <w:r>
        <w:t xml:space="preserve"> </w:t>
      </w:r>
      <w:r w:rsidRPr="00672473">
        <w:t>% HDP</w:t>
      </w:r>
      <w:r>
        <w:rPr>
          <w:rStyle w:val="Znakapoznpodarou"/>
        </w:rPr>
        <w:footnoteReference w:id="21"/>
      </w:r>
      <w:r w:rsidRPr="00672473">
        <w:t>.</w:t>
      </w:r>
    </w:p>
    <w:p w14:paraId="51FFFF35" w14:textId="77777777" w:rsidR="00683166" w:rsidRPr="00A54604" w:rsidRDefault="00683166" w:rsidP="00C056A9">
      <w:pPr>
        <w:pStyle w:val="TabulkaGraf"/>
        <w:keepNext/>
      </w:pPr>
      <w:r w:rsidRPr="00A54604">
        <w:t xml:space="preserve">Graf </w:t>
      </w:r>
      <w:r>
        <w:t>9</w:t>
      </w:r>
      <w:r w:rsidRPr="00A54604">
        <w:t xml:space="preserve">: </w:t>
      </w:r>
      <w:r w:rsidRPr="0047791B">
        <w:t>Saldo hosp</w:t>
      </w:r>
      <w:r>
        <w:t>od</w:t>
      </w:r>
      <w:r w:rsidRPr="0047791B">
        <w:t>aření sektoru vládních institucí (v mil. Kč)</w:t>
      </w:r>
    </w:p>
    <w:p w14:paraId="64EE7A87" w14:textId="7C7CAE71" w:rsidR="00683166" w:rsidRDefault="005E3599" w:rsidP="00683166">
      <w:pPr>
        <w:spacing w:before="120"/>
      </w:pPr>
      <w:r w:rsidRPr="005E3599">
        <w:rPr>
          <w:noProof/>
        </w:rPr>
        <w:drawing>
          <wp:inline distT="0" distB="0" distL="0" distR="0" wp14:anchorId="419BBFA8" wp14:editId="5B45CBC8">
            <wp:extent cx="5090400" cy="2253600"/>
            <wp:effectExtent l="0" t="0" r="0" b="0"/>
            <wp:docPr id="88105878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00" cy="22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8AED" w14:textId="1D55F737" w:rsidR="00683166" w:rsidRPr="00D82C80" w:rsidRDefault="00683166" w:rsidP="00683166">
      <w:pPr>
        <w:spacing w:before="240" w:after="240"/>
      </w:pPr>
      <w:r w:rsidRPr="00444FDC">
        <w:t xml:space="preserve">Meziroční </w:t>
      </w:r>
      <w:r w:rsidR="0066540D" w:rsidRPr="00444FDC">
        <w:t xml:space="preserve">stagnace </w:t>
      </w:r>
      <w:r w:rsidR="00444FDC">
        <w:t xml:space="preserve">výše </w:t>
      </w:r>
      <w:r w:rsidRPr="00444FDC">
        <w:t>deficitu hospodaření souvisel</w:t>
      </w:r>
      <w:r w:rsidR="00444FDC">
        <w:t>a</w:t>
      </w:r>
      <w:r w:rsidRPr="00444FDC">
        <w:t xml:space="preserve"> </w:t>
      </w:r>
      <w:r w:rsidR="0066540D" w:rsidRPr="00444FDC">
        <w:t xml:space="preserve">s tím, že příjmy a výdaje </w:t>
      </w:r>
      <w:r w:rsidR="00444FDC" w:rsidRPr="00444FDC">
        <w:t xml:space="preserve">vládních institucí </w:t>
      </w:r>
      <w:r w:rsidR="0066540D" w:rsidRPr="00444FDC">
        <w:t xml:space="preserve">se </w:t>
      </w:r>
      <w:r w:rsidR="00444FDC">
        <w:t xml:space="preserve">v 1. čtvrtletí </w:t>
      </w:r>
      <w:r w:rsidR="0066540D" w:rsidRPr="00444FDC">
        <w:t>zvyšovaly</w:t>
      </w:r>
      <w:r w:rsidR="00456C0A" w:rsidRPr="00444FDC">
        <w:t xml:space="preserve"> téměř</w:t>
      </w:r>
      <w:r w:rsidR="0066540D" w:rsidRPr="00444FDC">
        <w:t xml:space="preserve"> rovnoměrně. </w:t>
      </w:r>
      <w:r w:rsidR="00456C0A" w:rsidRPr="00444FDC">
        <w:t xml:space="preserve">Došlo tak k opětovnému sladění </w:t>
      </w:r>
      <w:r w:rsidRPr="00444FDC">
        <w:t>tempa růstu výdajů a příjmů</w:t>
      </w:r>
      <w:r w:rsidR="00456C0A" w:rsidRPr="00444FDC">
        <w:t xml:space="preserve">, ke kterému docházelo v prvních třech </w:t>
      </w:r>
      <w:r w:rsidR="00444FDC">
        <w:t xml:space="preserve">čtvrtletích </w:t>
      </w:r>
      <w:r w:rsidR="00456C0A" w:rsidRPr="00444FDC">
        <w:t>roku 2025</w:t>
      </w:r>
      <w:r w:rsidR="00444FDC">
        <w:t xml:space="preserve">. </w:t>
      </w:r>
    </w:p>
    <w:p w14:paraId="39E15F91" w14:textId="77777777" w:rsidR="00683166" w:rsidRDefault="00683166" w:rsidP="00C056A9">
      <w:pPr>
        <w:pStyle w:val="TabulkaGraf"/>
        <w:keepNext/>
      </w:pPr>
      <w:r w:rsidRPr="00CE01A2">
        <w:t xml:space="preserve">Graf </w:t>
      </w:r>
      <w:r>
        <w:t>10</w:t>
      </w:r>
      <w:r w:rsidRPr="00CE01A2">
        <w:t>: Meziroční změny salda příjmů a výdajů vládních institucí (v mil. Kč)</w:t>
      </w:r>
    </w:p>
    <w:p w14:paraId="161C23BB" w14:textId="711EA767" w:rsidR="00683166" w:rsidRPr="00FF04A2" w:rsidRDefault="0066540D" w:rsidP="00683166">
      <w:pPr>
        <w:spacing w:after="120"/>
      </w:pPr>
      <w:r w:rsidRPr="0066540D">
        <w:rPr>
          <w:noProof/>
        </w:rPr>
        <w:drawing>
          <wp:inline distT="0" distB="0" distL="0" distR="0" wp14:anchorId="5A1F4DBE" wp14:editId="65E3D992">
            <wp:extent cx="5041900" cy="2159000"/>
            <wp:effectExtent l="0" t="0" r="6350" b="0"/>
            <wp:docPr id="297180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7F8B" w14:textId="2B808DE6" w:rsidR="00683166" w:rsidRDefault="00683166" w:rsidP="00683166">
      <w:pPr>
        <w:spacing w:before="240" w:after="120"/>
      </w:pPr>
      <w:r w:rsidRPr="007B7CD5">
        <w:rPr>
          <w:b/>
        </w:rPr>
        <w:t xml:space="preserve">Příjmy </w:t>
      </w:r>
      <w:r w:rsidRPr="007B7CD5">
        <w:t xml:space="preserve">rozpočtů sektoru vládních institucí nominálně vzrostly meziročně o </w:t>
      </w:r>
      <w:r>
        <w:t>5,</w:t>
      </w:r>
      <w:r w:rsidR="008B1F9A">
        <w:t>1</w:t>
      </w:r>
      <w:r w:rsidRPr="007B7CD5">
        <w:t> %, což byl</w:t>
      </w:r>
      <w:r>
        <w:t xml:space="preserve">o </w:t>
      </w:r>
      <w:r w:rsidR="008B1F9A">
        <w:t xml:space="preserve">podobné tempo jako v </w:t>
      </w:r>
      <w:r>
        <w:t xml:space="preserve">předchozích </w:t>
      </w:r>
      <w:r w:rsidR="008B1F9A">
        <w:t>č</w:t>
      </w:r>
      <w:r>
        <w:t>tvrtletích</w:t>
      </w:r>
      <w:r w:rsidRPr="007B7CD5">
        <w:t xml:space="preserve">. </w:t>
      </w:r>
      <w:r>
        <w:t xml:space="preserve">Podobně jako v jiných obdobích byl </w:t>
      </w:r>
      <w:r w:rsidRPr="007B7CD5">
        <w:t xml:space="preserve">růst příjmů podpořen </w:t>
      </w:r>
      <w:r>
        <w:t>především rů</w:t>
      </w:r>
      <w:r w:rsidRPr="007B7CD5">
        <w:t>stem přijatých sociálních příspěvků</w:t>
      </w:r>
      <w:r w:rsidRPr="005A46DC">
        <w:rPr>
          <w:rStyle w:val="Znakapoznpodarou"/>
        </w:rPr>
        <w:footnoteReference w:id="22"/>
      </w:r>
      <w:r>
        <w:t xml:space="preserve"> a </w:t>
      </w:r>
      <w:r w:rsidRPr="00DC7659">
        <w:t>výběr</w:t>
      </w:r>
      <w:r>
        <w:t>em</w:t>
      </w:r>
      <w:r w:rsidRPr="00DC7659">
        <w:t xml:space="preserve"> daní z příjmu</w:t>
      </w:r>
      <w:r w:rsidRPr="00DC7659">
        <w:rPr>
          <w:rStyle w:val="Znakapoznpodarou"/>
        </w:rPr>
        <w:footnoteReference w:id="23"/>
      </w:r>
      <w:r>
        <w:t>, nicméně růst</w:t>
      </w:r>
      <w:r w:rsidR="009E4B3A">
        <w:t xml:space="preserve"> </w:t>
      </w:r>
      <w:r w:rsidR="00A90461">
        <w:t>většiny</w:t>
      </w:r>
      <w:r w:rsidR="009E4B3A">
        <w:t xml:space="preserve"> příjmů</w:t>
      </w:r>
      <w:r>
        <w:t xml:space="preserve"> byl pomalejší než v předchozích čtvrtletích</w:t>
      </w:r>
      <w:r w:rsidRPr="005A46DC">
        <w:t xml:space="preserve">. </w:t>
      </w:r>
      <w:r w:rsidR="009E4B3A">
        <w:t xml:space="preserve">Relativně silně </w:t>
      </w:r>
      <w:r>
        <w:t xml:space="preserve">vzrostl </w:t>
      </w:r>
      <w:r w:rsidRPr="00DC7659">
        <w:t xml:space="preserve">výběr daně z přidané </w:t>
      </w:r>
      <w:r w:rsidRPr="00DC7659">
        <w:lastRenderedPageBreak/>
        <w:t>hodnoty</w:t>
      </w:r>
      <w:r>
        <w:rPr>
          <w:rStyle w:val="Znakapoznpodarou"/>
        </w:rPr>
        <w:footnoteReference w:id="24"/>
      </w:r>
      <w:r>
        <w:t xml:space="preserve">, </w:t>
      </w:r>
      <w:r w:rsidR="009E4B3A">
        <w:t xml:space="preserve">stejně jako </w:t>
      </w:r>
      <w:r>
        <w:t xml:space="preserve">výběr spotřebních daní. </w:t>
      </w:r>
      <w:r w:rsidR="009E4B3A">
        <w:t xml:space="preserve">Na druhou stranu z příjmů vládních institucí </w:t>
      </w:r>
      <w:r w:rsidR="009072FC">
        <w:t>od 1. čtvrtletí 2026 vypadl poplatek za obnovitelné zdroje energie</w:t>
      </w:r>
      <w:r w:rsidR="009072FC" w:rsidRPr="00DC7659">
        <w:rPr>
          <w:rStyle w:val="Znakapoznpodarou"/>
        </w:rPr>
        <w:footnoteReference w:id="25"/>
      </w:r>
      <w:r w:rsidR="009072FC">
        <w:t>.</w:t>
      </w:r>
      <w:r w:rsidR="009E4B3A">
        <w:t xml:space="preserve"> </w:t>
      </w:r>
    </w:p>
    <w:p w14:paraId="4590E3B1" w14:textId="77777777" w:rsidR="00683166" w:rsidRPr="00A54604" w:rsidRDefault="00683166" w:rsidP="00C056A9">
      <w:pPr>
        <w:pStyle w:val="TabulkaGraf"/>
        <w:keepNext/>
      </w:pPr>
      <w:r w:rsidRPr="00A54604">
        <w:t xml:space="preserve">Graf </w:t>
      </w:r>
      <w:r>
        <w:t>11</w:t>
      </w:r>
      <w:r w:rsidRPr="00A54604">
        <w:t xml:space="preserve">: </w:t>
      </w:r>
      <w:r w:rsidRPr="002C68FE">
        <w:t>Rozklad meziroční změny příjmů sektoru vládních institucí (v mil. Kč)</w:t>
      </w:r>
    </w:p>
    <w:p w14:paraId="627BE23A" w14:textId="7A695E92" w:rsidR="00683166" w:rsidRDefault="009E4B3A" w:rsidP="00683166">
      <w:pPr>
        <w:spacing w:after="120"/>
        <w:rPr>
          <w:b/>
        </w:rPr>
      </w:pPr>
      <w:r w:rsidRPr="009E4B3A">
        <w:rPr>
          <w:noProof/>
        </w:rPr>
        <w:drawing>
          <wp:inline distT="0" distB="0" distL="0" distR="0" wp14:anchorId="05B2EC00" wp14:editId="2BA880FE">
            <wp:extent cx="5041900" cy="2159000"/>
            <wp:effectExtent l="0" t="0" r="6350" b="0"/>
            <wp:docPr id="3836588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2BE9C" w14:textId="7A54DAEE" w:rsidR="00683166" w:rsidRDefault="00683166" w:rsidP="00683166">
      <w:pPr>
        <w:spacing w:before="240" w:after="240"/>
        <w:rPr>
          <w:b/>
        </w:rPr>
      </w:pPr>
      <w:r w:rsidRPr="00E302AD">
        <w:rPr>
          <w:b/>
        </w:rPr>
        <w:t>Výdaje</w:t>
      </w:r>
      <w:r w:rsidRPr="00E302AD">
        <w:t xml:space="preserve"> rozpočtů sektoru vládních institucí byly nominálně o </w:t>
      </w:r>
      <w:r w:rsidR="00A94CB1">
        <w:t>4,9</w:t>
      </w:r>
      <w:r w:rsidRPr="00E302AD">
        <w:t xml:space="preserve"> % vyšší než ve stejném čtvrtletí</w:t>
      </w:r>
      <w:r w:rsidRPr="00787502">
        <w:t xml:space="preserve"> roku 202</w:t>
      </w:r>
      <w:r w:rsidR="00A94CB1">
        <w:t>5</w:t>
      </w:r>
      <w:r w:rsidRPr="003806EF">
        <w:t xml:space="preserve">. </w:t>
      </w:r>
      <w:r>
        <w:t xml:space="preserve">Tento růst byl tažen zejména </w:t>
      </w:r>
      <w:r w:rsidR="00C96465">
        <w:t xml:space="preserve">sociálními dávkami a </w:t>
      </w:r>
      <w:r>
        <w:t>investičními výdaji</w:t>
      </w:r>
      <w:r>
        <w:rPr>
          <w:rStyle w:val="Znakapoznpodarou"/>
        </w:rPr>
        <w:footnoteReference w:id="26"/>
      </w:r>
      <w:r>
        <w:t xml:space="preserve">. Meziročně rostly ovšem téměř všechny složky výdajů, s výjimkou kapitálových transferů a vyplacených daní. </w:t>
      </w:r>
      <w:r w:rsidR="00C96465">
        <w:t>N</w:t>
      </w:r>
      <w:r w:rsidRPr="00303E0F">
        <w:t>ejvětší část c</w:t>
      </w:r>
      <w:r>
        <w:t>elkového růstu výdajů připad</w:t>
      </w:r>
      <w:r w:rsidR="00C96465">
        <w:t>alo</w:t>
      </w:r>
      <w:r>
        <w:t xml:space="preserve"> </w:t>
      </w:r>
      <w:r w:rsidRPr="00303E0F">
        <w:t>na sociální dávky</w:t>
      </w:r>
      <w:r w:rsidRPr="00303E0F">
        <w:rPr>
          <w:rStyle w:val="Znakapoznpodarou"/>
        </w:rPr>
        <w:footnoteReference w:id="27"/>
      </w:r>
      <w:r>
        <w:t xml:space="preserve"> (</w:t>
      </w:r>
      <w:r w:rsidRPr="0083521F">
        <w:t xml:space="preserve">tažené </w:t>
      </w:r>
      <w:r w:rsidRPr="004B150D">
        <w:t>zejména meziročním růstem starobních důchodů, ale například i růstem příspěvků na bydlení či nákladů zdravotních pojišťoven na zdravotní služby</w:t>
      </w:r>
      <w:r>
        <w:t>)</w:t>
      </w:r>
      <w:r w:rsidR="00C96465">
        <w:t xml:space="preserve">. Jejich relativní vliv na růst výdajů se v roce 2025 snižoval, teď se však opětovně staly hybatelem růstu výdajů. </w:t>
      </w:r>
    </w:p>
    <w:p w14:paraId="0F7743F6" w14:textId="77777777" w:rsidR="00683166" w:rsidRDefault="00683166" w:rsidP="00C056A9">
      <w:pPr>
        <w:pStyle w:val="TabulkaGraf"/>
        <w:keepNext/>
      </w:pPr>
      <w:r w:rsidRPr="00A54604">
        <w:t xml:space="preserve">Graf </w:t>
      </w:r>
      <w:r>
        <w:t>12</w:t>
      </w:r>
      <w:r w:rsidRPr="00A54604">
        <w:t xml:space="preserve">: </w:t>
      </w:r>
      <w:r w:rsidRPr="002C68FE">
        <w:t xml:space="preserve">Rozklad meziroční změny </w:t>
      </w:r>
      <w:r>
        <w:t>výdajů</w:t>
      </w:r>
      <w:r w:rsidRPr="002C68FE">
        <w:t xml:space="preserve"> sektoru vládních institucí (v mil. Kč)</w:t>
      </w:r>
    </w:p>
    <w:p w14:paraId="6D76ED4F" w14:textId="794241F1" w:rsidR="00683166" w:rsidRPr="004D74A4" w:rsidRDefault="00A94CB1" w:rsidP="00A94CB1">
      <w:pPr>
        <w:spacing w:after="0"/>
      </w:pPr>
      <w:r w:rsidRPr="00A94CB1">
        <w:rPr>
          <w:noProof/>
        </w:rPr>
        <w:drawing>
          <wp:inline distT="0" distB="0" distL="0" distR="0" wp14:anchorId="1756F930" wp14:editId="73CF782D">
            <wp:extent cx="5003800" cy="2305050"/>
            <wp:effectExtent l="0" t="0" r="6350" b="0"/>
            <wp:docPr id="165951649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F1B4" w14:textId="77777777" w:rsidR="00683166" w:rsidRPr="00C84F57" w:rsidRDefault="00683166" w:rsidP="00A94CB1">
      <w:pPr>
        <w:tabs>
          <w:tab w:val="left" w:pos="426"/>
        </w:tabs>
        <w:spacing w:after="120"/>
        <w:rPr>
          <w:sz w:val="16"/>
        </w:rPr>
      </w:pPr>
      <w:r>
        <w:rPr>
          <w:sz w:val="16"/>
        </w:rPr>
        <w:tab/>
      </w:r>
      <w:r w:rsidRPr="00C84F57">
        <w:rPr>
          <w:sz w:val="16"/>
        </w:rPr>
        <w:t>* Sociální dávky jiné než naturální sociální transfery, vč. nakoupené tržní produkce</w:t>
      </w:r>
    </w:p>
    <w:p w14:paraId="35973F90" w14:textId="732B9BB4" w:rsidR="00683166" w:rsidRDefault="00683166" w:rsidP="00683166">
      <w:pPr>
        <w:spacing w:after="120"/>
      </w:pPr>
      <w:r w:rsidRPr="00BD529F">
        <w:rPr>
          <w:b/>
        </w:rPr>
        <w:lastRenderedPageBreak/>
        <w:t>Dluh sektoru vládních institucí</w:t>
      </w:r>
      <w:r w:rsidRPr="00BD529F">
        <w:t xml:space="preserve"> dosáhl v </w:t>
      </w:r>
      <w:r w:rsidR="00C96465">
        <w:t>1</w:t>
      </w:r>
      <w:r w:rsidRPr="00BD529F">
        <w:t>. čtvrtletí 202</w:t>
      </w:r>
      <w:r w:rsidR="00C96465">
        <w:t>6</w:t>
      </w:r>
      <w:r w:rsidRPr="00BD529F">
        <w:t xml:space="preserve"> hodnoty 3 </w:t>
      </w:r>
      <w:r w:rsidR="00C96465">
        <w:t>827</w:t>
      </w:r>
      <w:r w:rsidRPr="00BD529F">
        <w:t>,</w:t>
      </w:r>
      <w:r w:rsidR="00C96465">
        <w:t>9</w:t>
      </w:r>
      <w:r w:rsidRPr="00BD529F">
        <w:t> mld. Kč</w:t>
      </w:r>
      <w:r w:rsidRPr="00BD529F">
        <w:rPr>
          <w:rStyle w:val="Znakapoznpodarou"/>
        </w:rPr>
        <w:footnoteReference w:id="28"/>
      </w:r>
      <w:r w:rsidRPr="00BD529F">
        <w:t xml:space="preserve"> a meziročně byl vyšší o </w:t>
      </w:r>
      <w:r>
        <w:t>29</w:t>
      </w:r>
      <w:r w:rsidR="00BA175D">
        <w:t>2,6</w:t>
      </w:r>
      <w:r w:rsidRPr="00BD529F">
        <w:t> mld. </w:t>
      </w:r>
      <w:r w:rsidRPr="00AA6F71">
        <w:t xml:space="preserve">Kč. </w:t>
      </w:r>
      <w:r w:rsidRPr="00AA6F71">
        <w:rPr>
          <w:b/>
        </w:rPr>
        <w:t>Míra zadlužení vládních institucí ve vztahu k HDP</w:t>
      </w:r>
      <w:r w:rsidRPr="00AA6F71">
        <w:rPr>
          <w:rStyle w:val="Znakapoznpodarou"/>
        </w:rPr>
        <w:footnoteReference w:id="29"/>
      </w:r>
      <w:r w:rsidRPr="00AA6F71">
        <w:t xml:space="preserve"> se meziročně </w:t>
      </w:r>
      <w:r>
        <w:t>zvýšila</w:t>
      </w:r>
      <w:r w:rsidRPr="00AA6F71">
        <w:t xml:space="preserve"> </w:t>
      </w:r>
      <w:r w:rsidR="006D622A">
        <w:t>z 43,3 %</w:t>
      </w:r>
      <w:r w:rsidRPr="00AA6F71">
        <w:t xml:space="preserve"> </w:t>
      </w:r>
      <w:r w:rsidR="006D622A">
        <w:t>na</w:t>
      </w:r>
      <w:r w:rsidRPr="00AA6F71">
        <w:t xml:space="preserve"> 4</w:t>
      </w:r>
      <w:r>
        <w:t>4,</w:t>
      </w:r>
      <w:r w:rsidR="00BA175D">
        <w:t>1</w:t>
      </w:r>
      <w:r w:rsidRPr="00AA6F71">
        <w:t> % HDP</w:t>
      </w:r>
      <w:r>
        <w:t xml:space="preserve">. </w:t>
      </w:r>
      <w:r w:rsidR="006D622A">
        <w:t>N</w:t>
      </w:r>
      <w:r w:rsidRPr="004260C3">
        <w:t xml:space="preserve">ominální </w:t>
      </w:r>
      <w:r w:rsidR="006D622A">
        <w:t xml:space="preserve">změna </w:t>
      </w:r>
      <w:r w:rsidRPr="004260C3">
        <w:t xml:space="preserve">dluhu </w:t>
      </w:r>
      <w:r w:rsidR="006D622A">
        <w:t>by vedla k růstu míry zadlužení vůči HDP okolo</w:t>
      </w:r>
      <w:r w:rsidRPr="004260C3">
        <w:t xml:space="preserve"> </w:t>
      </w:r>
      <w:r w:rsidR="006D622A">
        <w:t>3,3</w:t>
      </w:r>
      <w:r w:rsidR="006D622A">
        <w:rPr>
          <w:lang w:val="en-US"/>
        </w:rPr>
        <w:t> </w:t>
      </w:r>
      <w:proofErr w:type="spellStart"/>
      <w:r w:rsidRPr="004260C3">
        <w:t>p.b</w:t>
      </w:r>
      <w:proofErr w:type="spellEnd"/>
      <w:r w:rsidRPr="004260C3">
        <w:t xml:space="preserve">., zatímco </w:t>
      </w:r>
      <w:r w:rsidR="006D622A" w:rsidRPr="004260C3">
        <w:t xml:space="preserve">nominální </w:t>
      </w:r>
      <w:r w:rsidRPr="004260C3">
        <w:t xml:space="preserve">růst HDP </w:t>
      </w:r>
      <w:r w:rsidR="006D622A">
        <w:t xml:space="preserve">působil opačně a </w:t>
      </w:r>
      <w:r w:rsidRPr="004260C3">
        <w:t>přisp</w:t>
      </w:r>
      <w:r w:rsidR="006D622A">
        <w:t>íval</w:t>
      </w:r>
      <w:r w:rsidRPr="004260C3">
        <w:t xml:space="preserve"> k</w:t>
      </w:r>
      <w:r w:rsidR="006D622A">
        <w:t xml:space="preserve"> relativnímu </w:t>
      </w:r>
      <w:r w:rsidRPr="004260C3">
        <w:t xml:space="preserve">poklesu zadlužení o </w:t>
      </w:r>
      <w:r w:rsidR="00F7763B">
        <w:noBreakHyphen/>
      </w:r>
      <w:r w:rsidR="006D622A">
        <w:t>2,5</w:t>
      </w:r>
      <w:r w:rsidR="00220EAA">
        <w:t> </w:t>
      </w:r>
      <w:proofErr w:type="spellStart"/>
      <w:r w:rsidRPr="004260C3">
        <w:t>p.b</w:t>
      </w:r>
      <w:proofErr w:type="spellEnd"/>
      <w:r w:rsidRPr="004260C3">
        <w:t xml:space="preserve">., což ve výsledku vedlo k </w:t>
      </w:r>
      <w:r w:rsidR="00220EAA" w:rsidRPr="004260C3">
        <w:t>mezi</w:t>
      </w:r>
      <w:r w:rsidR="00220EAA">
        <w:t xml:space="preserve">ročnímu </w:t>
      </w:r>
      <w:r w:rsidRPr="004260C3">
        <w:t xml:space="preserve">zvýšení míry zadlužení o </w:t>
      </w:r>
      <w:r w:rsidR="006D622A">
        <w:t>0,</w:t>
      </w:r>
      <w:r w:rsidR="000A5093">
        <w:t>8</w:t>
      </w:r>
      <w:r w:rsidRPr="004260C3">
        <w:t xml:space="preserve"> </w:t>
      </w:r>
      <w:proofErr w:type="spellStart"/>
      <w:r w:rsidRPr="004260C3">
        <w:t>p.b</w:t>
      </w:r>
      <w:proofErr w:type="spellEnd"/>
      <w:r w:rsidRPr="00AA6F71">
        <w:t xml:space="preserve">. </w:t>
      </w:r>
    </w:p>
    <w:p w14:paraId="25C447D7" w14:textId="7E91CEC2" w:rsidR="00B77C9F" w:rsidRDefault="00B77C9F" w:rsidP="00683166">
      <w:pPr>
        <w:spacing w:after="120"/>
      </w:pPr>
      <w:r w:rsidRPr="00B77C9F">
        <w:t xml:space="preserve">Mezičtvrtletně dluh stoupl o 41,6 mld. Kč, samotná nominální změna dluhu činila 0,4 </w:t>
      </w:r>
      <w:proofErr w:type="spellStart"/>
      <w:r w:rsidRPr="00B77C9F">
        <w:t>p.b</w:t>
      </w:r>
      <w:proofErr w:type="spellEnd"/>
      <w:r w:rsidRPr="00B77C9F">
        <w:t xml:space="preserve">., zatímco růst nominálního HDP přispěl k poklesu zadlužení o -0,5 </w:t>
      </w:r>
      <w:proofErr w:type="spellStart"/>
      <w:r w:rsidRPr="00B77C9F">
        <w:t>p.b</w:t>
      </w:r>
      <w:proofErr w:type="spellEnd"/>
      <w:r w:rsidRPr="00B77C9F">
        <w:t>., což ve výsledku mezičtvrtletně vedlo ke</w:t>
      </w:r>
      <w:r>
        <w:t> </w:t>
      </w:r>
      <w:r w:rsidRPr="00B77C9F">
        <w:t xml:space="preserve">snížení míry zadlužení o 0,1 </w:t>
      </w:r>
      <w:proofErr w:type="spellStart"/>
      <w:r w:rsidRPr="00B77C9F">
        <w:t>p.b</w:t>
      </w:r>
      <w:proofErr w:type="spellEnd"/>
      <w:r w:rsidRPr="00B77C9F">
        <w:t>.</w:t>
      </w:r>
    </w:p>
    <w:p w14:paraId="4ED351DE" w14:textId="77777777" w:rsidR="00683166" w:rsidRPr="008F4243" w:rsidRDefault="00683166" w:rsidP="00C056A9">
      <w:pPr>
        <w:pStyle w:val="TabulkaGraf"/>
        <w:keepNext/>
      </w:pPr>
      <w:r w:rsidRPr="008F4243">
        <w:t>Graf 13: Meziroční změna struktury dluhu sektoru vládních institucí (v mil. Kč)</w:t>
      </w:r>
    </w:p>
    <w:p w14:paraId="1BF89C59" w14:textId="78995874" w:rsidR="00683166" w:rsidRDefault="00F7763B" w:rsidP="00683166">
      <w:r w:rsidRPr="00F7763B">
        <w:rPr>
          <w:noProof/>
        </w:rPr>
        <w:drawing>
          <wp:inline distT="0" distB="0" distL="0" distR="0" wp14:anchorId="651C98BC" wp14:editId="0640A227">
            <wp:extent cx="4914900" cy="2165350"/>
            <wp:effectExtent l="0" t="0" r="0" b="6350"/>
            <wp:docPr id="90433209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CEFC" w14:textId="77777777" w:rsidR="00683166" w:rsidRDefault="00683166" w:rsidP="00683166">
      <w:pPr>
        <w:spacing w:line="240" w:lineRule="auto"/>
        <w:jc w:val="left"/>
      </w:pPr>
      <w:r>
        <w:br w:type="page"/>
      </w:r>
    </w:p>
    <w:p w14:paraId="3A1B6C6B" w14:textId="77777777" w:rsidR="00683166" w:rsidRPr="00F954B9" w:rsidRDefault="00683166" w:rsidP="00683166">
      <w:pPr>
        <w:pStyle w:val="Nadpis2"/>
      </w:pPr>
      <w:r w:rsidRPr="0075253E">
        <w:lastRenderedPageBreak/>
        <w:t>Domácnosti</w:t>
      </w:r>
    </w:p>
    <w:p w14:paraId="491B1AAA" w14:textId="31F4C2F6" w:rsidR="00683166" w:rsidRDefault="00683166" w:rsidP="00683166">
      <w:pPr>
        <w:spacing w:after="120"/>
      </w:pPr>
      <w:r w:rsidRPr="00EB557A">
        <w:rPr>
          <w:b/>
        </w:rPr>
        <w:t>Peněžní a nepeněžní příjmy domácností</w:t>
      </w:r>
      <w:r w:rsidRPr="00EB557A">
        <w:rPr>
          <w:rStyle w:val="Znakapoznpodarou"/>
        </w:rPr>
        <w:footnoteReference w:id="30"/>
      </w:r>
      <w:r w:rsidRPr="00EB557A">
        <w:t xml:space="preserve"> v </w:t>
      </w:r>
      <w:r w:rsidR="00466FFD">
        <w:t>1</w:t>
      </w:r>
      <w:r w:rsidRPr="00EB557A">
        <w:t>. čtvrtletí 202</w:t>
      </w:r>
      <w:r w:rsidR="00466FFD">
        <w:t>6</w:t>
      </w:r>
      <w:r w:rsidRPr="00EB557A">
        <w:t xml:space="preserve"> nominálně vzrostly meziročně o </w:t>
      </w:r>
      <w:r w:rsidR="00466FFD">
        <w:t>5,7</w:t>
      </w:r>
      <w:r>
        <w:t> </w:t>
      </w:r>
      <w:r w:rsidRPr="00EB557A">
        <w:t>%. T</w:t>
      </w:r>
      <w:r>
        <w:t>oto</w:t>
      </w:r>
      <w:r w:rsidRPr="00EB557A">
        <w:t xml:space="preserve"> nominální </w:t>
      </w:r>
      <w:r>
        <w:t xml:space="preserve">zvýšení stačilo na dostatečné </w:t>
      </w:r>
      <w:r w:rsidRPr="00EB557A">
        <w:t>pokry</w:t>
      </w:r>
      <w:r>
        <w:t>tí</w:t>
      </w:r>
      <w:r w:rsidRPr="00EB557A">
        <w:t xml:space="preserve"> </w:t>
      </w:r>
      <w:r>
        <w:t xml:space="preserve">růstu </w:t>
      </w:r>
      <w:r w:rsidRPr="00EB557A">
        <w:t>cenové hladiny</w:t>
      </w:r>
      <w:r>
        <w:t xml:space="preserve">, takže </w:t>
      </w:r>
      <w:r w:rsidRPr="00EB557A">
        <w:t>reáln</w:t>
      </w:r>
      <w:r>
        <w:t xml:space="preserve">ě příjmy domácností vzrostly meziročně o </w:t>
      </w:r>
      <w:r w:rsidR="00466FFD">
        <w:t>3,4</w:t>
      </w:r>
      <w:r>
        <w:t> %</w:t>
      </w:r>
      <w:r w:rsidRPr="00EB557A">
        <w:rPr>
          <w:rStyle w:val="Znakapoznpodarou"/>
        </w:rPr>
        <w:footnoteReference w:id="31"/>
      </w:r>
      <w:r>
        <w:t xml:space="preserve"> a m</w:t>
      </w:r>
      <w:r w:rsidRPr="00EB557A">
        <w:t>ezičtvrtletně</w:t>
      </w:r>
      <w:r>
        <w:t xml:space="preserve"> byly o </w:t>
      </w:r>
      <w:r w:rsidR="00466FFD">
        <w:t>0,2</w:t>
      </w:r>
      <w:r>
        <w:t xml:space="preserve"> % vyšší</w:t>
      </w:r>
      <w:r w:rsidRPr="00EB557A">
        <w:rPr>
          <w:rStyle w:val="Znakapoznpodarou"/>
        </w:rPr>
        <w:footnoteReference w:id="32"/>
      </w:r>
      <w:r w:rsidRPr="00EB557A">
        <w:t>.</w:t>
      </w:r>
    </w:p>
    <w:p w14:paraId="2FDAC4C6" w14:textId="21CE08CC" w:rsidR="00683166" w:rsidRDefault="00683166" w:rsidP="00C056A9">
      <w:pPr>
        <w:pStyle w:val="TabulkaGraf"/>
        <w:keepNext/>
      </w:pPr>
      <w:r w:rsidRPr="00CB41C1">
        <w:t>Graf </w:t>
      </w:r>
      <w:r>
        <w:t>14:</w:t>
      </w:r>
      <w:r w:rsidRPr="0086484F">
        <w:t xml:space="preserve"> </w:t>
      </w:r>
      <w:r w:rsidRPr="00715A42">
        <w:t xml:space="preserve">Reálný a nominální vývoj příjmů domácností </w:t>
      </w:r>
      <w:r>
        <w:t>–</w:t>
      </w:r>
      <w:r w:rsidRPr="00715A42">
        <w:t xml:space="preserve"> 4</w:t>
      </w:r>
      <w:r>
        <w:t xml:space="preserve">. čtvrtletí </w:t>
      </w:r>
      <w:r w:rsidRPr="00715A42">
        <w:t>20</w:t>
      </w:r>
      <w:r w:rsidR="00466FFD">
        <w:t>21</w:t>
      </w:r>
      <w:r w:rsidRPr="00715A42">
        <w:t xml:space="preserve"> = 100 </w:t>
      </w:r>
      <w:r>
        <w:t xml:space="preserve">% </w:t>
      </w:r>
      <w:r>
        <w:br/>
      </w:r>
      <w:r w:rsidRPr="00715A42">
        <w:t>(sezónně očištěno)</w:t>
      </w:r>
    </w:p>
    <w:p w14:paraId="76BBB1AC" w14:textId="4C13C154" w:rsidR="00683166" w:rsidRDefault="00EE71B0" w:rsidP="00683166">
      <w:pPr>
        <w:spacing w:after="120"/>
      </w:pPr>
      <w:r w:rsidRPr="00EE71B0">
        <w:rPr>
          <w:noProof/>
        </w:rPr>
        <w:drawing>
          <wp:inline distT="0" distB="0" distL="0" distR="0" wp14:anchorId="7406E91F" wp14:editId="05CE07F4">
            <wp:extent cx="5060950" cy="2146300"/>
            <wp:effectExtent l="0" t="0" r="6350" b="6350"/>
            <wp:docPr id="160364015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C1A35" w14:textId="4A325326" w:rsidR="00683166" w:rsidRDefault="00683166" w:rsidP="00683166">
      <w:pPr>
        <w:spacing w:after="120"/>
      </w:pPr>
      <w:r w:rsidRPr="009D12BA">
        <w:t xml:space="preserve">Nominálně se příjmy sektoru domácností pohybovaly v </w:t>
      </w:r>
      <w:r w:rsidR="00597356">
        <w:t>1</w:t>
      </w:r>
      <w:r w:rsidRPr="009D12BA">
        <w:t>. čtvrtletí 202</w:t>
      </w:r>
      <w:r w:rsidR="00EE71B0">
        <w:t>6</w:t>
      </w:r>
      <w:r w:rsidRPr="009D12BA">
        <w:t xml:space="preserve"> na </w:t>
      </w:r>
      <w:r w:rsidR="00EE71B0">
        <w:t>137,6</w:t>
      </w:r>
      <w:r w:rsidRPr="009D12BA">
        <w:t xml:space="preserve"> % úrovně před </w:t>
      </w:r>
      <w:r w:rsidR="00EE71B0">
        <w:t>začátkem ruské invaze na Ukrajinu v roce 2022</w:t>
      </w:r>
      <w:r w:rsidRPr="009D12BA">
        <w:t>, tj. úrovně 4. čtvrtletí 20</w:t>
      </w:r>
      <w:r w:rsidR="00EE71B0">
        <w:t>21</w:t>
      </w:r>
      <w:r w:rsidRPr="009D12BA">
        <w:t xml:space="preserve">. Reálně však dosahovaly příjmy sektoru domácností </w:t>
      </w:r>
      <w:r w:rsidR="00EE71B0">
        <w:t xml:space="preserve">pouze </w:t>
      </w:r>
      <w:r w:rsidRPr="009D12BA">
        <w:t>1</w:t>
      </w:r>
      <w:r w:rsidR="00EE71B0">
        <w:t>03,8</w:t>
      </w:r>
      <w:r>
        <w:t> </w:t>
      </w:r>
      <w:r w:rsidRPr="009D12BA">
        <w:t xml:space="preserve">% této </w:t>
      </w:r>
      <w:r w:rsidR="00EE71B0">
        <w:t xml:space="preserve">předválečné </w:t>
      </w:r>
      <w:r w:rsidRPr="009D12BA">
        <w:t>úrovně.</w:t>
      </w:r>
    </w:p>
    <w:p w14:paraId="14A62D83" w14:textId="77777777" w:rsidR="00683166" w:rsidRPr="008F4243" w:rsidRDefault="00683166" w:rsidP="00C056A9">
      <w:pPr>
        <w:pStyle w:val="TabulkaGraf"/>
        <w:keepNext/>
      </w:pPr>
      <w:r w:rsidRPr="008F4243">
        <w:t>Graf 15: Rozklad meziroční nominální změny čistých příjmů sektoru domácností (v mil. Kč)</w:t>
      </w:r>
    </w:p>
    <w:p w14:paraId="462CAE4A" w14:textId="263B6A45" w:rsidR="00683166" w:rsidRDefault="00B9367A" w:rsidP="00683166">
      <w:pPr>
        <w:spacing w:after="120"/>
      </w:pPr>
      <w:r w:rsidRPr="00B9367A">
        <w:rPr>
          <w:noProof/>
        </w:rPr>
        <w:drawing>
          <wp:inline distT="0" distB="0" distL="0" distR="0" wp14:anchorId="17748BBB" wp14:editId="77417BE8">
            <wp:extent cx="5010785" cy="2183130"/>
            <wp:effectExtent l="0" t="0" r="0" b="7620"/>
            <wp:docPr id="13761716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3376" w14:textId="0C594078" w:rsidR="00683166" w:rsidRDefault="00683166" w:rsidP="00683166">
      <w:pPr>
        <w:spacing w:after="120"/>
      </w:pPr>
      <w:r w:rsidRPr="007D1069">
        <w:t xml:space="preserve">Na růstu příjmů sektoru domácností se, podobně jako obvykle, nejsilněji podílel </w:t>
      </w:r>
      <w:r w:rsidRPr="007D1069">
        <w:rPr>
          <w:b/>
        </w:rPr>
        <w:t>růst mezd</w:t>
      </w:r>
      <w:r w:rsidRPr="007D1069">
        <w:rPr>
          <w:rStyle w:val="Znakapoznpodarou"/>
        </w:rPr>
        <w:footnoteReference w:id="33"/>
      </w:r>
      <w:r w:rsidRPr="007D1069">
        <w:rPr>
          <w:bCs/>
        </w:rPr>
        <w:t>.</w:t>
      </w:r>
      <w:r w:rsidRPr="007D1069">
        <w:t xml:space="preserve"> Vedle toho</w:t>
      </w:r>
      <w:r>
        <w:t xml:space="preserve"> relativně významně přispěly k růstu i </w:t>
      </w:r>
      <w:r>
        <w:rPr>
          <w:b/>
        </w:rPr>
        <w:t>příjmy z podnikání</w:t>
      </w:r>
      <w:r w:rsidRPr="006E1E21">
        <w:rPr>
          <w:rStyle w:val="Znakapoznpodarou"/>
        </w:rPr>
        <w:footnoteReference w:id="34"/>
      </w:r>
      <w:r w:rsidRPr="00D81AE4">
        <w:rPr>
          <w:bCs/>
        </w:rPr>
        <w:t>.</w:t>
      </w:r>
      <w:r>
        <w:rPr>
          <w:b/>
        </w:rPr>
        <w:t xml:space="preserve"> </w:t>
      </w:r>
      <w:r w:rsidRPr="006E1E21">
        <w:t xml:space="preserve">Naopak </w:t>
      </w:r>
      <w:r>
        <w:t>vliv</w:t>
      </w:r>
      <w:r w:rsidRPr="006E1E21">
        <w:t xml:space="preserve"> přerozdělování prostředků </w:t>
      </w:r>
      <w:r>
        <w:t>(</w:t>
      </w:r>
      <w:r w:rsidRPr="006E1E21">
        <w:t>převážně</w:t>
      </w:r>
      <w:r>
        <w:t>)</w:t>
      </w:r>
      <w:r w:rsidRPr="006E1E21">
        <w:t xml:space="preserve"> vládními institucemi</w:t>
      </w:r>
      <w:r w:rsidRPr="006E1E21">
        <w:rPr>
          <w:rStyle w:val="Znakapoznpodarou"/>
        </w:rPr>
        <w:footnoteReference w:id="35"/>
      </w:r>
      <w:r w:rsidRPr="006E1E21">
        <w:t xml:space="preserve"> </w:t>
      </w:r>
      <w:r>
        <w:t>působil</w:t>
      </w:r>
      <w:r w:rsidRPr="006E1E21">
        <w:t xml:space="preserve"> v </w:t>
      </w:r>
      <w:r w:rsidR="001F03B2">
        <w:t>1</w:t>
      </w:r>
      <w:r w:rsidRPr="006E1E21">
        <w:t>. čtvrtletí 202</w:t>
      </w:r>
      <w:r w:rsidR="001F03B2">
        <w:t>6</w:t>
      </w:r>
      <w:r w:rsidRPr="006E1E21">
        <w:t xml:space="preserve"> </w:t>
      </w:r>
      <w:r>
        <w:t>na celkové příjmy domácností podobně</w:t>
      </w:r>
      <w:r w:rsidRPr="006E1E21">
        <w:t xml:space="preserve"> </w:t>
      </w:r>
      <w:r>
        <w:lastRenderedPageBreak/>
        <w:t xml:space="preserve">negativně jako v předchozích </w:t>
      </w:r>
      <w:r w:rsidR="001F03B2">
        <w:t>deseti</w:t>
      </w:r>
      <w:r>
        <w:t xml:space="preserve"> čtvrtletích (tj. odvody vládním institucím od domácností rostly rychleji než příjmy domácností od vládních institucí). Podle předběžných údajů také přetrvával negativní vliv salda důchodů z vlastnictví.</w:t>
      </w:r>
    </w:p>
    <w:p w14:paraId="69EE02E4" w14:textId="77777777" w:rsidR="00683166" w:rsidRPr="008F4243" w:rsidRDefault="00683166" w:rsidP="00C056A9">
      <w:pPr>
        <w:pStyle w:val="TabulkaGraf"/>
        <w:keepNext/>
      </w:pPr>
      <w:r w:rsidRPr="008F4243">
        <w:t>Graf 16: Meziroční nominální změna hrubých úspor a výdajů na konečnou spotřebu domácností (v mil. Kč)</w:t>
      </w:r>
    </w:p>
    <w:p w14:paraId="6AF1DA8A" w14:textId="5AB9E1A6" w:rsidR="00683166" w:rsidRDefault="000B7BF1" w:rsidP="00683166">
      <w:r w:rsidRPr="000B7BF1">
        <w:rPr>
          <w:noProof/>
        </w:rPr>
        <w:drawing>
          <wp:inline distT="0" distB="0" distL="0" distR="0" wp14:anchorId="023677B9" wp14:editId="31F3380C">
            <wp:extent cx="5036820" cy="2108835"/>
            <wp:effectExtent l="0" t="0" r="0" b="5715"/>
            <wp:docPr id="30923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C7AF" w14:textId="34721ECC" w:rsidR="00683166" w:rsidRDefault="00683166" w:rsidP="00683166">
      <w:pPr>
        <w:spacing w:after="120"/>
      </w:pPr>
      <w:r w:rsidRPr="007D6115">
        <w:rPr>
          <w:b/>
        </w:rPr>
        <w:t>Spotřeba domácností</w:t>
      </w:r>
      <w:r w:rsidRPr="007D6115">
        <w:rPr>
          <w:rStyle w:val="Znakapoznpodarou"/>
        </w:rPr>
        <w:footnoteReference w:id="36"/>
      </w:r>
      <w:r w:rsidRPr="007D6115">
        <w:t xml:space="preserve"> </w:t>
      </w:r>
      <w:r w:rsidR="000B7BF1">
        <w:t xml:space="preserve">v 1. čtvrtletí 2026 </w:t>
      </w:r>
      <w:r w:rsidRPr="007D6115">
        <w:t xml:space="preserve">meziročně nominálně vzrostla o </w:t>
      </w:r>
      <w:r>
        <w:t>5,</w:t>
      </w:r>
      <w:r w:rsidR="000B7BF1">
        <w:t>7</w:t>
      </w:r>
      <w:r>
        <w:t> </w:t>
      </w:r>
      <w:r w:rsidRPr="007D6115">
        <w:t>% a reálně byla vyšší o</w:t>
      </w:r>
      <w:r w:rsidR="000B7BF1">
        <w:t> </w:t>
      </w:r>
      <w:r>
        <w:t>3,</w:t>
      </w:r>
      <w:r w:rsidR="000B7BF1">
        <w:t>3</w:t>
      </w:r>
      <w:r>
        <w:t> </w:t>
      </w:r>
      <w:r w:rsidRPr="007D6115">
        <w:t>%</w:t>
      </w:r>
      <w:r w:rsidR="00E35119" w:rsidRPr="00E35119">
        <w:rPr>
          <w:vertAlign w:val="superscript"/>
        </w:rPr>
        <w:t>37</w:t>
      </w:r>
      <w:r w:rsidRPr="007D6115">
        <w:t xml:space="preserve">. Mezičtvrtletně byla spotřeba domácností </w:t>
      </w:r>
      <w:r>
        <w:t xml:space="preserve">reálně </w:t>
      </w:r>
      <w:r w:rsidRPr="007D6115">
        <w:t xml:space="preserve">vyšší o </w:t>
      </w:r>
      <w:r w:rsidR="000B7BF1">
        <w:t>0,3</w:t>
      </w:r>
      <w:r w:rsidRPr="007D6115">
        <w:t xml:space="preserve"> %</w:t>
      </w:r>
      <w:r w:rsidRPr="007D6115">
        <w:rPr>
          <w:rStyle w:val="Znakapoznpodarou"/>
        </w:rPr>
        <w:footnoteReference w:id="37"/>
      </w:r>
      <w:r w:rsidRPr="007D6115">
        <w:t xml:space="preserve">. </w:t>
      </w:r>
      <w:r>
        <w:t>D</w:t>
      </w:r>
      <w:r w:rsidRPr="007D6115">
        <w:t xml:space="preserve">omácnosti </w:t>
      </w:r>
      <w:r>
        <w:t>již několik čtvrtletí intenzivněji utrácejí</w:t>
      </w:r>
      <w:r w:rsidRPr="007D6115">
        <w:t xml:space="preserve"> (nejen nominálně, ale i reálně)</w:t>
      </w:r>
      <w:r>
        <w:t xml:space="preserve"> a </w:t>
      </w:r>
      <w:r w:rsidRPr="007D6115">
        <w:t xml:space="preserve">jejich celková spotřeba </w:t>
      </w:r>
      <w:r>
        <w:t xml:space="preserve">se tak již vrátila na reálnou </w:t>
      </w:r>
      <w:r w:rsidRPr="007D6115">
        <w:t>úrov</w:t>
      </w:r>
      <w:r>
        <w:t xml:space="preserve">eň </w:t>
      </w:r>
      <w:r w:rsidRPr="007D6115">
        <w:t xml:space="preserve">v období před prvními dopady pandemie covidu, tj. </w:t>
      </w:r>
      <w:r>
        <w:t>k ú</w:t>
      </w:r>
      <w:r w:rsidRPr="007D6115">
        <w:t>rovn</w:t>
      </w:r>
      <w:r>
        <w:t xml:space="preserve">i </w:t>
      </w:r>
      <w:r w:rsidRPr="007D6115">
        <w:t>4. čtvrtletí 2019.</w:t>
      </w:r>
      <w:r w:rsidRPr="00DE6BCD">
        <w:t xml:space="preserve"> </w:t>
      </w:r>
    </w:p>
    <w:p w14:paraId="1E4E5F9D" w14:textId="77777777" w:rsidR="00683166" w:rsidRPr="008F4243" w:rsidRDefault="00683166" w:rsidP="00C056A9">
      <w:pPr>
        <w:pStyle w:val="TabulkaGraf"/>
        <w:keepNext/>
      </w:pPr>
      <w:r w:rsidRPr="008F4243">
        <w:t>Graf 17: Reálný a nominální vývoj spotřeby domácností – 4. čtvrtletí 2019 = 100 (sezónně očištěno)</w:t>
      </w:r>
    </w:p>
    <w:p w14:paraId="3FB6D81C" w14:textId="2E079125" w:rsidR="00683166" w:rsidRDefault="000B7BF1" w:rsidP="00683166">
      <w:r w:rsidRPr="000B7BF1">
        <w:rPr>
          <w:noProof/>
        </w:rPr>
        <w:drawing>
          <wp:inline distT="0" distB="0" distL="0" distR="0" wp14:anchorId="04C2A8CE" wp14:editId="545A7A02">
            <wp:extent cx="4984115" cy="2113915"/>
            <wp:effectExtent l="0" t="0" r="6985" b="635"/>
            <wp:docPr id="90788683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8E59" w14:textId="40953663" w:rsidR="00683166" w:rsidRDefault="00683166" w:rsidP="00683166">
      <w:pPr>
        <w:spacing w:after="120"/>
      </w:pPr>
      <w:r>
        <w:t>Dynamický rů</w:t>
      </w:r>
      <w:r w:rsidRPr="003F1550">
        <w:t xml:space="preserve">st spotřeby domácností byl </w:t>
      </w:r>
      <w:r>
        <w:t>do</w:t>
      </w:r>
      <w:r w:rsidRPr="003F1550">
        <w:t>provázen</w:t>
      </w:r>
      <w:r>
        <w:t xml:space="preserve"> výrazným </w:t>
      </w:r>
      <w:r w:rsidRPr="003F1550">
        <w:t>meziroční</w:t>
      </w:r>
      <w:r>
        <w:t xml:space="preserve">m nominálním růstem </w:t>
      </w:r>
      <w:r w:rsidRPr="003F1550">
        <w:rPr>
          <w:b/>
        </w:rPr>
        <w:t>hrubých úspor</w:t>
      </w:r>
      <w:r w:rsidRPr="003F1550">
        <w:rPr>
          <w:rStyle w:val="Znakapoznpodarou"/>
        </w:rPr>
        <w:footnoteReference w:id="38"/>
      </w:r>
      <w:r w:rsidRPr="003F1550">
        <w:t xml:space="preserve"> (</w:t>
      </w:r>
      <w:r w:rsidR="0076071A">
        <w:t>7,4</w:t>
      </w:r>
      <w:r w:rsidRPr="003F1550">
        <w:t> %)</w:t>
      </w:r>
      <w:r>
        <w:t xml:space="preserve">. </w:t>
      </w:r>
      <w:r w:rsidR="0076071A">
        <w:t xml:space="preserve">Jednalo se o relativně výrazný růst v porovnání s předchozími roky, byť ve 4. čtvrtletí 2025 růst hrubých úspor akceleroval podobně. </w:t>
      </w:r>
      <w:r w:rsidRPr="00381BD4">
        <w:rPr>
          <w:b/>
        </w:rPr>
        <w:t>Míra úspor</w:t>
      </w:r>
      <w:r w:rsidRPr="00381BD4">
        <w:rPr>
          <w:rStyle w:val="Znakapoznpodarou"/>
        </w:rPr>
        <w:footnoteReference w:id="39"/>
      </w:r>
      <w:r w:rsidRPr="00381BD4">
        <w:t xml:space="preserve"> </w:t>
      </w:r>
      <w:r>
        <w:t xml:space="preserve">zachycující tendence </w:t>
      </w:r>
      <w:r>
        <w:lastRenderedPageBreak/>
        <w:t xml:space="preserve">domácností spořit (ve vazbě na jejich příjmy) </w:t>
      </w:r>
      <w:r w:rsidRPr="00381BD4">
        <w:t>meziročně</w:t>
      </w:r>
      <w:r w:rsidR="0048791D">
        <w:rPr>
          <w:rStyle w:val="Znakapoznpodarou"/>
        </w:rPr>
        <w:footnoteReference w:id="40"/>
      </w:r>
      <w:r w:rsidRPr="00381BD4">
        <w:t xml:space="preserve"> </w:t>
      </w:r>
      <w:r w:rsidR="0048791D">
        <w:t>i mezičtvrtletně</w:t>
      </w:r>
      <w:r w:rsidR="0048791D" w:rsidRPr="00381BD4">
        <w:rPr>
          <w:rStyle w:val="Znakapoznpodarou"/>
        </w:rPr>
        <w:footnoteReference w:id="41"/>
      </w:r>
      <w:r w:rsidR="00E35119">
        <w:t xml:space="preserve"> v podstatě </w:t>
      </w:r>
      <w:r w:rsidR="00214368">
        <w:tab/>
      </w:r>
      <w:r>
        <w:t>stagnovala. V porovnání s „před-covidovým“ obdobím zůstávala</w:t>
      </w:r>
      <w:r w:rsidRPr="00381BD4">
        <w:t xml:space="preserve"> </w:t>
      </w:r>
      <w:r>
        <w:t xml:space="preserve">míra úspor </w:t>
      </w:r>
      <w:r w:rsidRPr="00381BD4">
        <w:t>na poměrně vysoké úrovni.</w:t>
      </w:r>
    </w:p>
    <w:p w14:paraId="259AE6EB" w14:textId="77777777" w:rsidR="00683166" w:rsidRDefault="00683166" w:rsidP="00C056A9">
      <w:pPr>
        <w:pStyle w:val="TabulkaGraf"/>
        <w:keepNext/>
      </w:pPr>
      <w:r w:rsidRPr="00CB41C1">
        <w:t>Graf 1</w:t>
      </w:r>
      <w:r>
        <w:t>8</w:t>
      </w:r>
      <w:r w:rsidRPr="00CB41C1">
        <w:t xml:space="preserve">: Míra investic a </w:t>
      </w:r>
      <w:r>
        <w:t xml:space="preserve">míra úspor </w:t>
      </w:r>
      <w:r w:rsidRPr="00CB41C1">
        <w:t>sektoru domácností (v %</w:t>
      </w:r>
      <w:r>
        <w:t>, sezónně očištěno</w:t>
      </w:r>
      <w:r w:rsidRPr="00CB41C1">
        <w:t>)</w:t>
      </w:r>
    </w:p>
    <w:p w14:paraId="42997F24" w14:textId="1B9FC7CF" w:rsidR="00683166" w:rsidRPr="00322311" w:rsidRDefault="00C07FEA" w:rsidP="00683166">
      <w:pPr>
        <w:spacing w:after="120"/>
      </w:pPr>
      <w:r w:rsidRPr="00C07FEA">
        <w:rPr>
          <w:noProof/>
        </w:rPr>
        <w:drawing>
          <wp:inline distT="0" distB="0" distL="0" distR="0" wp14:anchorId="5055AE8B" wp14:editId="121DC874">
            <wp:extent cx="5036820" cy="2135505"/>
            <wp:effectExtent l="0" t="0" r="0" b="0"/>
            <wp:docPr id="79294960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F63A5" w14:textId="41A3E759" w:rsidR="00683166" w:rsidRPr="002F0251" w:rsidRDefault="00683166" w:rsidP="00683166">
      <w:pPr>
        <w:spacing w:after="120"/>
      </w:pPr>
      <w:r>
        <w:t xml:space="preserve">Nominální růst úspor </w:t>
      </w:r>
      <w:r w:rsidRPr="002F0251">
        <w:t xml:space="preserve">byl provázen </w:t>
      </w:r>
      <w:r w:rsidR="00C54AA7">
        <w:t>mírným r</w:t>
      </w:r>
      <w:r>
        <w:t xml:space="preserve">ůstem </w:t>
      </w:r>
      <w:r w:rsidRPr="002F0251">
        <w:t xml:space="preserve">investiční aktivity domácností. </w:t>
      </w:r>
      <w:r>
        <w:t xml:space="preserve">Nominálně meziročně investice domácností vzrostly o </w:t>
      </w:r>
      <w:r w:rsidR="00C54AA7">
        <w:t>5,9</w:t>
      </w:r>
      <w:r>
        <w:t> %</w:t>
      </w:r>
      <w:r w:rsidRPr="002F0251">
        <w:rPr>
          <w:rStyle w:val="Znakapoznpodarou"/>
        </w:rPr>
        <w:footnoteReference w:id="42"/>
      </w:r>
      <w:r>
        <w:t>.</w:t>
      </w:r>
      <w:r w:rsidR="00C54AA7">
        <w:t xml:space="preserve"> Nicméně</w:t>
      </w:r>
      <w:r>
        <w:t xml:space="preserve"> </w:t>
      </w:r>
      <w:r w:rsidR="00C54AA7">
        <w:rPr>
          <w:b/>
        </w:rPr>
        <w:t>m</w:t>
      </w:r>
      <w:r w:rsidRPr="002F0251">
        <w:rPr>
          <w:b/>
        </w:rPr>
        <w:t>íra investic</w:t>
      </w:r>
      <w:r w:rsidRPr="002F0251">
        <w:t xml:space="preserve"> </w:t>
      </w:r>
      <w:r w:rsidR="00C54AA7">
        <w:t xml:space="preserve">spíše naznačovala stagnaci ochoty domácností více investovat. Míra investic </w:t>
      </w:r>
      <w:r w:rsidRPr="002F0251">
        <w:t xml:space="preserve">dosahovala hodnoty </w:t>
      </w:r>
      <w:r w:rsidR="00C54AA7">
        <w:t>9</w:t>
      </w:r>
      <w:r>
        <w:t>,4 </w:t>
      </w:r>
      <w:r w:rsidRPr="002F0251">
        <w:t>%</w:t>
      </w:r>
      <w:r w:rsidR="00C54AA7" w:rsidRPr="00D715F5">
        <w:rPr>
          <w:rStyle w:val="Znakapoznpodarou"/>
        </w:rPr>
        <w:footnoteReference w:id="43"/>
      </w:r>
      <w:r>
        <w:t xml:space="preserve">, což bylo </w:t>
      </w:r>
      <w:r w:rsidR="00C54AA7">
        <w:t xml:space="preserve">stejně jako </w:t>
      </w:r>
      <w:r>
        <w:t>před rokem</w:t>
      </w:r>
      <w:r w:rsidR="00C54AA7">
        <w:t>. Mezičtvrtletně</w:t>
      </w:r>
      <w:r w:rsidRPr="002F0251">
        <w:rPr>
          <w:rStyle w:val="Znakapoznpodarou"/>
        </w:rPr>
        <w:footnoteReference w:id="44"/>
      </w:r>
      <w:r>
        <w:t xml:space="preserve"> </w:t>
      </w:r>
      <w:r w:rsidR="00C54AA7">
        <w:t xml:space="preserve">byla míra investic rovněž </w:t>
      </w:r>
      <w:r w:rsidR="00A66FC9">
        <w:t>na stejné úrovni</w:t>
      </w:r>
      <w:r w:rsidR="00C54AA7">
        <w:t xml:space="preserve">. </w:t>
      </w:r>
      <w:r w:rsidRPr="002F0251">
        <w:t xml:space="preserve"> </w:t>
      </w:r>
    </w:p>
    <w:p w14:paraId="048E6313" w14:textId="461887DE" w:rsidR="00683166" w:rsidRDefault="00683166" w:rsidP="00683166">
      <w:pPr>
        <w:spacing w:after="60"/>
        <w:rPr>
          <w:spacing w:val="-2"/>
        </w:rPr>
      </w:pPr>
      <w:r w:rsidRPr="000D56CB">
        <w:rPr>
          <w:b/>
          <w:spacing w:val="-2"/>
        </w:rPr>
        <w:t xml:space="preserve">Celková finanční situace </w:t>
      </w:r>
      <w:r w:rsidRPr="000D56CB">
        <w:rPr>
          <w:spacing w:val="-2"/>
        </w:rPr>
        <w:t>sektoru domácností byla v</w:t>
      </w:r>
      <w:r w:rsidR="00051848">
        <w:rPr>
          <w:spacing w:val="-2"/>
        </w:rPr>
        <w:t xml:space="preserve"> 1</w:t>
      </w:r>
      <w:r w:rsidRPr="000D56CB">
        <w:rPr>
          <w:spacing w:val="-2"/>
        </w:rPr>
        <w:t>. čtvrtletí 202</w:t>
      </w:r>
      <w:r w:rsidR="00051848">
        <w:rPr>
          <w:spacing w:val="-2"/>
        </w:rPr>
        <w:t>6</w:t>
      </w:r>
      <w:r w:rsidRPr="000D56CB">
        <w:rPr>
          <w:spacing w:val="-2"/>
        </w:rPr>
        <w:t xml:space="preserve"> velmi podobná situaci </w:t>
      </w:r>
      <w:r w:rsidR="00051848">
        <w:rPr>
          <w:spacing w:val="-2"/>
        </w:rPr>
        <w:t>před rokem</w:t>
      </w:r>
      <w:r w:rsidRPr="000D56CB">
        <w:rPr>
          <w:spacing w:val="-2"/>
        </w:rPr>
        <w:t xml:space="preserve">. </w:t>
      </w:r>
      <w:r>
        <w:rPr>
          <w:spacing w:val="-2"/>
        </w:rPr>
        <w:t>Z</w:t>
      </w:r>
      <w:r w:rsidRPr="000D56CB">
        <w:rPr>
          <w:spacing w:val="-2"/>
        </w:rPr>
        <w:t xml:space="preserve">výšení příjmů domácností a důchodů z podnikání bylo </w:t>
      </w:r>
      <w:r>
        <w:rPr>
          <w:spacing w:val="-2"/>
        </w:rPr>
        <w:t xml:space="preserve">sice </w:t>
      </w:r>
      <w:r w:rsidRPr="000D56CB">
        <w:rPr>
          <w:spacing w:val="-2"/>
        </w:rPr>
        <w:t xml:space="preserve">doprovázeno vyšší spotřebou domácností </w:t>
      </w:r>
      <w:r w:rsidR="0069524E">
        <w:rPr>
          <w:spacing w:val="-2"/>
        </w:rPr>
        <w:t>i</w:t>
      </w:r>
      <w:r w:rsidR="00051848">
        <w:rPr>
          <w:spacing w:val="-2"/>
        </w:rPr>
        <w:t> mírnou</w:t>
      </w:r>
      <w:r w:rsidRPr="000D56CB">
        <w:rPr>
          <w:spacing w:val="-2"/>
        </w:rPr>
        <w:t xml:space="preserve"> investiční aktivitou</w:t>
      </w:r>
      <w:r>
        <w:rPr>
          <w:spacing w:val="-2"/>
        </w:rPr>
        <w:t>, ale d</w:t>
      </w:r>
      <w:r w:rsidRPr="000D56CB">
        <w:rPr>
          <w:spacing w:val="-2"/>
        </w:rPr>
        <w:t xml:space="preserve">omácnosti </w:t>
      </w:r>
      <w:r>
        <w:rPr>
          <w:spacing w:val="-2"/>
        </w:rPr>
        <w:t xml:space="preserve">měly </w:t>
      </w:r>
      <w:r w:rsidRPr="000D56CB">
        <w:rPr>
          <w:spacing w:val="-2"/>
        </w:rPr>
        <w:t xml:space="preserve">stále dostatek volných prostředků, které mohly poskytovat ve formě půjček ostatním sektorům. Ukazatel </w:t>
      </w:r>
      <w:r w:rsidRPr="000D56CB">
        <w:rPr>
          <w:b/>
          <w:spacing w:val="-2"/>
        </w:rPr>
        <w:t>čistých půjček</w:t>
      </w:r>
      <w:r w:rsidRPr="000D56CB">
        <w:rPr>
          <w:rStyle w:val="Znakapoznpodarou"/>
          <w:spacing w:val="-2"/>
        </w:rPr>
        <w:footnoteReference w:id="45"/>
      </w:r>
      <w:r w:rsidRPr="000D56CB">
        <w:rPr>
          <w:spacing w:val="-2"/>
        </w:rPr>
        <w:t xml:space="preserve"> se udržoval na relativně vysoké úrovni</w:t>
      </w:r>
      <w:r w:rsidR="00051848">
        <w:rPr>
          <w:spacing w:val="-2"/>
        </w:rPr>
        <w:t xml:space="preserve"> a </w:t>
      </w:r>
      <w:r w:rsidRPr="000D56CB">
        <w:rPr>
          <w:spacing w:val="-2"/>
        </w:rPr>
        <w:t xml:space="preserve">v porovnáním s předchozím rokem </w:t>
      </w:r>
      <w:r>
        <w:rPr>
          <w:spacing w:val="-2"/>
        </w:rPr>
        <w:t xml:space="preserve">mírně </w:t>
      </w:r>
      <w:r w:rsidR="00051848">
        <w:rPr>
          <w:spacing w:val="-2"/>
        </w:rPr>
        <w:t>vzrostl</w:t>
      </w:r>
      <w:r w:rsidRPr="000D56CB">
        <w:rPr>
          <w:spacing w:val="-2"/>
        </w:rPr>
        <w:t xml:space="preserve">. </w:t>
      </w:r>
    </w:p>
    <w:p w14:paraId="657B70DE" w14:textId="77777777" w:rsidR="00683166" w:rsidRDefault="00683166" w:rsidP="00C056A9">
      <w:pPr>
        <w:pStyle w:val="TabulkaGraf"/>
        <w:keepNext/>
      </w:pPr>
      <w:r w:rsidRPr="00CB41C1">
        <w:t>Graf 1</w:t>
      </w:r>
      <w:r>
        <w:t>9</w:t>
      </w:r>
      <w:r w:rsidRPr="00CB41C1">
        <w:t xml:space="preserve">: </w:t>
      </w:r>
      <w:r w:rsidRPr="0086484F">
        <w:t>Roz</w:t>
      </w:r>
      <w:r>
        <w:t>klad</w:t>
      </w:r>
      <w:r w:rsidRPr="0086484F">
        <w:t xml:space="preserve"> meziroční změny čistých půjček domácností (v mil. Kč)</w:t>
      </w:r>
    </w:p>
    <w:p w14:paraId="4BA5F1DA" w14:textId="103F1904" w:rsidR="00683166" w:rsidRPr="005B7407" w:rsidRDefault="00B35F60" w:rsidP="00683166">
      <w:r w:rsidRPr="00B35F60">
        <w:rPr>
          <w:noProof/>
        </w:rPr>
        <w:drawing>
          <wp:inline distT="0" distB="0" distL="0" distR="0" wp14:anchorId="11F1EA46" wp14:editId="195941D4">
            <wp:extent cx="5010785" cy="2140585"/>
            <wp:effectExtent l="0" t="0" r="0" b="0"/>
            <wp:docPr id="82457405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166">
        <w:br w:type="page"/>
      </w:r>
    </w:p>
    <w:p w14:paraId="383C260A" w14:textId="77777777" w:rsidR="00683166" w:rsidRPr="003C00B9" w:rsidRDefault="00683166" w:rsidP="00683166">
      <w:pPr>
        <w:pStyle w:val="Nadpis2"/>
      </w:pPr>
      <w:r w:rsidRPr="00AB35E7">
        <w:lastRenderedPageBreak/>
        <w:t>Finanční vztahy české ekonomiky se zahraničím (s ner</w:t>
      </w:r>
      <w:r w:rsidRPr="003C00B9">
        <w:t>ezidenty)</w:t>
      </w:r>
    </w:p>
    <w:p w14:paraId="768C3269" w14:textId="78ACFB49" w:rsidR="00683166" w:rsidRPr="00C64473" w:rsidRDefault="00683166" w:rsidP="00683166">
      <w:pPr>
        <w:spacing w:after="120"/>
        <w:rPr>
          <w:spacing w:val="-2"/>
        </w:rPr>
      </w:pPr>
      <w:r w:rsidRPr="00C64473">
        <w:rPr>
          <w:spacing w:val="-2"/>
        </w:rPr>
        <w:t>Pozice české ekonomiky vůči zahraničí byla v </w:t>
      </w:r>
      <w:r w:rsidR="007C1E85">
        <w:rPr>
          <w:spacing w:val="-2"/>
        </w:rPr>
        <w:t>1</w:t>
      </w:r>
      <w:r w:rsidRPr="00C64473">
        <w:rPr>
          <w:spacing w:val="-2"/>
        </w:rPr>
        <w:t>. čtvrtletí 202</w:t>
      </w:r>
      <w:r w:rsidR="007C1E85">
        <w:rPr>
          <w:spacing w:val="-2"/>
        </w:rPr>
        <w:t>6</w:t>
      </w:r>
      <w:r w:rsidRPr="00C64473">
        <w:rPr>
          <w:spacing w:val="-2"/>
        </w:rPr>
        <w:t>, podobně jako většin</w:t>
      </w:r>
      <w:r>
        <w:rPr>
          <w:spacing w:val="-2"/>
        </w:rPr>
        <w:t>a</w:t>
      </w:r>
      <w:r w:rsidRPr="00C64473">
        <w:rPr>
          <w:spacing w:val="-2"/>
        </w:rPr>
        <w:t xml:space="preserve"> čtvrtletí od</w:t>
      </w:r>
      <w:r>
        <w:rPr>
          <w:spacing w:val="-2"/>
        </w:rPr>
        <w:t> </w:t>
      </w:r>
      <w:r w:rsidRPr="00C64473">
        <w:rPr>
          <w:spacing w:val="-2"/>
        </w:rPr>
        <w:t xml:space="preserve">začátku roku 2023, ovlivněna zejména výrazně kladnou bilancí zahraničního obchodu. Nicméně v opačném směru působil podle předběžných údajů </w:t>
      </w:r>
      <w:r>
        <w:rPr>
          <w:spacing w:val="-2"/>
        </w:rPr>
        <w:t xml:space="preserve">deficit </w:t>
      </w:r>
      <w:r w:rsidRPr="00C64473">
        <w:rPr>
          <w:spacing w:val="-2"/>
        </w:rPr>
        <w:t>prvotních důchodů (</w:t>
      </w:r>
      <w:r>
        <w:rPr>
          <w:spacing w:val="-2"/>
        </w:rPr>
        <w:t xml:space="preserve">a to výrazně více než </w:t>
      </w:r>
      <w:r w:rsidRPr="00C64473">
        <w:rPr>
          <w:spacing w:val="-2"/>
        </w:rPr>
        <w:t>ve stejném čtvrtletí roku</w:t>
      </w:r>
      <w:r>
        <w:rPr>
          <w:spacing w:val="-2"/>
        </w:rPr>
        <w:t xml:space="preserve"> 202</w:t>
      </w:r>
      <w:r w:rsidR="00E25DF5">
        <w:rPr>
          <w:spacing w:val="-2"/>
        </w:rPr>
        <w:t>5</w:t>
      </w:r>
      <w:r w:rsidRPr="00C64473">
        <w:rPr>
          <w:spacing w:val="-2"/>
        </w:rPr>
        <w:t xml:space="preserve">) a také </w:t>
      </w:r>
      <w:r>
        <w:rPr>
          <w:spacing w:val="-2"/>
        </w:rPr>
        <w:t xml:space="preserve">deficit </w:t>
      </w:r>
      <w:r w:rsidRPr="00C64473">
        <w:rPr>
          <w:spacing w:val="-2"/>
        </w:rPr>
        <w:t xml:space="preserve">druhotného rozdělení. </w:t>
      </w:r>
    </w:p>
    <w:p w14:paraId="7B76CBBE" w14:textId="4C809250" w:rsidR="00683166" w:rsidRDefault="00683166" w:rsidP="00683166">
      <w:pPr>
        <w:spacing w:after="120"/>
      </w:pPr>
      <w:r>
        <w:t xml:space="preserve">Bilance zahraničního obchodu v běžných cenách patřila v kontextu posledních let mezi relativně vysoké, byť nižší než na začátku roku 2025. </w:t>
      </w:r>
      <w:r>
        <w:rPr>
          <w:b/>
        </w:rPr>
        <w:t>S</w:t>
      </w:r>
      <w:r w:rsidRPr="00DC300F">
        <w:rPr>
          <w:b/>
        </w:rPr>
        <w:t>aldo zahraničního obchodu</w:t>
      </w:r>
      <w:r w:rsidRPr="00DC300F">
        <w:t xml:space="preserve"> </w:t>
      </w:r>
      <w:r>
        <w:t xml:space="preserve">dosáhlo </w:t>
      </w:r>
      <w:r w:rsidRPr="00DC300F">
        <w:t>v</w:t>
      </w:r>
      <w:r>
        <w:t> </w:t>
      </w:r>
      <w:r w:rsidR="00776D53">
        <w:t>1</w:t>
      </w:r>
      <w:r w:rsidRPr="00DC300F">
        <w:t>.</w:t>
      </w:r>
      <w:r>
        <w:t> </w:t>
      </w:r>
      <w:r w:rsidRPr="00DC300F">
        <w:t>čtvrtletí</w:t>
      </w:r>
      <w:r>
        <w:t> </w:t>
      </w:r>
      <w:r w:rsidRPr="00D05A77">
        <w:t>202</w:t>
      </w:r>
      <w:r w:rsidR="00776D53">
        <w:t>6</w:t>
      </w:r>
      <w:r w:rsidRPr="00D05A77">
        <w:t xml:space="preserve"> hodnoty </w:t>
      </w:r>
      <w:r>
        <w:t>1</w:t>
      </w:r>
      <w:r w:rsidR="00776D53">
        <w:t>46,2</w:t>
      </w:r>
      <w:r>
        <w:t xml:space="preserve"> </w:t>
      </w:r>
      <w:r w:rsidRPr="00D05A77">
        <w:t>mld. Kč</w:t>
      </w:r>
      <w:r w:rsidR="00776D53">
        <w:t xml:space="preserve">, což bylo </w:t>
      </w:r>
      <w:r w:rsidRPr="00D05A77">
        <w:t>o </w:t>
      </w:r>
      <w:r w:rsidR="00776D53">
        <w:t xml:space="preserve">15,9 </w:t>
      </w:r>
      <w:r w:rsidRPr="00D05A77">
        <w:t xml:space="preserve">mld. Kč </w:t>
      </w:r>
      <w:r w:rsidR="00776D53">
        <w:t>méně</w:t>
      </w:r>
      <w:r w:rsidRPr="00D05A77">
        <w:t xml:space="preserve"> než v </w:t>
      </w:r>
      <w:r w:rsidR="00776D53">
        <w:t>1</w:t>
      </w:r>
      <w:r>
        <w:t>. čtvrtletí roku</w:t>
      </w:r>
      <w:r w:rsidRPr="00D05A77">
        <w:t xml:space="preserve"> 202</w:t>
      </w:r>
      <w:r w:rsidR="00776D53">
        <w:t>5</w:t>
      </w:r>
      <w:r>
        <w:t xml:space="preserve">, a to zejména </w:t>
      </w:r>
      <w:r w:rsidR="00776D53">
        <w:t>kvůli</w:t>
      </w:r>
      <w:r>
        <w:t xml:space="preserve"> rychlejšímu nominálnímu tempu růstu </w:t>
      </w:r>
      <w:r w:rsidR="00776D53">
        <w:t>dovozu</w:t>
      </w:r>
      <w:r>
        <w:t xml:space="preserve"> než růstu </w:t>
      </w:r>
      <w:r w:rsidR="008456A1">
        <w:t>vý</w:t>
      </w:r>
      <w:r>
        <w:t xml:space="preserve">vozu. </w:t>
      </w:r>
    </w:p>
    <w:p w14:paraId="177343EB" w14:textId="3B5A9A34" w:rsidR="00683166" w:rsidRPr="000E333D" w:rsidRDefault="00683166" w:rsidP="00683166">
      <w:pPr>
        <w:spacing w:after="120"/>
      </w:pPr>
      <w:r w:rsidRPr="001E70A0">
        <w:t xml:space="preserve">Reálně </w:t>
      </w:r>
      <w:r>
        <w:rPr>
          <w:b/>
        </w:rPr>
        <w:t>byl v</w:t>
      </w:r>
      <w:r w:rsidRPr="00A75B4D">
        <w:rPr>
          <w:b/>
        </w:rPr>
        <w:t>ývoz zboží a služeb</w:t>
      </w:r>
      <w:r w:rsidRPr="00A75B4D">
        <w:rPr>
          <w:rStyle w:val="Znakapoznpodarou"/>
        </w:rPr>
        <w:footnoteReference w:id="46"/>
      </w:r>
      <w:r w:rsidRPr="00A75B4D">
        <w:t xml:space="preserve"> meziročně vyšší o </w:t>
      </w:r>
      <w:r w:rsidR="007D7D39">
        <w:t>5,3</w:t>
      </w:r>
      <w:r w:rsidRPr="00A75B4D">
        <w:t> %</w:t>
      </w:r>
      <w:r>
        <w:t xml:space="preserve">, což je růst, který patřil </w:t>
      </w:r>
      <w:r w:rsidR="008456A1">
        <w:t xml:space="preserve">spíše </w:t>
      </w:r>
      <w:r>
        <w:t xml:space="preserve">mezi </w:t>
      </w:r>
      <w:r w:rsidR="007D7D39">
        <w:t>vyšší</w:t>
      </w:r>
      <w:r>
        <w:t xml:space="preserve"> v</w:t>
      </w:r>
      <w:r w:rsidR="008456A1">
        <w:t xml:space="preserve"> kontextu </w:t>
      </w:r>
      <w:r>
        <w:t>posledních dvou let</w:t>
      </w:r>
      <w:r w:rsidR="008456A1">
        <w:t xml:space="preserve"> (</w:t>
      </w:r>
      <w:r w:rsidR="007D7D39">
        <w:t>podpořený poklesem cen</w:t>
      </w:r>
      <w:r w:rsidR="008456A1">
        <w:t>)</w:t>
      </w:r>
      <w:r>
        <w:t>. Mezičtvrtletně vzrostl vývoz o</w:t>
      </w:r>
      <w:r w:rsidR="00C75430">
        <w:t xml:space="preserve"> 2,9 </w:t>
      </w:r>
      <w:r>
        <w:t xml:space="preserve">%. </w:t>
      </w:r>
      <w:r w:rsidRPr="00BF2999">
        <w:rPr>
          <w:b/>
          <w:bCs/>
        </w:rPr>
        <w:t>D</w:t>
      </w:r>
      <w:r w:rsidRPr="00A75B4D">
        <w:rPr>
          <w:b/>
        </w:rPr>
        <w:t>ovoz zboží a služeb</w:t>
      </w:r>
      <w:r w:rsidRPr="00A75B4D">
        <w:rPr>
          <w:rStyle w:val="Znakapoznpodarou"/>
        </w:rPr>
        <w:footnoteReference w:id="47"/>
      </w:r>
      <w:r w:rsidRPr="00A75B4D">
        <w:rPr>
          <w:b/>
        </w:rPr>
        <w:t xml:space="preserve"> </w:t>
      </w:r>
      <w:r w:rsidRPr="00BF2999">
        <w:rPr>
          <w:bCs/>
        </w:rPr>
        <w:t xml:space="preserve">však </w:t>
      </w:r>
      <w:r>
        <w:rPr>
          <w:bCs/>
        </w:rPr>
        <w:t xml:space="preserve">rostl </w:t>
      </w:r>
      <w:r w:rsidRPr="008E5AB0">
        <w:t xml:space="preserve">reálně </w:t>
      </w:r>
      <w:r>
        <w:t xml:space="preserve">rychleji: </w:t>
      </w:r>
      <w:r w:rsidRPr="00A75B4D">
        <w:t xml:space="preserve">meziročně o </w:t>
      </w:r>
      <w:r w:rsidR="00C75430">
        <w:t>7,9</w:t>
      </w:r>
      <w:r w:rsidRPr="00A75B4D">
        <w:t> %</w:t>
      </w:r>
      <w:r>
        <w:t xml:space="preserve"> a</w:t>
      </w:r>
      <w:r w:rsidRPr="00A75B4D">
        <w:t xml:space="preserve"> mezičtvrtletně </w:t>
      </w:r>
      <w:r>
        <w:t xml:space="preserve">byl vyšší o </w:t>
      </w:r>
      <w:r w:rsidR="00C75430">
        <w:t>4,4 </w:t>
      </w:r>
      <w:r>
        <w:t>%.</w:t>
      </w:r>
      <w:r w:rsidRPr="000E333D">
        <w:t xml:space="preserve"> </w:t>
      </w:r>
      <w:r w:rsidR="00C75430">
        <w:t>Od</w:t>
      </w:r>
      <w:r w:rsidR="00214368">
        <w:t> </w:t>
      </w:r>
      <w:r w:rsidR="00C75430">
        <w:t>konce roku 2024 tak v</w:t>
      </w:r>
      <w:r>
        <w:t xml:space="preserve"> meziročním srovnání </w:t>
      </w:r>
      <w:r w:rsidR="00C75430">
        <w:t>pokračuje rychlejší růst</w:t>
      </w:r>
      <w:r>
        <w:t xml:space="preserve"> dovoz</w:t>
      </w:r>
      <w:r w:rsidR="00C75430">
        <w:t xml:space="preserve">u nad vývozem. </w:t>
      </w:r>
    </w:p>
    <w:p w14:paraId="3C0146A5" w14:textId="77777777" w:rsidR="00683166" w:rsidRDefault="00683166" w:rsidP="00C056A9">
      <w:pPr>
        <w:pStyle w:val="TabulkaGraf"/>
        <w:keepNext/>
      </w:pPr>
      <w:r w:rsidRPr="00CB41C1">
        <w:t>Graf </w:t>
      </w:r>
      <w:r>
        <w:t>20:</w:t>
      </w:r>
      <w:r w:rsidRPr="0086484F">
        <w:t xml:space="preserve"> </w:t>
      </w:r>
      <w:r w:rsidRPr="0059443E">
        <w:t>Saldo běžného účtu platební bilance z pohledu národního hospodářství (v mil. Kč)</w:t>
      </w:r>
    </w:p>
    <w:p w14:paraId="17FFEB3B" w14:textId="50DD194A" w:rsidR="00683166" w:rsidRDefault="007C1E85" w:rsidP="00683166">
      <w:pPr>
        <w:spacing w:after="240"/>
      </w:pPr>
      <w:r w:rsidRPr="007C1E85">
        <w:rPr>
          <w:noProof/>
        </w:rPr>
        <w:drawing>
          <wp:inline distT="0" distB="0" distL="0" distR="0" wp14:anchorId="1323DA8D" wp14:editId="6D758786">
            <wp:extent cx="5317490" cy="2209165"/>
            <wp:effectExtent l="0" t="0" r="0" b="635"/>
            <wp:docPr id="59273563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EE41" w14:textId="77777777" w:rsidR="00683166" w:rsidRDefault="00683166" w:rsidP="00C056A9">
      <w:pPr>
        <w:pStyle w:val="TabulkaGraf"/>
        <w:keepNext/>
      </w:pPr>
      <w:r w:rsidRPr="00CB41C1">
        <w:t>Graf </w:t>
      </w:r>
      <w:r>
        <w:t>21:</w:t>
      </w:r>
      <w:r w:rsidRPr="0086484F">
        <w:t xml:space="preserve"> </w:t>
      </w:r>
      <w:r w:rsidRPr="00351694">
        <w:t>Rozklad meziroční změny salda důch</w:t>
      </w:r>
      <w:r>
        <w:t>odů z vlastnictví se zahraničím</w:t>
      </w:r>
      <w:r w:rsidRPr="00351694">
        <w:t xml:space="preserve"> (v mil. Kč)</w:t>
      </w:r>
    </w:p>
    <w:p w14:paraId="429419D1" w14:textId="736F38F6" w:rsidR="00683166" w:rsidRDefault="00956F49" w:rsidP="00683166">
      <w:pPr>
        <w:spacing w:after="240"/>
      </w:pPr>
      <w:r w:rsidRPr="00956F49">
        <w:rPr>
          <w:noProof/>
        </w:rPr>
        <w:drawing>
          <wp:inline distT="0" distB="0" distL="0" distR="0" wp14:anchorId="5DBE3244" wp14:editId="19808B5D">
            <wp:extent cx="5243195" cy="2172335"/>
            <wp:effectExtent l="0" t="0" r="0" b="0"/>
            <wp:docPr id="24359996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F3779" w14:textId="1DDA7E61" w:rsidR="00683166" w:rsidRPr="005E0018" w:rsidRDefault="00683166" w:rsidP="00683166">
      <w:pPr>
        <w:spacing w:after="120"/>
        <w:rPr>
          <w:highlight w:val="yellow"/>
        </w:rPr>
      </w:pPr>
      <w:r>
        <w:lastRenderedPageBreak/>
        <w:t xml:space="preserve">Předběžné údaje naznačují negativní vliv </w:t>
      </w:r>
      <w:r w:rsidRPr="00570FA8">
        <w:rPr>
          <w:b/>
        </w:rPr>
        <w:t>sald</w:t>
      </w:r>
      <w:r>
        <w:rPr>
          <w:b/>
        </w:rPr>
        <w:t>a</w:t>
      </w:r>
      <w:r w:rsidRPr="00570FA8">
        <w:rPr>
          <w:b/>
        </w:rPr>
        <w:t xml:space="preserve"> důchodů z vlastnictví</w:t>
      </w:r>
      <w:r w:rsidRPr="00570FA8">
        <w:t xml:space="preserve"> </w:t>
      </w:r>
      <w:r>
        <w:t xml:space="preserve">na celkovou </w:t>
      </w:r>
      <w:r w:rsidRPr="00570FA8">
        <w:t>změnu salda běžného účtu platební bilance</w:t>
      </w:r>
      <w:r>
        <w:t xml:space="preserve"> v porovnání s předchozím rokem, a to zejména kvůli relativnímu zhoršení salda reinvestovaných zisků</w:t>
      </w:r>
      <w:r w:rsidRPr="00570FA8">
        <w:t>.</w:t>
      </w:r>
      <w:r>
        <w:t xml:space="preserve"> </w:t>
      </w:r>
    </w:p>
    <w:p w14:paraId="4AF000E9" w14:textId="149063E7" w:rsidR="00683166" w:rsidRDefault="00683166" w:rsidP="00683166">
      <w:pPr>
        <w:spacing w:after="120"/>
      </w:pPr>
      <w:r w:rsidRPr="00601E04">
        <w:t xml:space="preserve">Domácí ekonomika v </w:t>
      </w:r>
      <w:r w:rsidR="00C20725">
        <w:t>1</w:t>
      </w:r>
      <w:r w:rsidRPr="00601E04">
        <w:t>. čtvrtletí 202</w:t>
      </w:r>
      <w:r w:rsidR="00C20725">
        <w:t>6</w:t>
      </w:r>
      <w:r w:rsidRPr="00601E04">
        <w:t xml:space="preserve"> skončila v čisté kladné </w:t>
      </w:r>
      <w:r w:rsidRPr="00601E04">
        <w:rPr>
          <w:b/>
        </w:rPr>
        <w:t>pozici vůči zahraničí</w:t>
      </w:r>
      <w:r w:rsidRPr="00601E04">
        <w:rPr>
          <w:rStyle w:val="Znakapoznpodarou"/>
        </w:rPr>
        <w:footnoteReference w:id="48"/>
      </w:r>
      <w:r w:rsidRPr="00601E04">
        <w:t xml:space="preserve">. Čisté půjčky ekonomiky jako celku činily </w:t>
      </w:r>
      <w:r>
        <w:t xml:space="preserve">vůči zahraničí </w:t>
      </w:r>
      <w:r w:rsidR="005E1D85">
        <w:t>67,4</w:t>
      </w:r>
      <w:r w:rsidRPr="00601E04">
        <w:t> mld. Kč</w:t>
      </w:r>
      <w:r>
        <w:t>, což byl</w:t>
      </w:r>
      <w:r w:rsidR="002B06B8">
        <w:t>o</w:t>
      </w:r>
      <w:r>
        <w:t xml:space="preserve"> o </w:t>
      </w:r>
      <w:r w:rsidR="002B06B8">
        <w:t>109,5</w:t>
      </w:r>
      <w:r>
        <w:t xml:space="preserve"> mld. Kč méně než před rokem (kdy čisté půjčky vůči zahraničí činily 1</w:t>
      </w:r>
      <w:r w:rsidR="002B06B8">
        <w:t>76,9</w:t>
      </w:r>
      <w:r>
        <w:t xml:space="preserve"> mld. Kč).</w:t>
      </w:r>
      <w:r w:rsidRPr="006A5E04">
        <w:t xml:space="preserve"> </w:t>
      </w:r>
    </w:p>
    <w:p w14:paraId="745FD052" w14:textId="77777777" w:rsidR="00683166" w:rsidRPr="00D04520" w:rsidRDefault="00683166" w:rsidP="00C056A9">
      <w:pPr>
        <w:pStyle w:val="TabulkaGraf"/>
        <w:keepNext/>
      </w:pPr>
      <w:r w:rsidRPr="00D04520">
        <w:t>Graf 22: Struktura čistých půjček / výpůjček (-) z pohledu národního hospodářství (v mil. Kč)</w:t>
      </w:r>
    </w:p>
    <w:p w14:paraId="1AC7C64A" w14:textId="2F08DE24" w:rsidR="00683166" w:rsidRPr="006A5E04" w:rsidRDefault="00C20725" w:rsidP="00683166">
      <w:pPr>
        <w:spacing w:after="120"/>
      </w:pPr>
      <w:r w:rsidRPr="00C20725">
        <w:rPr>
          <w:noProof/>
        </w:rPr>
        <w:drawing>
          <wp:inline distT="0" distB="0" distL="0" distR="0" wp14:anchorId="75B05E3F" wp14:editId="50ECFF3E">
            <wp:extent cx="5174615" cy="2214880"/>
            <wp:effectExtent l="0" t="0" r="6985" b="0"/>
            <wp:docPr id="71470349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B8F4" w14:textId="77777777" w:rsidR="00683166" w:rsidRDefault="00683166" w:rsidP="00C056A9">
      <w:pPr>
        <w:pStyle w:val="TabulkaGraf"/>
        <w:keepNext/>
      </w:pPr>
      <w:r w:rsidRPr="00CB41C1">
        <w:t>Graf </w:t>
      </w:r>
      <w:r>
        <w:t>23:</w:t>
      </w:r>
      <w:r w:rsidRPr="0086484F">
        <w:t xml:space="preserve"> </w:t>
      </w:r>
      <w:r w:rsidRPr="00351694">
        <w:t>Rozklad meziroční změny čistých půjček</w:t>
      </w:r>
      <w:r>
        <w:t xml:space="preserve"> </w:t>
      </w:r>
      <w:r w:rsidRPr="00351694">
        <w:t>/</w:t>
      </w:r>
      <w:r>
        <w:t xml:space="preserve"> </w:t>
      </w:r>
      <w:r w:rsidRPr="00351694">
        <w:t>výpůjček</w:t>
      </w:r>
      <w:r>
        <w:t xml:space="preserve"> </w:t>
      </w:r>
      <w:r w:rsidRPr="00351694">
        <w:t>(-) z pohledu národního hospodářství (v mil. Kč)</w:t>
      </w:r>
    </w:p>
    <w:p w14:paraId="38DA720F" w14:textId="1936CFA6" w:rsidR="00683166" w:rsidRPr="00A0318C" w:rsidRDefault="0059455B" w:rsidP="00683166">
      <w:pPr>
        <w:spacing w:after="120"/>
      </w:pPr>
      <w:r w:rsidRPr="0059455B">
        <w:rPr>
          <w:noProof/>
        </w:rPr>
        <w:drawing>
          <wp:inline distT="0" distB="0" distL="0" distR="0" wp14:anchorId="789F3D51" wp14:editId="72A403E8">
            <wp:extent cx="5295900" cy="2214880"/>
            <wp:effectExtent l="0" t="0" r="0" b="0"/>
            <wp:docPr id="156123172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48AF" w14:textId="77777777" w:rsidR="00683166" w:rsidRDefault="00683166" w:rsidP="00070445">
      <w:pPr>
        <w:rPr>
          <w:noProof/>
        </w:rPr>
        <w:sectPr w:rsidR="00683166" w:rsidSect="00683166">
          <w:headerReference w:type="default" r:id="rId34"/>
          <w:footerReference w:type="default" r:id="rId35"/>
          <w:pgSz w:w="11906" w:h="16838" w:code="9"/>
          <w:pgMar w:top="2268" w:right="1361" w:bottom="1134" w:left="1474" w:header="607" w:footer="567" w:gutter="0"/>
          <w:cols w:space="708"/>
          <w:docGrid w:linePitch="360"/>
        </w:sectPr>
      </w:pPr>
    </w:p>
    <w:p w14:paraId="6B29117C" w14:textId="77777777" w:rsidR="00683166" w:rsidRDefault="00683166" w:rsidP="00683166">
      <w:pPr>
        <w:pStyle w:val="TabulkaGraf"/>
        <w:rPr>
          <w:lang w:eastAsia="cs-CZ"/>
        </w:rPr>
      </w:pPr>
      <w:r w:rsidRPr="005E2725">
        <w:rPr>
          <w:lang w:eastAsia="cs-CZ"/>
        </w:rPr>
        <w:lastRenderedPageBreak/>
        <w:t>Tabulka 1: Vybrané hlavní ukazatele vývoje ekonomiky</w:t>
      </w:r>
    </w:p>
    <w:p w14:paraId="2190B045" w14:textId="2A8FE2B0" w:rsidR="00683166" w:rsidRPr="00FD195C" w:rsidRDefault="0087049D" w:rsidP="00683166">
      <w:pPr>
        <w:jc w:val="left"/>
        <w:rPr>
          <w:rFonts w:eastAsia="Times New Roman" w:cs="Arial"/>
          <w:b/>
          <w:bCs/>
          <w:color w:val="000000"/>
          <w:lang w:eastAsia="cs-CZ"/>
        </w:rPr>
      </w:pPr>
      <w:r w:rsidRPr="0087049D">
        <w:rPr>
          <w:noProof/>
        </w:rPr>
        <w:drawing>
          <wp:inline distT="0" distB="0" distL="0" distR="0" wp14:anchorId="2C139405" wp14:editId="69FFC75E">
            <wp:extent cx="8910955" cy="3315970"/>
            <wp:effectExtent l="0" t="0" r="4445" b="0"/>
            <wp:docPr id="144946685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0209" w14:textId="77777777" w:rsidR="00683166" w:rsidRDefault="00683166" w:rsidP="00683166"/>
    <w:p w14:paraId="631089BD" w14:textId="77777777" w:rsidR="00070445" w:rsidRDefault="00070445" w:rsidP="00070445">
      <w:pPr>
        <w:rPr>
          <w:noProof/>
        </w:rPr>
      </w:pPr>
    </w:p>
    <w:sectPr w:rsidR="00070445" w:rsidSect="00683166">
      <w:pgSz w:w="16839" w:h="11907" w:orient="landscape" w:code="9"/>
      <w:pgMar w:top="2552" w:right="1388" w:bottom="1418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03BE" w14:textId="77777777" w:rsidR="00DB4171" w:rsidRDefault="00DB4171" w:rsidP="004A01A7">
      <w:pPr>
        <w:spacing w:after="0" w:line="240" w:lineRule="auto"/>
      </w:pPr>
      <w:r>
        <w:separator/>
      </w:r>
    </w:p>
  </w:endnote>
  <w:endnote w:type="continuationSeparator" w:id="0">
    <w:p w14:paraId="09E05A56" w14:textId="77777777" w:rsidR="00DB4171" w:rsidRDefault="00DB4171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116B" w14:textId="75DC213E" w:rsidR="00F21B6A" w:rsidRDefault="00683166" w:rsidP="00F21B6A">
    <w:pPr>
      <w:pStyle w:val="Zpat"/>
    </w:pPr>
    <w:r w:rsidRPr="006A57CC">
      <w:t>Český statistický úřad</w:t>
    </w:r>
    <w:r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808D785" w14:textId="62EA7C95" w:rsidR="004A01A7" w:rsidRPr="00F21B6A" w:rsidRDefault="00683166" w:rsidP="00683166">
    <w:pPr>
      <w:pStyle w:val="Zpat"/>
      <w:tabs>
        <w:tab w:val="left" w:pos="4440"/>
      </w:tabs>
    </w:pPr>
    <w:hyperlink r:id="rId1" w:history="1">
      <w:r>
        <w:t>csu.gov.cz</w:t>
      </w:r>
    </w:hyperlink>
    <w:r>
      <w:t xml:space="preserve">, </w:t>
    </w:r>
    <w:r w:rsidRPr="00CB5768">
      <w:t>infoservis@csu.gov.cz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759D" w14:textId="77777777" w:rsidR="00DB4171" w:rsidRDefault="00DB4171" w:rsidP="004A01A7">
      <w:pPr>
        <w:spacing w:after="0" w:line="240" w:lineRule="auto"/>
      </w:pPr>
    </w:p>
  </w:footnote>
  <w:footnote w:type="continuationSeparator" w:id="0">
    <w:p w14:paraId="65C8CB0A" w14:textId="77777777" w:rsidR="00DB4171" w:rsidRDefault="00DB4171" w:rsidP="004A01A7">
      <w:pPr>
        <w:spacing w:after="0" w:line="240" w:lineRule="auto"/>
      </w:pPr>
      <w:r>
        <w:continuationSeparator/>
      </w:r>
    </w:p>
  </w:footnote>
  <w:footnote w:id="1">
    <w:p w14:paraId="3BB387A4" w14:textId="77777777" w:rsidR="00683166" w:rsidRPr="0030704E" w:rsidRDefault="00683166" w:rsidP="00683166">
      <w:pPr>
        <w:pStyle w:val="Textpoznpodarou"/>
        <w:jc w:val="both"/>
      </w:pPr>
      <w:r w:rsidRPr="0030704E">
        <w:rPr>
          <w:rStyle w:val="Znakapoznpodarou"/>
        </w:rPr>
        <w:footnoteRef/>
      </w:r>
      <w:r w:rsidRPr="0030704E">
        <w:t xml:space="preserve"> Údaje očištěné o cenové vlivy a dále i o sezónní a kalendářní vlivy.</w:t>
      </w:r>
      <w:r>
        <w:t xml:space="preserve"> Není-li uvedeno jinak, jsou v dalším textu údaje neočištěné o cenové, kalendářní a sezónní vlivy.</w:t>
      </w:r>
    </w:p>
  </w:footnote>
  <w:footnote w:id="2">
    <w:p w14:paraId="71677784" w14:textId="77777777" w:rsidR="00683166" w:rsidRDefault="00683166" w:rsidP="00683166">
      <w:pPr>
        <w:pStyle w:val="Textpoznpodarou"/>
      </w:pPr>
      <w:r w:rsidRPr="00E1608C">
        <w:rPr>
          <w:rStyle w:val="Znakapoznpodarou"/>
          <w:szCs w:val="16"/>
        </w:rPr>
        <w:footnoteRef/>
      </w:r>
      <w:r w:rsidRPr="00E1608C">
        <w:rPr>
          <w:szCs w:val="16"/>
        </w:rPr>
        <w:t xml:space="preserve"> T</w:t>
      </w:r>
      <w:r>
        <w:t xml:space="preserve">j. zejména spotřebou domácností a investiční aktivitou (podle vývoje ukazatele </w:t>
      </w:r>
      <w:r w:rsidRPr="00837EF5">
        <w:t>hrub</w:t>
      </w:r>
      <w:r>
        <w:t>é</w:t>
      </w:r>
      <w:r w:rsidRPr="00837EF5">
        <w:t xml:space="preserve"> tvorb</w:t>
      </w:r>
      <w:r>
        <w:t>y</w:t>
      </w:r>
      <w:r w:rsidRPr="00837EF5">
        <w:t xml:space="preserve"> </w:t>
      </w:r>
      <w:r>
        <w:t xml:space="preserve">fixního </w:t>
      </w:r>
      <w:r w:rsidRPr="00837EF5">
        <w:t>kapitálu</w:t>
      </w:r>
      <w:r>
        <w:t xml:space="preserve">) </w:t>
      </w:r>
    </w:p>
  </w:footnote>
  <w:footnote w:id="3">
    <w:p w14:paraId="2960F419" w14:textId="77777777" w:rsidR="00683166" w:rsidRPr="00994B5B" w:rsidRDefault="00683166" w:rsidP="00683166">
      <w:pPr>
        <w:pStyle w:val="Textpoznpodarou"/>
        <w:rPr>
          <w:szCs w:val="18"/>
        </w:rPr>
      </w:pPr>
      <w:r w:rsidRPr="00994B5B">
        <w:rPr>
          <w:rStyle w:val="Znakapoznpodarou"/>
          <w:szCs w:val="18"/>
        </w:rPr>
        <w:footnoteRef/>
      </w:r>
      <w:r w:rsidRPr="00994B5B">
        <w:rPr>
          <w:szCs w:val="18"/>
        </w:rPr>
        <w:t xml:space="preserve"> </w:t>
      </w:r>
      <w:r w:rsidRPr="00783040">
        <w:t>Příspěvky</w:t>
      </w:r>
      <w:r w:rsidRPr="00994B5B">
        <w:rPr>
          <w:szCs w:val="18"/>
        </w:rPr>
        <w:t xml:space="preserve"> po vyloučení dovozu pro konečné užití.  </w:t>
      </w:r>
    </w:p>
  </w:footnote>
  <w:footnote w:id="4">
    <w:p w14:paraId="0781215A" w14:textId="77777777" w:rsidR="00683166" w:rsidRPr="00FC4D7F" w:rsidRDefault="00683166" w:rsidP="00683166">
      <w:pPr>
        <w:pStyle w:val="Textpoznpodarou"/>
        <w:jc w:val="both"/>
        <w:rPr>
          <w:szCs w:val="16"/>
        </w:rPr>
      </w:pPr>
      <w:r w:rsidRPr="00FC4D7F">
        <w:rPr>
          <w:rStyle w:val="Znakapoznpodarou"/>
          <w:szCs w:val="16"/>
        </w:rPr>
        <w:footnoteRef/>
      </w:r>
      <w:r w:rsidRPr="00FC4D7F">
        <w:rPr>
          <w:szCs w:val="16"/>
        </w:rPr>
        <w:t xml:space="preserve"> Údaj očištěný o cenové</w:t>
      </w:r>
      <w:r>
        <w:rPr>
          <w:szCs w:val="16"/>
        </w:rPr>
        <w:t xml:space="preserve"> vlivy pomocí deflátoru hrubé přidané hodnoty za celé národní hospodářství.</w:t>
      </w:r>
    </w:p>
  </w:footnote>
  <w:footnote w:id="5">
    <w:p w14:paraId="7FE92AFF" w14:textId="77777777" w:rsidR="00683166" w:rsidRPr="00FC4D7F" w:rsidRDefault="00683166" w:rsidP="00683166">
      <w:pPr>
        <w:pStyle w:val="Textpoznpodarou"/>
        <w:jc w:val="both"/>
        <w:rPr>
          <w:szCs w:val="16"/>
        </w:rPr>
      </w:pPr>
      <w:r w:rsidRPr="00FC4D7F">
        <w:rPr>
          <w:rStyle w:val="Znakapoznpodarou"/>
          <w:szCs w:val="16"/>
        </w:rPr>
        <w:footnoteRef/>
      </w:r>
      <w:r w:rsidRPr="00FC4D7F">
        <w:rPr>
          <w:szCs w:val="16"/>
        </w:rPr>
        <w:t xml:space="preserve"> </w:t>
      </w:r>
      <w:r>
        <w:rPr>
          <w:szCs w:val="16"/>
        </w:rPr>
        <w:t>Údaj o</w:t>
      </w:r>
      <w:r w:rsidRPr="00FC4D7F">
        <w:rPr>
          <w:szCs w:val="16"/>
        </w:rPr>
        <w:t>čištěný o cenové, sezónní a kalendářní vlivy. K očištění o cenové vlivy byl použit deflátor hrubé přidané hodnoty za celé národní hospodářství.</w:t>
      </w:r>
    </w:p>
  </w:footnote>
  <w:footnote w:id="6">
    <w:p w14:paraId="2F236668" w14:textId="77777777" w:rsidR="00683166" w:rsidRPr="0030704E" w:rsidRDefault="00683166" w:rsidP="00683166">
      <w:pPr>
        <w:pStyle w:val="Textpoznpodarou"/>
        <w:jc w:val="both"/>
      </w:pPr>
      <w:r w:rsidRPr="0030704E">
        <w:rPr>
          <w:rStyle w:val="Znakapoznpodarou"/>
        </w:rPr>
        <w:footnoteRef/>
      </w:r>
      <w:r w:rsidRPr="0030704E">
        <w:t xml:space="preserve"> Celková zaměstnanost v přepočtu na plnou pracovní dobu.</w:t>
      </w:r>
    </w:p>
  </w:footnote>
  <w:footnote w:id="7">
    <w:p w14:paraId="7C1C81AA" w14:textId="735EC3EE" w:rsidR="00683166" w:rsidRPr="00C875D9" w:rsidRDefault="00683166" w:rsidP="00683166">
      <w:pPr>
        <w:pStyle w:val="Textpoznpodarou"/>
        <w:jc w:val="both"/>
      </w:pPr>
      <w:r w:rsidRPr="00C875D9">
        <w:rPr>
          <w:rStyle w:val="Znakapoznpodarou"/>
        </w:rPr>
        <w:footnoteRef/>
      </w:r>
      <w:r w:rsidRPr="00C875D9">
        <w:t xml:space="preserve"> V běžných cenách vzrostla hrubá přidaná hodnota</w:t>
      </w:r>
      <w:r>
        <w:t xml:space="preserve"> nefinančních podniků </w:t>
      </w:r>
      <w:r w:rsidRPr="00C875D9">
        <w:t xml:space="preserve">meziročně o </w:t>
      </w:r>
      <w:r w:rsidR="005E1A50">
        <w:t>4,6</w:t>
      </w:r>
      <w:r w:rsidRPr="00A0533B">
        <w:t xml:space="preserve"> %.</w:t>
      </w:r>
    </w:p>
  </w:footnote>
  <w:footnote w:id="8">
    <w:p w14:paraId="6CA74773" w14:textId="77777777" w:rsidR="00683166" w:rsidRPr="008537E4" w:rsidRDefault="00683166" w:rsidP="00683166">
      <w:pPr>
        <w:pStyle w:val="Textpoznpodarou"/>
      </w:pPr>
      <w:r w:rsidRPr="008537E4">
        <w:rPr>
          <w:rStyle w:val="Znakapoznpodarou"/>
        </w:rPr>
        <w:footnoteRef/>
      </w:r>
      <w:r w:rsidRPr="008537E4">
        <w:t xml:space="preserve"> Vyjádřeno ukazatelem Náhrad</w:t>
      </w:r>
      <w:r>
        <w:t>y</w:t>
      </w:r>
      <w:r w:rsidRPr="008537E4">
        <w:t xml:space="preserve"> zaměstnanců</w:t>
      </w:r>
      <w:r>
        <w:t>m</w:t>
      </w:r>
      <w:r w:rsidRPr="008537E4">
        <w:t xml:space="preserve"> (D.1)</w:t>
      </w:r>
      <w:r>
        <w:t>.</w:t>
      </w:r>
    </w:p>
  </w:footnote>
  <w:footnote w:id="9">
    <w:p w14:paraId="686CE7CF" w14:textId="77777777" w:rsidR="00683166" w:rsidRPr="00CB23E5" w:rsidRDefault="00683166" w:rsidP="00683166">
      <w:pPr>
        <w:pStyle w:val="Textpoznpodarou"/>
        <w:jc w:val="both"/>
      </w:pPr>
      <w:r w:rsidRPr="00CB23E5">
        <w:rPr>
          <w:rStyle w:val="Znakapoznpodarou"/>
        </w:rPr>
        <w:footnoteRef/>
      </w:r>
      <w:r w:rsidRPr="00CB23E5">
        <w:t xml:space="preserve"> Vyjádřená poměrem </w:t>
      </w:r>
      <w:r>
        <w:t>hrubého provozního přebytku a hrubé přidané hodnoty, sezónně očištěný ukazatel.</w:t>
      </w:r>
    </w:p>
  </w:footnote>
  <w:footnote w:id="10">
    <w:p w14:paraId="3505D2BB" w14:textId="77777777" w:rsidR="00683166" w:rsidRPr="00DA4977" w:rsidRDefault="00683166" w:rsidP="00683166">
      <w:pPr>
        <w:pStyle w:val="Textpoznpodarou"/>
      </w:pPr>
      <w:r w:rsidRPr="00DA4977">
        <w:rPr>
          <w:rStyle w:val="Znakapoznpodarou"/>
        </w:rPr>
        <w:footnoteRef/>
      </w:r>
      <w:r w:rsidRPr="00DA4977">
        <w:t xml:space="preserve"> Vyjádřený </w:t>
      </w:r>
      <w:r>
        <w:t>vývojem</w:t>
      </w:r>
      <w:r w:rsidRPr="00DA4977">
        <w:t xml:space="preserve"> hrubého provozního přebytku</w:t>
      </w:r>
      <w:r>
        <w:t xml:space="preserve"> (B.2g) v běžných cenách</w:t>
      </w:r>
      <w:r w:rsidRPr="00DA4977">
        <w:t>.</w:t>
      </w:r>
    </w:p>
  </w:footnote>
  <w:footnote w:id="11">
    <w:p w14:paraId="3B72244E" w14:textId="4706811A" w:rsidR="00683166" w:rsidRPr="001D5B98" w:rsidRDefault="00683166" w:rsidP="00683166">
      <w:pPr>
        <w:pStyle w:val="Textpoznpodarou"/>
        <w:jc w:val="both"/>
      </w:pPr>
      <w:r w:rsidRPr="000303AC">
        <w:rPr>
          <w:rStyle w:val="Znakapoznpodarou"/>
        </w:rPr>
        <w:footnoteRef/>
      </w:r>
      <w:r w:rsidRPr="000303AC">
        <w:t xml:space="preserve"> </w:t>
      </w:r>
      <w:r w:rsidRPr="00393B22">
        <w:rPr>
          <w:spacing w:val="-4"/>
        </w:rPr>
        <w:t xml:space="preserve">Běžné daně z důchodů a jmění (D.5) zaplacené sektorem nefinančních podniků </w:t>
      </w:r>
      <w:r>
        <w:rPr>
          <w:spacing w:val="-4"/>
        </w:rPr>
        <w:t xml:space="preserve">vzrostly v běžných cenách o </w:t>
      </w:r>
      <w:r w:rsidR="005E1A50">
        <w:rPr>
          <w:spacing w:val="-4"/>
        </w:rPr>
        <w:t>4,4</w:t>
      </w:r>
      <w:r>
        <w:rPr>
          <w:spacing w:val="-4"/>
        </w:rPr>
        <w:t xml:space="preserve"> %</w:t>
      </w:r>
      <w:r w:rsidRPr="00393B22">
        <w:rPr>
          <w:spacing w:val="-4"/>
        </w:rPr>
        <w:t>.</w:t>
      </w:r>
    </w:p>
  </w:footnote>
  <w:footnote w:id="12">
    <w:p w14:paraId="24E78C0B" w14:textId="00A1E2F4" w:rsidR="00683166" w:rsidRPr="00D70329" w:rsidRDefault="00683166" w:rsidP="00683166">
      <w:pPr>
        <w:pStyle w:val="Textpoznpodarou"/>
        <w:rPr>
          <w:rStyle w:val="Znakapoznpodarou"/>
          <w:vertAlign w:val="baseline"/>
        </w:rPr>
      </w:pPr>
      <w:r w:rsidRPr="00D70329">
        <w:rPr>
          <w:rStyle w:val="Znakapoznpodarou"/>
        </w:rPr>
        <w:footnoteRef/>
      </w:r>
      <w:r w:rsidRPr="00D70329">
        <w:t xml:space="preserve"> Hrubé</w:t>
      </w:r>
      <w:r>
        <w:t xml:space="preserve"> úspory (B.8g) poklesly o </w:t>
      </w:r>
      <w:r w:rsidR="005E1A50">
        <w:t>93,9</w:t>
      </w:r>
      <w:r>
        <w:t xml:space="preserve"> mld. Kč, tj. o </w:t>
      </w:r>
      <w:r w:rsidR="005E1A50">
        <w:t>29,8</w:t>
      </w:r>
      <w:r>
        <w:t xml:space="preserve"> %. </w:t>
      </w:r>
    </w:p>
  </w:footnote>
  <w:footnote w:id="13">
    <w:p w14:paraId="61F45551" w14:textId="77777777" w:rsidR="00683166" w:rsidRPr="00215652" w:rsidRDefault="00683166" w:rsidP="00683166">
      <w:pPr>
        <w:pStyle w:val="Textpoznpodarou"/>
        <w:jc w:val="both"/>
      </w:pPr>
      <w:r w:rsidRPr="00215652">
        <w:rPr>
          <w:rStyle w:val="Znakapoznpodarou"/>
        </w:rPr>
        <w:footnoteRef/>
      </w:r>
      <w:r w:rsidRPr="00215652">
        <w:t xml:space="preserve"> Vyjádřenou </w:t>
      </w:r>
      <w:r>
        <w:t>poměrem hrubých úspor a hrubé přidané hodnoty</w:t>
      </w:r>
    </w:p>
  </w:footnote>
  <w:footnote w:id="14">
    <w:p w14:paraId="7579DDAA" w14:textId="77777777" w:rsidR="00683166" w:rsidRPr="00377BC7" w:rsidRDefault="00683166" w:rsidP="00683166">
      <w:pPr>
        <w:pStyle w:val="Textpoznpodarou"/>
        <w:jc w:val="both"/>
        <w:rPr>
          <w:szCs w:val="16"/>
        </w:rPr>
      </w:pPr>
      <w:r w:rsidRPr="00377BC7">
        <w:rPr>
          <w:rStyle w:val="Znakapoznpodarou"/>
          <w:szCs w:val="16"/>
        </w:rPr>
        <w:footnoteRef/>
      </w:r>
      <w:r w:rsidRPr="00377BC7">
        <w:rPr>
          <w:szCs w:val="16"/>
        </w:rPr>
        <w:t xml:space="preserve"> Vyjádřené ukazatelem </w:t>
      </w:r>
      <w:r>
        <w:rPr>
          <w:szCs w:val="16"/>
        </w:rPr>
        <w:t>Tvorba</w:t>
      </w:r>
      <w:r w:rsidRPr="00377BC7">
        <w:rPr>
          <w:szCs w:val="16"/>
        </w:rPr>
        <w:t xml:space="preserve"> hrubého fixního kapitálu (P.51g)</w:t>
      </w:r>
    </w:p>
  </w:footnote>
  <w:footnote w:id="15">
    <w:p w14:paraId="5F39A968" w14:textId="77777777" w:rsidR="00683166" w:rsidRPr="00377BC7" w:rsidRDefault="00683166" w:rsidP="00683166">
      <w:pPr>
        <w:pStyle w:val="Textpoznpodarou"/>
        <w:jc w:val="both"/>
        <w:rPr>
          <w:szCs w:val="16"/>
        </w:rPr>
      </w:pPr>
      <w:r w:rsidRPr="00377BC7">
        <w:rPr>
          <w:rStyle w:val="Znakapoznpodarou"/>
          <w:szCs w:val="16"/>
        </w:rPr>
        <w:footnoteRef/>
      </w:r>
      <w:r w:rsidRPr="00377BC7">
        <w:rPr>
          <w:szCs w:val="16"/>
        </w:rPr>
        <w:t xml:space="preserve"> Údaj vychází ze sezónně očištěných dat.</w:t>
      </w:r>
    </w:p>
  </w:footnote>
  <w:footnote w:id="16">
    <w:p w14:paraId="4224F54A" w14:textId="77777777" w:rsidR="00683166" w:rsidRPr="00215652" w:rsidRDefault="00683166" w:rsidP="00683166">
      <w:pPr>
        <w:pStyle w:val="Textpoznpodarou"/>
        <w:jc w:val="both"/>
      </w:pPr>
      <w:r w:rsidRPr="00215652">
        <w:rPr>
          <w:rStyle w:val="Znakapoznpodarou"/>
        </w:rPr>
        <w:footnoteRef/>
      </w:r>
      <w:r w:rsidRPr="00215652">
        <w:t xml:space="preserve"> Vyjádřená poměrem ukazatele Tvorby hrubého fixního kapitálu a hrubé přidané hodnoty. </w:t>
      </w:r>
    </w:p>
  </w:footnote>
  <w:footnote w:id="17">
    <w:p w14:paraId="1EE2F10D" w14:textId="77777777" w:rsidR="00683166" w:rsidRPr="00377BC7" w:rsidRDefault="00683166" w:rsidP="00683166">
      <w:pPr>
        <w:pStyle w:val="Textpoznpodarou"/>
        <w:jc w:val="both"/>
        <w:rPr>
          <w:szCs w:val="16"/>
        </w:rPr>
      </w:pPr>
      <w:r w:rsidRPr="00377BC7">
        <w:rPr>
          <w:rStyle w:val="Znakapoznpodarou"/>
          <w:szCs w:val="16"/>
        </w:rPr>
        <w:footnoteRef/>
      </w:r>
      <w:r w:rsidRPr="00377BC7">
        <w:rPr>
          <w:szCs w:val="16"/>
        </w:rPr>
        <w:t xml:space="preserve"> Údaj vychází ze sezónně očištěných dat.</w:t>
      </w:r>
    </w:p>
  </w:footnote>
  <w:footnote w:id="18">
    <w:p w14:paraId="0346390C" w14:textId="37701867" w:rsidR="00683166" w:rsidRPr="0030704E" w:rsidRDefault="00683166" w:rsidP="00683166">
      <w:pPr>
        <w:pStyle w:val="Textpoznpodarou"/>
        <w:jc w:val="both"/>
      </w:pPr>
      <w:r w:rsidRPr="0030704E">
        <w:rPr>
          <w:rStyle w:val="Znakapoznpodarou"/>
          <w:spacing w:val="-4"/>
        </w:rPr>
        <w:footnoteRef/>
      </w:r>
      <w:r w:rsidRPr="0030704E">
        <w:rPr>
          <w:spacing w:val="-4"/>
        </w:rPr>
        <w:t xml:space="preserve"> Ukazatel čisté půjčky/výpůjčky (B.9) </w:t>
      </w:r>
      <w:r>
        <w:rPr>
          <w:spacing w:val="-4"/>
        </w:rPr>
        <w:t>po sezónním očištění poklesl na -</w:t>
      </w:r>
      <w:r w:rsidR="00995049">
        <w:rPr>
          <w:spacing w:val="-4"/>
        </w:rPr>
        <w:t>119,5</w:t>
      </w:r>
      <w:r>
        <w:rPr>
          <w:spacing w:val="-4"/>
        </w:rPr>
        <w:t xml:space="preserve"> mld. Kč (z </w:t>
      </w:r>
      <w:r w:rsidR="00B2444F">
        <w:rPr>
          <w:spacing w:val="-4"/>
        </w:rPr>
        <w:t>8,5</w:t>
      </w:r>
      <w:r>
        <w:rPr>
          <w:spacing w:val="-4"/>
        </w:rPr>
        <w:t xml:space="preserve"> mld. v </w:t>
      </w:r>
      <w:r w:rsidR="00B2444F">
        <w:rPr>
          <w:spacing w:val="-4"/>
        </w:rPr>
        <w:t>1</w:t>
      </w:r>
      <w:r>
        <w:rPr>
          <w:spacing w:val="-4"/>
        </w:rPr>
        <w:t>. čtvrtletí 202</w:t>
      </w:r>
      <w:r w:rsidR="00B2444F">
        <w:rPr>
          <w:spacing w:val="-4"/>
        </w:rPr>
        <w:t>5</w:t>
      </w:r>
      <w:r w:rsidR="00661628">
        <w:rPr>
          <w:spacing w:val="-4"/>
        </w:rPr>
        <w:t xml:space="preserve"> a -24,8 mld. Kč ve 4. čtvrtletí 2025</w:t>
      </w:r>
      <w:r>
        <w:rPr>
          <w:spacing w:val="-4"/>
        </w:rPr>
        <w:t xml:space="preserve">), což naznačuje </w:t>
      </w:r>
      <w:r w:rsidR="00B2444F">
        <w:rPr>
          <w:spacing w:val="-4"/>
        </w:rPr>
        <w:t>zvýšenou</w:t>
      </w:r>
      <w:r>
        <w:rPr>
          <w:spacing w:val="-4"/>
        </w:rPr>
        <w:t xml:space="preserve"> ochotu nefinančních podniků jako celku půjčovat si finanční prostředky pro své podnikatelské aktivity. </w:t>
      </w:r>
    </w:p>
  </w:footnote>
  <w:footnote w:id="19">
    <w:p w14:paraId="3807331D" w14:textId="77777777" w:rsidR="00683166" w:rsidRPr="00EB0AEF" w:rsidRDefault="00683166" w:rsidP="00683166">
      <w:pPr>
        <w:pStyle w:val="Textpoznpodarou"/>
        <w:jc w:val="both"/>
      </w:pPr>
      <w:r w:rsidRPr="00EB0AEF">
        <w:rPr>
          <w:rStyle w:val="Znakapoznpodarou"/>
        </w:rPr>
        <w:footnoteRef/>
      </w:r>
      <w:r w:rsidRPr="00EB0AEF">
        <w:t xml:space="preserve"> Údaje v této kapitole odpovídají aktuálním notifikacím vládního deficitu a dluhu. Údaje se mohou mírně lišit od publikovaných údajů ve čtvrtletních sektorových účtech z důvodu revizní politiky národních účtů.</w:t>
      </w:r>
    </w:p>
  </w:footnote>
  <w:footnote w:id="20">
    <w:p w14:paraId="0740AA65" w14:textId="77777777" w:rsidR="00683166" w:rsidRPr="00EB0AEF" w:rsidRDefault="00683166" w:rsidP="00683166">
      <w:pPr>
        <w:pStyle w:val="Textpoznpodarou"/>
        <w:jc w:val="both"/>
      </w:pPr>
      <w:r w:rsidRPr="00EB0AEF">
        <w:rPr>
          <w:rStyle w:val="Znakapoznpodarou"/>
        </w:rPr>
        <w:footnoteRef/>
      </w:r>
      <w:r w:rsidRPr="00EB0AEF">
        <w:t xml:space="preserve"> Jedná se o ukazatel Čisté půjčky/výpůjčky (B.9).</w:t>
      </w:r>
    </w:p>
  </w:footnote>
  <w:footnote w:id="21">
    <w:p w14:paraId="56D59A6A" w14:textId="77777777" w:rsidR="00683166" w:rsidRPr="00676429" w:rsidRDefault="00683166" w:rsidP="00683166">
      <w:pPr>
        <w:pStyle w:val="Textpoznpodarou"/>
        <w:rPr>
          <w:szCs w:val="16"/>
        </w:rPr>
      </w:pPr>
      <w:r w:rsidRPr="00676429">
        <w:rPr>
          <w:rStyle w:val="Znakapoznpodarou"/>
          <w:szCs w:val="16"/>
        </w:rPr>
        <w:footnoteRef/>
      </w:r>
      <w:r w:rsidRPr="00676429">
        <w:rPr>
          <w:szCs w:val="16"/>
        </w:rPr>
        <w:t xml:space="preserve"> Jedná se o sezónně neočištěné údaje.</w:t>
      </w:r>
    </w:p>
  </w:footnote>
  <w:footnote w:id="22">
    <w:p w14:paraId="5B91B769" w14:textId="2D0863C3" w:rsidR="00683166" w:rsidRPr="008B1F9A" w:rsidRDefault="00683166" w:rsidP="00683166">
      <w:pPr>
        <w:pStyle w:val="Textpoznpodarou"/>
      </w:pPr>
      <w:r w:rsidRPr="008B1F9A">
        <w:rPr>
          <w:rStyle w:val="Znakapoznpodarou"/>
        </w:rPr>
        <w:footnoteRef/>
      </w:r>
      <w:r w:rsidRPr="008B1F9A">
        <w:t xml:space="preserve"> Jedná se o ukazatele Čisté sociální příspěvky (D.61), který vzrostl o 6,</w:t>
      </w:r>
      <w:r w:rsidR="008B1F9A" w:rsidRPr="008B1F9A">
        <w:t>5</w:t>
      </w:r>
      <w:r w:rsidRPr="008B1F9A">
        <w:t xml:space="preserve"> % na 3</w:t>
      </w:r>
      <w:r w:rsidR="008B1F9A" w:rsidRPr="008B1F9A">
        <w:t>47</w:t>
      </w:r>
      <w:r w:rsidRPr="008B1F9A">
        <w:t>,</w:t>
      </w:r>
      <w:r w:rsidR="008B1F9A" w:rsidRPr="008B1F9A">
        <w:t>4 m</w:t>
      </w:r>
      <w:r w:rsidRPr="008B1F9A">
        <w:t>ld. Kč.</w:t>
      </w:r>
    </w:p>
  </w:footnote>
  <w:footnote w:id="23">
    <w:p w14:paraId="00362E5C" w14:textId="6C2E45DE" w:rsidR="00683166" w:rsidRPr="00EB0AEF" w:rsidRDefault="00683166" w:rsidP="00683166">
      <w:pPr>
        <w:pStyle w:val="Textpoznpodarou"/>
        <w:jc w:val="both"/>
      </w:pPr>
      <w:r w:rsidRPr="009E4B3A">
        <w:rPr>
          <w:rStyle w:val="Znakapoznpodarou"/>
        </w:rPr>
        <w:footnoteRef/>
      </w:r>
      <w:r w:rsidRPr="009E4B3A">
        <w:t xml:space="preserve"> Jedná se o ukazatel Běžné daně z příjmů a majetku (D.5), který vzrostl meziročně o </w:t>
      </w:r>
      <w:r w:rsidR="009E4B3A" w:rsidRPr="009E4B3A">
        <w:t>4,1</w:t>
      </w:r>
      <w:r w:rsidRPr="009E4B3A">
        <w:t xml:space="preserve"> % na 1</w:t>
      </w:r>
      <w:r w:rsidR="009E4B3A" w:rsidRPr="009E4B3A">
        <w:t>59,9</w:t>
      </w:r>
      <w:r w:rsidRPr="009E4B3A">
        <w:t xml:space="preserve"> mld. Kč.</w:t>
      </w:r>
    </w:p>
  </w:footnote>
  <w:footnote w:id="24">
    <w:p w14:paraId="399D3286" w14:textId="1ED7EFA2" w:rsidR="00683166" w:rsidRPr="001574DA" w:rsidRDefault="00683166" w:rsidP="00683166">
      <w:pPr>
        <w:pStyle w:val="Textpoznpodarou"/>
        <w:rPr>
          <w:szCs w:val="16"/>
        </w:rPr>
      </w:pPr>
      <w:r w:rsidRPr="001574DA">
        <w:rPr>
          <w:rStyle w:val="Znakapoznpodarou"/>
          <w:szCs w:val="16"/>
        </w:rPr>
        <w:footnoteRef/>
      </w:r>
      <w:r w:rsidRPr="001574DA">
        <w:rPr>
          <w:szCs w:val="16"/>
        </w:rPr>
        <w:t xml:space="preserve"> Výběr daně z přidané hodnoty (</w:t>
      </w:r>
      <w:r w:rsidR="009E4B3A">
        <w:rPr>
          <w:szCs w:val="16"/>
        </w:rPr>
        <w:t xml:space="preserve">součást ukazatele </w:t>
      </w:r>
      <w:r w:rsidRPr="001574DA">
        <w:rPr>
          <w:szCs w:val="16"/>
        </w:rPr>
        <w:t>D.21) vzrostl o 8,</w:t>
      </w:r>
      <w:r w:rsidR="009E4B3A">
        <w:rPr>
          <w:szCs w:val="16"/>
        </w:rPr>
        <w:t>9</w:t>
      </w:r>
      <w:r w:rsidRPr="001574DA">
        <w:rPr>
          <w:szCs w:val="16"/>
        </w:rPr>
        <w:t xml:space="preserve"> </w:t>
      </w:r>
      <w:r>
        <w:rPr>
          <w:szCs w:val="16"/>
        </w:rPr>
        <w:t xml:space="preserve">% </w:t>
      </w:r>
      <w:r w:rsidRPr="001574DA">
        <w:rPr>
          <w:szCs w:val="16"/>
        </w:rPr>
        <w:t xml:space="preserve">na </w:t>
      </w:r>
      <w:r w:rsidR="009E4B3A">
        <w:rPr>
          <w:szCs w:val="16"/>
        </w:rPr>
        <w:t>146,4</w:t>
      </w:r>
      <w:r w:rsidRPr="001574DA">
        <w:rPr>
          <w:szCs w:val="16"/>
        </w:rPr>
        <w:t xml:space="preserve"> mld. Kč.</w:t>
      </w:r>
    </w:p>
  </w:footnote>
  <w:footnote w:id="25">
    <w:p w14:paraId="5D7B1139" w14:textId="143FBA36" w:rsidR="009072FC" w:rsidRPr="0030704E" w:rsidRDefault="009072FC" w:rsidP="009072FC">
      <w:pPr>
        <w:pStyle w:val="Textpoznpodarou"/>
        <w:jc w:val="both"/>
      </w:pPr>
      <w:r w:rsidRPr="00CF50A6">
        <w:rPr>
          <w:rStyle w:val="Znakapoznpodarou"/>
        </w:rPr>
        <w:footnoteRef/>
      </w:r>
      <w:r w:rsidRPr="00CF50A6">
        <w:t xml:space="preserve"> </w:t>
      </w:r>
      <w:r>
        <w:t xml:space="preserve">Spotřební daně i poplatek za obnovitelné zdroje jsou součástí ukazatele </w:t>
      </w:r>
      <w:r w:rsidRPr="00CF50A6">
        <w:t>Daně na produkci a</w:t>
      </w:r>
      <w:r>
        <w:t> </w:t>
      </w:r>
      <w:r w:rsidRPr="00CF50A6">
        <w:t>dovoz (D.2).</w:t>
      </w:r>
      <w:r>
        <w:t xml:space="preserve"> Například v roce 2025 představoval poplatek za obnovitelné zdroje energie okolo 2,4 % ukazatele D.2.</w:t>
      </w:r>
    </w:p>
  </w:footnote>
  <w:footnote w:id="26">
    <w:p w14:paraId="710F4E64" w14:textId="489560AB" w:rsidR="00683166" w:rsidRPr="00E302AD" w:rsidRDefault="00683166" w:rsidP="00683166">
      <w:pPr>
        <w:pStyle w:val="Textpoznpodarou"/>
        <w:rPr>
          <w:szCs w:val="16"/>
        </w:rPr>
      </w:pPr>
      <w:r w:rsidRPr="00E302AD">
        <w:rPr>
          <w:rStyle w:val="Znakapoznpodarou"/>
          <w:szCs w:val="16"/>
        </w:rPr>
        <w:footnoteRef/>
      </w:r>
      <w:r w:rsidRPr="00E302AD">
        <w:rPr>
          <w:szCs w:val="16"/>
        </w:rPr>
        <w:t xml:space="preserve"> Ukazatel tvorby hrubého fixního kapitálu byl meziročně vyšší o </w:t>
      </w:r>
      <w:r w:rsidR="00C96465">
        <w:rPr>
          <w:szCs w:val="16"/>
        </w:rPr>
        <w:t>13,8</w:t>
      </w:r>
      <w:r w:rsidRPr="00E302AD">
        <w:rPr>
          <w:szCs w:val="16"/>
        </w:rPr>
        <w:t xml:space="preserve"> %, tj. o </w:t>
      </w:r>
      <w:r w:rsidR="00C96465">
        <w:rPr>
          <w:szCs w:val="16"/>
        </w:rPr>
        <w:t>11,8</w:t>
      </w:r>
      <w:r w:rsidRPr="00E302AD">
        <w:rPr>
          <w:szCs w:val="16"/>
        </w:rPr>
        <w:t xml:space="preserve"> mld. Kč.</w:t>
      </w:r>
    </w:p>
  </w:footnote>
  <w:footnote w:id="27">
    <w:p w14:paraId="733F403F" w14:textId="77777777" w:rsidR="00683166" w:rsidRPr="0030704E" w:rsidRDefault="00683166" w:rsidP="00683166">
      <w:pPr>
        <w:pStyle w:val="Textpoznpodarou"/>
        <w:jc w:val="both"/>
      </w:pPr>
      <w:r w:rsidRPr="0030704E">
        <w:rPr>
          <w:rStyle w:val="Znakapoznpodarou"/>
        </w:rPr>
        <w:footnoteRef/>
      </w:r>
      <w:r w:rsidRPr="0030704E">
        <w:t xml:space="preserve"> </w:t>
      </w:r>
      <w:r>
        <w:t>Jedná se o uk</w:t>
      </w:r>
      <w:r w:rsidRPr="0030704E">
        <w:t>azatel Sociální dávky jiné než naturální sociální transfery (D.62)</w:t>
      </w:r>
      <w:r>
        <w:t xml:space="preserve"> a naturální sociální transfery – </w:t>
      </w:r>
      <w:r w:rsidRPr="0030704E">
        <w:t>nakoupen</w:t>
      </w:r>
      <w:r>
        <w:t>á</w:t>
      </w:r>
      <w:r w:rsidRPr="0030704E">
        <w:t xml:space="preserve"> tržní produkce (D.632)</w:t>
      </w:r>
      <w:r>
        <w:t>.</w:t>
      </w:r>
    </w:p>
  </w:footnote>
  <w:footnote w:id="28">
    <w:p w14:paraId="5C909CB5" w14:textId="77777777" w:rsidR="00683166" w:rsidRPr="00337C71" w:rsidRDefault="00683166" w:rsidP="00683166">
      <w:pPr>
        <w:autoSpaceDE w:val="0"/>
        <w:autoSpaceDN w:val="0"/>
        <w:adjustRightInd w:val="0"/>
        <w:spacing w:line="240" w:lineRule="auto"/>
        <w:rPr>
          <w:rStyle w:val="Znakapoznpodarou"/>
          <w:sz w:val="16"/>
          <w:szCs w:val="16"/>
          <w:vertAlign w:val="baseline"/>
          <w:lang w:eastAsia="cs-CZ"/>
        </w:rPr>
      </w:pPr>
      <w:r w:rsidRPr="00B15AA8">
        <w:rPr>
          <w:rStyle w:val="Znakapoznpodarou"/>
          <w:sz w:val="16"/>
          <w:szCs w:val="16"/>
        </w:rPr>
        <w:footnoteRef/>
      </w:r>
      <w:r w:rsidRPr="00B15AA8">
        <w:rPr>
          <w:sz w:val="16"/>
          <w:szCs w:val="16"/>
        </w:rPr>
        <w:t xml:space="preserve"> </w:t>
      </w:r>
      <w:r w:rsidRPr="00F25A1A">
        <w:rPr>
          <w:sz w:val="16"/>
          <w:szCs w:val="16"/>
        </w:rPr>
        <w:t xml:space="preserve">Dluh vládních institucí </w:t>
      </w:r>
      <w:r>
        <w:rPr>
          <w:sz w:val="16"/>
          <w:szCs w:val="16"/>
        </w:rPr>
        <w:t xml:space="preserve">je v tomto textu reprezentován </w:t>
      </w:r>
      <w:r w:rsidRPr="00F25A1A">
        <w:rPr>
          <w:sz w:val="16"/>
          <w:szCs w:val="16"/>
        </w:rPr>
        <w:t>výš</w:t>
      </w:r>
      <w:r>
        <w:rPr>
          <w:sz w:val="16"/>
          <w:szCs w:val="16"/>
        </w:rPr>
        <w:t>í</w:t>
      </w:r>
      <w:r w:rsidRPr="00F25A1A">
        <w:rPr>
          <w:sz w:val="16"/>
          <w:szCs w:val="16"/>
        </w:rPr>
        <w:t xml:space="preserve"> konsolidovaných závazků sektoru vládních institucí vyplývající z přijatých vkladů, emitovaných dluhových cenných papírů a přijatých půjček (tzv. Maastrichtský dluh pro potřeby EDP statistiky).</w:t>
      </w:r>
      <w:r>
        <w:rPr>
          <w:sz w:val="16"/>
          <w:szCs w:val="16"/>
        </w:rPr>
        <w:t xml:space="preserve"> </w:t>
      </w:r>
      <w:r w:rsidRPr="00802C76">
        <w:rPr>
          <w:sz w:val="16"/>
          <w:szCs w:val="16"/>
        </w:rPr>
        <w:t>Jedná se o ukazatel, který je odlišný od chápání dluhu v sektorových účtech podle ESA 2010 zahrnujícího navíc měnové zlato a zvláštní práva čerpání, účasti a podíly v investičních fondech, pojistné a penzijní programy, finanční deriváty a zaměstnanecké opce a ostatní závazky.</w:t>
      </w:r>
    </w:p>
  </w:footnote>
  <w:footnote w:id="29">
    <w:p w14:paraId="32D8B448" w14:textId="77777777" w:rsidR="00683166" w:rsidRPr="00FE7EFA" w:rsidRDefault="00683166" w:rsidP="00683166">
      <w:pPr>
        <w:pStyle w:val="Textpoznpodarou"/>
        <w:jc w:val="both"/>
      </w:pPr>
      <w:r w:rsidRPr="00FE7EFA">
        <w:rPr>
          <w:rStyle w:val="Znakapoznpodarou"/>
        </w:rPr>
        <w:footnoteRef/>
      </w:r>
      <w:r w:rsidRPr="00FE7EFA">
        <w:t xml:space="preserve"> </w:t>
      </w:r>
      <w:r>
        <w:t>Vyjadřuje poměr dluhu vládních institucí k HDP (</w:t>
      </w:r>
      <w:r w:rsidRPr="004B150D">
        <w:t>konečný stav dluhu aktuálního čtvrtletí k součtu hodnot HDP posledních 4 čtvrtletí</w:t>
      </w:r>
      <w:r>
        <w:t>).</w:t>
      </w:r>
    </w:p>
  </w:footnote>
  <w:footnote w:id="30">
    <w:p w14:paraId="3E88F08B" w14:textId="77777777" w:rsidR="00683166" w:rsidRPr="0030704E" w:rsidRDefault="00683166" w:rsidP="00683166">
      <w:pPr>
        <w:pStyle w:val="Textpoznpodarou"/>
        <w:jc w:val="both"/>
      </w:pPr>
      <w:r w:rsidRPr="0030704E">
        <w:rPr>
          <w:rStyle w:val="Znakapoznpodarou"/>
        </w:rPr>
        <w:footnoteRef/>
      </w:r>
      <w:r w:rsidRPr="0030704E">
        <w:t xml:space="preserve"> </w:t>
      </w:r>
      <w:r>
        <w:t>Reprezentované u</w:t>
      </w:r>
      <w:r w:rsidRPr="0030704E">
        <w:t>kazat</w:t>
      </w:r>
      <w:r>
        <w:t>elem</w:t>
      </w:r>
      <w:r w:rsidRPr="0030704E">
        <w:t xml:space="preserve"> </w:t>
      </w:r>
      <w:r w:rsidRPr="00783217">
        <w:rPr>
          <w:b/>
        </w:rPr>
        <w:t>Hrubý disponibilní důchod (B.6g)</w:t>
      </w:r>
      <w:r w:rsidRPr="00D274B1">
        <w:t xml:space="preserve">, </w:t>
      </w:r>
      <w:r>
        <w:t>který představuje celkový úhrn všech důchodů, které mají domácnosti k dispozici pro spotřebu, investice a jiné účely. V následujícím textu je tento ukazatel nahrazen pojmem „příjmy domácností“.</w:t>
      </w:r>
    </w:p>
  </w:footnote>
  <w:footnote w:id="31">
    <w:p w14:paraId="2680DBCA" w14:textId="77777777" w:rsidR="00683166" w:rsidRPr="009E0C2A" w:rsidRDefault="00683166" w:rsidP="00683166">
      <w:pPr>
        <w:pStyle w:val="Textpoznpodarou"/>
        <w:jc w:val="both"/>
        <w:rPr>
          <w:szCs w:val="16"/>
        </w:rPr>
      </w:pPr>
      <w:r w:rsidRPr="004E69CE">
        <w:rPr>
          <w:rStyle w:val="Znakapoznpodarou"/>
          <w:szCs w:val="16"/>
        </w:rPr>
        <w:footnoteRef/>
      </w:r>
      <w:r w:rsidRPr="004E69CE">
        <w:rPr>
          <w:szCs w:val="16"/>
        </w:rPr>
        <w:t xml:space="preserve"> Pro očištění o vliv cen byl použit deflátor výdajů na konečnou spotřebu domácností.</w:t>
      </w:r>
    </w:p>
  </w:footnote>
  <w:footnote w:id="32">
    <w:p w14:paraId="387C9F50" w14:textId="77777777" w:rsidR="00683166" w:rsidRPr="00CB29E5" w:rsidRDefault="00683166" w:rsidP="00683166">
      <w:pPr>
        <w:pStyle w:val="Textpoznpodarou"/>
        <w:jc w:val="both"/>
      </w:pPr>
      <w:r w:rsidRPr="00090D87">
        <w:rPr>
          <w:rStyle w:val="Znakapoznpodarou"/>
        </w:rPr>
        <w:footnoteRef/>
      </w:r>
      <w:r w:rsidRPr="00090D87">
        <w:t xml:space="preserve"> Tj. po očištění o </w:t>
      </w:r>
      <w:r>
        <w:t>cenové vlivy (</w:t>
      </w:r>
      <w:r w:rsidRPr="004E69CE">
        <w:rPr>
          <w:szCs w:val="16"/>
        </w:rPr>
        <w:t>deflátor</w:t>
      </w:r>
      <w:r>
        <w:rPr>
          <w:szCs w:val="16"/>
        </w:rPr>
        <w:t>em</w:t>
      </w:r>
      <w:r w:rsidRPr="004E69CE">
        <w:rPr>
          <w:szCs w:val="16"/>
        </w:rPr>
        <w:t xml:space="preserve"> výdajů na konečnou spotřebu domácností</w:t>
      </w:r>
      <w:r>
        <w:rPr>
          <w:szCs w:val="16"/>
        </w:rPr>
        <w:t>)</w:t>
      </w:r>
      <w:r>
        <w:t xml:space="preserve"> i o </w:t>
      </w:r>
      <w:r w:rsidRPr="00090D87">
        <w:t>sezónní a ka</w:t>
      </w:r>
      <w:r w:rsidRPr="00CB29E5">
        <w:t>lendářní vlivy.</w:t>
      </w:r>
    </w:p>
  </w:footnote>
  <w:footnote w:id="33">
    <w:p w14:paraId="1FF88C1E" w14:textId="054AB16D" w:rsidR="00683166" w:rsidRPr="00FB41D4" w:rsidRDefault="00683166" w:rsidP="00683166">
      <w:pPr>
        <w:pStyle w:val="Textpoznpodarou"/>
        <w:jc w:val="both"/>
      </w:pPr>
      <w:r w:rsidRPr="00CB29E5">
        <w:rPr>
          <w:rStyle w:val="Znakapoznpodarou"/>
        </w:rPr>
        <w:footnoteRef/>
      </w:r>
      <w:r w:rsidRPr="00CB29E5">
        <w:t xml:space="preserve"> Ukazatel (přijaté) Náhrady zaměstnancům (D.1) vzrostl meziročně nominálně o </w:t>
      </w:r>
      <w:r w:rsidR="00CB29E5" w:rsidRPr="00CB29E5">
        <w:t>7,8</w:t>
      </w:r>
      <w:r w:rsidRPr="00CB29E5">
        <w:t xml:space="preserve"> % a reálně o 5,</w:t>
      </w:r>
      <w:r w:rsidR="00CB29E5" w:rsidRPr="00CB29E5">
        <w:t>4</w:t>
      </w:r>
      <w:r w:rsidRPr="00CB29E5">
        <w:t xml:space="preserve"> % (očištěno o cenový vývoj pomocí deflátoru konečné spotřeby domácností).</w:t>
      </w:r>
      <w:r w:rsidRPr="00FB41D4">
        <w:t xml:space="preserve"> </w:t>
      </w:r>
    </w:p>
  </w:footnote>
  <w:footnote w:id="34">
    <w:p w14:paraId="1D241C63" w14:textId="77777777" w:rsidR="00683166" w:rsidRPr="00415F9D" w:rsidRDefault="00683166" w:rsidP="00683166">
      <w:pPr>
        <w:pStyle w:val="Textpoznpodarou"/>
        <w:jc w:val="both"/>
      </w:pPr>
      <w:r w:rsidRPr="00415F9D">
        <w:rPr>
          <w:rStyle w:val="Znakapoznpodarou"/>
        </w:rPr>
        <w:footnoteRef/>
      </w:r>
      <w:r w:rsidRPr="00415F9D">
        <w:t xml:space="preserve"> Ukazatel Čistý provozní přebytek a smíšený důchod (B.2n a B.3n)</w:t>
      </w:r>
    </w:p>
  </w:footnote>
  <w:footnote w:id="35">
    <w:p w14:paraId="0D61D25E" w14:textId="77777777" w:rsidR="00683166" w:rsidRPr="003D5938" w:rsidRDefault="00683166" w:rsidP="00683166">
      <w:pPr>
        <w:pStyle w:val="Textpoznpodarou"/>
        <w:jc w:val="both"/>
      </w:pPr>
      <w:r w:rsidRPr="003D5938">
        <w:rPr>
          <w:rStyle w:val="Znakapoznpodarou"/>
        </w:rPr>
        <w:footnoteRef/>
      </w:r>
      <w:r w:rsidRPr="003D5938">
        <w:t xml:space="preserve"> </w:t>
      </w:r>
      <w:r>
        <w:t>Reprezentovaný u</w:t>
      </w:r>
      <w:r w:rsidRPr="003D5938">
        <w:t>kazatel</w:t>
      </w:r>
      <w:r>
        <w:t>em</w:t>
      </w:r>
      <w:r w:rsidRPr="003D5938">
        <w:t xml:space="preserve"> Saldo druhotn</w:t>
      </w:r>
      <w:r>
        <w:t>ých důchodů (B.8g).</w:t>
      </w:r>
    </w:p>
  </w:footnote>
  <w:footnote w:id="36">
    <w:p w14:paraId="7CD00FCD" w14:textId="77777777" w:rsidR="00683166" w:rsidRPr="009327ED" w:rsidRDefault="00683166" w:rsidP="00683166">
      <w:pPr>
        <w:pStyle w:val="Textpoznpodarou"/>
        <w:jc w:val="both"/>
      </w:pPr>
      <w:r w:rsidRPr="009327ED">
        <w:rPr>
          <w:rStyle w:val="Znakapoznpodarou"/>
        </w:rPr>
        <w:footnoteRef/>
      </w:r>
      <w:r w:rsidRPr="009327ED">
        <w:t xml:space="preserve"> Ukazatel </w:t>
      </w:r>
      <w:r>
        <w:t>Výdaje na konečnou spotřebu domácností (P.3)</w:t>
      </w:r>
    </w:p>
  </w:footnote>
  <w:footnote w:id="37">
    <w:p w14:paraId="54FB1964" w14:textId="77777777" w:rsidR="00683166" w:rsidRPr="00255688" w:rsidRDefault="00683166" w:rsidP="00683166">
      <w:pPr>
        <w:pStyle w:val="Textpoznpodarou"/>
        <w:jc w:val="both"/>
        <w:rPr>
          <w:szCs w:val="16"/>
        </w:rPr>
      </w:pPr>
      <w:r w:rsidRPr="00255688">
        <w:rPr>
          <w:rStyle w:val="Znakapoznpodarou"/>
          <w:szCs w:val="16"/>
        </w:rPr>
        <w:footnoteRef/>
      </w:r>
      <w:r w:rsidRPr="00255688">
        <w:rPr>
          <w:szCs w:val="16"/>
        </w:rPr>
        <w:t xml:space="preserve"> Údaje očištěné o změny cen a kalendářní a sezónní vlivy.</w:t>
      </w:r>
    </w:p>
  </w:footnote>
  <w:footnote w:id="38">
    <w:p w14:paraId="4009FD26" w14:textId="77777777" w:rsidR="00683166" w:rsidRPr="00797632" w:rsidRDefault="00683166" w:rsidP="00683166">
      <w:pPr>
        <w:pStyle w:val="Textpoznpodarou"/>
        <w:jc w:val="both"/>
        <w:rPr>
          <w:szCs w:val="16"/>
        </w:rPr>
      </w:pPr>
      <w:r w:rsidRPr="00797632">
        <w:rPr>
          <w:rStyle w:val="Znakapoznpodarou"/>
          <w:szCs w:val="16"/>
        </w:rPr>
        <w:footnoteRef/>
      </w:r>
      <w:r w:rsidRPr="00797632">
        <w:rPr>
          <w:szCs w:val="16"/>
        </w:rPr>
        <w:t xml:space="preserve"> </w:t>
      </w:r>
      <w:r w:rsidRPr="00797632">
        <w:rPr>
          <w:rFonts w:cs="Arial"/>
          <w:iCs/>
          <w:szCs w:val="16"/>
        </w:rPr>
        <w:t xml:space="preserve">Hrubé úspory </w:t>
      </w:r>
      <w:r>
        <w:rPr>
          <w:rFonts w:cs="Arial"/>
          <w:iCs/>
          <w:szCs w:val="16"/>
        </w:rPr>
        <w:t xml:space="preserve">(B.8g) </w:t>
      </w:r>
      <w:r w:rsidRPr="00797632">
        <w:rPr>
          <w:rFonts w:cs="Arial"/>
          <w:iCs/>
          <w:szCs w:val="16"/>
        </w:rPr>
        <w:t>představují část hrubého disponibilního důchodu, která nebyla spotřebována ve formě výdajů na konečnou spotřebu.</w:t>
      </w:r>
    </w:p>
  </w:footnote>
  <w:footnote w:id="39">
    <w:p w14:paraId="5A418341" w14:textId="77777777" w:rsidR="00683166" w:rsidRPr="00381BD4" w:rsidRDefault="00683166" w:rsidP="00683166">
      <w:pPr>
        <w:pStyle w:val="Textpoznpodarou"/>
        <w:rPr>
          <w:szCs w:val="16"/>
        </w:rPr>
      </w:pPr>
      <w:r w:rsidRPr="00381BD4">
        <w:rPr>
          <w:rStyle w:val="Znakapoznpodarou"/>
          <w:szCs w:val="16"/>
        </w:rPr>
        <w:footnoteRef/>
      </w:r>
      <w:r w:rsidRPr="00381BD4">
        <w:rPr>
          <w:szCs w:val="16"/>
        </w:rPr>
        <w:t xml:space="preserve"> Vyjádřen</w:t>
      </w:r>
      <w:r>
        <w:rPr>
          <w:szCs w:val="16"/>
        </w:rPr>
        <w:t>á</w:t>
      </w:r>
      <w:r w:rsidRPr="00381BD4">
        <w:rPr>
          <w:szCs w:val="16"/>
        </w:rPr>
        <w:t xml:space="preserve"> poměrem hrubých úspor a hrubé přidané hodnoty</w:t>
      </w:r>
    </w:p>
  </w:footnote>
  <w:footnote w:id="40">
    <w:p w14:paraId="3D0EC40F" w14:textId="7242029F" w:rsidR="0048791D" w:rsidRPr="00CD27F3" w:rsidRDefault="0048791D" w:rsidP="0048791D">
      <w:pPr>
        <w:pStyle w:val="Textpoznpodarou"/>
        <w:rPr>
          <w:szCs w:val="16"/>
        </w:rPr>
      </w:pPr>
      <w:r w:rsidRPr="00CD27F3">
        <w:rPr>
          <w:rStyle w:val="Znakapoznpodarou"/>
          <w:szCs w:val="16"/>
        </w:rPr>
        <w:footnoteRef/>
      </w:r>
      <w:r w:rsidRPr="00CD27F3">
        <w:rPr>
          <w:szCs w:val="16"/>
        </w:rPr>
        <w:t xml:space="preserve">Údaj </w:t>
      </w:r>
      <w:r>
        <w:rPr>
          <w:szCs w:val="16"/>
        </w:rPr>
        <w:t>ne</w:t>
      </w:r>
      <w:r w:rsidRPr="00CD27F3">
        <w:rPr>
          <w:szCs w:val="16"/>
        </w:rPr>
        <w:t>očištěn</w:t>
      </w:r>
      <w:r>
        <w:rPr>
          <w:szCs w:val="16"/>
        </w:rPr>
        <w:t>ý</w:t>
      </w:r>
      <w:r w:rsidRPr="00CD27F3">
        <w:rPr>
          <w:szCs w:val="16"/>
        </w:rPr>
        <w:t xml:space="preserve"> o kalendářní a sezónní vlivy</w:t>
      </w:r>
      <w:r>
        <w:rPr>
          <w:szCs w:val="16"/>
        </w:rPr>
        <w:t>. Míra úspor vzrostla z 20,4 % na 20,7 %.</w:t>
      </w:r>
    </w:p>
  </w:footnote>
  <w:footnote w:id="41">
    <w:p w14:paraId="3E0C8ABC" w14:textId="6C76783D" w:rsidR="0048791D" w:rsidRPr="00BA60DC" w:rsidRDefault="0048791D" w:rsidP="0048791D">
      <w:pPr>
        <w:pStyle w:val="Textpoznpodarou"/>
        <w:jc w:val="both"/>
      </w:pPr>
      <w:r w:rsidRPr="00BA60DC">
        <w:rPr>
          <w:rStyle w:val="Znakapoznpodarou"/>
        </w:rPr>
        <w:footnoteRef/>
      </w:r>
      <w:r w:rsidRPr="00BA60DC">
        <w:t xml:space="preserve"> Údaje očištěné o kalendářní a sezónní vlivy</w:t>
      </w:r>
      <w:r>
        <w:t>. Míra úspor byla ve 4. čtvrtletí 2025 na stejné úrovni jako v 1. čtvrtletí 2026, tj. 20,0 %.</w:t>
      </w:r>
    </w:p>
  </w:footnote>
  <w:footnote w:id="42">
    <w:p w14:paraId="1156F95D" w14:textId="77777777" w:rsidR="00683166" w:rsidRPr="0085242C" w:rsidRDefault="00683166" w:rsidP="00683166">
      <w:pPr>
        <w:pStyle w:val="Textpoznpodarou"/>
        <w:jc w:val="both"/>
      </w:pPr>
      <w:r w:rsidRPr="0085242C">
        <w:rPr>
          <w:rStyle w:val="Znakapoznpodarou"/>
        </w:rPr>
        <w:footnoteRef/>
      </w:r>
      <w:r w:rsidRPr="0085242C">
        <w:t xml:space="preserve"> </w:t>
      </w:r>
      <w:r>
        <w:t>Reprezentované u</w:t>
      </w:r>
      <w:r w:rsidRPr="0085242C">
        <w:t>kazatel</w:t>
      </w:r>
      <w:r>
        <w:t>em</w:t>
      </w:r>
      <w:r w:rsidRPr="0085242C">
        <w:t xml:space="preserve"> Tvorba hrubého fixního kapitálu (P.51)</w:t>
      </w:r>
      <w:r>
        <w:t>.</w:t>
      </w:r>
    </w:p>
  </w:footnote>
  <w:footnote w:id="43">
    <w:p w14:paraId="454D9BC0" w14:textId="77777777" w:rsidR="00C54AA7" w:rsidRPr="00D715F5" w:rsidRDefault="00C54AA7" w:rsidP="00C54AA7">
      <w:pPr>
        <w:pStyle w:val="Textpoznpodarou"/>
        <w:rPr>
          <w:szCs w:val="16"/>
        </w:rPr>
      </w:pPr>
      <w:r w:rsidRPr="00D715F5">
        <w:rPr>
          <w:rStyle w:val="Znakapoznpodarou"/>
          <w:szCs w:val="16"/>
        </w:rPr>
        <w:footnoteRef/>
      </w:r>
      <w:r w:rsidRPr="00D715F5">
        <w:rPr>
          <w:szCs w:val="16"/>
        </w:rPr>
        <w:t xml:space="preserve"> Vyjádřená poměrem hrub</w:t>
      </w:r>
      <w:r>
        <w:rPr>
          <w:szCs w:val="16"/>
        </w:rPr>
        <w:t xml:space="preserve">é tvorby fixního kapitálu </w:t>
      </w:r>
      <w:r w:rsidRPr="00D715F5">
        <w:rPr>
          <w:szCs w:val="16"/>
        </w:rPr>
        <w:t>a hrubé přidané hodnoty</w:t>
      </w:r>
      <w:r>
        <w:rPr>
          <w:szCs w:val="16"/>
        </w:rPr>
        <w:t>. Údaj sezónně neočištěný.</w:t>
      </w:r>
    </w:p>
  </w:footnote>
  <w:footnote w:id="44">
    <w:p w14:paraId="0184DA7B" w14:textId="77777777" w:rsidR="00683166" w:rsidRPr="004C6B03" w:rsidRDefault="00683166" w:rsidP="00683166">
      <w:pPr>
        <w:pStyle w:val="Textpoznpodarou"/>
        <w:jc w:val="both"/>
        <w:rPr>
          <w:szCs w:val="16"/>
        </w:rPr>
      </w:pPr>
      <w:r w:rsidRPr="004C6B03">
        <w:rPr>
          <w:rStyle w:val="Znakapoznpodarou"/>
          <w:szCs w:val="16"/>
        </w:rPr>
        <w:footnoteRef/>
      </w:r>
      <w:r w:rsidRPr="004C6B03">
        <w:rPr>
          <w:szCs w:val="16"/>
        </w:rPr>
        <w:t xml:space="preserve"> </w:t>
      </w:r>
      <w:r w:rsidRPr="00BA60DC">
        <w:t>Údaje očištěné o kalendářní a sezónní vlivy</w:t>
      </w:r>
    </w:p>
  </w:footnote>
  <w:footnote w:id="45">
    <w:p w14:paraId="60BE61F2" w14:textId="422F116D" w:rsidR="00683166" w:rsidRPr="008F7016" w:rsidRDefault="00683166" w:rsidP="00683166">
      <w:pPr>
        <w:pStyle w:val="Textpoznpodarou"/>
        <w:jc w:val="both"/>
      </w:pPr>
      <w:r w:rsidRPr="008F7016">
        <w:rPr>
          <w:rStyle w:val="Znakapoznpodarou"/>
        </w:rPr>
        <w:footnoteRef/>
      </w:r>
      <w:r w:rsidRPr="008F7016">
        <w:t xml:space="preserve"> Ukazatel Čisté půjčky</w:t>
      </w:r>
      <w:r>
        <w:t>/výpůjčky</w:t>
      </w:r>
      <w:r w:rsidRPr="008F7016">
        <w:t xml:space="preserve"> (B.9g)</w:t>
      </w:r>
      <w:r>
        <w:t xml:space="preserve"> činil 1</w:t>
      </w:r>
      <w:r w:rsidR="00051848">
        <w:t>4</w:t>
      </w:r>
      <w:r>
        <w:t>6,</w:t>
      </w:r>
      <w:r w:rsidR="00051848">
        <w:t>0</w:t>
      </w:r>
      <w:r>
        <w:t xml:space="preserve"> mld. Kč, což bylo o </w:t>
      </w:r>
      <w:r w:rsidR="00051848">
        <w:t>10,1</w:t>
      </w:r>
      <w:r>
        <w:t xml:space="preserve"> mld. Kč </w:t>
      </w:r>
      <w:r w:rsidR="00051848">
        <w:t>více</w:t>
      </w:r>
      <w:r>
        <w:t xml:space="preserve"> než před rokem.</w:t>
      </w:r>
    </w:p>
  </w:footnote>
  <w:footnote w:id="46">
    <w:p w14:paraId="02C062C7" w14:textId="77777777" w:rsidR="00683166" w:rsidRPr="00FB20C3" w:rsidRDefault="00683166" w:rsidP="00683166">
      <w:pPr>
        <w:pStyle w:val="Textpoznpodarou"/>
        <w:jc w:val="both"/>
      </w:pPr>
      <w:r w:rsidRPr="00FB20C3">
        <w:rPr>
          <w:rStyle w:val="Znakapoznpodarou"/>
        </w:rPr>
        <w:footnoteRef/>
      </w:r>
      <w:r w:rsidRPr="00FB20C3">
        <w:t xml:space="preserve"> Oba údaje </w:t>
      </w:r>
      <w:r>
        <w:t xml:space="preserve">vychází z dat očištěných o cenové, sezónní a kalendářní vlivy. </w:t>
      </w:r>
    </w:p>
  </w:footnote>
  <w:footnote w:id="47">
    <w:p w14:paraId="299A0D6A" w14:textId="77777777" w:rsidR="00683166" w:rsidRPr="00F9227A" w:rsidRDefault="00683166" w:rsidP="00683166">
      <w:pPr>
        <w:pStyle w:val="Textpoznpodarou"/>
        <w:jc w:val="both"/>
      </w:pPr>
      <w:r w:rsidRPr="00F9227A">
        <w:rPr>
          <w:rStyle w:val="Znakapoznpodarou"/>
        </w:rPr>
        <w:footnoteRef/>
      </w:r>
      <w:r w:rsidRPr="00F9227A">
        <w:t xml:space="preserve"> </w:t>
      </w:r>
      <w:r w:rsidRPr="00FB20C3">
        <w:t xml:space="preserve">Oba údaje </w:t>
      </w:r>
      <w:r>
        <w:t xml:space="preserve">vychází z dat očištěných o cenové, sezónní a kalendářní vlivy. </w:t>
      </w:r>
    </w:p>
  </w:footnote>
  <w:footnote w:id="48">
    <w:p w14:paraId="160159EE" w14:textId="77777777" w:rsidR="00683166" w:rsidRPr="00326373" w:rsidRDefault="00683166" w:rsidP="00683166">
      <w:pPr>
        <w:pStyle w:val="Textpoznpodarou"/>
        <w:jc w:val="both"/>
      </w:pPr>
      <w:r w:rsidRPr="00326373">
        <w:rPr>
          <w:rStyle w:val="Znakapoznpodarou"/>
        </w:rPr>
        <w:footnoteRef/>
      </w:r>
      <w:r w:rsidRPr="00326373">
        <w:t xml:space="preserve"> Reprezentovaná ukazatelem Čisté půjčky/výpůjčky (B.9n).</w:t>
      </w:r>
      <w:r>
        <w:t xml:space="preserve"> Kladná pozice (půjčky) představují schopnost půjčovat finanční prostředky do 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3B5DA72F" w14:textId="77777777" w:rsidTr="00F21B6A">
      <w:trPr>
        <w:jc w:val="right"/>
      </w:trPr>
      <w:tc>
        <w:tcPr>
          <w:tcW w:w="4253" w:type="dxa"/>
        </w:tcPr>
        <w:p w14:paraId="37FE8C6B" w14:textId="70F08C15" w:rsidR="003208E6" w:rsidRDefault="00683166" w:rsidP="00C063DD">
          <w:pPr>
            <w:pStyle w:val="Nadpis3"/>
            <w:spacing w:before="0"/>
            <w:jc w:val="right"/>
          </w:pPr>
          <w:r>
            <w:t>Analýza</w:t>
          </w:r>
        </w:p>
      </w:tc>
    </w:tr>
  </w:tbl>
  <w:p w14:paraId="12E38667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17227621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3B"/>
    <w:rsid w:val="000106FE"/>
    <w:rsid w:val="000120B4"/>
    <w:rsid w:val="0002560E"/>
    <w:rsid w:val="00032CCE"/>
    <w:rsid w:val="00035F16"/>
    <w:rsid w:val="00043335"/>
    <w:rsid w:val="00051848"/>
    <w:rsid w:val="00054392"/>
    <w:rsid w:val="0005510C"/>
    <w:rsid w:val="00062565"/>
    <w:rsid w:val="00070445"/>
    <w:rsid w:val="00071F0F"/>
    <w:rsid w:val="00075D84"/>
    <w:rsid w:val="00083A55"/>
    <w:rsid w:val="00085436"/>
    <w:rsid w:val="000968A9"/>
    <w:rsid w:val="000A5093"/>
    <w:rsid w:val="000B4F0B"/>
    <w:rsid w:val="000B7BF1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27794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0D82"/>
    <w:rsid w:val="001510FA"/>
    <w:rsid w:val="00160FEB"/>
    <w:rsid w:val="001612DB"/>
    <w:rsid w:val="00164790"/>
    <w:rsid w:val="0016521D"/>
    <w:rsid w:val="001712FE"/>
    <w:rsid w:val="00171B3E"/>
    <w:rsid w:val="00175680"/>
    <w:rsid w:val="001909FA"/>
    <w:rsid w:val="0019514E"/>
    <w:rsid w:val="00195D3B"/>
    <w:rsid w:val="001D52C5"/>
    <w:rsid w:val="001D719A"/>
    <w:rsid w:val="001E0520"/>
    <w:rsid w:val="001E1B82"/>
    <w:rsid w:val="001E417F"/>
    <w:rsid w:val="001E513B"/>
    <w:rsid w:val="001E691A"/>
    <w:rsid w:val="001F03B2"/>
    <w:rsid w:val="001F493F"/>
    <w:rsid w:val="002000F6"/>
    <w:rsid w:val="00200551"/>
    <w:rsid w:val="002013B0"/>
    <w:rsid w:val="0020716F"/>
    <w:rsid w:val="002105C0"/>
    <w:rsid w:val="00214368"/>
    <w:rsid w:val="00216463"/>
    <w:rsid w:val="00220EAA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1F2D"/>
    <w:rsid w:val="002826B4"/>
    <w:rsid w:val="00293F29"/>
    <w:rsid w:val="00297C33"/>
    <w:rsid w:val="002B06B8"/>
    <w:rsid w:val="002C4C20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40C69"/>
    <w:rsid w:val="00342E5E"/>
    <w:rsid w:val="003540FA"/>
    <w:rsid w:val="00356332"/>
    <w:rsid w:val="00363815"/>
    <w:rsid w:val="003649D7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3D02"/>
    <w:rsid w:val="00444FDC"/>
    <w:rsid w:val="00450156"/>
    <w:rsid w:val="00454DC7"/>
    <w:rsid w:val="00456C0A"/>
    <w:rsid w:val="004573FA"/>
    <w:rsid w:val="004607B2"/>
    <w:rsid w:val="00463047"/>
    <w:rsid w:val="00466FFD"/>
    <w:rsid w:val="0046727D"/>
    <w:rsid w:val="004723B2"/>
    <w:rsid w:val="0048791D"/>
    <w:rsid w:val="00493ED9"/>
    <w:rsid w:val="004977D7"/>
    <w:rsid w:val="004A01A7"/>
    <w:rsid w:val="004A09C5"/>
    <w:rsid w:val="004A38DD"/>
    <w:rsid w:val="004B4A94"/>
    <w:rsid w:val="004C7DCA"/>
    <w:rsid w:val="004D7880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455B"/>
    <w:rsid w:val="005970F5"/>
    <w:rsid w:val="00597356"/>
    <w:rsid w:val="0059741B"/>
    <w:rsid w:val="005A012C"/>
    <w:rsid w:val="005A4EC9"/>
    <w:rsid w:val="005A60C3"/>
    <w:rsid w:val="005C14EB"/>
    <w:rsid w:val="005C29C9"/>
    <w:rsid w:val="005C4816"/>
    <w:rsid w:val="005C781E"/>
    <w:rsid w:val="005E1A50"/>
    <w:rsid w:val="005E1D85"/>
    <w:rsid w:val="005E3599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61628"/>
    <w:rsid w:val="0066540D"/>
    <w:rsid w:val="0067042F"/>
    <w:rsid w:val="00683166"/>
    <w:rsid w:val="0068544E"/>
    <w:rsid w:val="006950C1"/>
    <w:rsid w:val="0069524E"/>
    <w:rsid w:val="0069631F"/>
    <w:rsid w:val="006A4940"/>
    <w:rsid w:val="006A57CC"/>
    <w:rsid w:val="006C0860"/>
    <w:rsid w:val="006C2D08"/>
    <w:rsid w:val="006D622A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071A"/>
    <w:rsid w:val="00765263"/>
    <w:rsid w:val="007723F3"/>
    <w:rsid w:val="00773B0B"/>
    <w:rsid w:val="00776D53"/>
    <w:rsid w:val="00787190"/>
    <w:rsid w:val="007C1E85"/>
    <w:rsid w:val="007D1069"/>
    <w:rsid w:val="007D6A0E"/>
    <w:rsid w:val="007D6F07"/>
    <w:rsid w:val="007D7D39"/>
    <w:rsid w:val="00801CDD"/>
    <w:rsid w:val="00811964"/>
    <w:rsid w:val="008340C9"/>
    <w:rsid w:val="00834A49"/>
    <w:rsid w:val="00837E45"/>
    <w:rsid w:val="0084277E"/>
    <w:rsid w:val="008456A1"/>
    <w:rsid w:val="00851074"/>
    <w:rsid w:val="008541DA"/>
    <w:rsid w:val="0087049D"/>
    <w:rsid w:val="00870D3E"/>
    <w:rsid w:val="00877CF1"/>
    <w:rsid w:val="00881BA3"/>
    <w:rsid w:val="00884306"/>
    <w:rsid w:val="00891DB2"/>
    <w:rsid w:val="008A4895"/>
    <w:rsid w:val="008B0E87"/>
    <w:rsid w:val="008B1F9A"/>
    <w:rsid w:val="008C4A49"/>
    <w:rsid w:val="008D405D"/>
    <w:rsid w:val="008D5575"/>
    <w:rsid w:val="008F125B"/>
    <w:rsid w:val="008F533C"/>
    <w:rsid w:val="009072FC"/>
    <w:rsid w:val="009149E6"/>
    <w:rsid w:val="00916E60"/>
    <w:rsid w:val="00917C90"/>
    <w:rsid w:val="00945FB9"/>
    <w:rsid w:val="009475A7"/>
    <w:rsid w:val="00951930"/>
    <w:rsid w:val="00956F49"/>
    <w:rsid w:val="009610E2"/>
    <w:rsid w:val="0096469E"/>
    <w:rsid w:val="0097303D"/>
    <w:rsid w:val="00983393"/>
    <w:rsid w:val="00984352"/>
    <w:rsid w:val="00985819"/>
    <w:rsid w:val="00985B7C"/>
    <w:rsid w:val="00985E6B"/>
    <w:rsid w:val="00995049"/>
    <w:rsid w:val="009A389D"/>
    <w:rsid w:val="009B032C"/>
    <w:rsid w:val="009B0804"/>
    <w:rsid w:val="009C081A"/>
    <w:rsid w:val="009C0BC3"/>
    <w:rsid w:val="009C31A6"/>
    <w:rsid w:val="009D72AA"/>
    <w:rsid w:val="009E4B3A"/>
    <w:rsid w:val="009E4B81"/>
    <w:rsid w:val="009F3E9D"/>
    <w:rsid w:val="00A1255F"/>
    <w:rsid w:val="00A15A28"/>
    <w:rsid w:val="00A274A1"/>
    <w:rsid w:val="00A3283F"/>
    <w:rsid w:val="00A47859"/>
    <w:rsid w:val="00A55A71"/>
    <w:rsid w:val="00A66FC9"/>
    <w:rsid w:val="00A7786D"/>
    <w:rsid w:val="00A851CE"/>
    <w:rsid w:val="00A90461"/>
    <w:rsid w:val="00A91166"/>
    <w:rsid w:val="00A91452"/>
    <w:rsid w:val="00A94CB1"/>
    <w:rsid w:val="00A95D0B"/>
    <w:rsid w:val="00AA0C58"/>
    <w:rsid w:val="00AA1D72"/>
    <w:rsid w:val="00AA4C4E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444F"/>
    <w:rsid w:val="00B30BFC"/>
    <w:rsid w:val="00B31BB1"/>
    <w:rsid w:val="00B35F60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77C9F"/>
    <w:rsid w:val="00B8724F"/>
    <w:rsid w:val="00B90BD8"/>
    <w:rsid w:val="00B9367A"/>
    <w:rsid w:val="00B96F18"/>
    <w:rsid w:val="00BA175D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56A9"/>
    <w:rsid w:val="00C063DD"/>
    <w:rsid w:val="00C07FEA"/>
    <w:rsid w:val="00C12B28"/>
    <w:rsid w:val="00C15C5E"/>
    <w:rsid w:val="00C206E5"/>
    <w:rsid w:val="00C20725"/>
    <w:rsid w:val="00C21594"/>
    <w:rsid w:val="00C240F6"/>
    <w:rsid w:val="00C27B17"/>
    <w:rsid w:val="00C30639"/>
    <w:rsid w:val="00C311A5"/>
    <w:rsid w:val="00C326D6"/>
    <w:rsid w:val="00C40994"/>
    <w:rsid w:val="00C4391D"/>
    <w:rsid w:val="00C47D31"/>
    <w:rsid w:val="00C5077B"/>
    <w:rsid w:val="00C54AA7"/>
    <w:rsid w:val="00C559EC"/>
    <w:rsid w:val="00C5725B"/>
    <w:rsid w:val="00C61C26"/>
    <w:rsid w:val="00C678BE"/>
    <w:rsid w:val="00C744B6"/>
    <w:rsid w:val="00C744B7"/>
    <w:rsid w:val="00C74A09"/>
    <w:rsid w:val="00C75430"/>
    <w:rsid w:val="00C96465"/>
    <w:rsid w:val="00CA0DC0"/>
    <w:rsid w:val="00CA3ABB"/>
    <w:rsid w:val="00CA7894"/>
    <w:rsid w:val="00CB1B52"/>
    <w:rsid w:val="00CB1E4F"/>
    <w:rsid w:val="00CB29E5"/>
    <w:rsid w:val="00CB5768"/>
    <w:rsid w:val="00CB6B2A"/>
    <w:rsid w:val="00CC0409"/>
    <w:rsid w:val="00CC309B"/>
    <w:rsid w:val="00CC35A2"/>
    <w:rsid w:val="00CC7927"/>
    <w:rsid w:val="00CD0856"/>
    <w:rsid w:val="00CD48E1"/>
    <w:rsid w:val="00CD784B"/>
    <w:rsid w:val="00CE0BC6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A10DB"/>
    <w:rsid w:val="00DA5FC1"/>
    <w:rsid w:val="00DA6707"/>
    <w:rsid w:val="00DB4171"/>
    <w:rsid w:val="00DD3D93"/>
    <w:rsid w:val="00DD4E3E"/>
    <w:rsid w:val="00DD6689"/>
    <w:rsid w:val="00DF3F66"/>
    <w:rsid w:val="00E12747"/>
    <w:rsid w:val="00E14659"/>
    <w:rsid w:val="00E24FEA"/>
    <w:rsid w:val="00E25DF5"/>
    <w:rsid w:val="00E34849"/>
    <w:rsid w:val="00E3511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E71B0"/>
    <w:rsid w:val="00EF1981"/>
    <w:rsid w:val="00EF4611"/>
    <w:rsid w:val="00F0418D"/>
    <w:rsid w:val="00F049CC"/>
    <w:rsid w:val="00F04EC6"/>
    <w:rsid w:val="00F152C4"/>
    <w:rsid w:val="00F21784"/>
    <w:rsid w:val="00F21B6A"/>
    <w:rsid w:val="00F225F7"/>
    <w:rsid w:val="00F26AB3"/>
    <w:rsid w:val="00F30E1E"/>
    <w:rsid w:val="00F34410"/>
    <w:rsid w:val="00F508AE"/>
    <w:rsid w:val="00F562EF"/>
    <w:rsid w:val="00F668A6"/>
    <w:rsid w:val="00F70F49"/>
    <w:rsid w:val="00F7763B"/>
    <w:rsid w:val="00F837DE"/>
    <w:rsid w:val="00F843F9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198E"/>
  <w15:chartTrackingRefBased/>
  <w15:docId w15:val="{6E8FDB13-1675-41FB-9473-DF42BF1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aliases w:val="Text pozn. pod čarou_martin_ang"/>
    <w:basedOn w:val="Normln"/>
    <w:link w:val="TextpoznpodarouChar"/>
    <w:uiPriority w:val="99"/>
    <w:unhideWhenUsed/>
    <w:qFormat/>
    <w:rsid w:val="00281F2D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Datum">
    <w:name w:val="Datum_"/>
    <w:qFormat/>
    <w:rsid w:val="00683166"/>
    <w:pPr>
      <w:spacing w:after="0"/>
      <w:jc w:val="left"/>
    </w:pPr>
    <w:rPr>
      <w:rFonts w:ascii="Arial" w:eastAsia="Calibri" w:hAnsi="Arial" w:cs="Arial"/>
      <w:b/>
      <w:kern w:val="0"/>
      <w:sz w:val="18"/>
      <w:szCs w:val="22"/>
      <w14:ligatures w14:val="none"/>
    </w:rPr>
  </w:style>
  <w:style w:type="paragraph" w:customStyle="1" w:styleId="TabulkaGraf">
    <w:name w:val="Tabulka/Graf_"/>
    <w:next w:val="Normln"/>
    <w:link w:val="TabulkaGrafChar"/>
    <w:qFormat/>
    <w:rsid w:val="00683166"/>
    <w:pPr>
      <w:spacing w:after="0"/>
      <w:jc w:val="left"/>
    </w:pPr>
    <w:rPr>
      <w:rFonts w:ascii="Arial" w:eastAsia="Times New Roman" w:hAnsi="Arial" w:cs="Times New Roman"/>
      <w:b/>
      <w:bCs/>
      <w:kern w:val="0"/>
      <w:szCs w:val="28"/>
      <w14:ligatures w14:val="none"/>
    </w:rPr>
  </w:style>
  <w:style w:type="character" w:customStyle="1" w:styleId="TabulkaGrafChar">
    <w:name w:val="Tabulka/Graf_ Char"/>
    <w:link w:val="TabulkaGraf"/>
    <w:rsid w:val="00683166"/>
    <w:rPr>
      <w:rFonts w:ascii="Arial" w:eastAsia="Times New Roman" w:hAnsi="Arial" w:cs="Times New Roman"/>
      <w:b/>
      <w:bCs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21" Type="http://schemas.openxmlformats.org/officeDocument/2006/relationships/image" Target="media/image7.e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1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akova14689\Downloads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QU\QSA\Analyza\02_Data\An_050124_QSA_Grafy_S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QU\QSA\Analyza\02_Data\An_050124_QSA_Grafy_S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QU\QSA\Analyza\02_Data\An_050124_QSA_Grafy_S1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QU\QSA\Analyza\02_Data\An_050124_QSA_Grafy_S1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919444444444448E-2"/>
          <c:y val="5.982638888888888E-2"/>
          <c:w val="0.87152499999999999"/>
          <c:h val="0.59617963007834585"/>
        </c:manualLayout>
      </c:layout>
      <c:barChart>
        <c:barDir val="col"/>
        <c:grouping val="stacked"/>
        <c:varyColors val="0"/>
        <c:ser>
          <c:idx val="4"/>
          <c:order val="1"/>
          <c:tx>
            <c:strRef>
              <c:f>S1_HDP_prisp_yoy!$G$5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S1_HDP_prisp_yoy!$A$118:$B$134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S1_HDP_prisp_yoy!$G$118:$G$134</c:f>
              <c:numCache>
                <c:formatCode>#\ ##0.0</c:formatCode>
                <c:ptCount val="17"/>
                <c:pt idx="0">
                  <c:v>-1.7659259547092601</c:v>
                </c:pt>
                <c:pt idx="1">
                  <c:v>-0.35437704302788342</c:v>
                </c:pt>
                <c:pt idx="2">
                  <c:v>3.3959558042169986</c:v>
                </c:pt>
                <c:pt idx="3">
                  <c:v>1.5597732124999046</c:v>
                </c:pt>
                <c:pt idx="4">
                  <c:v>1.4173918937396648</c:v>
                </c:pt>
                <c:pt idx="5">
                  <c:v>2.1608165285294461</c:v>
                </c:pt>
                <c:pt idx="6">
                  <c:v>-9.3769962543974017E-2</c:v>
                </c:pt>
                <c:pt idx="7">
                  <c:v>1.9028589067099051</c:v>
                </c:pt>
                <c:pt idx="8">
                  <c:v>1.6095183022455009</c:v>
                </c:pt>
                <c:pt idx="9">
                  <c:v>0.76114473022660589</c:v>
                </c:pt>
                <c:pt idx="10">
                  <c:v>0.88217415060866333</c:v>
                </c:pt>
                <c:pt idx="11">
                  <c:v>-0.97132065529203104</c:v>
                </c:pt>
                <c:pt idx="12">
                  <c:v>-0.10474477344402278</c:v>
                </c:pt>
                <c:pt idx="13">
                  <c:v>-0.33749349509076421</c:v>
                </c:pt>
                <c:pt idx="14">
                  <c:v>-6.9780827539694501E-2</c:v>
                </c:pt>
                <c:pt idx="15">
                  <c:v>0.53101434254627122</c:v>
                </c:pt>
                <c:pt idx="16">
                  <c:v>-0.45319214885136372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EF-46AC-8C1A-1D84A684A4BC}"/>
            </c:ext>
          </c:extLst>
        </c:ser>
        <c:ser>
          <c:idx val="2"/>
          <c:order val="2"/>
          <c:tx>
            <c:strRef>
              <c:f>S1_HDP_prisp_yoy!$F$5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multiLvlStrRef>
              <c:f>S1_HDP_prisp_yoy!$A$118:$B$134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S1_HDP_prisp_yoy!$F$118:$F$134</c:f>
              <c:numCache>
                <c:formatCode>#\ ##0.0</c:formatCode>
                <c:ptCount val="17"/>
                <c:pt idx="0">
                  <c:v>2.7816994521149878</c:v>
                </c:pt>
                <c:pt idx="1">
                  <c:v>3.1755431742090514</c:v>
                </c:pt>
                <c:pt idx="2">
                  <c:v>0.20915629842316591</c:v>
                </c:pt>
                <c:pt idx="3">
                  <c:v>1.8009997539530445</c:v>
                </c:pt>
                <c:pt idx="4">
                  <c:v>0.76067915787227902</c:v>
                </c:pt>
                <c:pt idx="5">
                  <c:v>-0.59063027516664968</c:v>
                </c:pt>
                <c:pt idx="6">
                  <c:v>0.36278865577799224</c:v>
                </c:pt>
                <c:pt idx="7">
                  <c:v>-2.4756881487635387</c:v>
                </c:pt>
                <c:pt idx="8">
                  <c:v>-2.8555185362897242</c:v>
                </c:pt>
                <c:pt idx="9">
                  <c:v>-1.47023437535804</c:v>
                </c:pt>
                <c:pt idx="10">
                  <c:v>-1.0627542354454014</c:v>
                </c:pt>
                <c:pt idx="11">
                  <c:v>1.3572106714316252</c:v>
                </c:pt>
                <c:pt idx="12">
                  <c:v>1.5750658802035669</c:v>
                </c:pt>
                <c:pt idx="13">
                  <c:v>1.4691941721314119</c:v>
                </c:pt>
                <c:pt idx="14">
                  <c:v>1.2610386795786961</c:v>
                </c:pt>
                <c:pt idx="15">
                  <c:v>0.62344281358385856</c:v>
                </c:pt>
                <c:pt idx="16">
                  <c:v>1.2455706450686781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EF-46AC-8C1A-1D84A684A4BC}"/>
            </c:ext>
          </c:extLst>
        </c:ser>
        <c:ser>
          <c:idx val="1"/>
          <c:order val="3"/>
          <c:tx>
            <c:strRef>
              <c:f>S1_HDP_prisp_yoy!$E$5</c:f>
              <c:strCache>
                <c:ptCount val="1"/>
                <c:pt idx="0">
                  <c:v>Výdaje na konečnou spotřebu vlády a NISD</c:v>
                </c:pt>
              </c:strCache>
            </c:strRef>
          </c:tx>
          <c:spPr>
            <a:solidFill>
              <a:srgbClr val="FFABAB"/>
            </a:solidFill>
            <a:ln>
              <a:noFill/>
            </a:ln>
            <a:effectLst/>
          </c:spPr>
          <c:invertIfNegative val="0"/>
          <c:cat>
            <c:multiLvlStrRef>
              <c:f>S1_HDP_prisp_yoy!$A$118:$B$134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S1_HDP_prisp_yoy!$E$118:$E$134</c:f>
              <c:numCache>
                <c:formatCode>#\ ##0.0</c:formatCode>
                <c:ptCount val="17"/>
                <c:pt idx="0">
                  <c:v>0.4564486616943359</c:v>
                </c:pt>
                <c:pt idx="1">
                  <c:v>0.62504321778114336</c:v>
                </c:pt>
                <c:pt idx="2">
                  <c:v>-0.25102500583404475</c:v>
                </c:pt>
                <c:pt idx="3">
                  <c:v>-0.22259882423694899</c:v>
                </c:pt>
                <c:pt idx="4">
                  <c:v>0.62417453061559702</c:v>
                </c:pt>
                <c:pt idx="5">
                  <c:v>0.46425030500744868</c:v>
                </c:pt>
                <c:pt idx="6">
                  <c:v>0.65494309267481221</c:v>
                </c:pt>
                <c:pt idx="7">
                  <c:v>0.77132952549895695</c:v>
                </c:pt>
                <c:pt idx="8">
                  <c:v>0.41035363105921396</c:v>
                </c:pt>
                <c:pt idx="9">
                  <c:v>0.60432654096447369</c:v>
                </c:pt>
                <c:pt idx="10">
                  <c:v>0.52649529124365757</c:v>
                </c:pt>
                <c:pt idx="11">
                  <c:v>0.32426318990981096</c:v>
                </c:pt>
                <c:pt idx="12">
                  <c:v>0.52444582811806018</c:v>
                </c:pt>
                <c:pt idx="13">
                  <c:v>0.48001973162344946</c:v>
                </c:pt>
                <c:pt idx="14">
                  <c:v>0.57737456292015976</c:v>
                </c:pt>
                <c:pt idx="15">
                  <c:v>0.45550128004457019</c:v>
                </c:pt>
                <c:pt idx="16">
                  <c:v>0.28361960128235436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EF-46AC-8C1A-1D84A684A4BC}"/>
            </c:ext>
          </c:extLst>
        </c:ser>
        <c:ser>
          <c:idx val="0"/>
          <c:order val="4"/>
          <c:tx>
            <c:strRef>
              <c:f>S1_HDP_prisp_yoy!$D$5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S1_HDP_prisp_yoy!$A$118:$B$134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S1_HDP_prisp_yoy!$D$118:$D$134</c:f>
              <c:numCache>
                <c:formatCode>#\ ##0.0</c:formatCode>
                <c:ptCount val="17"/>
                <c:pt idx="0">
                  <c:v>3.3478771082223622</c:v>
                </c:pt>
                <c:pt idx="1">
                  <c:v>0.20608848990511941</c:v>
                </c:pt>
                <c:pt idx="2">
                  <c:v>-1.3308305014925808</c:v>
                </c:pt>
                <c:pt idx="3">
                  <c:v>-2.133398201009387</c:v>
                </c:pt>
                <c:pt idx="4">
                  <c:v>-2.5610837719270854</c:v>
                </c:pt>
                <c:pt idx="5">
                  <c:v>-1.7007322308662438</c:v>
                </c:pt>
                <c:pt idx="6">
                  <c:v>-1.140903226990895</c:v>
                </c:pt>
                <c:pt idx="7">
                  <c:v>0.25791189008006526</c:v>
                </c:pt>
                <c:pt idx="8">
                  <c:v>1.4243717014317181</c:v>
                </c:pt>
                <c:pt idx="9">
                  <c:v>0.57874385970309006</c:v>
                </c:pt>
                <c:pt idx="10">
                  <c:v>1.2059168800242355</c:v>
                </c:pt>
                <c:pt idx="11">
                  <c:v>1.2752974118298666</c:v>
                </c:pt>
                <c:pt idx="12">
                  <c:v>0.4722835008926129</c:v>
                </c:pt>
                <c:pt idx="13">
                  <c:v>1.1541228565654262</c:v>
                </c:pt>
                <c:pt idx="14">
                  <c:v>1.0380362506737109</c:v>
                </c:pt>
                <c:pt idx="15">
                  <c:v>1.1861033859896541</c:v>
                </c:pt>
                <c:pt idx="16">
                  <c:v>1.1204928044924178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EF-46AC-8C1A-1D84A684A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511580207"/>
        <c:axId val="511571887"/>
      </c:barChart>
      <c:lineChart>
        <c:grouping val="standard"/>
        <c:varyColors val="0"/>
        <c:ser>
          <c:idx val="3"/>
          <c:order val="0"/>
          <c:tx>
            <c:strRef>
              <c:f>S1_HDP_prisp_yoy!$C$5</c:f>
              <c:strCache>
                <c:ptCount val="1"/>
                <c:pt idx="0">
                  <c:v>Meziroční reálný růst HDP</c:v>
                </c:pt>
              </c:strCache>
            </c:strRef>
          </c:tx>
          <c:spPr>
            <a:ln w="1905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val>
            <c:numRef>
              <c:f>S1_HDP_prisp_yoy!$C$118:$C$134</c:f>
              <c:numCache>
                <c:formatCode>#\ ##0.0</c:formatCode>
                <c:ptCount val="17"/>
                <c:pt idx="0">
                  <c:v>4.8200898741923197</c:v>
                </c:pt>
                <c:pt idx="1">
                  <c:v>3.6522809066622983</c:v>
                </c:pt>
                <c:pt idx="2">
                  <c:v>2.0232693608762276</c:v>
                </c:pt>
                <c:pt idx="3">
                  <c:v>1.0047658391297176</c:v>
                </c:pt>
                <c:pt idx="4">
                  <c:v>0.24116370650165209</c:v>
                </c:pt>
                <c:pt idx="5">
                  <c:v>0.33368757459257381</c:v>
                </c:pt>
                <c:pt idx="6">
                  <c:v>-0.2168644776241706</c:v>
                </c:pt>
                <c:pt idx="7">
                  <c:v>0.45642119007503368</c:v>
                </c:pt>
                <c:pt idx="8">
                  <c:v>0.58872727412666848</c:v>
                </c:pt>
                <c:pt idx="9">
                  <c:v>0.47401600155365031</c:v>
                </c:pt>
                <c:pt idx="10">
                  <c:v>1.5518212457934482</c:v>
                </c:pt>
                <c:pt idx="11">
                  <c:v>1.9854273635758375</c:v>
                </c:pt>
                <c:pt idx="12">
                  <c:v>2.4669946215819039</c:v>
                </c:pt>
                <c:pt idx="13">
                  <c:v>2.765760747929761</c:v>
                </c:pt>
                <c:pt idx="14">
                  <c:v>2.8067001501513857</c:v>
                </c:pt>
                <c:pt idx="15">
                  <c:v>2.7960712000903101</c:v>
                </c:pt>
                <c:pt idx="16">
                  <c:v>2.1965843079785543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CEF-46AC-8C1A-1D84A684A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1580207"/>
        <c:axId val="511571887"/>
      </c:lineChart>
      <c:catAx>
        <c:axId val="51158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71887"/>
        <c:crosses val="autoZero"/>
        <c:auto val="1"/>
        <c:lblAlgn val="ctr"/>
        <c:lblOffset val="100"/>
        <c:noMultiLvlLbl val="0"/>
      </c:catAx>
      <c:valAx>
        <c:axId val="511571887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8020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3670408959965525"/>
          <c:w val="0.98809087301587306"/>
          <c:h val="0.16141489199400516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919444444444448E-2"/>
          <c:y val="6.1296428571428557E-2"/>
          <c:w val="0.87152499999999999"/>
          <c:h val="0.57988796296296297"/>
        </c:manualLayout>
      </c:layout>
      <c:barChart>
        <c:barDir val="col"/>
        <c:grouping val="stacked"/>
        <c:varyColors val="0"/>
        <c:ser>
          <c:idx val="4"/>
          <c:order val="1"/>
          <c:tx>
            <c:strRef>
              <c:f>S1_HDP_prisp_qoq!$G$5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S1_HDP_prisp_qoq!$A$118:$B$134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S1_HDP_prisp_qoq!$G$118:$G$134</c:f>
              <c:numCache>
                <c:formatCode>#\ ##0.0</c:formatCode>
                <c:ptCount val="17"/>
                <c:pt idx="0">
                  <c:v>0.22964932571003693</c:v>
                </c:pt>
                <c:pt idx="1">
                  <c:v>-0.11004697577581091</c:v>
                </c:pt>
                <c:pt idx="2">
                  <c:v>1.9732589332036894</c:v>
                </c:pt>
                <c:pt idx="3">
                  <c:v>-0.54920361460869893</c:v>
                </c:pt>
                <c:pt idx="4">
                  <c:v>0.10096096945202841</c:v>
                </c:pt>
                <c:pt idx="5">
                  <c:v>0.63158358948084747</c:v>
                </c:pt>
                <c:pt idx="6">
                  <c:v>-0.28357108599465985</c:v>
                </c:pt>
                <c:pt idx="7">
                  <c:v>1.4519103347850035</c:v>
                </c:pt>
                <c:pt idx="8">
                  <c:v>-0.19084875573963384</c:v>
                </c:pt>
                <c:pt idx="9">
                  <c:v>-0.20909274122971575</c:v>
                </c:pt>
                <c:pt idx="10">
                  <c:v>-0.1689383816891461</c:v>
                </c:pt>
                <c:pt idx="11">
                  <c:v>-0.39576395450318369</c:v>
                </c:pt>
                <c:pt idx="12">
                  <c:v>0.65040380033904144</c:v>
                </c:pt>
                <c:pt idx="13">
                  <c:v>-0.43012996800353942</c:v>
                </c:pt>
                <c:pt idx="14">
                  <c:v>0.10028620043318404</c:v>
                </c:pt>
                <c:pt idx="15">
                  <c:v>0.20815671873668223</c:v>
                </c:pt>
                <c:pt idx="16" formatCode="#,##0.00">
                  <c:v>-0.32264492149399437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A-4A2D-830A-E2A75316FFA5}"/>
            </c:ext>
          </c:extLst>
        </c:ser>
        <c:ser>
          <c:idx val="2"/>
          <c:order val="2"/>
          <c:tx>
            <c:strRef>
              <c:f>S1_HDP_prisp_qoq!$F$5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multiLvlStrRef>
              <c:f>S1_HDP_prisp_qoq!$A$118:$B$134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S1_HDP_prisp_qoq!$F$118:$F$134</c:f>
              <c:numCache>
                <c:formatCode>#\ ##0.0</c:formatCode>
                <c:ptCount val="17"/>
                <c:pt idx="0">
                  <c:v>1.1443440795770576</c:v>
                </c:pt>
                <c:pt idx="1">
                  <c:v>0.54271126488854204</c:v>
                </c:pt>
                <c:pt idx="2">
                  <c:v>-0.96517254041053424</c:v>
                </c:pt>
                <c:pt idx="3">
                  <c:v>1.0711578635134336</c:v>
                </c:pt>
                <c:pt idx="4">
                  <c:v>0.1096035008830329</c:v>
                </c:pt>
                <c:pt idx="5">
                  <c:v>-0.80553443708868211</c:v>
                </c:pt>
                <c:pt idx="6">
                  <c:v>-9.9245109291191576E-3</c:v>
                </c:pt>
                <c:pt idx="7">
                  <c:v>-1.7652851013154833</c:v>
                </c:pt>
                <c:pt idx="8">
                  <c:v>-0.27314142942525671</c:v>
                </c:pt>
                <c:pt idx="9">
                  <c:v>0.56885679518182197</c:v>
                </c:pt>
                <c:pt idx="10">
                  <c:v>0.40178032419443876</c:v>
                </c:pt>
                <c:pt idx="11">
                  <c:v>0.64731738832320784</c:v>
                </c:pt>
                <c:pt idx="12">
                  <c:v>-4.3408826860767975E-2</c:v>
                </c:pt>
                <c:pt idx="13">
                  <c:v>0.45491710976893357</c:v>
                </c:pt>
                <c:pt idx="14">
                  <c:v>0.19415260332533932</c:v>
                </c:pt>
                <c:pt idx="15">
                  <c:v>1.1282912858511275E-2</c:v>
                </c:pt>
                <c:pt idx="16" formatCode="#,##0.00">
                  <c:v>0.56901257395826932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BA-4A2D-830A-E2A75316FFA5}"/>
            </c:ext>
          </c:extLst>
        </c:ser>
        <c:ser>
          <c:idx val="1"/>
          <c:order val="3"/>
          <c:tx>
            <c:strRef>
              <c:f>S1_HDP_prisp_qoq!$E$5</c:f>
              <c:strCache>
                <c:ptCount val="1"/>
                <c:pt idx="0">
                  <c:v>Výdaje na konečnou spotřebu vlády a NISD</c:v>
                </c:pt>
              </c:strCache>
            </c:strRef>
          </c:tx>
          <c:spPr>
            <a:solidFill>
              <a:srgbClr val="FFABAB"/>
            </a:solidFill>
            <a:ln>
              <a:noFill/>
            </a:ln>
            <a:effectLst/>
          </c:spPr>
          <c:invertIfNegative val="0"/>
          <c:cat>
            <c:multiLvlStrRef>
              <c:f>S1_HDP_prisp_qoq!$A$118:$B$134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S1_HDP_prisp_qoq!$E$118:$E$134</c:f>
              <c:numCache>
                <c:formatCode>#\ ##0.0</c:formatCode>
                <c:ptCount val="17"/>
                <c:pt idx="0">
                  <c:v>-0.53858545323573737</c:v>
                </c:pt>
                <c:pt idx="1">
                  <c:v>0.14234798936673521</c:v>
                </c:pt>
                <c:pt idx="2">
                  <c:v>-4.5083724122303395E-2</c:v>
                </c:pt>
                <c:pt idx="3">
                  <c:v>0.21493850477103063</c:v>
                </c:pt>
                <c:pt idx="4">
                  <c:v>0.31144156188448441</c:v>
                </c:pt>
                <c:pt idx="5">
                  <c:v>-1.8631155842300764E-2</c:v>
                </c:pt>
                <c:pt idx="6">
                  <c:v>0.14489661755666697</c:v>
                </c:pt>
                <c:pt idx="7">
                  <c:v>0.33224525184404996</c:v>
                </c:pt>
                <c:pt idx="8">
                  <c:v>-4.6918899932352223E-2</c:v>
                </c:pt>
                <c:pt idx="9">
                  <c:v>0.1743111502963236</c:v>
                </c:pt>
                <c:pt idx="10">
                  <c:v>6.7073668381101209E-2</c:v>
                </c:pt>
                <c:pt idx="11">
                  <c:v>0.12723375397917186</c:v>
                </c:pt>
                <c:pt idx="12">
                  <c:v>0.1520793997329572</c:v>
                </c:pt>
                <c:pt idx="13">
                  <c:v>0.12806278874894625</c:v>
                </c:pt>
                <c:pt idx="14">
                  <c:v>0.16361809291797116</c:v>
                </c:pt>
                <c:pt idx="15">
                  <c:v>8.3090530447392247E-3</c:v>
                </c:pt>
                <c:pt idx="16" formatCode="#,##0.00">
                  <c:v>-2.0145596582840354E-2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BA-4A2D-830A-E2A75316FFA5}"/>
            </c:ext>
          </c:extLst>
        </c:ser>
        <c:ser>
          <c:idx val="0"/>
          <c:order val="4"/>
          <c:tx>
            <c:strRef>
              <c:f>S1_HDP_prisp_qoq!$D$5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S1_HDP_prisp_qoq!$A$118:$B$134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S1_HDP_prisp_qoq!$D$118:$D$134</c:f>
              <c:numCache>
                <c:formatCode>#\ ##0.0</c:formatCode>
                <c:ptCount val="17"/>
                <c:pt idx="0">
                  <c:v>0.11335665498909482</c:v>
                </c:pt>
                <c:pt idx="1">
                  <c:v>-0.26852017086466601</c:v>
                </c:pt>
                <c:pt idx="2">
                  <c:v>-0.82682588617400865</c:v>
                </c:pt>
                <c:pt idx="3">
                  <c:v>-1.1227844164807612</c:v>
                </c:pt>
                <c:pt idx="4">
                  <c:v>-0.33643210303489929</c:v>
                </c:pt>
                <c:pt idx="5">
                  <c:v>0.59167689443727067</c:v>
                </c:pt>
                <c:pt idx="6">
                  <c:v>-0.26478594755725626</c:v>
                </c:pt>
                <c:pt idx="7">
                  <c:v>0.26745135339500464</c:v>
                </c:pt>
                <c:pt idx="8">
                  <c:v>0.8284391474389422</c:v>
                </c:pt>
                <c:pt idx="9">
                  <c:v>-0.24950839388697255</c:v>
                </c:pt>
                <c:pt idx="10">
                  <c:v>0.35503202784406535</c:v>
                </c:pt>
                <c:pt idx="11">
                  <c:v>0.33574916520873399</c:v>
                </c:pt>
                <c:pt idx="12">
                  <c:v>3.2179231663109827E-2</c:v>
                </c:pt>
                <c:pt idx="13">
                  <c:v>0.42414614114302979</c:v>
                </c:pt>
                <c:pt idx="14">
                  <c:v>0.23687845360611126</c:v>
                </c:pt>
                <c:pt idx="15">
                  <c:v>0.47639542925898271</c:v>
                </c:pt>
                <c:pt idx="16" formatCode="#,##0.00">
                  <c:v>-2.2846425726587981E-2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BA-4A2D-830A-E2A75316FF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511580207"/>
        <c:axId val="511571887"/>
      </c:barChart>
      <c:lineChart>
        <c:grouping val="standard"/>
        <c:varyColors val="0"/>
        <c:ser>
          <c:idx val="3"/>
          <c:order val="0"/>
          <c:tx>
            <c:strRef>
              <c:f>S1_HDP_prisp_qoq!$C$5</c:f>
              <c:strCache>
                <c:ptCount val="1"/>
                <c:pt idx="0">
                  <c:v>Mezičtvrtletní růst HDP</c:v>
                </c:pt>
              </c:strCache>
            </c:strRef>
          </c:tx>
          <c:spPr>
            <a:ln w="1905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val>
            <c:numRef>
              <c:f>S1_HDP_prisp_qoq!$C$118:$C$134</c:f>
              <c:numCache>
                <c:formatCode>#\ ##0.0</c:formatCode>
                <c:ptCount val="17"/>
                <c:pt idx="0">
                  <c:v>0.94875441098109548</c:v>
                </c:pt>
                <c:pt idx="1">
                  <c:v>0.30648557421844203</c:v>
                </c:pt>
                <c:pt idx="2">
                  <c:v>0.13614145379075637</c:v>
                </c:pt>
                <c:pt idx="3">
                  <c:v>-0.38584978486377963</c:v>
                </c:pt>
                <c:pt idx="4">
                  <c:v>0.18557572813413969</c:v>
                </c:pt>
                <c:pt idx="5">
                  <c:v>0.39906973522346334</c:v>
                </c:pt>
                <c:pt idx="6">
                  <c:v>-0.41332662130082554</c:v>
                </c:pt>
                <c:pt idx="7">
                  <c:v>0.28629565623481312</c:v>
                </c:pt>
                <c:pt idx="8">
                  <c:v>0.31752509529270867</c:v>
                </c:pt>
                <c:pt idx="9">
                  <c:v>0.28457474789659898</c:v>
                </c:pt>
                <c:pt idx="10">
                  <c:v>0.65495991780097995</c:v>
                </c:pt>
                <c:pt idx="11">
                  <c:v>0.71449823096783405</c:v>
                </c:pt>
                <c:pt idx="12">
                  <c:v>0.79121664847778561</c:v>
                </c:pt>
                <c:pt idx="13">
                  <c:v>0.57697752637686506</c:v>
                </c:pt>
                <c:pt idx="14">
                  <c:v>0.69505842784639071</c:v>
                </c:pt>
                <c:pt idx="15">
                  <c:v>0.70408558888750861</c:v>
                </c:pt>
                <c:pt idx="16">
                  <c:v>0.20342168204226141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8BA-4A2D-830A-E2A75316FF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1580207"/>
        <c:axId val="511571887"/>
      </c:lineChart>
      <c:catAx>
        <c:axId val="51158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71887"/>
        <c:crosses val="autoZero"/>
        <c:auto val="1"/>
        <c:lblAlgn val="ctr"/>
        <c:lblOffset val="100"/>
        <c:noMultiLvlLbl val="0"/>
      </c:catAx>
      <c:valAx>
        <c:axId val="511571887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80207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4306150793650791"/>
          <c:w val="0.98809087301587306"/>
          <c:h val="0.15505753968253966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23687664041995"/>
          <c:y val="4.5479470510963654E-2"/>
          <c:w val="0.83120756780402449"/>
          <c:h val="0.646019288849966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S11_HPH!$D$5</c:f>
              <c:strCache>
                <c:ptCount val="1"/>
                <c:pt idx="0">
                  <c:v>Mzdy a platy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multiLvlStrRef>
              <c:f>S11_HPH!$A$118:$B$134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S11_HPH!$D$118:$D$134</c:f>
              <c:numCache>
                <c:formatCode>#,##0</c:formatCode>
                <c:ptCount val="17"/>
                <c:pt idx="0">
                  <c:v>48097</c:v>
                </c:pt>
                <c:pt idx="1">
                  <c:v>45735</c:v>
                </c:pt>
                <c:pt idx="2">
                  <c:v>33144</c:v>
                </c:pt>
                <c:pt idx="3">
                  <c:v>41214</c:v>
                </c:pt>
                <c:pt idx="4">
                  <c:v>45379</c:v>
                </c:pt>
                <c:pt idx="5">
                  <c:v>39228</c:v>
                </c:pt>
                <c:pt idx="6">
                  <c:v>34252</c:v>
                </c:pt>
                <c:pt idx="7">
                  <c:v>34028</c:v>
                </c:pt>
                <c:pt idx="8">
                  <c:v>27840</c:v>
                </c:pt>
                <c:pt idx="9">
                  <c:v>26292</c:v>
                </c:pt>
                <c:pt idx="10">
                  <c:v>26545</c:v>
                </c:pt>
                <c:pt idx="11">
                  <c:v>30342</c:v>
                </c:pt>
                <c:pt idx="12">
                  <c:v>31146</c:v>
                </c:pt>
                <c:pt idx="13">
                  <c:v>38054</c:v>
                </c:pt>
                <c:pt idx="14">
                  <c:v>33965</c:v>
                </c:pt>
                <c:pt idx="15">
                  <c:v>35077</c:v>
                </c:pt>
                <c:pt idx="16">
                  <c:v>45750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E-4336-9E88-2F6F8204E1B5}"/>
            </c:ext>
          </c:extLst>
        </c:ser>
        <c:ser>
          <c:idx val="1"/>
          <c:order val="1"/>
          <c:tx>
            <c:strRef>
              <c:f>S11_HPH!$E$5</c:f>
              <c:strCache>
                <c:ptCount val="1"/>
                <c:pt idx="0">
                  <c:v>Hrubý provozní přebytek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S11_HPH!$A$118:$B$134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S11_HPH!$E$118:$E$134</c:f>
              <c:numCache>
                <c:formatCode>#,##0</c:formatCode>
                <c:ptCount val="17"/>
                <c:pt idx="0">
                  <c:v>10172</c:v>
                </c:pt>
                <c:pt idx="1">
                  <c:v>44626</c:v>
                </c:pt>
                <c:pt idx="2">
                  <c:v>74673</c:v>
                </c:pt>
                <c:pt idx="3">
                  <c:v>83079</c:v>
                </c:pt>
                <c:pt idx="4">
                  <c:v>91115</c:v>
                </c:pt>
                <c:pt idx="5">
                  <c:v>78094</c:v>
                </c:pt>
                <c:pt idx="6">
                  <c:v>38263</c:v>
                </c:pt>
                <c:pt idx="7">
                  <c:v>20706</c:v>
                </c:pt>
                <c:pt idx="8">
                  <c:v>-4416</c:v>
                </c:pt>
                <c:pt idx="9">
                  <c:v>8209</c:v>
                </c:pt>
                <c:pt idx="10">
                  <c:v>33615</c:v>
                </c:pt>
                <c:pt idx="11">
                  <c:v>-4244</c:v>
                </c:pt>
                <c:pt idx="12">
                  <c:v>12251</c:v>
                </c:pt>
                <c:pt idx="13">
                  <c:v>10977</c:v>
                </c:pt>
                <c:pt idx="14">
                  <c:v>30738</c:v>
                </c:pt>
                <c:pt idx="15">
                  <c:v>16991</c:v>
                </c:pt>
                <c:pt idx="16">
                  <c:v>-7414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1E-4336-9E88-2F6F8204E1B5}"/>
            </c:ext>
          </c:extLst>
        </c:ser>
        <c:ser>
          <c:idx val="2"/>
          <c:order val="2"/>
          <c:tx>
            <c:strRef>
              <c:f>S11_HPH!$F$5</c:f>
              <c:strCache>
                <c:ptCount val="1"/>
                <c:pt idx="0">
                  <c:v>Ostatní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S11_HPH!$A$118:$B$134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S11_HPH!$F$118:$F$134</c:f>
              <c:numCache>
                <c:formatCode>#,##0</c:formatCode>
                <c:ptCount val="17"/>
                <c:pt idx="0">
                  <c:v>28403</c:v>
                </c:pt>
                <c:pt idx="1">
                  <c:v>17565</c:v>
                </c:pt>
                <c:pt idx="2">
                  <c:v>5752</c:v>
                </c:pt>
                <c:pt idx="3">
                  <c:v>1701</c:v>
                </c:pt>
                <c:pt idx="4">
                  <c:v>9893</c:v>
                </c:pt>
                <c:pt idx="5">
                  <c:v>9475</c:v>
                </c:pt>
                <c:pt idx="6">
                  <c:v>6066</c:v>
                </c:pt>
                <c:pt idx="7">
                  <c:v>3276</c:v>
                </c:pt>
                <c:pt idx="8">
                  <c:v>12030</c:v>
                </c:pt>
                <c:pt idx="9">
                  <c:v>8988</c:v>
                </c:pt>
                <c:pt idx="10">
                  <c:v>14598</c:v>
                </c:pt>
                <c:pt idx="11">
                  <c:v>22853</c:v>
                </c:pt>
                <c:pt idx="12">
                  <c:v>7312</c:v>
                </c:pt>
                <c:pt idx="13">
                  <c:v>12580</c:v>
                </c:pt>
                <c:pt idx="14">
                  <c:v>6006</c:v>
                </c:pt>
                <c:pt idx="15">
                  <c:v>7154</c:v>
                </c:pt>
                <c:pt idx="16">
                  <c:v>11464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1E-4336-9E88-2F6F8204E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511580207"/>
        <c:axId val="511571887"/>
      </c:barChart>
      <c:lineChart>
        <c:grouping val="standard"/>
        <c:varyColors val="0"/>
        <c:ser>
          <c:idx val="3"/>
          <c:order val="3"/>
          <c:tx>
            <c:strRef>
              <c:f>S11_HPH!$C$5</c:f>
              <c:strCache>
                <c:ptCount val="1"/>
                <c:pt idx="0">
                  <c:v>Meziroční změna hrubé přidané hodnoty</c:v>
                </c:pt>
              </c:strCache>
            </c:strRef>
          </c:tx>
          <c:spPr>
            <a:ln w="1905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val>
            <c:numRef>
              <c:f>S11_HPH!$C$118:$C$134</c:f>
              <c:numCache>
                <c:formatCode>#,##0</c:formatCode>
                <c:ptCount val="17"/>
                <c:pt idx="0">
                  <c:v>86672</c:v>
                </c:pt>
                <c:pt idx="1">
                  <c:v>107926</c:v>
                </c:pt>
                <c:pt idx="2">
                  <c:v>113569</c:v>
                </c:pt>
                <c:pt idx="3">
                  <c:v>125994</c:v>
                </c:pt>
                <c:pt idx="4">
                  <c:v>146387</c:v>
                </c:pt>
                <c:pt idx="5">
                  <c:v>126797</c:v>
                </c:pt>
                <c:pt idx="6">
                  <c:v>78581</c:v>
                </c:pt>
                <c:pt idx="7">
                  <c:v>58010</c:v>
                </c:pt>
                <c:pt idx="8">
                  <c:v>35454</c:v>
                </c:pt>
                <c:pt idx="9">
                  <c:v>43489</c:v>
                </c:pt>
                <c:pt idx="10">
                  <c:v>74758</c:v>
                </c:pt>
                <c:pt idx="11">
                  <c:v>48951</c:v>
                </c:pt>
                <c:pt idx="12">
                  <c:v>50709</c:v>
                </c:pt>
                <c:pt idx="13">
                  <c:v>61611</c:v>
                </c:pt>
                <c:pt idx="14">
                  <c:v>70709</c:v>
                </c:pt>
                <c:pt idx="15">
                  <c:v>59222</c:v>
                </c:pt>
                <c:pt idx="16">
                  <c:v>49800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B1E-4336-9E88-2F6F8204E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1580207"/>
        <c:axId val="511571887"/>
      </c:lineChart>
      <c:catAx>
        <c:axId val="51158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71887"/>
        <c:crosses val="autoZero"/>
        <c:auto val="1"/>
        <c:lblAlgn val="ctr"/>
        <c:lblOffset val="100"/>
        <c:noMultiLvlLbl val="0"/>
      </c:catAx>
      <c:valAx>
        <c:axId val="511571887"/>
        <c:scaling>
          <c:orientation val="minMax"/>
          <c:max val="180000"/>
          <c:min val="-900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80207"/>
        <c:crosses val="autoZero"/>
        <c:crossBetween val="between"/>
        <c:majorUnit val="3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399801587301585E-2"/>
          <c:y val="0.87254853088124673"/>
          <c:w val="0.90745595238095222"/>
          <c:h val="0.1256721344605746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95912698412699"/>
          <c:y val="4.5479470510963654E-2"/>
          <c:w val="0.86648531746031743"/>
          <c:h val="0.64601928884996684"/>
        </c:manualLayout>
      </c:layout>
      <c:lineChart>
        <c:grouping val="standard"/>
        <c:varyColors val="0"/>
        <c:ser>
          <c:idx val="0"/>
          <c:order val="0"/>
          <c:tx>
            <c:strRef>
              <c:f>S11_zisk!$C$5</c:f>
              <c:strCache>
                <c:ptCount val="1"/>
                <c:pt idx="0">
                  <c:v>Míra zisku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S11_zisk!$A$118:$B$134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S11_zisk!$C$118:$C$134</c:f>
              <c:numCache>
                <c:formatCode>#\ ##0.0</c:formatCode>
                <c:ptCount val="17"/>
                <c:pt idx="0">
                  <c:v>44.130175574400781</c:v>
                </c:pt>
                <c:pt idx="1">
                  <c:v>44.685245043484549</c:v>
                </c:pt>
                <c:pt idx="2">
                  <c:v>46.010501495804753</c:v>
                </c:pt>
                <c:pt idx="3">
                  <c:v>46.621107219948229</c:v>
                </c:pt>
                <c:pt idx="4">
                  <c:v>46.785755750636397</c:v>
                </c:pt>
                <c:pt idx="5">
                  <c:v>47.044751046640904</c:v>
                </c:pt>
                <c:pt idx="6">
                  <c:v>46.294812349395599</c:v>
                </c:pt>
                <c:pt idx="7">
                  <c:v>46.062070372373576</c:v>
                </c:pt>
                <c:pt idx="8">
                  <c:v>45.554381310420872</c:v>
                </c:pt>
                <c:pt idx="9">
                  <c:v>45.425196105884453</c:v>
                </c:pt>
                <c:pt idx="10">
                  <c:v>45.009205126132677</c:v>
                </c:pt>
                <c:pt idx="11">
                  <c:v>44.078534839309874</c:v>
                </c:pt>
                <c:pt idx="12">
                  <c:v>44.650962086086352</c:v>
                </c:pt>
                <c:pt idx="13">
                  <c:v>44.417342358585493</c:v>
                </c:pt>
                <c:pt idx="14">
                  <c:v>44.247981811423656</c:v>
                </c:pt>
                <c:pt idx="15">
                  <c:v>43.768854925582247</c:v>
                </c:pt>
                <c:pt idx="16">
                  <c:v>42.4561014152006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86-4909-AA48-B9FE12A2C025}"/>
            </c:ext>
          </c:extLst>
        </c:ser>
        <c:ser>
          <c:idx val="2"/>
          <c:order val="1"/>
          <c:tx>
            <c:strRef>
              <c:f>S11_zisk!$D$5</c:f>
              <c:strCache>
                <c:ptCount val="1"/>
                <c:pt idx="0">
                  <c:v>Podíl náhrad zaměstnanců na HPH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multiLvlStrRef>
              <c:f>S11_zisk!$A$118:$B$134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  <c:pt idx="12">
                    <c:v>2025</c:v>
                  </c:pt>
                  <c:pt idx="16">
                    <c:v>2026</c:v>
                  </c:pt>
                </c:lvl>
              </c:multiLvlStrCache>
            </c:multiLvlStrRef>
          </c:cat>
          <c:val>
            <c:numRef>
              <c:f>S11_zisk!$D$118:$D$134</c:f>
              <c:numCache>
                <c:formatCode>#\ ##0.0</c:formatCode>
                <c:ptCount val="17"/>
                <c:pt idx="0">
                  <c:v>56.807537396421587</c:v>
                </c:pt>
                <c:pt idx="1">
                  <c:v>56.242964482473184</c:v>
                </c:pt>
                <c:pt idx="2">
                  <c:v>55.079872270207765</c:v>
                </c:pt>
                <c:pt idx="3">
                  <c:v>54.607544875258874</c:v>
                </c:pt>
                <c:pt idx="4">
                  <c:v>54.236899449140225</c:v>
                </c:pt>
                <c:pt idx="5">
                  <c:v>53.880117666248573</c:v>
                </c:pt>
                <c:pt idx="6">
                  <c:v>54.864705565137264</c:v>
                </c:pt>
                <c:pt idx="7">
                  <c:v>55.237784211599973</c:v>
                </c:pt>
                <c:pt idx="8">
                  <c:v>55.085215336375363</c:v>
                </c:pt>
                <c:pt idx="9">
                  <c:v>55.201215365537003</c:v>
                </c:pt>
                <c:pt idx="10">
                  <c:v>55.532235902686104</c:v>
                </c:pt>
                <c:pt idx="11">
                  <c:v>56.180578040250353</c:v>
                </c:pt>
                <c:pt idx="12">
                  <c:v>55.899961914878006</c:v>
                </c:pt>
                <c:pt idx="13">
                  <c:v>56.171033336424173</c:v>
                </c:pt>
                <c:pt idx="14">
                  <c:v>56.235311729437271</c:v>
                </c:pt>
                <c:pt idx="15">
                  <c:v>56.649521296435843</c:v>
                </c:pt>
                <c:pt idx="16">
                  <c:v>57.977085798100717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86-4909-AA48-B9FE12A2C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1580207"/>
        <c:axId val="511571887"/>
      </c:lineChart>
      <c:catAx>
        <c:axId val="51158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71887"/>
        <c:crosses val="autoZero"/>
        <c:auto val="1"/>
        <c:lblAlgn val="ctr"/>
        <c:lblOffset val="100"/>
        <c:noMultiLvlLbl val="0"/>
      </c:catAx>
      <c:valAx>
        <c:axId val="511571887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580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3561507936508"/>
          <c:y val="0.87254853088124673"/>
          <c:w val="0.63463928571428574"/>
          <c:h val="8.4672886703268321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>Form_c463</Oznaceni>
    <Platnost xmlns="8675fb2b-b414-4bad-b4c4-d9349268b5a1">true</Platnost>
    <Form_c xmlns="8675fb2b-b414-4bad-b4c4-d9349268b5a1">463</Form_c>
    <DomenaForm xmlns="8675fb2b-b414-4bad-b4c4-d9349268b5a1">
      <Value>P4 Komunikace a propagace</Value>
    </DomenaForm>
    <NazevForm xmlns="8675fb2b-b414-4bad-b4c4-d9349268b5a1">Rychlá informace CZ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  <SiteKnihDok xmlns="406a38fe-c53c-4047-b0f8-c641386931ae">Formuláře</SiteKnihDok>
    <ProcDomena xmlns="406a38fe-c53c-4047-b0f8-c641386931ae">
      <Value>P4 Komunikace a propagace</Value>
    </ProcDome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40" ma:contentTypeDescription="Vytvoří nový dokument" ma:contentTypeScope="" ma:versionID="2a02fb4344da2b946e7cd44bdddfdd45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b4ba85179febe9c5eeba657ddc1348ef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iteKnihDok" minOccurs="0"/>
                <xsd:element ref="ns3:ProcDom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_old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KnihDok" ma:index="37" nillable="true" ma:displayName="SiteKnihDok" ma:default="Vnitřní předpisy" ma:description="Seznam knihoven v Site Knihovna dokumentů ČSÚ" ma:format="Dropdown" ma:internalName="SiteKnihDok">
      <xsd:simpleType>
        <xsd:restriction base="dms:Choice">
          <xsd:enumeration value="Vnitřní předpisy"/>
          <xsd:enumeration value="Formuláře"/>
          <xsd:enumeration value="Návody a manuály"/>
          <xsd:enumeration value="Zápisy a reporty"/>
        </xsd:restriction>
      </xsd:simpleType>
    </xsd:element>
    <xsd:element name="ProcDomena" ma:index="38" nillable="true" ma:displayName="Procesní doména" ma:default="P1 Bezpečnost" ma:internalName="ProcDomen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 Koordinace a správa metodiky"/>
                    <xsd:enumeration value="H2 Posouzení požadavků"/>
                    <xsd:enumeration value="H3 Specifikace úlohy"/>
                    <xsd:enumeration value="H4 Příprava zpracování"/>
                    <xsd:enumeration value="H5 Sběr dat"/>
                    <xsd:enumeration value="H6 Statistické zpracování"/>
                    <xsd:enumeration value="H7 Analýza a tvorba výstupů"/>
                    <xsd:enumeration value="H8 Diseminace"/>
                    <xsd:enumeration value="H9 Evaluace"/>
                    <xsd:enumeration value="H10 Zpracování voleb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9ED94B62-3755-4F6B-ABA4-8F87B4680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232</TotalTime>
  <Pages>13</Pages>
  <Words>1832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Rychlá informace CZ</vt:lpstr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Rychlá informace CZ</dc:title>
  <dc:subject/>
  <dc:creator>Košťáková Tereza</dc:creator>
  <cp:keywords/>
  <dc:description/>
  <cp:lastModifiedBy>Košťáková Tereza</cp:lastModifiedBy>
  <cp:revision>6</cp:revision>
  <dcterms:created xsi:type="dcterms:W3CDTF">2026-07-21T08:36:00Z</dcterms:created>
  <dcterms:modified xsi:type="dcterms:W3CDTF">2026-07-21T12:27:00Z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