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2BC3" w14:textId="66BC0968" w:rsidR="0058050D" w:rsidRPr="00995C95" w:rsidRDefault="0058050D" w:rsidP="0058050D">
      <w:pPr>
        <w:pStyle w:val="Nadpis1"/>
        <w:rPr>
          <w:lang w:val="en-GB"/>
        </w:rPr>
      </w:pPr>
      <w:bookmarkStart w:id="0" w:name="_Toc227235016"/>
      <w:bookmarkStart w:id="1" w:name="_Toc169258116"/>
      <w:bookmarkStart w:id="2" w:name="_Toc153531176"/>
      <w:bookmarkStart w:id="3" w:name="_Toc176767107"/>
      <w:bookmarkStart w:id="4" w:name="_Toc161914427"/>
      <w:bookmarkStart w:id="5" w:name="_Toc193366678"/>
      <w:bookmarkStart w:id="6" w:name="_Toc176767109"/>
      <w:r w:rsidRPr="00995C95">
        <w:rPr>
          <w:lang w:val="en-GB"/>
        </w:rPr>
        <w:t>2. </w:t>
      </w:r>
      <w:r w:rsidR="009A2E25" w:rsidRPr="00995C95">
        <w:rPr>
          <w:lang w:val="en-GB"/>
        </w:rPr>
        <w:t>Overall Economic Performance</w:t>
      </w:r>
      <w:bookmarkEnd w:id="0"/>
    </w:p>
    <w:tbl>
      <w:tblPr>
        <w:tblW w:w="9639" w:type="dxa"/>
        <w:tblInd w:w="-20" w:type="dxa"/>
        <w:tblCellMar>
          <w:left w:w="0" w:type="dxa"/>
          <w:right w:w="0" w:type="dxa"/>
        </w:tblCellMar>
        <w:tblLook w:val="00A0" w:firstRow="1" w:lastRow="0" w:firstColumn="1" w:lastColumn="0" w:noHBand="0" w:noVBand="0"/>
      </w:tblPr>
      <w:tblGrid>
        <w:gridCol w:w="1806"/>
        <w:gridCol w:w="210"/>
        <w:gridCol w:w="7623"/>
      </w:tblGrid>
      <w:tr w:rsidR="0058050D" w:rsidRPr="00995C95" w14:paraId="7A220153" w14:textId="77777777" w:rsidTr="00E87182">
        <w:trPr>
          <w:trHeight w:val="145"/>
        </w:trPr>
        <w:tc>
          <w:tcPr>
            <w:tcW w:w="1806" w:type="dxa"/>
            <w:tcMar>
              <w:left w:w="0" w:type="dxa"/>
            </w:tcMar>
          </w:tcPr>
          <w:p w14:paraId="69ABB68C" w14:textId="4792D999" w:rsidR="0058050D" w:rsidRPr="00995C95" w:rsidRDefault="009A2E25" w:rsidP="00E87182">
            <w:pPr>
              <w:pStyle w:val="Marginlie"/>
            </w:pPr>
            <w:r w:rsidRPr="00995C95">
              <w:t xml:space="preserve">Growth of the Czech economy </w:t>
            </w:r>
            <w:r w:rsidR="00995C95" w:rsidRPr="00995C95">
              <w:t>strengthened</w:t>
            </w:r>
            <w:r w:rsidRPr="00995C95">
              <w:t xml:space="preserve"> last year. </w:t>
            </w:r>
          </w:p>
        </w:tc>
        <w:tc>
          <w:tcPr>
            <w:tcW w:w="210" w:type="dxa"/>
            <w:tcMar>
              <w:left w:w="0" w:type="dxa"/>
            </w:tcMar>
          </w:tcPr>
          <w:p w14:paraId="7B870979" w14:textId="77777777" w:rsidR="0058050D" w:rsidRPr="00995C95" w:rsidRDefault="0058050D" w:rsidP="00E87182">
            <w:pPr>
              <w:pStyle w:val="Textpoznpodarou"/>
              <w:jc w:val="both"/>
              <w:rPr>
                <w:spacing w:val="-4"/>
              </w:rPr>
            </w:pPr>
          </w:p>
        </w:tc>
        <w:tc>
          <w:tcPr>
            <w:tcW w:w="7623" w:type="dxa"/>
            <w:tcMar>
              <w:left w:w="0" w:type="dxa"/>
            </w:tcMar>
          </w:tcPr>
          <w:p w14:paraId="06836763" w14:textId="5BC79E48" w:rsidR="0058050D" w:rsidRPr="00995C95" w:rsidRDefault="006A1EB8" w:rsidP="00E87182">
            <w:pPr>
              <w:rPr>
                <w:spacing w:val="-2"/>
              </w:rPr>
            </w:pPr>
            <w:r w:rsidRPr="00995C95">
              <w:rPr>
                <w:spacing w:val="-2"/>
              </w:rPr>
              <w:t>T</w:t>
            </w:r>
            <w:r w:rsidR="00F4607E" w:rsidRPr="00995C95">
              <w:rPr>
                <w:spacing w:val="-2"/>
              </w:rPr>
              <w:t xml:space="preserve">he Czech economy maintained solid growth </w:t>
            </w:r>
            <w:r w:rsidRPr="00995C95">
              <w:rPr>
                <w:spacing w:val="-2"/>
              </w:rPr>
              <w:t xml:space="preserve">in 2025 </w:t>
            </w:r>
            <w:r w:rsidR="00F4607E" w:rsidRPr="00995C95">
              <w:rPr>
                <w:spacing w:val="-2"/>
              </w:rPr>
              <w:t>that had already begun at the end of 2024</w:t>
            </w:r>
            <w:r w:rsidRPr="00995C95">
              <w:rPr>
                <w:spacing w:val="-2"/>
              </w:rPr>
              <w:t xml:space="preserve"> despite uncertainties in global trade and ongoing geopolitical instability</w:t>
            </w:r>
            <w:r w:rsidR="00F4607E" w:rsidRPr="00995C95">
              <w:rPr>
                <w:spacing w:val="-2"/>
              </w:rPr>
              <w:t xml:space="preserve">, and </w:t>
            </w:r>
            <w:r w:rsidRPr="00995C95">
              <w:rPr>
                <w:spacing w:val="-2"/>
              </w:rPr>
              <w:t xml:space="preserve">the </w:t>
            </w:r>
            <w:r w:rsidR="00F4607E" w:rsidRPr="00995C95">
              <w:rPr>
                <w:spacing w:val="-2"/>
              </w:rPr>
              <w:t>gross domestic product (GDP)</w:t>
            </w:r>
            <w:r w:rsidRPr="00995C95">
              <w:rPr>
                <w:rStyle w:val="Znakapoznpodarou"/>
                <w:rFonts w:cs="Arial"/>
                <w:spacing w:val="-2"/>
              </w:rPr>
              <w:footnoteReference w:id="1"/>
            </w:r>
            <w:r w:rsidR="00F4607E" w:rsidRPr="00995C95">
              <w:rPr>
                <w:spacing w:val="-2"/>
              </w:rPr>
              <w:t xml:space="preserve"> increased by 2.6% in real terms. The Czech economy was driven mainly by the domestic side of demand, especially consumption. </w:t>
            </w:r>
            <w:r w:rsidRPr="00995C95">
              <w:rPr>
                <w:spacing w:val="-2"/>
              </w:rPr>
              <w:t>Nevertheless</w:t>
            </w:r>
            <w:r w:rsidR="00F4607E" w:rsidRPr="00995C95">
              <w:rPr>
                <w:spacing w:val="-2"/>
              </w:rPr>
              <w:t>, capital expenditure also played a positive role – the positive effect of the change in inventories was complemented by a re</w:t>
            </w:r>
            <w:r w:rsidRPr="00995C95">
              <w:rPr>
                <w:spacing w:val="-2"/>
              </w:rPr>
              <w:t xml:space="preserve">vival of </w:t>
            </w:r>
            <w:r w:rsidR="00F4607E" w:rsidRPr="00995C95">
              <w:rPr>
                <w:spacing w:val="-2"/>
              </w:rPr>
              <w:t xml:space="preserve">investment activity. The </w:t>
            </w:r>
            <w:r w:rsidRPr="00995C95">
              <w:rPr>
                <w:spacing w:val="-2"/>
              </w:rPr>
              <w:t xml:space="preserve">international </w:t>
            </w:r>
            <w:r w:rsidR="00F4607E" w:rsidRPr="00995C95">
              <w:rPr>
                <w:spacing w:val="-2"/>
              </w:rPr>
              <w:t xml:space="preserve">trade balance </w:t>
            </w:r>
            <w:r w:rsidR="008068B1" w:rsidRPr="00995C95">
              <w:rPr>
                <w:spacing w:val="-2"/>
              </w:rPr>
              <w:t xml:space="preserve">had </w:t>
            </w:r>
            <w:r w:rsidR="00F4607E" w:rsidRPr="00995C95">
              <w:rPr>
                <w:spacing w:val="-2"/>
              </w:rPr>
              <w:t>rather neutral</w:t>
            </w:r>
            <w:r w:rsidR="008068B1" w:rsidRPr="00995C95">
              <w:rPr>
                <w:spacing w:val="-2"/>
              </w:rPr>
              <w:t xml:space="preserve"> effect</w:t>
            </w:r>
            <w:r w:rsidR="00F4607E" w:rsidRPr="00995C95">
              <w:rPr>
                <w:spacing w:val="-2"/>
              </w:rPr>
              <w:t xml:space="preserve">, as significant real growth </w:t>
            </w:r>
            <w:r w:rsidR="008068B1" w:rsidRPr="00995C95">
              <w:rPr>
                <w:spacing w:val="-2"/>
              </w:rPr>
              <w:t>of</w:t>
            </w:r>
            <w:r w:rsidR="00F4607E" w:rsidRPr="00995C95">
              <w:rPr>
                <w:spacing w:val="-2"/>
              </w:rPr>
              <w:t xml:space="preserve"> exports was accompanied by a significant increase </w:t>
            </w:r>
            <w:r w:rsidR="008068B1" w:rsidRPr="00995C95">
              <w:rPr>
                <w:spacing w:val="-2"/>
              </w:rPr>
              <w:t>of</w:t>
            </w:r>
            <w:r w:rsidR="00F4607E" w:rsidRPr="00995C95">
              <w:rPr>
                <w:spacing w:val="-2"/>
              </w:rPr>
              <w:t xml:space="preserve"> imports. </w:t>
            </w:r>
            <w:r w:rsidR="008068B1" w:rsidRPr="00995C95">
              <w:rPr>
                <w:spacing w:val="-2"/>
              </w:rPr>
              <w:t xml:space="preserve">The </w:t>
            </w:r>
            <w:r w:rsidR="00F4607E" w:rsidRPr="00995C95">
              <w:rPr>
                <w:spacing w:val="-2"/>
              </w:rPr>
              <w:t>Czech economy grew by 0.6%</w:t>
            </w:r>
            <w:r w:rsidR="008068B1" w:rsidRPr="00995C95">
              <w:rPr>
                <w:spacing w:val="-2"/>
              </w:rPr>
              <w:t>,</w:t>
            </w:r>
            <w:r w:rsidR="00F4607E" w:rsidRPr="00995C95">
              <w:rPr>
                <w:spacing w:val="-2"/>
              </w:rPr>
              <w:t xml:space="preserve"> quarter-on-quarter</w:t>
            </w:r>
            <w:r w:rsidR="008068B1" w:rsidRPr="00995C95">
              <w:rPr>
                <w:spacing w:val="-2"/>
              </w:rPr>
              <w:t>, in Q4 2025</w:t>
            </w:r>
            <w:r w:rsidR="00F4607E" w:rsidRPr="00995C95">
              <w:rPr>
                <w:spacing w:val="-2"/>
              </w:rPr>
              <w:t xml:space="preserve">, </w:t>
            </w:r>
            <w:r w:rsidR="008068B1" w:rsidRPr="00995C95">
              <w:rPr>
                <w:spacing w:val="-2"/>
              </w:rPr>
              <w:t xml:space="preserve">thus </w:t>
            </w:r>
            <w:r w:rsidR="00F4607E" w:rsidRPr="00995C95">
              <w:rPr>
                <w:spacing w:val="-2"/>
              </w:rPr>
              <w:t xml:space="preserve">continuing a series of solid gains </w:t>
            </w:r>
            <w:r w:rsidR="008068B1" w:rsidRPr="00995C95">
              <w:rPr>
                <w:spacing w:val="-2"/>
              </w:rPr>
              <w:t xml:space="preserve">lasting </w:t>
            </w:r>
            <w:r w:rsidR="00F4607E" w:rsidRPr="00995C95">
              <w:rPr>
                <w:spacing w:val="-2"/>
              </w:rPr>
              <w:t xml:space="preserve">since Q3 2024. Year-on-year, </w:t>
            </w:r>
            <w:r w:rsidR="008068B1" w:rsidRPr="00995C95">
              <w:rPr>
                <w:spacing w:val="-2"/>
              </w:rPr>
              <w:t xml:space="preserve">the </w:t>
            </w:r>
            <w:r w:rsidR="00F4607E" w:rsidRPr="00995C95">
              <w:rPr>
                <w:spacing w:val="-2"/>
              </w:rPr>
              <w:t>GDP increased by 2.6%.</w:t>
            </w:r>
            <w:r w:rsidR="00C85845" w:rsidRPr="00995C95">
              <w:rPr>
                <w:spacing w:val="-2"/>
              </w:rPr>
              <w:t xml:space="preserve"> C</w:t>
            </w:r>
            <w:r w:rsidR="00F4607E" w:rsidRPr="00995C95">
              <w:rPr>
                <w:spacing w:val="-2"/>
              </w:rPr>
              <w:t xml:space="preserve">onsumption </w:t>
            </w:r>
            <w:r w:rsidR="00C85845" w:rsidRPr="00995C95">
              <w:rPr>
                <w:spacing w:val="-2"/>
              </w:rPr>
              <w:t>of</w:t>
            </w:r>
            <w:r w:rsidR="00F4607E" w:rsidRPr="00995C95">
              <w:rPr>
                <w:spacing w:val="-2"/>
              </w:rPr>
              <w:t xml:space="preserve"> households and general government increased </w:t>
            </w:r>
            <w:r w:rsidR="00C85845" w:rsidRPr="00995C95">
              <w:rPr>
                <w:spacing w:val="-2"/>
              </w:rPr>
              <w:t xml:space="preserve">both </w:t>
            </w:r>
            <w:r w:rsidR="00F4607E" w:rsidRPr="00995C95">
              <w:rPr>
                <w:spacing w:val="-2"/>
              </w:rPr>
              <w:t>quarter-on-quarter and year-on-year</w:t>
            </w:r>
            <w:r w:rsidR="00C85845" w:rsidRPr="00995C95">
              <w:rPr>
                <w:spacing w:val="-2"/>
              </w:rPr>
              <w:t xml:space="preserve"> at the end of 2025</w:t>
            </w:r>
            <w:r w:rsidR="00F4607E" w:rsidRPr="00995C95">
              <w:rPr>
                <w:spacing w:val="-2"/>
              </w:rPr>
              <w:t xml:space="preserve">, and investment also grew. The development of the </w:t>
            </w:r>
            <w:r w:rsidR="00CC06EE" w:rsidRPr="00995C95">
              <w:rPr>
                <w:spacing w:val="-2"/>
              </w:rPr>
              <w:t xml:space="preserve">international </w:t>
            </w:r>
            <w:r w:rsidR="00F4607E" w:rsidRPr="00995C95">
              <w:rPr>
                <w:spacing w:val="-2"/>
              </w:rPr>
              <w:t xml:space="preserve">trade balance also contributed to the increase </w:t>
            </w:r>
            <w:r w:rsidR="00CC06EE" w:rsidRPr="00995C95">
              <w:rPr>
                <w:spacing w:val="-2"/>
              </w:rPr>
              <w:t>of</w:t>
            </w:r>
            <w:r w:rsidR="00F4607E" w:rsidRPr="00995C95">
              <w:rPr>
                <w:spacing w:val="-2"/>
              </w:rPr>
              <w:t xml:space="preserve"> GDP. On the </w:t>
            </w:r>
            <w:r w:rsidR="00CC06EE" w:rsidRPr="00995C95">
              <w:rPr>
                <w:spacing w:val="-2"/>
              </w:rPr>
              <w:t>contrary</w:t>
            </w:r>
            <w:r w:rsidR="00F4607E" w:rsidRPr="00995C95">
              <w:rPr>
                <w:spacing w:val="-2"/>
              </w:rPr>
              <w:t xml:space="preserve">, </w:t>
            </w:r>
            <w:r w:rsidR="000626A9" w:rsidRPr="00995C95">
              <w:rPr>
                <w:spacing w:val="-2"/>
              </w:rPr>
              <w:t xml:space="preserve">inventories </w:t>
            </w:r>
            <w:r w:rsidR="000626A9">
              <w:rPr>
                <w:spacing w:val="-2"/>
              </w:rPr>
              <w:t xml:space="preserve">had </w:t>
            </w:r>
            <w:r w:rsidR="000626A9" w:rsidRPr="00995C95">
              <w:rPr>
                <w:spacing w:val="-2"/>
              </w:rPr>
              <w:t xml:space="preserve">a negative impact on </w:t>
            </w:r>
            <w:r w:rsidR="00F4607E" w:rsidRPr="00995C95">
              <w:rPr>
                <w:spacing w:val="-2"/>
              </w:rPr>
              <w:t>year-on-year and quarter-on-quarter GDP growth.</w:t>
            </w:r>
            <w:r w:rsidR="00C85845" w:rsidRPr="00995C95">
              <w:rPr>
                <w:spacing w:val="-2"/>
              </w:rPr>
              <w:t xml:space="preserve"> </w:t>
            </w:r>
          </w:p>
        </w:tc>
      </w:tr>
      <w:tr w:rsidR="0058050D" w:rsidRPr="00995C95" w14:paraId="2EA3DD5A" w14:textId="77777777" w:rsidTr="00E87182">
        <w:trPr>
          <w:trHeight w:val="170"/>
        </w:trPr>
        <w:tc>
          <w:tcPr>
            <w:tcW w:w="1806" w:type="dxa"/>
            <w:vMerge w:val="restart"/>
            <w:tcMar>
              <w:left w:w="0" w:type="dxa"/>
            </w:tcMar>
          </w:tcPr>
          <w:p w14:paraId="0599CE7C" w14:textId="77777777" w:rsidR="0058050D" w:rsidRPr="00995C95" w:rsidRDefault="0058050D" w:rsidP="00E87182">
            <w:pPr>
              <w:pStyle w:val="Marginlie"/>
            </w:pPr>
          </w:p>
        </w:tc>
        <w:tc>
          <w:tcPr>
            <w:tcW w:w="210" w:type="dxa"/>
            <w:vMerge w:val="restart"/>
            <w:tcMar>
              <w:left w:w="0" w:type="dxa"/>
            </w:tcMar>
          </w:tcPr>
          <w:p w14:paraId="78930BF0" w14:textId="77777777" w:rsidR="0058050D" w:rsidRPr="00995C95" w:rsidRDefault="0058050D" w:rsidP="00E87182">
            <w:pPr>
              <w:pStyle w:val="Textpoznpodarou"/>
              <w:jc w:val="both"/>
              <w:rPr>
                <w:spacing w:val="-4"/>
              </w:rPr>
            </w:pPr>
          </w:p>
        </w:tc>
        <w:tc>
          <w:tcPr>
            <w:tcW w:w="7623" w:type="dxa"/>
            <w:tcMar>
              <w:left w:w="0" w:type="dxa"/>
            </w:tcMar>
          </w:tcPr>
          <w:p w14:paraId="3C3DEC6D" w14:textId="54F0F09D" w:rsidR="0058050D" w:rsidRPr="00995C95" w:rsidRDefault="009A2E25" w:rsidP="00E87182">
            <w:pPr>
              <w:spacing w:after="0"/>
              <w:rPr>
                <w:b/>
                <w:szCs w:val="20"/>
              </w:rPr>
            </w:pPr>
            <w:r w:rsidRPr="00995C95">
              <w:rPr>
                <w:rFonts w:cs="Arial"/>
                <w:b/>
                <w:bCs/>
                <w:color w:val="000000"/>
                <w:szCs w:val="20"/>
              </w:rPr>
              <w:t xml:space="preserve">Chart </w:t>
            </w:r>
            <w:r w:rsidR="0058050D" w:rsidRPr="00995C95">
              <w:rPr>
                <w:rFonts w:cs="Arial"/>
                <w:b/>
                <w:bCs/>
                <w:color w:val="000000"/>
                <w:szCs w:val="20"/>
              </w:rPr>
              <w:t xml:space="preserve">1 </w:t>
            </w:r>
            <w:r w:rsidRPr="00995C95">
              <w:rPr>
                <w:rFonts w:cs="Arial"/>
                <w:b/>
                <w:bCs/>
                <w:color w:val="000000"/>
                <w:szCs w:val="20"/>
              </w:rPr>
              <w:t>GDP</w:t>
            </w:r>
            <w:r w:rsidR="0058050D" w:rsidRPr="00995C95">
              <w:rPr>
                <w:rFonts w:cs="Arial"/>
                <w:b/>
                <w:szCs w:val="20"/>
                <w:lang w:eastAsia="en-US"/>
              </w:rPr>
              <w:t xml:space="preserve"> </w:t>
            </w:r>
            <w:r w:rsidR="0058050D" w:rsidRPr="00995C95">
              <w:rPr>
                <w:rFonts w:cs="Arial"/>
                <w:bCs/>
                <w:szCs w:val="20"/>
                <w:lang w:eastAsia="en-US"/>
              </w:rPr>
              <w:t>(</w:t>
            </w:r>
            <w:r w:rsidR="00A55208" w:rsidRPr="00995C95">
              <w:rPr>
                <w:rFonts w:cs="Arial"/>
                <w:bCs/>
                <w:szCs w:val="20"/>
                <w:lang w:eastAsia="en-US"/>
              </w:rPr>
              <w:t>volume indices, adjusted for seasonal and calendar effects, in %)</w:t>
            </w:r>
          </w:p>
        </w:tc>
      </w:tr>
      <w:tr w:rsidR="0058050D" w:rsidRPr="00995C95" w14:paraId="6FC36BC3" w14:textId="77777777" w:rsidTr="00E312D1">
        <w:tblPrEx>
          <w:tblCellMar>
            <w:left w:w="70" w:type="dxa"/>
            <w:right w:w="70" w:type="dxa"/>
          </w:tblCellMar>
        </w:tblPrEx>
        <w:trPr>
          <w:trHeight w:val="170"/>
        </w:trPr>
        <w:tc>
          <w:tcPr>
            <w:tcW w:w="1806" w:type="dxa"/>
            <w:vMerge/>
          </w:tcPr>
          <w:p w14:paraId="5F6F91AC" w14:textId="77777777" w:rsidR="0058050D" w:rsidRPr="00995C95" w:rsidRDefault="0058050D" w:rsidP="00E87182">
            <w:pPr>
              <w:pStyle w:val="Marginlie"/>
            </w:pPr>
          </w:p>
        </w:tc>
        <w:tc>
          <w:tcPr>
            <w:tcW w:w="210" w:type="dxa"/>
            <w:vMerge/>
          </w:tcPr>
          <w:p w14:paraId="5634545E" w14:textId="77777777" w:rsidR="0058050D" w:rsidRPr="00995C95" w:rsidRDefault="0058050D" w:rsidP="00E87182">
            <w:pPr>
              <w:pStyle w:val="Textpoznpodarou"/>
              <w:jc w:val="both"/>
              <w:rPr>
                <w:spacing w:val="-4"/>
              </w:rPr>
            </w:pPr>
          </w:p>
        </w:tc>
        <w:tc>
          <w:tcPr>
            <w:tcW w:w="7623" w:type="dxa"/>
          </w:tcPr>
          <w:p w14:paraId="30956EAB" w14:textId="05E7A03E" w:rsidR="0058050D" w:rsidRPr="00995C95" w:rsidRDefault="00E312D1" w:rsidP="00E87182">
            <w:pPr>
              <w:spacing w:after="0"/>
            </w:pPr>
            <w:r>
              <w:rPr>
                <w:noProof/>
              </w:rPr>
              <w:drawing>
                <wp:inline distT="0" distB="0" distL="0" distR="0" wp14:anchorId="21FB2AD0" wp14:editId="3BA6418F">
                  <wp:extent cx="4737600" cy="3553200"/>
                  <wp:effectExtent l="0" t="0" r="6350" b="0"/>
                  <wp:docPr id="805653816" name="Graf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58050D" w:rsidRPr="00995C95" w14:paraId="740C67A6" w14:textId="77777777" w:rsidTr="00E87182">
        <w:trPr>
          <w:trHeight w:val="170"/>
        </w:trPr>
        <w:tc>
          <w:tcPr>
            <w:tcW w:w="1806" w:type="dxa"/>
            <w:vMerge/>
            <w:tcMar>
              <w:left w:w="0" w:type="dxa"/>
            </w:tcMar>
          </w:tcPr>
          <w:p w14:paraId="370A0948" w14:textId="77777777" w:rsidR="0058050D" w:rsidRPr="00995C95" w:rsidRDefault="0058050D" w:rsidP="00E87182">
            <w:pPr>
              <w:pStyle w:val="Marginlie"/>
            </w:pPr>
          </w:p>
        </w:tc>
        <w:tc>
          <w:tcPr>
            <w:tcW w:w="210" w:type="dxa"/>
            <w:vMerge/>
            <w:tcMar>
              <w:left w:w="0" w:type="dxa"/>
            </w:tcMar>
          </w:tcPr>
          <w:p w14:paraId="1712E94C" w14:textId="77777777" w:rsidR="0058050D" w:rsidRPr="00995C95" w:rsidRDefault="0058050D" w:rsidP="00E87182">
            <w:pPr>
              <w:pStyle w:val="Textpoznpodarou"/>
              <w:jc w:val="both"/>
              <w:rPr>
                <w:spacing w:val="-4"/>
              </w:rPr>
            </w:pPr>
          </w:p>
        </w:tc>
        <w:tc>
          <w:tcPr>
            <w:tcW w:w="7623" w:type="dxa"/>
            <w:tcMar>
              <w:left w:w="0" w:type="dxa"/>
            </w:tcMar>
          </w:tcPr>
          <w:p w14:paraId="4B8CCFCA" w14:textId="44529DF8" w:rsidR="00A144BA" w:rsidRPr="00995C95" w:rsidRDefault="00F4607E" w:rsidP="00E312D1">
            <w:pPr>
              <w:spacing w:after="220"/>
              <w:rPr>
                <w:b/>
                <w:bCs/>
                <w:sz w:val="14"/>
                <w:szCs w:val="14"/>
              </w:rPr>
            </w:pPr>
            <w:r w:rsidRPr="00995C95">
              <w:rPr>
                <w:sz w:val="14"/>
                <w:szCs w:val="14"/>
              </w:rPr>
              <w:t>Source</w:t>
            </w:r>
            <w:r w:rsidR="0058050D" w:rsidRPr="00995C95">
              <w:rPr>
                <w:sz w:val="14"/>
                <w:szCs w:val="14"/>
              </w:rPr>
              <w:t xml:space="preserve">: </w:t>
            </w:r>
            <w:r w:rsidRPr="00995C95">
              <w:rPr>
                <w:sz w:val="14"/>
                <w:szCs w:val="14"/>
              </w:rPr>
              <w:t>CZSO</w:t>
            </w:r>
            <w:r w:rsidR="0058050D" w:rsidRPr="00995C95">
              <w:rPr>
                <w:sz w:val="14"/>
                <w:szCs w:val="14"/>
              </w:rPr>
              <w:t>, Eurostat</w:t>
            </w:r>
          </w:p>
        </w:tc>
      </w:tr>
      <w:tr w:rsidR="0058050D" w:rsidRPr="00995C95" w14:paraId="76C8F9C3" w14:textId="77777777" w:rsidTr="00E87182">
        <w:trPr>
          <w:trHeight w:val="145"/>
        </w:trPr>
        <w:tc>
          <w:tcPr>
            <w:tcW w:w="1806" w:type="dxa"/>
            <w:tcMar>
              <w:left w:w="0" w:type="dxa"/>
            </w:tcMar>
          </w:tcPr>
          <w:p w14:paraId="1AF14165" w14:textId="0FAFFE98" w:rsidR="0058050D" w:rsidRPr="00995C95" w:rsidRDefault="006C6071" w:rsidP="00D168EE">
            <w:pPr>
              <w:pStyle w:val="Marginlie"/>
            </w:pPr>
            <w:r w:rsidRPr="00995C95">
              <w:t xml:space="preserve">The </w:t>
            </w:r>
            <w:r w:rsidR="00D168EE" w:rsidRPr="00995C95">
              <w:t xml:space="preserve">GDP growth was stronger </w:t>
            </w:r>
            <w:r w:rsidRPr="00995C95">
              <w:t xml:space="preserve">in the European Union </w:t>
            </w:r>
            <w:r w:rsidR="00D168EE" w:rsidRPr="00995C95">
              <w:t>last year than in previous years</w:t>
            </w:r>
            <w:r w:rsidR="00062177" w:rsidRPr="00995C95">
              <w:t xml:space="preserve">. </w:t>
            </w:r>
          </w:p>
        </w:tc>
        <w:tc>
          <w:tcPr>
            <w:tcW w:w="210" w:type="dxa"/>
            <w:tcMar>
              <w:left w:w="0" w:type="dxa"/>
            </w:tcMar>
          </w:tcPr>
          <w:p w14:paraId="34667D5C" w14:textId="77777777" w:rsidR="0058050D" w:rsidRPr="00995C95" w:rsidRDefault="0058050D" w:rsidP="00E87182">
            <w:pPr>
              <w:pStyle w:val="Textpoznpodarou"/>
              <w:jc w:val="both"/>
              <w:rPr>
                <w:spacing w:val="-4"/>
              </w:rPr>
            </w:pPr>
          </w:p>
        </w:tc>
        <w:tc>
          <w:tcPr>
            <w:tcW w:w="7623" w:type="dxa"/>
            <w:tcMar>
              <w:left w:w="0" w:type="dxa"/>
            </w:tcMar>
          </w:tcPr>
          <w:p w14:paraId="5AE3F8B4" w14:textId="1B1B09E2" w:rsidR="0058050D" w:rsidRPr="00995C95" w:rsidRDefault="00B704BC" w:rsidP="00B704BC">
            <w:r w:rsidRPr="00995C95">
              <w:t xml:space="preserve">Gross domestic product grew by 1.5% </w:t>
            </w:r>
            <w:r w:rsidR="00062177" w:rsidRPr="00995C95">
              <w:t xml:space="preserve">in the EU </w:t>
            </w:r>
            <w:r w:rsidRPr="00995C95">
              <w:t xml:space="preserve">for the whole </w:t>
            </w:r>
            <w:r w:rsidR="00062177" w:rsidRPr="00995C95">
              <w:t xml:space="preserve">year </w:t>
            </w:r>
            <w:r w:rsidRPr="00995C95">
              <w:t>2025</w:t>
            </w:r>
            <w:r w:rsidR="00061107" w:rsidRPr="00995C95">
              <w:t xml:space="preserve"> and </w:t>
            </w:r>
            <w:r w:rsidRPr="00995C95">
              <w:t>the increase strengthen</w:t>
            </w:r>
            <w:r w:rsidR="00061107" w:rsidRPr="00995C95">
              <w:t xml:space="preserve">ed </w:t>
            </w:r>
            <w:r w:rsidRPr="00995C95">
              <w:t xml:space="preserve">compared to the previous year. Consumption was higher </w:t>
            </w:r>
            <w:r w:rsidR="00685695">
              <w:t xml:space="preserve">and </w:t>
            </w:r>
            <w:r w:rsidRPr="00995C95">
              <w:t xml:space="preserve">investment expenditure </w:t>
            </w:r>
            <w:r w:rsidR="00EA40B7" w:rsidRPr="00995C95">
              <w:t xml:space="preserve">turned </w:t>
            </w:r>
            <w:r w:rsidRPr="00995C95">
              <w:t xml:space="preserve">from decline to growth. On the </w:t>
            </w:r>
            <w:r w:rsidR="00EA40B7" w:rsidRPr="00995C95">
              <w:t>contrary</w:t>
            </w:r>
            <w:r w:rsidRPr="00995C95">
              <w:t xml:space="preserve">, the </w:t>
            </w:r>
            <w:r w:rsidR="00EA40B7" w:rsidRPr="00995C95">
              <w:t xml:space="preserve">international </w:t>
            </w:r>
            <w:r w:rsidRPr="00995C95">
              <w:t xml:space="preserve">trade balance had a negative effect on GDP growth in the EU last year. GDP increased the most in Ireland (12.3%), Malta (4.0%) and Cyprus (3.8%). The economies of Finland (0.2%), Germany (0.2%) and Hungary (0.4%) </w:t>
            </w:r>
            <w:r w:rsidR="003B6309" w:rsidRPr="00995C95">
              <w:t xml:space="preserve">recorded a </w:t>
            </w:r>
            <w:r w:rsidRPr="00995C95">
              <w:t>very weak growth last year.</w:t>
            </w:r>
            <w:r w:rsidR="003B6309" w:rsidRPr="00995C95">
              <w:t xml:space="preserve"> The </w:t>
            </w:r>
            <w:r w:rsidRPr="00995C95">
              <w:t>GDP grew by 0.2%</w:t>
            </w:r>
            <w:r w:rsidR="003B6309" w:rsidRPr="00995C95">
              <w:t>,</w:t>
            </w:r>
            <w:r w:rsidRPr="00995C95">
              <w:t xml:space="preserve"> quarter-on-quarter</w:t>
            </w:r>
            <w:r w:rsidR="003B6309" w:rsidRPr="00995C95">
              <w:t>, in the EU</w:t>
            </w:r>
            <w:r w:rsidR="00944A35" w:rsidRPr="00995C95">
              <w:t xml:space="preserve"> in Q</w:t>
            </w:r>
            <w:r w:rsidR="003B6309" w:rsidRPr="00995C95">
              <w:t>4</w:t>
            </w:r>
            <w:r w:rsidR="00944A35" w:rsidRPr="00995C95">
              <w:t xml:space="preserve"> </w:t>
            </w:r>
            <w:r w:rsidR="003B6309" w:rsidRPr="00995C95">
              <w:t>alone</w:t>
            </w:r>
            <w:r w:rsidRPr="00995C95">
              <w:t xml:space="preserve"> and by 1.4%</w:t>
            </w:r>
            <w:r w:rsidR="00944A35" w:rsidRPr="00995C95">
              <w:t>,</w:t>
            </w:r>
            <w:r w:rsidRPr="00995C95">
              <w:t xml:space="preserve"> year-on-year. </w:t>
            </w:r>
            <w:r w:rsidR="000610D5" w:rsidRPr="00995C95">
              <w:t>Investment and consumption supported the q</w:t>
            </w:r>
            <w:r w:rsidRPr="00995C95">
              <w:t xml:space="preserve">uarter-on-quarter GDP growth </w:t>
            </w:r>
            <w:r w:rsidR="000610D5" w:rsidRPr="00995C95">
              <w:t>in the EU in Q4</w:t>
            </w:r>
            <w:r w:rsidRPr="00995C95">
              <w:t xml:space="preserve">. </w:t>
            </w:r>
            <w:r w:rsidR="00E45D3D" w:rsidRPr="00995C95">
              <w:t>In contrast,</w:t>
            </w:r>
            <w:r w:rsidRPr="00995C95">
              <w:t xml:space="preserve"> the change in inventories had a</w:t>
            </w:r>
            <w:r w:rsidR="002869B8" w:rsidRPr="00995C95">
              <w:t>n</w:t>
            </w:r>
            <w:r w:rsidRPr="00995C95">
              <w:t xml:space="preserve"> </w:t>
            </w:r>
            <w:r w:rsidR="002869B8" w:rsidRPr="00995C95">
              <w:t xml:space="preserve">adverse </w:t>
            </w:r>
            <w:r w:rsidRPr="00995C95">
              <w:t>effect</w:t>
            </w:r>
            <w:r w:rsidR="000B3563" w:rsidRPr="00995C95">
              <w:t xml:space="preserve">, similarly to the </w:t>
            </w:r>
            <w:r w:rsidRPr="00995C95">
              <w:t xml:space="preserve">balance of </w:t>
            </w:r>
            <w:r w:rsidR="002869B8" w:rsidRPr="00995C95">
              <w:t xml:space="preserve">international </w:t>
            </w:r>
            <w:r w:rsidRPr="00995C95">
              <w:t>trade.</w:t>
            </w:r>
            <w:r w:rsidR="006840DA" w:rsidRPr="00995C95">
              <w:t xml:space="preserve"> Majority of </w:t>
            </w:r>
            <w:r w:rsidRPr="00995C95">
              <w:t>EU economies grew</w:t>
            </w:r>
            <w:r w:rsidR="006840DA" w:rsidRPr="00995C95">
              <w:t xml:space="preserve">, quarter-on-quarter, </w:t>
            </w:r>
            <w:r w:rsidR="006840DA" w:rsidRPr="00995C95">
              <w:lastRenderedPageBreak/>
              <w:t>in Q4 2025</w:t>
            </w:r>
            <w:r w:rsidRPr="00995C95">
              <w:t xml:space="preserve">, led by Malta (2.1%), Lithuania (1.7%), Croatia and Cyprus (both 1.4%). Significant quarter-on-quarter GDP </w:t>
            </w:r>
            <w:r w:rsidR="00F8210F" w:rsidRPr="00995C95">
              <w:t xml:space="preserve">downturns </w:t>
            </w:r>
            <w:r w:rsidRPr="00995C95">
              <w:t>were reported in Ireland (−3.8%) and Romania (−1.9%). In addition, GDP fell by 0.1% in Estonia and Luxembourg. The German economy, which is crucial for the development of the entire Central European region a</w:t>
            </w:r>
            <w:r w:rsidR="00074AC2" w:rsidRPr="00995C95">
              <w:t xml:space="preserve">s well as </w:t>
            </w:r>
            <w:r w:rsidR="00CD22D2" w:rsidRPr="00995C95">
              <w:t>several</w:t>
            </w:r>
            <w:r w:rsidRPr="00995C95">
              <w:t xml:space="preserve"> other trading partners in the EU, recovered by 0.3%</w:t>
            </w:r>
            <w:r w:rsidR="00CD22D2" w:rsidRPr="00995C95">
              <w:t>,</w:t>
            </w:r>
            <w:r w:rsidRPr="00995C95">
              <w:t xml:space="preserve"> quarter-on-quarter</w:t>
            </w:r>
            <w:r w:rsidR="00CD22D2" w:rsidRPr="00995C95">
              <w:t>,</w:t>
            </w:r>
            <w:r w:rsidRPr="00995C95">
              <w:t xml:space="preserve"> at the end of the year. Among the Central European countries, Poland grew the strongest in </w:t>
            </w:r>
            <w:r w:rsidR="004E32F5" w:rsidRPr="00995C95">
              <w:t>Q</w:t>
            </w:r>
            <w:r w:rsidRPr="00995C95">
              <w:t>4</w:t>
            </w:r>
            <w:r w:rsidR="004E32F5" w:rsidRPr="00995C95">
              <w:t xml:space="preserve"> </w:t>
            </w:r>
            <w:r w:rsidRPr="00995C95">
              <w:t>(1.0%</w:t>
            </w:r>
            <w:r w:rsidR="00433C0A" w:rsidRPr="00995C95">
              <w:t>,</w:t>
            </w:r>
            <w:r w:rsidRPr="00995C95">
              <w:t xml:space="preserve"> quarter-on-quarter), followed by the Czech Republic (an increase of 0.6% placed us above the EU average). GDP fell only in Romania</w:t>
            </w:r>
            <w:r w:rsidR="001F591A" w:rsidRPr="00995C95">
              <w:t xml:space="preserve">, year-on-year, in Q4 </w:t>
            </w:r>
            <w:r w:rsidRPr="00995C95">
              <w:t xml:space="preserve">(−1.5%). </w:t>
            </w:r>
            <w:r w:rsidR="006658AB" w:rsidRPr="00995C95">
              <w:t xml:space="preserve">The weakest growing </w:t>
            </w:r>
            <w:r w:rsidRPr="00995C95">
              <w:t xml:space="preserve">Finland emerged from the decline (0.3%), Germany recorded its fourth year-on-year growth in a row (0.4%) and Hungary had a 0.6% higher GDP. The increase was also below 1% in Austria, Italy, Estonia and Slovakia. On the </w:t>
            </w:r>
            <w:r w:rsidR="00510A58" w:rsidRPr="00995C95">
              <w:t>contrary</w:t>
            </w:r>
            <w:r w:rsidRPr="00995C95">
              <w:t>, GDP grew the most</w:t>
            </w:r>
            <w:r w:rsidR="00510A58" w:rsidRPr="00995C95">
              <w:t>,</w:t>
            </w:r>
            <w:r w:rsidRPr="00995C95">
              <w:t xml:space="preserve"> year-on-year</w:t>
            </w:r>
            <w:r w:rsidR="00510A58" w:rsidRPr="00995C95">
              <w:t>,</w:t>
            </w:r>
            <w:r w:rsidRPr="00995C95">
              <w:t xml:space="preserve"> in Malta (6.4%), Cyprus (4.5%) and Poland (3.6%).</w:t>
            </w:r>
            <w:r w:rsidR="00CD22D2" w:rsidRPr="00995C95">
              <w:t xml:space="preserve"> </w:t>
            </w:r>
          </w:p>
        </w:tc>
      </w:tr>
      <w:tr w:rsidR="0058050D" w:rsidRPr="00995C95" w14:paraId="03C44C74" w14:textId="77777777" w:rsidTr="00E87182">
        <w:trPr>
          <w:trHeight w:val="145"/>
        </w:trPr>
        <w:tc>
          <w:tcPr>
            <w:tcW w:w="1806" w:type="dxa"/>
            <w:tcMar>
              <w:left w:w="0" w:type="dxa"/>
            </w:tcMar>
          </w:tcPr>
          <w:p w14:paraId="1722AF05" w14:textId="4F93BA8C" w:rsidR="0058050D" w:rsidRPr="00995C95" w:rsidRDefault="006D2CB3" w:rsidP="006D2CB3">
            <w:pPr>
              <w:pStyle w:val="Marginlie"/>
            </w:pPr>
            <w:r w:rsidRPr="00995C95">
              <w:lastRenderedPageBreak/>
              <w:t>Real wage growth strengthened last year.</w:t>
            </w:r>
          </w:p>
        </w:tc>
        <w:tc>
          <w:tcPr>
            <w:tcW w:w="210" w:type="dxa"/>
            <w:tcMar>
              <w:left w:w="0" w:type="dxa"/>
            </w:tcMar>
          </w:tcPr>
          <w:p w14:paraId="28A10BFD" w14:textId="77777777" w:rsidR="0058050D" w:rsidRPr="00995C95" w:rsidRDefault="0058050D" w:rsidP="00E87182">
            <w:pPr>
              <w:pStyle w:val="Textpoznpodarou"/>
              <w:jc w:val="both"/>
              <w:rPr>
                <w:spacing w:val="-4"/>
              </w:rPr>
            </w:pPr>
          </w:p>
        </w:tc>
        <w:tc>
          <w:tcPr>
            <w:tcW w:w="7623" w:type="dxa"/>
            <w:tcMar>
              <w:left w:w="0" w:type="dxa"/>
            </w:tcMar>
          </w:tcPr>
          <w:p w14:paraId="4555B317" w14:textId="1822882E" w:rsidR="0058050D" w:rsidRPr="00995C95" w:rsidRDefault="00EF3A22" w:rsidP="00EF3A22">
            <w:r w:rsidRPr="00995C95">
              <w:t xml:space="preserve">The volume of wages and salaries paid in 2025 </w:t>
            </w:r>
            <w:r w:rsidR="000D3DFB" w:rsidRPr="00995C95">
              <w:t xml:space="preserve">went up </w:t>
            </w:r>
            <w:r w:rsidRPr="00995C95">
              <w:t xml:space="preserve">by 7.9%, with an increase </w:t>
            </w:r>
            <w:r w:rsidR="000D3DFB" w:rsidRPr="00995C95">
              <w:t xml:space="preserve">of </w:t>
            </w:r>
            <w:r w:rsidRPr="00995C95">
              <w:t>employment by 1.1%</w:t>
            </w:r>
            <w:r w:rsidR="003656AF" w:rsidRPr="00995C95">
              <w:rPr>
                <w:rStyle w:val="Znakapoznpodarou"/>
                <w:spacing w:val="-2"/>
              </w:rPr>
              <w:footnoteReference w:id="2"/>
            </w:r>
            <w:r w:rsidRPr="00995C95">
              <w:t xml:space="preserve">. The </w:t>
            </w:r>
            <w:r w:rsidR="008B13FE" w:rsidRPr="00995C95">
              <w:t xml:space="preserve">growth </w:t>
            </w:r>
            <w:r w:rsidRPr="00995C95">
              <w:t>strengthened compared to the previous year. Real wage and salary growth reached 4.8%</w:t>
            </w:r>
            <w:r w:rsidR="00770FC8" w:rsidRPr="00995C95">
              <w:rPr>
                <w:rStyle w:val="Znakapoznpodarou"/>
                <w:spacing w:val="-2"/>
              </w:rPr>
              <w:footnoteReference w:id="3"/>
            </w:r>
            <w:r w:rsidR="00770FC8" w:rsidRPr="00995C95">
              <w:t xml:space="preserve"> </w:t>
            </w:r>
            <w:r w:rsidRPr="00995C95">
              <w:t>in 2025 and was the most significant since 2018. Wages and salaries paid grew across the economy, but the dynamics varied considerably</w:t>
            </w:r>
            <w:r w:rsidR="002B333E" w:rsidRPr="00995C95">
              <w:t xml:space="preserve"> in individual sections</w:t>
            </w:r>
            <w:r w:rsidRPr="00995C95">
              <w:t xml:space="preserve">, as did </w:t>
            </w:r>
            <w:r w:rsidR="002B333E" w:rsidRPr="00995C95">
              <w:t xml:space="preserve">the </w:t>
            </w:r>
            <w:r w:rsidRPr="00995C95">
              <w:t xml:space="preserve">shifts </w:t>
            </w:r>
            <w:r w:rsidR="002B333E" w:rsidRPr="00995C95">
              <w:t>of</w:t>
            </w:r>
            <w:r w:rsidRPr="00995C95">
              <w:t xml:space="preserve"> total employment. Wages and salaries increased the most in real estate activities</w:t>
            </w:r>
            <w:r w:rsidR="00AB63D5" w:rsidRPr="00995C95">
              <w:t xml:space="preserve"> last year</w:t>
            </w:r>
            <w:r w:rsidRPr="00995C95">
              <w:t xml:space="preserve"> (16.5% with an increase </w:t>
            </w:r>
            <w:r w:rsidR="00AB63D5" w:rsidRPr="00995C95">
              <w:t>of</w:t>
            </w:r>
            <w:r w:rsidRPr="00995C95">
              <w:t xml:space="preserve"> employment by 2.6%), in professional, scientific, technical and administrative activities (11.8%, employment 1.3%) and construction (10.2%, employment 2.5%). </w:t>
            </w:r>
            <w:r w:rsidR="00AF2CC1" w:rsidRPr="00995C95">
              <w:t>W</w:t>
            </w:r>
            <w:r w:rsidRPr="00995C95">
              <w:t xml:space="preserve">ages and salaries grew </w:t>
            </w:r>
            <w:r w:rsidR="003000D7" w:rsidRPr="00995C95">
              <w:t>noticeably</w:t>
            </w:r>
            <w:r w:rsidRPr="00995C95">
              <w:t xml:space="preserve"> </w:t>
            </w:r>
            <w:r w:rsidR="005E5E4D" w:rsidRPr="00995C95">
              <w:t>a</w:t>
            </w:r>
            <w:r w:rsidR="00AF2CC1" w:rsidRPr="00995C95">
              <w:t xml:space="preserve">lso in other </w:t>
            </w:r>
            <w:r w:rsidR="00F10823" w:rsidRPr="00995C95">
              <w:t xml:space="preserve">branches of </w:t>
            </w:r>
            <w:r w:rsidR="00AF2CC1" w:rsidRPr="00995C95">
              <w:t>service</w:t>
            </w:r>
            <w:r w:rsidR="00F10823" w:rsidRPr="00995C95">
              <w:t>s</w:t>
            </w:r>
            <w:r w:rsidR="00AF2CC1" w:rsidRPr="00995C95">
              <w:t xml:space="preserve">, </w:t>
            </w:r>
            <w:r w:rsidR="00281FB2" w:rsidRPr="00995C95">
              <w:t>except for</w:t>
            </w:r>
            <w:r w:rsidR="00AF2CC1" w:rsidRPr="00995C95">
              <w:t xml:space="preserve"> financ</w:t>
            </w:r>
            <w:r w:rsidR="00A0406E" w:rsidRPr="00995C95">
              <w:t>ial</w:t>
            </w:r>
            <w:r w:rsidR="00AF2CC1" w:rsidRPr="00995C95">
              <w:t xml:space="preserve"> and insurance</w:t>
            </w:r>
            <w:r w:rsidR="00F10823" w:rsidRPr="00995C95">
              <w:t xml:space="preserve"> activities</w:t>
            </w:r>
            <w:r w:rsidR="00AF2CC1" w:rsidRPr="00995C95">
              <w:t xml:space="preserve"> (4.8% </w:t>
            </w:r>
            <w:r w:rsidR="00281FB2" w:rsidRPr="00995C95">
              <w:t xml:space="preserve">given </w:t>
            </w:r>
            <w:r w:rsidR="00AF2CC1" w:rsidRPr="00995C95">
              <w:t xml:space="preserve">a 0.2% decline </w:t>
            </w:r>
            <w:r w:rsidR="00F10823" w:rsidRPr="00995C95">
              <w:t>of</w:t>
            </w:r>
            <w:r w:rsidR="00AF2CC1" w:rsidRPr="00995C95">
              <w:t xml:space="preserve"> employment)</w:t>
            </w:r>
            <w:r w:rsidR="005E5E4D" w:rsidRPr="00995C95">
              <w:t xml:space="preserve"> and employment also increased here</w:t>
            </w:r>
            <w:r w:rsidRPr="00995C95">
              <w:t xml:space="preserve">. </w:t>
            </w:r>
            <w:r w:rsidR="00F05F7E" w:rsidRPr="00995C95">
              <w:t>W</w:t>
            </w:r>
            <w:r w:rsidRPr="00995C95">
              <w:t>ages and salaries increased by 8.4% (employment by 1.0%)</w:t>
            </w:r>
            <w:r w:rsidR="00F05F7E" w:rsidRPr="00995C95">
              <w:t xml:space="preserve"> in the group </w:t>
            </w:r>
            <w:r w:rsidR="00064C17" w:rsidRPr="00995C95">
              <w:t xml:space="preserve">of economic activities </w:t>
            </w:r>
            <w:r w:rsidR="00F05F7E" w:rsidRPr="00995C95">
              <w:t xml:space="preserve">trade, transport, accommodation and </w:t>
            </w:r>
            <w:r w:rsidR="00064C17" w:rsidRPr="00995C95">
              <w:t>restaurants</w:t>
            </w:r>
            <w:r w:rsidRPr="00995C95">
              <w:t>,</w:t>
            </w:r>
            <w:r w:rsidR="00787E2A" w:rsidRPr="00995C95">
              <w:t xml:space="preserve"> by 8.4%</w:t>
            </w:r>
            <w:r w:rsidRPr="00995C95">
              <w:t xml:space="preserve"> in public administration, education, and social work</w:t>
            </w:r>
            <w:r w:rsidR="00154F9D" w:rsidRPr="00995C95">
              <w:t xml:space="preserve"> </w:t>
            </w:r>
            <w:r w:rsidRPr="00995C95">
              <w:t>(employment by 1.8%),</w:t>
            </w:r>
            <w:r w:rsidR="00673247" w:rsidRPr="00995C95">
              <w:t xml:space="preserve"> b</w:t>
            </w:r>
            <w:r w:rsidRPr="00995C95">
              <w:t>y 7.9%</w:t>
            </w:r>
            <w:r w:rsidR="00673247" w:rsidRPr="00995C95">
              <w:t xml:space="preserve"> in other activities</w:t>
            </w:r>
            <w:r w:rsidR="00673247" w:rsidRPr="00995C95">
              <w:rPr>
                <w:rStyle w:val="Znakapoznpodarou"/>
                <w:spacing w:val="-2"/>
              </w:rPr>
              <w:footnoteReference w:id="4"/>
            </w:r>
            <w:r w:rsidRPr="00995C95">
              <w:t xml:space="preserve"> (employment by 4.2%) and</w:t>
            </w:r>
            <w:r w:rsidR="00673247" w:rsidRPr="00995C95">
              <w:t xml:space="preserve"> by 7.8%</w:t>
            </w:r>
            <w:r w:rsidRPr="00995C95">
              <w:t xml:space="preserve"> in information and communication</w:t>
            </w:r>
            <w:r w:rsidR="00673247" w:rsidRPr="00995C95">
              <w:t xml:space="preserve"> </w:t>
            </w:r>
            <w:r w:rsidRPr="00995C95">
              <w:t xml:space="preserve">(employment by 0.5%). </w:t>
            </w:r>
            <w:r w:rsidR="00CD6C83" w:rsidRPr="00995C95">
              <w:t>In contrast</w:t>
            </w:r>
            <w:r w:rsidRPr="00995C95">
              <w:t xml:space="preserve">, the </w:t>
            </w:r>
            <w:r w:rsidR="00CD6C83" w:rsidRPr="00995C95">
              <w:t xml:space="preserve">slump </w:t>
            </w:r>
            <w:r w:rsidRPr="00995C95">
              <w:t>was evident in industry, where wages and salaries paid increased by 5.1%</w:t>
            </w:r>
            <w:r w:rsidR="00A0406E" w:rsidRPr="00995C95">
              <w:t>,</w:t>
            </w:r>
            <w:r w:rsidRPr="00995C95">
              <w:t xml:space="preserve"> while employment fell by 0.3%.</w:t>
            </w:r>
            <w:r w:rsidR="00770FC8" w:rsidRPr="00995C95">
              <w:t xml:space="preserve"> </w:t>
            </w:r>
          </w:p>
        </w:tc>
      </w:tr>
      <w:tr w:rsidR="0058050D" w:rsidRPr="00995C95" w14:paraId="0BC9A150" w14:textId="77777777" w:rsidTr="00E87182">
        <w:trPr>
          <w:trHeight w:val="145"/>
        </w:trPr>
        <w:tc>
          <w:tcPr>
            <w:tcW w:w="1806" w:type="dxa"/>
            <w:tcMar>
              <w:left w:w="0" w:type="dxa"/>
            </w:tcMar>
          </w:tcPr>
          <w:p w14:paraId="1CB5C27A" w14:textId="67A6BEC5" w:rsidR="0058050D" w:rsidRPr="00995C95" w:rsidRDefault="00FD4A5D" w:rsidP="00FD4A5D">
            <w:pPr>
              <w:pStyle w:val="Marginlie"/>
            </w:pPr>
            <w:r w:rsidRPr="00995C95">
              <w:t>The end of the year brought an acceleration</w:t>
            </w:r>
            <w:r w:rsidR="006057BE" w:rsidRPr="00995C95">
              <w:t xml:space="preserve"> of </w:t>
            </w:r>
            <w:r w:rsidRPr="00995C95">
              <w:t>wage and salary growth.</w:t>
            </w:r>
            <w:r w:rsidR="008E6F24" w:rsidRPr="00995C95">
              <w:t xml:space="preserve"> </w:t>
            </w:r>
          </w:p>
        </w:tc>
        <w:tc>
          <w:tcPr>
            <w:tcW w:w="210" w:type="dxa"/>
            <w:tcMar>
              <w:left w:w="0" w:type="dxa"/>
            </w:tcMar>
          </w:tcPr>
          <w:p w14:paraId="03F28EFA" w14:textId="77777777" w:rsidR="0058050D" w:rsidRPr="00995C95" w:rsidRDefault="0058050D" w:rsidP="00E87182">
            <w:pPr>
              <w:pStyle w:val="Textpoznpodarou"/>
              <w:jc w:val="both"/>
              <w:rPr>
                <w:spacing w:val="-4"/>
              </w:rPr>
            </w:pPr>
          </w:p>
        </w:tc>
        <w:tc>
          <w:tcPr>
            <w:tcW w:w="7623" w:type="dxa"/>
            <w:tcMar>
              <w:left w:w="0" w:type="dxa"/>
            </w:tcMar>
          </w:tcPr>
          <w:p w14:paraId="0B63B955" w14:textId="42668539" w:rsidR="0058050D" w:rsidRPr="00995C95" w:rsidRDefault="006057BE" w:rsidP="009A795A">
            <w:r w:rsidRPr="00995C95">
              <w:t>Y</w:t>
            </w:r>
            <w:r w:rsidR="009A795A" w:rsidRPr="00995C95">
              <w:t xml:space="preserve">ear-on-year growth </w:t>
            </w:r>
            <w:r w:rsidRPr="00995C95">
              <w:t>of</w:t>
            </w:r>
            <w:r w:rsidR="009A795A" w:rsidRPr="00995C95">
              <w:t xml:space="preserve"> wages and salaries paid strengthened to 8.8%</w:t>
            </w:r>
            <w:r w:rsidRPr="00995C95">
              <w:t xml:space="preserve"> in Q4 alone</w:t>
            </w:r>
            <w:r w:rsidR="009A795A" w:rsidRPr="00995C95">
              <w:t xml:space="preserve"> (with employment growth of 1.0%), the highest since Q2 2023. Quarter-on-quarter, wages and salaries increased by a significant 2.7% and employment remained the same. In real terms, wages and salaries increased by 6.1%</w:t>
            </w:r>
            <w:r w:rsidR="00F160D4" w:rsidRPr="00995C95">
              <w:rPr>
                <w:rStyle w:val="Znakapoznpodarou"/>
              </w:rPr>
              <w:footnoteReference w:id="5"/>
            </w:r>
            <w:r w:rsidR="00F160D4" w:rsidRPr="00995C95">
              <w:t xml:space="preserve">, </w:t>
            </w:r>
            <w:r w:rsidR="009A795A" w:rsidRPr="00995C95">
              <w:t>year-on-year</w:t>
            </w:r>
            <w:r w:rsidR="00F160D4" w:rsidRPr="00995C95">
              <w:t>,</w:t>
            </w:r>
            <w:r w:rsidR="009A795A" w:rsidRPr="00995C95">
              <w:t xml:space="preserve"> and by 2.2%</w:t>
            </w:r>
            <w:r w:rsidR="00F160D4" w:rsidRPr="00995C95">
              <w:t>,</w:t>
            </w:r>
            <w:r w:rsidR="009A795A" w:rsidRPr="00995C95">
              <w:t xml:space="preserve"> quarter-on-quarter</w:t>
            </w:r>
            <w:r w:rsidR="00F160D4" w:rsidRPr="00995C95">
              <w:t>,</w:t>
            </w:r>
            <w:r w:rsidR="009A795A" w:rsidRPr="00995C95">
              <w:t xml:space="preserve"> in Q4. Quarter-on-quarter, wages and salaries increased the most in other activities (6.9%, employment by 4.5%), in real estate activities (4.2%, employment by 5.1%) and in public administration, education, </w:t>
            </w:r>
            <w:r w:rsidR="002F266A" w:rsidRPr="00995C95">
              <w:t xml:space="preserve">human </w:t>
            </w:r>
            <w:r w:rsidR="00E239CE" w:rsidRPr="00995C95">
              <w:t>h</w:t>
            </w:r>
            <w:r w:rsidR="009A795A" w:rsidRPr="00995C95">
              <w:t>ealth and social work</w:t>
            </w:r>
            <w:r w:rsidR="002F266A" w:rsidRPr="00995C95">
              <w:t xml:space="preserve"> activities</w:t>
            </w:r>
            <w:r w:rsidR="00E239CE" w:rsidRPr="00995C95">
              <w:t xml:space="preserve"> </w:t>
            </w:r>
            <w:r w:rsidR="009A795A" w:rsidRPr="00995C95">
              <w:t xml:space="preserve">(3.8%, employment was unchanged). The quarter-on-quarter increase </w:t>
            </w:r>
            <w:r w:rsidR="00911F27" w:rsidRPr="00995C95">
              <w:t>of</w:t>
            </w:r>
            <w:r w:rsidR="009A795A" w:rsidRPr="00995C95">
              <w:t xml:space="preserve"> paid wages and salaries was slightly below the </w:t>
            </w:r>
            <w:r w:rsidR="00911F27" w:rsidRPr="00995C95">
              <w:t>total a</w:t>
            </w:r>
            <w:r w:rsidR="009A795A" w:rsidRPr="00995C95">
              <w:t xml:space="preserve">verage in construction, trade, transport, accommodation and </w:t>
            </w:r>
            <w:r w:rsidR="00A0406E" w:rsidRPr="00995C95">
              <w:t xml:space="preserve">food service activities </w:t>
            </w:r>
            <w:r w:rsidR="009A795A" w:rsidRPr="00995C95">
              <w:t>and in information and communication</w:t>
            </w:r>
            <w:r w:rsidR="0046474F" w:rsidRPr="00995C95">
              <w:t xml:space="preserve"> </w:t>
            </w:r>
            <w:r w:rsidR="009A795A" w:rsidRPr="00995C95">
              <w:t xml:space="preserve">(both 2.3%, in the last two the slight growth was also due to a decline </w:t>
            </w:r>
            <w:r w:rsidR="00FB6BEB" w:rsidRPr="00995C95">
              <w:t>of</w:t>
            </w:r>
            <w:r w:rsidR="009A795A" w:rsidRPr="00995C95">
              <w:t xml:space="preserve"> employment). </w:t>
            </w:r>
            <w:r w:rsidR="009E33BB" w:rsidRPr="00995C95">
              <w:t>W</w:t>
            </w:r>
            <w:r w:rsidR="009A795A" w:rsidRPr="00995C95">
              <w:t xml:space="preserve">age growth rebounded after a weak </w:t>
            </w:r>
            <w:r w:rsidR="009E33BB" w:rsidRPr="00995C95">
              <w:t xml:space="preserve">Q3 </w:t>
            </w:r>
            <w:r w:rsidR="009A795A" w:rsidRPr="00995C95">
              <w:t>(2.3% with almost unchanged employment)</w:t>
            </w:r>
            <w:r w:rsidR="009E33BB" w:rsidRPr="00995C95">
              <w:t xml:space="preserve"> in industry</w:t>
            </w:r>
            <w:r w:rsidR="009A795A" w:rsidRPr="00995C95">
              <w:t xml:space="preserve">. </w:t>
            </w:r>
            <w:r w:rsidR="00652C41" w:rsidRPr="00995C95">
              <w:t>Q</w:t>
            </w:r>
            <w:r w:rsidR="009A795A" w:rsidRPr="00995C95">
              <w:t xml:space="preserve">uarter-on-quarter decline </w:t>
            </w:r>
            <w:r w:rsidR="00652C41" w:rsidRPr="00995C95">
              <w:t>of</w:t>
            </w:r>
            <w:r w:rsidR="009A795A" w:rsidRPr="00995C95">
              <w:t xml:space="preserve"> wages and salaries was recorded only in financ</w:t>
            </w:r>
            <w:r w:rsidR="00652C41" w:rsidRPr="00995C95">
              <w:t xml:space="preserve">ial </w:t>
            </w:r>
            <w:r w:rsidR="009A795A" w:rsidRPr="00995C95">
              <w:t>and insurance</w:t>
            </w:r>
            <w:r w:rsidR="00652C41" w:rsidRPr="00995C95">
              <w:t xml:space="preserve"> activities</w:t>
            </w:r>
            <w:r w:rsidR="009A795A" w:rsidRPr="00995C95">
              <w:t xml:space="preserve"> (−0.8%, employment −1.2%). Wages and salaries </w:t>
            </w:r>
            <w:r w:rsidR="00E908FB" w:rsidRPr="00995C95">
              <w:t xml:space="preserve">were raised </w:t>
            </w:r>
            <w:r w:rsidR="009A795A" w:rsidRPr="00995C95">
              <w:t>the most</w:t>
            </w:r>
            <w:r w:rsidR="00E908FB" w:rsidRPr="00995C95">
              <w:t>,</w:t>
            </w:r>
            <w:r w:rsidR="009A795A" w:rsidRPr="00995C95">
              <w:t xml:space="preserve"> year-on-year</w:t>
            </w:r>
            <w:r w:rsidR="00E908FB" w:rsidRPr="00995C95">
              <w:t>,</w:t>
            </w:r>
            <w:r w:rsidR="009A795A" w:rsidRPr="00995C95">
              <w:t xml:space="preserve"> in real estate activities (15.2%), in professional, scientific, technical and administrative activities (12.6%) and in construction (11.2%). On the </w:t>
            </w:r>
            <w:r w:rsidR="00BE2D99" w:rsidRPr="00995C95">
              <w:t>contrary,</w:t>
            </w:r>
            <w:r w:rsidR="009A795A" w:rsidRPr="00995C95">
              <w:t xml:space="preserve"> wage and salary growth was weak</w:t>
            </w:r>
            <w:r w:rsidR="00AA0591" w:rsidRPr="00995C95">
              <w:t xml:space="preserve"> in financial and insurance activities</w:t>
            </w:r>
            <w:r w:rsidR="009A795A" w:rsidRPr="00995C95">
              <w:t xml:space="preserve"> </w:t>
            </w:r>
            <w:r w:rsidR="009A795A" w:rsidRPr="00995C95">
              <w:lastRenderedPageBreak/>
              <w:t>(3.9%</w:t>
            </w:r>
            <w:proofErr w:type="gramStart"/>
            <w:r w:rsidR="009A795A" w:rsidRPr="00995C95">
              <w:t>)</w:t>
            </w:r>
            <w:proofErr w:type="gramEnd"/>
            <w:r w:rsidR="009A795A" w:rsidRPr="00995C95">
              <w:t xml:space="preserve"> and, despite the acceleration, wage growth also remained below average in industry (6.0%)</w:t>
            </w:r>
            <w:r w:rsidR="004307FC">
              <w:t>.</w:t>
            </w:r>
          </w:p>
        </w:tc>
      </w:tr>
      <w:tr w:rsidR="0058050D" w:rsidRPr="00995C95" w14:paraId="5C6E7D10" w14:textId="77777777" w:rsidTr="00E87182">
        <w:trPr>
          <w:trHeight w:val="145"/>
        </w:trPr>
        <w:tc>
          <w:tcPr>
            <w:tcW w:w="1806" w:type="dxa"/>
            <w:tcMar>
              <w:left w:w="0" w:type="dxa"/>
            </w:tcMar>
          </w:tcPr>
          <w:p w14:paraId="513E2CB7" w14:textId="3560B4EB" w:rsidR="0058050D" w:rsidRPr="00995C95" w:rsidRDefault="00911F27" w:rsidP="00911F27">
            <w:pPr>
              <w:pStyle w:val="Marginlie"/>
            </w:pPr>
            <w:r w:rsidRPr="00995C95">
              <w:lastRenderedPageBreak/>
              <w:t>Household consumption grew significantly.</w:t>
            </w:r>
            <w:r w:rsidR="004B3545" w:rsidRPr="00995C95">
              <w:t xml:space="preserve"> </w:t>
            </w:r>
          </w:p>
        </w:tc>
        <w:tc>
          <w:tcPr>
            <w:tcW w:w="210" w:type="dxa"/>
            <w:tcMar>
              <w:left w:w="0" w:type="dxa"/>
            </w:tcMar>
          </w:tcPr>
          <w:p w14:paraId="59463A3A" w14:textId="77777777" w:rsidR="0058050D" w:rsidRPr="00995C95" w:rsidRDefault="0058050D" w:rsidP="00E87182">
            <w:pPr>
              <w:pStyle w:val="Textpoznpodarou"/>
              <w:jc w:val="both"/>
              <w:rPr>
                <w:spacing w:val="-4"/>
              </w:rPr>
            </w:pPr>
          </w:p>
        </w:tc>
        <w:tc>
          <w:tcPr>
            <w:tcW w:w="7623" w:type="dxa"/>
            <w:tcMar>
              <w:left w:w="0" w:type="dxa"/>
            </w:tcMar>
          </w:tcPr>
          <w:p w14:paraId="7634A36D" w14:textId="34E2A204" w:rsidR="0058050D" w:rsidRPr="00995C95" w:rsidRDefault="00B2724A" w:rsidP="00B2724A">
            <w:pPr>
              <w:rPr>
                <w:spacing w:val="-2"/>
              </w:rPr>
            </w:pPr>
            <w:r w:rsidRPr="00995C95">
              <w:rPr>
                <w:spacing w:val="-2"/>
              </w:rPr>
              <w:t>Final consumption expenditure increased by 2.8% in real terms</w:t>
            </w:r>
            <w:r w:rsidR="005015F6" w:rsidRPr="00995C95">
              <w:rPr>
                <w:spacing w:val="-2"/>
              </w:rPr>
              <w:t xml:space="preserve"> </w:t>
            </w:r>
            <w:r w:rsidR="00420CFF" w:rsidRPr="00995C95">
              <w:rPr>
                <w:spacing w:val="-2"/>
              </w:rPr>
              <w:t>for the whole year 2025</w:t>
            </w:r>
            <w:r w:rsidRPr="00995C95">
              <w:rPr>
                <w:spacing w:val="-2"/>
              </w:rPr>
              <w:t xml:space="preserve">. </w:t>
            </w:r>
            <w:r w:rsidR="00420CFF" w:rsidRPr="00995C95">
              <w:rPr>
                <w:spacing w:val="-2"/>
              </w:rPr>
              <w:t>H</w:t>
            </w:r>
            <w:r w:rsidRPr="00995C95">
              <w:rPr>
                <w:spacing w:val="-2"/>
              </w:rPr>
              <w:t>ousehold consumption strengthened significantly (3.0%)</w:t>
            </w:r>
            <w:r w:rsidR="001B1DB9" w:rsidRPr="00995C95">
              <w:rPr>
                <w:spacing w:val="-2"/>
              </w:rPr>
              <w:t xml:space="preserve"> </w:t>
            </w:r>
            <w:r w:rsidRPr="00995C95">
              <w:rPr>
                <w:spacing w:val="-2"/>
              </w:rPr>
              <w:t xml:space="preserve">and, conversely, growth </w:t>
            </w:r>
            <w:r w:rsidR="008715A3" w:rsidRPr="00995C95">
              <w:rPr>
                <w:spacing w:val="-2"/>
              </w:rPr>
              <w:t>of</w:t>
            </w:r>
            <w:r w:rsidRPr="00995C95">
              <w:rPr>
                <w:spacing w:val="-2"/>
              </w:rPr>
              <w:t xml:space="preserve"> government expenditure weakened (2.2%)</w:t>
            </w:r>
            <w:r w:rsidR="001B1DB9" w:rsidRPr="00995C95">
              <w:rPr>
                <w:spacing w:val="-2"/>
              </w:rPr>
              <w:t xml:space="preserve"> last year</w:t>
            </w:r>
            <w:r w:rsidRPr="00995C95">
              <w:rPr>
                <w:spacing w:val="-2"/>
              </w:rPr>
              <w:t xml:space="preserve">, </w:t>
            </w:r>
            <w:r w:rsidR="007C17A1" w:rsidRPr="00995C95">
              <w:rPr>
                <w:spacing w:val="-2"/>
              </w:rPr>
              <w:t xml:space="preserve">thus </w:t>
            </w:r>
            <w:r w:rsidRPr="00995C95">
              <w:rPr>
                <w:spacing w:val="-2"/>
              </w:rPr>
              <w:t xml:space="preserve">resulting in a total increase </w:t>
            </w:r>
            <w:r w:rsidR="008715A3" w:rsidRPr="00995C95">
              <w:rPr>
                <w:spacing w:val="-2"/>
              </w:rPr>
              <w:t>of</w:t>
            </w:r>
            <w:r w:rsidRPr="00995C95">
              <w:rPr>
                <w:spacing w:val="-2"/>
              </w:rPr>
              <w:t xml:space="preserve"> consumption similar to </w:t>
            </w:r>
            <w:r w:rsidR="007C17A1" w:rsidRPr="00995C95">
              <w:rPr>
                <w:spacing w:val="-2"/>
              </w:rPr>
              <w:t xml:space="preserve">year </w:t>
            </w:r>
            <w:r w:rsidRPr="00995C95">
              <w:rPr>
                <w:spacing w:val="-2"/>
              </w:rPr>
              <w:t>2024. A</w:t>
            </w:r>
            <w:r w:rsidR="00D458AD" w:rsidRPr="00995C95">
              <w:rPr>
                <w:spacing w:val="-2"/>
              </w:rPr>
              <w:t xml:space="preserve">n insight into </w:t>
            </w:r>
            <w:r w:rsidRPr="00995C95">
              <w:rPr>
                <w:spacing w:val="-2"/>
              </w:rPr>
              <w:t>consumption</w:t>
            </w:r>
            <w:r w:rsidR="00D458AD" w:rsidRPr="00995C95">
              <w:rPr>
                <w:spacing w:val="-2"/>
              </w:rPr>
              <w:t xml:space="preserve"> trends</w:t>
            </w:r>
            <w:r w:rsidRPr="00995C95">
              <w:rPr>
                <w:spacing w:val="-2"/>
              </w:rPr>
              <w:t xml:space="preserve"> in terms of durability</w:t>
            </w:r>
            <w:r w:rsidR="006F12E9" w:rsidRPr="00995C95">
              <w:rPr>
                <w:rStyle w:val="Znakapoznpodarou"/>
              </w:rPr>
              <w:footnoteReference w:id="6"/>
            </w:r>
            <w:r w:rsidRPr="00995C95">
              <w:rPr>
                <w:spacing w:val="-2"/>
              </w:rPr>
              <w:t xml:space="preserve"> shows that there was a strengthening </w:t>
            </w:r>
            <w:r w:rsidR="006E3C21" w:rsidRPr="00995C95">
              <w:rPr>
                <w:spacing w:val="-2"/>
              </w:rPr>
              <w:t xml:space="preserve">of </w:t>
            </w:r>
            <w:r w:rsidRPr="00995C95">
              <w:rPr>
                <w:spacing w:val="-2"/>
              </w:rPr>
              <w:t xml:space="preserve">growth </w:t>
            </w:r>
            <w:r w:rsidR="00182C10" w:rsidRPr="00995C95">
              <w:rPr>
                <w:spacing w:val="-2"/>
              </w:rPr>
              <w:t>of</w:t>
            </w:r>
            <w:r w:rsidRPr="00995C95">
              <w:rPr>
                <w:spacing w:val="-2"/>
              </w:rPr>
              <w:t xml:space="preserve"> expenditure on long-term (1.0%), medium-term (2.1%) and short-term consumption (3.8%)</w:t>
            </w:r>
            <w:r w:rsidR="00182C10" w:rsidRPr="00995C95">
              <w:rPr>
                <w:spacing w:val="-2"/>
              </w:rPr>
              <w:t xml:space="preserve"> last year</w:t>
            </w:r>
            <w:r w:rsidRPr="00995C95">
              <w:rPr>
                <w:spacing w:val="-2"/>
              </w:rPr>
              <w:t xml:space="preserve">. The dynamics of consumption of services remained stable (2.8%). After a weaker </w:t>
            </w:r>
            <w:r w:rsidR="00E3680C" w:rsidRPr="00995C95">
              <w:rPr>
                <w:spacing w:val="-2"/>
              </w:rPr>
              <w:t>Q</w:t>
            </w:r>
            <w:r w:rsidRPr="00995C95">
              <w:rPr>
                <w:spacing w:val="-2"/>
              </w:rPr>
              <w:t>3</w:t>
            </w:r>
            <w:r w:rsidR="00E3680C" w:rsidRPr="00995C95">
              <w:rPr>
                <w:spacing w:val="-2"/>
              </w:rPr>
              <w:t>, c</w:t>
            </w:r>
            <w:r w:rsidRPr="00995C95">
              <w:rPr>
                <w:spacing w:val="-2"/>
              </w:rPr>
              <w:t>onsumption increased by a significant 1.2%</w:t>
            </w:r>
            <w:r w:rsidR="00ED0A16" w:rsidRPr="00995C95">
              <w:rPr>
                <w:spacing w:val="-2"/>
              </w:rPr>
              <w:t>,</w:t>
            </w:r>
            <w:r w:rsidRPr="00995C95">
              <w:rPr>
                <w:spacing w:val="-2"/>
              </w:rPr>
              <w:t xml:space="preserve"> quarter-on-quarter,</w:t>
            </w:r>
            <w:r w:rsidR="00ED0A16" w:rsidRPr="00995C95">
              <w:rPr>
                <w:spacing w:val="-2"/>
              </w:rPr>
              <w:t xml:space="preserve"> </w:t>
            </w:r>
            <w:r w:rsidR="00E3680C" w:rsidRPr="00995C95">
              <w:rPr>
                <w:spacing w:val="-2"/>
              </w:rPr>
              <w:t>in the final quarter of the year,</w:t>
            </w:r>
            <w:r w:rsidR="00ED0A16" w:rsidRPr="00995C95">
              <w:rPr>
                <w:spacing w:val="-2"/>
              </w:rPr>
              <w:t xml:space="preserve"> </w:t>
            </w:r>
            <w:r w:rsidRPr="00995C95">
              <w:rPr>
                <w:spacing w:val="-2"/>
              </w:rPr>
              <w:t xml:space="preserve">mainly due to a recovery </w:t>
            </w:r>
            <w:r w:rsidR="000913C1" w:rsidRPr="00995C95">
              <w:rPr>
                <w:spacing w:val="-2"/>
              </w:rPr>
              <w:t xml:space="preserve">for </w:t>
            </w:r>
            <w:r w:rsidRPr="00995C95">
              <w:rPr>
                <w:spacing w:val="-2"/>
              </w:rPr>
              <w:t>households (1.3%). Consumption was 3.0% higher</w:t>
            </w:r>
            <w:r w:rsidR="00F36977" w:rsidRPr="00995C95">
              <w:rPr>
                <w:spacing w:val="-2"/>
              </w:rPr>
              <w:t>,</w:t>
            </w:r>
            <w:r w:rsidRPr="00995C95">
              <w:rPr>
                <w:spacing w:val="-2"/>
              </w:rPr>
              <w:t xml:space="preserve"> year-on-year</w:t>
            </w:r>
            <w:r w:rsidR="00F36977" w:rsidRPr="00995C95">
              <w:rPr>
                <w:spacing w:val="-2"/>
              </w:rPr>
              <w:t>,</w:t>
            </w:r>
            <w:r w:rsidRPr="00995C95">
              <w:rPr>
                <w:spacing w:val="-2"/>
              </w:rPr>
              <w:t xml:space="preserve"> in Q4 (households 3.2%, general government 2.5%). </w:t>
            </w:r>
            <w:r w:rsidR="008F5E37" w:rsidRPr="00995C95">
              <w:rPr>
                <w:spacing w:val="-2"/>
              </w:rPr>
              <w:t>Qu</w:t>
            </w:r>
            <w:r w:rsidRPr="00995C95">
              <w:rPr>
                <w:spacing w:val="-2"/>
              </w:rPr>
              <w:t xml:space="preserve">arter-on-quarter (1.9%) and year-on-year (4.2%) growth </w:t>
            </w:r>
            <w:r w:rsidR="008F5E37" w:rsidRPr="00995C95">
              <w:rPr>
                <w:spacing w:val="-2"/>
              </w:rPr>
              <w:t>of</w:t>
            </w:r>
            <w:r w:rsidRPr="00995C95">
              <w:rPr>
                <w:spacing w:val="-2"/>
              </w:rPr>
              <w:t xml:space="preserve"> services consumption strengthened</w:t>
            </w:r>
            <w:r w:rsidR="008F5E37" w:rsidRPr="00995C95">
              <w:rPr>
                <w:spacing w:val="-2"/>
              </w:rPr>
              <w:t xml:space="preserve"> at the end of year 2025</w:t>
            </w:r>
            <w:r w:rsidRPr="00995C95">
              <w:rPr>
                <w:spacing w:val="-2"/>
              </w:rPr>
              <w:t xml:space="preserve">. Short-term consumption also contributed to the quarter-on-quarter increase </w:t>
            </w:r>
            <w:r w:rsidR="00833F17" w:rsidRPr="00995C95">
              <w:rPr>
                <w:spacing w:val="-2"/>
              </w:rPr>
              <w:t>of</w:t>
            </w:r>
            <w:r w:rsidRPr="00995C95">
              <w:rPr>
                <w:spacing w:val="-2"/>
              </w:rPr>
              <w:t xml:space="preserve"> household consumption (0.9%, 3.1%</w:t>
            </w:r>
            <w:r w:rsidR="00ED40FA" w:rsidRPr="00995C95">
              <w:rPr>
                <w:spacing w:val="-2"/>
              </w:rPr>
              <w:t>,</w:t>
            </w:r>
            <w:r w:rsidRPr="00995C95">
              <w:rPr>
                <w:spacing w:val="-2"/>
              </w:rPr>
              <w:t xml:space="preserve"> year-on-year). </w:t>
            </w:r>
            <w:r w:rsidR="006C0E68" w:rsidRPr="00995C95">
              <w:rPr>
                <w:spacing w:val="-2"/>
              </w:rPr>
              <w:t>C</w:t>
            </w:r>
            <w:r w:rsidR="00DB6035" w:rsidRPr="00995C95">
              <w:rPr>
                <w:spacing w:val="-2"/>
              </w:rPr>
              <w:t>o</w:t>
            </w:r>
            <w:r w:rsidRPr="00995C95">
              <w:rPr>
                <w:spacing w:val="-2"/>
              </w:rPr>
              <w:t>nsumption</w:t>
            </w:r>
            <w:r w:rsidR="00DB6035" w:rsidRPr="00995C95">
              <w:rPr>
                <w:spacing w:val="-2"/>
              </w:rPr>
              <w:t xml:space="preserve"> of durable goods in</w:t>
            </w:r>
            <w:r w:rsidRPr="00995C95">
              <w:rPr>
                <w:spacing w:val="-2"/>
              </w:rPr>
              <w:t>creased only slightly</w:t>
            </w:r>
            <w:r w:rsidR="00DB6035" w:rsidRPr="00995C95">
              <w:rPr>
                <w:spacing w:val="-2"/>
              </w:rPr>
              <w:t>,</w:t>
            </w:r>
            <w:r w:rsidRPr="00995C95">
              <w:rPr>
                <w:spacing w:val="-2"/>
              </w:rPr>
              <w:t xml:space="preserve"> quarter-on-quarter (0.2%</w:t>
            </w:r>
            <w:r w:rsidR="00DB6035" w:rsidRPr="00995C95">
              <w:rPr>
                <w:spacing w:val="-2"/>
              </w:rPr>
              <w:t>;</w:t>
            </w:r>
            <w:r w:rsidRPr="00995C95">
              <w:rPr>
                <w:spacing w:val="-2"/>
              </w:rPr>
              <w:t xml:space="preserve"> 2.3%</w:t>
            </w:r>
            <w:r w:rsidR="00DB6035" w:rsidRPr="00995C95">
              <w:rPr>
                <w:spacing w:val="-2"/>
              </w:rPr>
              <w:t>,</w:t>
            </w:r>
            <w:r w:rsidRPr="00995C95">
              <w:rPr>
                <w:spacing w:val="-2"/>
              </w:rPr>
              <w:t xml:space="preserve"> y</w:t>
            </w:r>
            <w:r w:rsidR="00DB6035" w:rsidRPr="00995C95">
              <w:rPr>
                <w:spacing w:val="-2"/>
              </w:rPr>
              <w:t>ear-on-year</w:t>
            </w:r>
            <w:r w:rsidRPr="00995C95">
              <w:rPr>
                <w:spacing w:val="-2"/>
              </w:rPr>
              <w:t>) and consumption</w:t>
            </w:r>
            <w:r w:rsidR="0050385E" w:rsidRPr="00995C95">
              <w:rPr>
                <w:spacing w:val="-2"/>
              </w:rPr>
              <w:t xml:space="preserve"> of semi-durables </w:t>
            </w:r>
            <w:r w:rsidRPr="00995C95">
              <w:rPr>
                <w:spacing w:val="-2"/>
              </w:rPr>
              <w:t>dec</w:t>
            </w:r>
            <w:r w:rsidR="009C7240" w:rsidRPr="00995C95">
              <w:rPr>
                <w:spacing w:val="-2"/>
              </w:rPr>
              <w:t xml:space="preserve">reased </w:t>
            </w:r>
            <w:r w:rsidRPr="00995C95">
              <w:rPr>
                <w:spacing w:val="-2"/>
              </w:rPr>
              <w:t>(−0.7%</w:t>
            </w:r>
            <w:r w:rsidR="009C7240" w:rsidRPr="00995C95">
              <w:rPr>
                <w:spacing w:val="-2"/>
              </w:rPr>
              <w:t>;</w:t>
            </w:r>
            <w:r w:rsidRPr="00995C95">
              <w:rPr>
                <w:spacing w:val="-2"/>
              </w:rPr>
              <w:t xml:space="preserve"> 2.1%</w:t>
            </w:r>
            <w:r w:rsidR="006E3C21" w:rsidRPr="00995C95">
              <w:rPr>
                <w:spacing w:val="-2"/>
              </w:rPr>
              <w:t>,</w:t>
            </w:r>
            <w:r w:rsidR="009C7240" w:rsidRPr="00995C95">
              <w:rPr>
                <w:spacing w:val="-2"/>
              </w:rPr>
              <w:t xml:space="preserve"> year-on-year</w:t>
            </w:r>
            <w:r w:rsidRPr="00995C95">
              <w:rPr>
                <w:spacing w:val="-2"/>
              </w:rPr>
              <w:t>).</w:t>
            </w:r>
            <w:r w:rsidR="0058050D" w:rsidRPr="00995C95">
              <w:rPr>
                <w:spacing w:val="-2"/>
              </w:rPr>
              <w:t xml:space="preserve">  </w:t>
            </w:r>
          </w:p>
        </w:tc>
      </w:tr>
      <w:tr w:rsidR="0058050D" w:rsidRPr="00995C95" w14:paraId="5CB761C6" w14:textId="77777777" w:rsidTr="00E87182">
        <w:trPr>
          <w:trHeight w:val="154"/>
        </w:trPr>
        <w:tc>
          <w:tcPr>
            <w:tcW w:w="1806" w:type="dxa"/>
            <w:vMerge w:val="restart"/>
            <w:tcMar>
              <w:left w:w="0" w:type="dxa"/>
            </w:tcMar>
          </w:tcPr>
          <w:p w14:paraId="15C0C161" w14:textId="77777777" w:rsidR="0058050D" w:rsidRPr="00995C95" w:rsidRDefault="0058050D" w:rsidP="00E87182">
            <w:pPr>
              <w:pStyle w:val="Marginlie"/>
            </w:pPr>
          </w:p>
        </w:tc>
        <w:tc>
          <w:tcPr>
            <w:tcW w:w="210" w:type="dxa"/>
            <w:vMerge w:val="restart"/>
            <w:tcMar>
              <w:left w:w="0" w:type="dxa"/>
            </w:tcMar>
          </w:tcPr>
          <w:p w14:paraId="1EC775AA" w14:textId="77777777" w:rsidR="0058050D" w:rsidRPr="00995C95" w:rsidRDefault="0058050D" w:rsidP="00E87182">
            <w:pPr>
              <w:pStyle w:val="Textpoznpodarou"/>
              <w:jc w:val="both"/>
              <w:rPr>
                <w:spacing w:val="-4"/>
              </w:rPr>
            </w:pPr>
          </w:p>
        </w:tc>
        <w:tc>
          <w:tcPr>
            <w:tcW w:w="7623" w:type="dxa"/>
            <w:tcMar>
              <w:left w:w="0" w:type="dxa"/>
            </w:tcMar>
          </w:tcPr>
          <w:p w14:paraId="64F9C2E9" w14:textId="34ABFC31" w:rsidR="0058050D" w:rsidRPr="00995C95" w:rsidRDefault="00D7778F" w:rsidP="00E87182">
            <w:pPr>
              <w:spacing w:after="0"/>
            </w:pPr>
            <w:r w:rsidRPr="00995C95">
              <w:rPr>
                <w:b/>
                <w:szCs w:val="20"/>
              </w:rPr>
              <w:t xml:space="preserve">Chart </w:t>
            </w:r>
            <w:r w:rsidR="0058050D" w:rsidRPr="00995C95">
              <w:rPr>
                <w:b/>
                <w:szCs w:val="20"/>
              </w:rPr>
              <w:t xml:space="preserve">2 </w:t>
            </w:r>
            <w:r w:rsidR="00205104" w:rsidRPr="00995C95">
              <w:rPr>
                <w:b/>
                <w:szCs w:val="20"/>
              </w:rPr>
              <w:t xml:space="preserve">Contribution of expenditure items to real GDP change* </w:t>
            </w:r>
            <w:r w:rsidR="00205104" w:rsidRPr="00995C95">
              <w:rPr>
                <w:bCs/>
                <w:szCs w:val="20"/>
              </w:rPr>
              <w:t xml:space="preserve">(volume indices, year-on-year growth, contributions in p.p., GDP in %) </w:t>
            </w:r>
          </w:p>
        </w:tc>
      </w:tr>
      <w:tr w:rsidR="0058050D" w:rsidRPr="00995C95" w14:paraId="6B7E8BBB" w14:textId="77777777" w:rsidTr="001F775B">
        <w:tblPrEx>
          <w:tblCellMar>
            <w:left w:w="70" w:type="dxa"/>
            <w:right w:w="70" w:type="dxa"/>
          </w:tblCellMar>
        </w:tblPrEx>
        <w:trPr>
          <w:trHeight w:val="154"/>
        </w:trPr>
        <w:tc>
          <w:tcPr>
            <w:tcW w:w="1806" w:type="dxa"/>
            <w:vMerge/>
          </w:tcPr>
          <w:p w14:paraId="022ECFCF" w14:textId="77777777" w:rsidR="0058050D" w:rsidRPr="00995C95" w:rsidRDefault="0058050D" w:rsidP="00E87182">
            <w:pPr>
              <w:pStyle w:val="Marginlie"/>
            </w:pPr>
          </w:p>
        </w:tc>
        <w:tc>
          <w:tcPr>
            <w:tcW w:w="210" w:type="dxa"/>
            <w:vMerge/>
          </w:tcPr>
          <w:p w14:paraId="58E6FABC" w14:textId="77777777" w:rsidR="0058050D" w:rsidRPr="00995C95" w:rsidRDefault="0058050D" w:rsidP="00E87182">
            <w:pPr>
              <w:pStyle w:val="Textpoznpodarou"/>
              <w:jc w:val="both"/>
              <w:rPr>
                <w:spacing w:val="-4"/>
              </w:rPr>
            </w:pPr>
          </w:p>
        </w:tc>
        <w:tc>
          <w:tcPr>
            <w:tcW w:w="7623" w:type="dxa"/>
          </w:tcPr>
          <w:p w14:paraId="302DE387" w14:textId="2DB75810" w:rsidR="0058050D" w:rsidRPr="00995C95" w:rsidRDefault="001F775B" w:rsidP="00E87182">
            <w:pPr>
              <w:spacing w:after="0"/>
            </w:pPr>
            <w:r>
              <w:rPr>
                <w:noProof/>
              </w:rPr>
              <w:drawing>
                <wp:inline distT="0" distB="0" distL="0" distR="0" wp14:anchorId="6DBA17F4" wp14:editId="1735EA0C">
                  <wp:extent cx="4743950" cy="3457950"/>
                  <wp:effectExtent l="0" t="0" r="0" b="0"/>
                  <wp:docPr id="266210485" name="Graf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58050D" w:rsidRPr="00995C95" w14:paraId="23535150" w14:textId="77777777" w:rsidTr="00E87182">
        <w:trPr>
          <w:trHeight w:val="154"/>
        </w:trPr>
        <w:tc>
          <w:tcPr>
            <w:tcW w:w="1806" w:type="dxa"/>
            <w:vMerge/>
            <w:tcMar>
              <w:left w:w="0" w:type="dxa"/>
            </w:tcMar>
          </w:tcPr>
          <w:p w14:paraId="70C36F08" w14:textId="77777777" w:rsidR="0058050D" w:rsidRPr="00995C95" w:rsidRDefault="0058050D" w:rsidP="00E87182">
            <w:pPr>
              <w:pStyle w:val="Marginlie"/>
            </w:pPr>
          </w:p>
        </w:tc>
        <w:tc>
          <w:tcPr>
            <w:tcW w:w="210" w:type="dxa"/>
            <w:vMerge/>
            <w:tcMar>
              <w:left w:w="0" w:type="dxa"/>
            </w:tcMar>
          </w:tcPr>
          <w:p w14:paraId="1487678A" w14:textId="77777777" w:rsidR="0058050D" w:rsidRPr="00995C95" w:rsidRDefault="0058050D" w:rsidP="00E87182">
            <w:pPr>
              <w:pStyle w:val="Textpoznpodarou"/>
              <w:jc w:val="both"/>
              <w:rPr>
                <w:spacing w:val="-4"/>
              </w:rPr>
            </w:pPr>
          </w:p>
        </w:tc>
        <w:tc>
          <w:tcPr>
            <w:tcW w:w="7623" w:type="dxa"/>
            <w:tcMar>
              <w:left w:w="0" w:type="dxa"/>
            </w:tcMar>
          </w:tcPr>
          <w:p w14:paraId="299BE6AF" w14:textId="790A153F" w:rsidR="0058050D" w:rsidRPr="00995C95" w:rsidRDefault="007C17A1" w:rsidP="00E87182">
            <w:pPr>
              <w:spacing w:after="0"/>
              <w:rPr>
                <w:sz w:val="14"/>
                <w:szCs w:val="14"/>
              </w:rPr>
            </w:pPr>
            <w:r w:rsidRPr="00995C95">
              <w:rPr>
                <w:sz w:val="14"/>
                <w:szCs w:val="14"/>
              </w:rPr>
              <w:t>Source</w:t>
            </w:r>
            <w:r w:rsidR="0058050D" w:rsidRPr="00995C95">
              <w:rPr>
                <w:sz w:val="14"/>
                <w:szCs w:val="14"/>
              </w:rPr>
              <w:t xml:space="preserve">: </w:t>
            </w:r>
            <w:r w:rsidRPr="00995C95">
              <w:rPr>
                <w:sz w:val="14"/>
                <w:szCs w:val="14"/>
              </w:rPr>
              <w:t>CZSO</w:t>
            </w:r>
          </w:p>
          <w:p w14:paraId="5CEDA156" w14:textId="2F485E48" w:rsidR="00071381" w:rsidRPr="00995C95" w:rsidRDefault="0058050D" w:rsidP="00E312D1">
            <w:pPr>
              <w:rPr>
                <w:b/>
                <w:bCs/>
              </w:rPr>
            </w:pPr>
            <w:r w:rsidRPr="00995C95">
              <w:rPr>
                <w:sz w:val="14"/>
                <w:szCs w:val="14"/>
              </w:rPr>
              <w:t xml:space="preserve">* </w:t>
            </w:r>
            <w:proofErr w:type="gramStart"/>
            <w:r w:rsidR="002B478A" w:rsidRPr="00995C95">
              <w:rPr>
                <w:sz w:val="14"/>
                <w:szCs w:val="14"/>
              </w:rPr>
              <w:t>after</w:t>
            </w:r>
            <w:proofErr w:type="gramEnd"/>
            <w:r w:rsidR="002B478A" w:rsidRPr="00995C95">
              <w:rPr>
                <w:sz w:val="14"/>
                <w:szCs w:val="14"/>
              </w:rPr>
              <w:t xml:space="preserve"> exclusion of exports for final use</w:t>
            </w:r>
          </w:p>
        </w:tc>
      </w:tr>
      <w:tr w:rsidR="0058050D" w:rsidRPr="00995C95" w14:paraId="3F89F93B" w14:textId="77777777" w:rsidTr="00E87182">
        <w:trPr>
          <w:trHeight w:val="145"/>
        </w:trPr>
        <w:tc>
          <w:tcPr>
            <w:tcW w:w="1806" w:type="dxa"/>
            <w:tcMar>
              <w:left w:w="0" w:type="dxa"/>
            </w:tcMar>
          </w:tcPr>
          <w:p w14:paraId="4E632136" w14:textId="2647E3E0" w:rsidR="0058050D" w:rsidRPr="00995C95" w:rsidRDefault="004F19AD" w:rsidP="004F19AD">
            <w:pPr>
              <w:pStyle w:val="Marginlie"/>
            </w:pPr>
            <w:r w:rsidRPr="00995C95">
              <w:t xml:space="preserve">The growth </w:t>
            </w:r>
            <w:r w:rsidR="00B24437" w:rsidRPr="00995C95">
              <w:t>of</w:t>
            </w:r>
            <w:r w:rsidRPr="00995C95">
              <w:t xml:space="preserve"> investment activity was mainly supported by expenditure on construction</w:t>
            </w:r>
            <w:r w:rsidR="00E936C9" w:rsidRPr="00995C95">
              <w:t xml:space="preserve">s. </w:t>
            </w:r>
          </w:p>
        </w:tc>
        <w:tc>
          <w:tcPr>
            <w:tcW w:w="210" w:type="dxa"/>
            <w:tcMar>
              <w:left w:w="0" w:type="dxa"/>
            </w:tcMar>
          </w:tcPr>
          <w:p w14:paraId="4BFDE278" w14:textId="77777777" w:rsidR="0058050D" w:rsidRPr="00995C95" w:rsidRDefault="0058050D" w:rsidP="00E87182">
            <w:pPr>
              <w:pStyle w:val="Textpoznpodarou"/>
              <w:jc w:val="both"/>
              <w:rPr>
                <w:spacing w:val="-4"/>
              </w:rPr>
            </w:pPr>
          </w:p>
        </w:tc>
        <w:tc>
          <w:tcPr>
            <w:tcW w:w="7623" w:type="dxa"/>
            <w:tcMar>
              <w:left w:w="0" w:type="dxa"/>
            </w:tcMar>
          </w:tcPr>
          <w:p w14:paraId="65E5E4DE" w14:textId="516C3F27" w:rsidR="0058050D" w:rsidRPr="00995C95" w:rsidRDefault="00DA724F" w:rsidP="00FA2CD4">
            <w:r w:rsidRPr="00995C95">
              <w:rPr>
                <w:spacing w:val="-2"/>
              </w:rPr>
              <w:t>E</w:t>
            </w:r>
            <w:r w:rsidR="00FA2CD4" w:rsidRPr="00995C95">
              <w:rPr>
                <w:spacing w:val="-2"/>
              </w:rPr>
              <w:t>xpenditure on gross capital formation increased by 4.3% in real terms in 2025</w:t>
            </w:r>
            <w:r w:rsidRPr="00995C95">
              <w:rPr>
                <w:spacing w:val="-2"/>
              </w:rPr>
              <w:t xml:space="preserve"> after two deep downturns in 2023 and 2024</w:t>
            </w:r>
            <w:r w:rsidR="00FA2CD4" w:rsidRPr="00995C95">
              <w:rPr>
                <w:spacing w:val="-2"/>
              </w:rPr>
              <w:t xml:space="preserve">. </w:t>
            </w:r>
            <w:r w:rsidR="00C03294" w:rsidRPr="00995C95">
              <w:rPr>
                <w:spacing w:val="-2"/>
              </w:rPr>
              <w:t>T</w:t>
            </w:r>
            <w:r w:rsidR="00FA2CD4" w:rsidRPr="00995C95">
              <w:rPr>
                <w:spacing w:val="-2"/>
              </w:rPr>
              <w:t>he level of capital expenditure has been crucially influenced by changes in inventories</w:t>
            </w:r>
            <w:r w:rsidR="00A12CAE" w:rsidRPr="00995C95">
              <w:rPr>
                <w:spacing w:val="-2"/>
              </w:rPr>
              <w:t xml:space="preserve"> since year 2020</w:t>
            </w:r>
            <w:r w:rsidR="00FA2CD4" w:rsidRPr="00995C95">
              <w:rPr>
                <w:spacing w:val="-2"/>
              </w:rPr>
              <w:t>, and last year was no exception. Expenditure on gross fixed capital formation (investment activity) increased slightly by 2.0% last year and contributed 0.3 p</w:t>
            </w:r>
            <w:r w:rsidR="00AE01AE" w:rsidRPr="00995C95">
              <w:rPr>
                <w:spacing w:val="-2"/>
              </w:rPr>
              <w:t>. p.</w:t>
            </w:r>
            <w:r w:rsidR="00AE01AE" w:rsidRPr="00995C95">
              <w:rPr>
                <w:rStyle w:val="Znakapoznpodarou"/>
                <w:spacing w:val="-2"/>
              </w:rPr>
              <w:footnoteReference w:id="7"/>
            </w:r>
            <w:r w:rsidR="00AE01AE" w:rsidRPr="00995C95">
              <w:rPr>
                <w:spacing w:val="-2"/>
              </w:rPr>
              <w:t xml:space="preserve"> </w:t>
            </w:r>
            <w:r w:rsidR="00FA2CD4" w:rsidRPr="00995C95">
              <w:rPr>
                <w:spacing w:val="-2"/>
              </w:rPr>
              <w:t xml:space="preserve">to total GDP growth last year. Change in </w:t>
            </w:r>
            <w:r w:rsidR="00FA2CD4" w:rsidRPr="00995C95">
              <w:rPr>
                <w:spacing w:val="-2"/>
              </w:rPr>
              <w:lastRenderedPageBreak/>
              <w:t>inventories contributed 0.6 p</w:t>
            </w:r>
            <w:r w:rsidR="007F02BF" w:rsidRPr="00995C95">
              <w:rPr>
                <w:spacing w:val="-2"/>
              </w:rPr>
              <w:t>. p.</w:t>
            </w:r>
            <w:r w:rsidR="000501B2" w:rsidRPr="00995C95">
              <w:rPr>
                <w:rStyle w:val="Znakapoznpodarou"/>
              </w:rPr>
              <w:footnoteReference w:id="8"/>
            </w:r>
            <w:r w:rsidR="007F02BF" w:rsidRPr="00995C95">
              <w:rPr>
                <w:spacing w:val="-2"/>
              </w:rPr>
              <w:t xml:space="preserve"> </w:t>
            </w:r>
            <w:r w:rsidR="00FA2CD4" w:rsidRPr="00995C95">
              <w:rPr>
                <w:spacing w:val="-2"/>
              </w:rPr>
              <w:t xml:space="preserve">to the </w:t>
            </w:r>
            <w:r w:rsidR="00102C8C" w:rsidRPr="00995C95">
              <w:rPr>
                <w:spacing w:val="-2"/>
              </w:rPr>
              <w:t xml:space="preserve">annual </w:t>
            </w:r>
            <w:r w:rsidR="00FA2CD4" w:rsidRPr="00995C95">
              <w:rPr>
                <w:spacing w:val="-2"/>
              </w:rPr>
              <w:t xml:space="preserve">GDP </w:t>
            </w:r>
            <w:r w:rsidR="00102C8C" w:rsidRPr="00995C95">
              <w:rPr>
                <w:spacing w:val="-2"/>
              </w:rPr>
              <w:t>growth. I</w:t>
            </w:r>
            <w:r w:rsidR="00FA2CD4" w:rsidRPr="00995C95">
              <w:rPr>
                <w:spacing w:val="-2"/>
              </w:rPr>
              <w:t xml:space="preserve">nvestment in other buildings and structures (7.1%) and dwellings (2.1%) </w:t>
            </w:r>
            <w:r w:rsidR="00F3012E" w:rsidRPr="00995C95">
              <w:rPr>
                <w:spacing w:val="-2"/>
              </w:rPr>
              <w:t xml:space="preserve">increased </w:t>
            </w:r>
            <w:r w:rsidR="00FA2CD4" w:rsidRPr="00995C95">
              <w:rPr>
                <w:spacing w:val="-2"/>
              </w:rPr>
              <w:t>the most</w:t>
            </w:r>
            <w:r w:rsidR="00A2141F" w:rsidRPr="00995C95">
              <w:rPr>
                <w:spacing w:val="-2"/>
              </w:rPr>
              <w:t xml:space="preserve"> last year</w:t>
            </w:r>
            <w:r w:rsidR="00FA2CD4" w:rsidRPr="00995C95">
              <w:rPr>
                <w:spacing w:val="-2"/>
              </w:rPr>
              <w:t xml:space="preserve">, which corresponded to the recovery observed in construction. On the </w:t>
            </w:r>
            <w:r w:rsidR="0010768F" w:rsidRPr="00995C95">
              <w:rPr>
                <w:spacing w:val="-2"/>
              </w:rPr>
              <w:t>contrary</w:t>
            </w:r>
            <w:r w:rsidR="00FA2CD4" w:rsidRPr="00995C95">
              <w:rPr>
                <w:spacing w:val="-2"/>
              </w:rPr>
              <w:t>, expenditure on ICT and other machinery and equipment and intellectual property products was rather stagnant (both areas increased by 0.6%). Investment in transport equipment</w:t>
            </w:r>
            <w:r w:rsidR="009E5685" w:rsidRPr="00995C95">
              <w:rPr>
                <w:spacing w:val="-2"/>
              </w:rPr>
              <w:t xml:space="preserve"> shrank </w:t>
            </w:r>
            <w:r w:rsidR="00FA2CD4" w:rsidRPr="00995C95">
              <w:rPr>
                <w:spacing w:val="-2"/>
              </w:rPr>
              <w:t>(−4.0%).</w:t>
            </w:r>
            <w:r w:rsidR="001E57ED" w:rsidRPr="00995C95">
              <w:rPr>
                <w:spacing w:val="-2"/>
              </w:rPr>
              <w:t xml:space="preserve"> E</w:t>
            </w:r>
            <w:r w:rsidR="00FA2CD4" w:rsidRPr="00995C95">
              <w:rPr>
                <w:spacing w:val="-2"/>
              </w:rPr>
              <w:t>xpenditure on gross capital formation decreased by 1.3%</w:t>
            </w:r>
            <w:r w:rsidR="00C93229" w:rsidRPr="00995C95">
              <w:rPr>
                <w:spacing w:val="-2"/>
              </w:rPr>
              <w:t>,</w:t>
            </w:r>
            <w:r w:rsidR="00FA2CD4" w:rsidRPr="00995C95">
              <w:rPr>
                <w:spacing w:val="-2"/>
              </w:rPr>
              <w:t xml:space="preserve"> quarter-on-quarter,</w:t>
            </w:r>
            <w:r w:rsidR="00C93229" w:rsidRPr="00995C95">
              <w:rPr>
                <w:spacing w:val="-2"/>
              </w:rPr>
              <w:t xml:space="preserve"> in Q4 2025 alone,</w:t>
            </w:r>
            <w:r w:rsidR="00FA2CD4" w:rsidRPr="00995C95">
              <w:rPr>
                <w:spacing w:val="-2"/>
              </w:rPr>
              <w:t xml:space="preserve"> mainly due to a change in inventories, as investment itself was higher by 1.7%. This </w:t>
            </w:r>
            <w:r w:rsidR="00011031" w:rsidRPr="00995C95">
              <w:rPr>
                <w:spacing w:val="-2"/>
              </w:rPr>
              <w:t xml:space="preserve">represented </w:t>
            </w:r>
            <w:r w:rsidR="00FA2CD4" w:rsidRPr="00995C95">
              <w:rPr>
                <w:spacing w:val="-2"/>
              </w:rPr>
              <w:t>the most significant re</w:t>
            </w:r>
            <w:r w:rsidR="00011031" w:rsidRPr="00995C95">
              <w:rPr>
                <w:spacing w:val="-2"/>
              </w:rPr>
              <w:t>vival</w:t>
            </w:r>
            <w:r w:rsidR="00FA2CD4" w:rsidRPr="00995C95">
              <w:rPr>
                <w:spacing w:val="-2"/>
              </w:rPr>
              <w:t xml:space="preserve"> since the beginning of 2023. Expenditure on gross capital formation increased by 1.5%, y</w:t>
            </w:r>
            <w:r w:rsidR="00695158" w:rsidRPr="00995C95">
              <w:rPr>
                <w:spacing w:val="-2"/>
              </w:rPr>
              <w:t>ear-on-year</w:t>
            </w:r>
            <w:r w:rsidR="00FA2CD4" w:rsidRPr="00995C95">
              <w:rPr>
                <w:spacing w:val="-2"/>
              </w:rPr>
              <w:t>, of which investment activity was higher by 5.3% in real terms. The strengthening of quarter-on-quarter investment growth was mainly supported by expenditure on intellectual property products (5.7%, up 2.5%</w:t>
            </w:r>
            <w:r w:rsidR="008E4A7C" w:rsidRPr="00995C95">
              <w:rPr>
                <w:spacing w:val="-2"/>
              </w:rPr>
              <w:t>,</w:t>
            </w:r>
            <w:r w:rsidR="00FA2CD4" w:rsidRPr="00995C95">
              <w:rPr>
                <w:spacing w:val="-2"/>
              </w:rPr>
              <w:t xml:space="preserve"> year-on-year), on ICT and other machinery and equipment (2.6%, 2.2%</w:t>
            </w:r>
            <w:r w:rsidR="00000EDA" w:rsidRPr="00995C95">
              <w:rPr>
                <w:spacing w:val="-2"/>
              </w:rPr>
              <w:t>,</w:t>
            </w:r>
            <w:r w:rsidR="00FA2CD4" w:rsidRPr="00995C95">
              <w:rPr>
                <w:spacing w:val="-2"/>
              </w:rPr>
              <w:t xml:space="preserve"> year-on-year) and on transport equipment (1.6%, down 2.2%</w:t>
            </w:r>
            <w:r w:rsidR="00000EDA" w:rsidRPr="00995C95">
              <w:rPr>
                <w:spacing w:val="-2"/>
              </w:rPr>
              <w:t>,</w:t>
            </w:r>
            <w:r w:rsidR="00FA2CD4" w:rsidRPr="00995C95">
              <w:rPr>
                <w:spacing w:val="-2"/>
              </w:rPr>
              <w:t xml:space="preserve"> year-on-year). On the </w:t>
            </w:r>
            <w:r w:rsidR="00000EDA" w:rsidRPr="00995C95">
              <w:rPr>
                <w:spacing w:val="-2"/>
              </w:rPr>
              <w:t>contrary</w:t>
            </w:r>
            <w:r w:rsidR="00FA2CD4" w:rsidRPr="00995C95">
              <w:rPr>
                <w:spacing w:val="-2"/>
              </w:rPr>
              <w:t>, investment in</w:t>
            </w:r>
            <w:r w:rsidR="0012244B" w:rsidRPr="00995C95">
              <w:rPr>
                <w:spacing w:val="-2"/>
              </w:rPr>
              <w:t>to</w:t>
            </w:r>
            <w:r w:rsidR="00FA2CD4" w:rsidRPr="00995C95">
              <w:rPr>
                <w:spacing w:val="-2"/>
              </w:rPr>
              <w:t xml:space="preserve"> dwellings (-0.3%, up 9.3%</w:t>
            </w:r>
            <w:r w:rsidR="0012244B" w:rsidRPr="00995C95">
              <w:rPr>
                <w:spacing w:val="-2"/>
              </w:rPr>
              <w:t>,</w:t>
            </w:r>
            <w:r w:rsidR="00FA2CD4" w:rsidRPr="00995C95">
              <w:rPr>
                <w:spacing w:val="-2"/>
              </w:rPr>
              <w:t xml:space="preserve"> year-on-year) and other buildings and structures (-0.2%, up 10.6%</w:t>
            </w:r>
            <w:r w:rsidR="0012244B" w:rsidRPr="00995C95">
              <w:rPr>
                <w:spacing w:val="-2"/>
              </w:rPr>
              <w:t>,</w:t>
            </w:r>
            <w:r w:rsidR="00FA2CD4" w:rsidRPr="00995C95">
              <w:rPr>
                <w:spacing w:val="-2"/>
              </w:rPr>
              <w:t xml:space="preserve"> year-on-year) fell for the first time in the year, quarter-on-quarter.</w:t>
            </w:r>
            <w:r w:rsidR="00011031" w:rsidRPr="00995C95">
              <w:rPr>
                <w:spacing w:val="-2"/>
              </w:rPr>
              <w:t xml:space="preserve"> </w:t>
            </w:r>
          </w:p>
        </w:tc>
      </w:tr>
      <w:tr w:rsidR="0058050D" w:rsidRPr="00995C95" w14:paraId="1B2F48F6" w14:textId="77777777" w:rsidTr="00E87182">
        <w:trPr>
          <w:trHeight w:val="145"/>
        </w:trPr>
        <w:tc>
          <w:tcPr>
            <w:tcW w:w="1806" w:type="dxa"/>
            <w:tcMar>
              <w:left w:w="0" w:type="dxa"/>
            </w:tcMar>
          </w:tcPr>
          <w:p w14:paraId="2B2B2B72" w14:textId="14A67286" w:rsidR="0058050D" w:rsidRPr="00995C95" w:rsidRDefault="00D55033" w:rsidP="00D55033">
            <w:pPr>
              <w:pStyle w:val="Marginlie"/>
            </w:pPr>
            <w:r w:rsidRPr="00995C95">
              <w:lastRenderedPageBreak/>
              <w:t xml:space="preserve">Exporters </w:t>
            </w:r>
            <w:r w:rsidR="003E1252" w:rsidRPr="00995C95">
              <w:t xml:space="preserve">fared </w:t>
            </w:r>
            <w:r w:rsidRPr="00995C95">
              <w:t xml:space="preserve">well, but imports also strengthened, </w:t>
            </w:r>
            <w:r w:rsidR="003E1252" w:rsidRPr="00995C95">
              <w:t>thus</w:t>
            </w:r>
            <w:r w:rsidRPr="00995C95">
              <w:t xml:space="preserve"> the </w:t>
            </w:r>
            <w:r w:rsidR="003E1252" w:rsidRPr="00995C95">
              <w:t xml:space="preserve">international </w:t>
            </w:r>
            <w:r w:rsidRPr="00995C95">
              <w:t>trade balance did not contribute significantly to GDP growth.</w:t>
            </w:r>
            <w:r w:rsidR="003E1252" w:rsidRPr="00995C95">
              <w:t xml:space="preserve"> </w:t>
            </w:r>
          </w:p>
        </w:tc>
        <w:tc>
          <w:tcPr>
            <w:tcW w:w="210" w:type="dxa"/>
            <w:tcMar>
              <w:left w:w="0" w:type="dxa"/>
            </w:tcMar>
          </w:tcPr>
          <w:p w14:paraId="322E742E" w14:textId="77777777" w:rsidR="0058050D" w:rsidRPr="00995C95" w:rsidRDefault="0058050D" w:rsidP="00E87182">
            <w:pPr>
              <w:pStyle w:val="Textpoznpodarou"/>
              <w:jc w:val="both"/>
              <w:rPr>
                <w:spacing w:val="-4"/>
              </w:rPr>
            </w:pPr>
          </w:p>
        </w:tc>
        <w:tc>
          <w:tcPr>
            <w:tcW w:w="7623" w:type="dxa"/>
            <w:tcMar>
              <w:left w:w="0" w:type="dxa"/>
            </w:tcMar>
          </w:tcPr>
          <w:p w14:paraId="3B2BD24B" w14:textId="6D4EAD3D" w:rsidR="0058050D" w:rsidRPr="00995C95" w:rsidRDefault="007A4DEE" w:rsidP="007A4DEE">
            <w:r w:rsidRPr="00995C95">
              <w:t xml:space="preserve">In 2025, there was a significant recovery </w:t>
            </w:r>
            <w:r w:rsidR="009E16C0" w:rsidRPr="00995C95">
              <w:t xml:space="preserve">of international </w:t>
            </w:r>
            <w:r w:rsidRPr="00995C95">
              <w:t>trade</w:t>
            </w:r>
            <w:r w:rsidR="009E16C0" w:rsidRPr="00995C95">
              <w:rPr>
                <w:rStyle w:val="Znakapoznpodarou"/>
              </w:rPr>
              <w:footnoteReference w:id="9"/>
            </w:r>
            <w:r w:rsidRPr="00995C95">
              <w:t xml:space="preserve">. Exports of goods and services increased by 4.1% in real terms (after growing by 1.1% in 2024). </w:t>
            </w:r>
            <w:r w:rsidR="00AB7FE4" w:rsidRPr="00995C95">
              <w:t>Mainly e</w:t>
            </w:r>
            <w:r w:rsidRPr="00995C95">
              <w:t>xports of goods (4.1%) contributed to the strengthening of dynamics, while the increase weakened to 4.2%</w:t>
            </w:r>
            <w:r w:rsidR="00AB7FE4" w:rsidRPr="00995C95">
              <w:t xml:space="preserve"> for services</w:t>
            </w:r>
            <w:r w:rsidRPr="00995C95">
              <w:t xml:space="preserve">. Imports increased by 5.2% in real terms last year (goods 5.6%, services 3.5%). </w:t>
            </w:r>
            <w:r w:rsidR="005A0C11" w:rsidRPr="00995C95">
              <w:t>Y</w:t>
            </w:r>
            <w:r w:rsidRPr="00995C95">
              <w:t xml:space="preserve">ear-on-year growth </w:t>
            </w:r>
            <w:r w:rsidR="005A0C11" w:rsidRPr="00995C95">
              <w:t>of</w:t>
            </w:r>
            <w:r w:rsidRPr="00995C95">
              <w:t xml:space="preserve"> exports of goods and services accelerated to 5.1%</w:t>
            </w:r>
            <w:r w:rsidR="005A0C11" w:rsidRPr="00995C95">
              <w:t xml:space="preserve"> in Q4</w:t>
            </w:r>
            <w:r w:rsidRPr="00995C95">
              <w:t xml:space="preserve">. </w:t>
            </w:r>
            <w:r w:rsidR="00E3442B" w:rsidRPr="00995C95">
              <w:t>Especially the g</w:t>
            </w:r>
            <w:r w:rsidRPr="00995C95">
              <w:t xml:space="preserve">rowth </w:t>
            </w:r>
            <w:r w:rsidR="00E3442B" w:rsidRPr="00995C95">
              <w:t>of</w:t>
            </w:r>
            <w:r w:rsidRPr="00995C95">
              <w:t xml:space="preserve"> exports of goods strengthened again (5.5%). Total quarter-on-quarter growth </w:t>
            </w:r>
            <w:r w:rsidR="00E3442B" w:rsidRPr="00995C95">
              <w:t>of</w:t>
            </w:r>
            <w:r w:rsidRPr="00995C95">
              <w:t xml:space="preserve"> exports remained stable (0.8%), </w:t>
            </w:r>
            <w:r w:rsidR="00280B2A" w:rsidRPr="00995C95">
              <w:t xml:space="preserve">nevertheless </w:t>
            </w:r>
            <w:r w:rsidRPr="00995C95">
              <w:t>a sharp recovery (1.9%)</w:t>
            </w:r>
            <w:r w:rsidR="00735104" w:rsidRPr="00995C95">
              <w:t xml:space="preserve"> occurred in the case of exports of goods alone, </w:t>
            </w:r>
            <w:r w:rsidRPr="00995C95">
              <w:t>while services</w:t>
            </w:r>
            <w:r w:rsidR="00735104" w:rsidRPr="00995C95">
              <w:t xml:space="preserve"> plunged </w:t>
            </w:r>
            <w:r w:rsidRPr="00995C95">
              <w:t>(−4.2%). Imports increased by 5.3%</w:t>
            </w:r>
            <w:r w:rsidR="008A6493" w:rsidRPr="00995C95">
              <w:t>,</w:t>
            </w:r>
            <w:r w:rsidRPr="00995C95">
              <w:t xml:space="preserve"> year-on-year</w:t>
            </w:r>
            <w:r w:rsidR="008A6493" w:rsidRPr="00995C95">
              <w:t xml:space="preserve">, in Q4 </w:t>
            </w:r>
            <w:r w:rsidRPr="00995C95">
              <w:t>and by 0.6%</w:t>
            </w:r>
            <w:r w:rsidR="008A6493" w:rsidRPr="00995C95">
              <w:t>,</w:t>
            </w:r>
            <w:r w:rsidRPr="00995C95">
              <w:t xml:space="preserve"> quarter-on-quarter. </w:t>
            </w:r>
            <w:r w:rsidR="00FD1FC5" w:rsidRPr="00995C95">
              <w:t>T</w:t>
            </w:r>
            <w:r w:rsidRPr="00995C95">
              <w:t>rade in goods strengthened</w:t>
            </w:r>
            <w:r w:rsidR="00FD1FC5" w:rsidRPr="00995C95">
              <w:t xml:space="preserve"> also on the import </w:t>
            </w:r>
            <w:r w:rsidR="00A54275" w:rsidRPr="00995C95">
              <w:t>side at</w:t>
            </w:r>
            <w:r w:rsidRPr="00995C95">
              <w:t xml:space="preserve"> the end of the year (6.2%</w:t>
            </w:r>
            <w:r w:rsidR="00FD1FC5" w:rsidRPr="00995C95">
              <w:t>,</w:t>
            </w:r>
            <w:r w:rsidRPr="00995C95">
              <w:t xml:space="preserve"> year-on-year, 1.5%</w:t>
            </w:r>
            <w:r w:rsidR="00FD1FC5" w:rsidRPr="00995C95">
              <w:t>,</w:t>
            </w:r>
            <w:r w:rsidRPr="00995C95">
              <w:t xml:space="preserve"> quarter-on-quarter). The balance of </w:t>
            </w:r>
            <w:r w:rsidR="00A54275" w:rsidRPr="00995C95">
              <w:t xml:space="preserve">international </w:t>
            </w:r>
            <w:r w:rsidRPr="00995C95">
              <w:t xml:space="preserve">trade </w:t>
            </w:r>
            <w:r w:rsidR="00F10941" w:rsidRPr="00995C95">
              <w:t>of</w:t>
            </w:r>
            <w:r w:rsidRPr="00995C95">
              <w:t xml:space="preserve"> goods and services reached a surplus of 504.2 b</w:t>
            </w:r>
            <w:r w:rsidR="00F10941" w:rsidRPr="00995C95">
              <w:t xml:space="preserve">n CZK in </w:t>
            </w:r>
            <w:r w:rsidR="00820D37" w:rsidRPr="00995C95">
              <w:t>2025</w:t>
            </w:r>
            <w:r w:rsidRPr="00995C95">
              <w:t>, which was almost the same result as in the previous year (503.3 b</w:t>
            </w:r>
            <w:r w:rsidR="00820D37" w:rsidRPr="00995C95">
              <w:t>n CZK</w:t>
            </w:r>
            <w:r w:rsidRPr="00995C95">
              <w:t>).</w:t>
            </w:r>
            <w:r w:rsidR="00820D37" w:rsidRPr="00995C95">
              <w:t xml:space="preserve"> </w:t>
            </w:r>
            <w:r w:rsidR="001846F9" w:rsidRPr="00995C95">
              <w:t>Since t</w:t>
            </w:r>
            <w:r w:rsidRPr="00995C95">
              <w:t xml:space="preserve">he decline </w:t>
            </w:r>
            <w:r w:rsidR="00820D37" w:rsidRPr="00995C95">
              <w:t>of</w:t>
            </w:r>
            <w:r w:rsidRPr="00995C95">
              <w:t xml:space="preserve"> the surplus of trade in goods (−19.4 b</w:t>
            </w:r>
            <w:r w:rsidR="00820D37" w:rsidRPr="00995C95">
              <w:t>n CZK t</w:t>
            </w:r>
            <w:r w:rsidRPr="00995C95">
              <w:t>o</w:t>
            </w:r>
            <w:r w:rsidR="00820D37" w:rsidRPr="00995C95">
              <w:t xml:space="preserve"> </w:t>
            </w:r>
            <w:r w:rsidRPr="00995C95">
              <w:t>397.7 b</w:t>
            </w:r>
            <w:r w:rsidR="00820D37" w:rsidRPr="00995C95">
              <w:t>n CZK</w:t>
            </w:r>
            <w:r w:rsidRPr="00995C95">
              <w:t xml:space="preserve">) was offset by an improvement in the positive balance of trade </w:t>
            </w:r>
            <w:r w:rsidR="007D5AE6" w:rsidRPr="00995C95">
              <w:t xml:space="preserve">with </w:t>
            </w:r>
            <w:r w:rsidRPr="00995C95">
              <w:t>services by 20.2 b</w:t>
            </w:r>
            <w:r w:rsidR="007D5AE6" w:rsidRPr="00995C95">
              <w:t xml:space="preserve">n CZK </w:t>
            </w:r>
            <w:r w:rsidRPr="00995C95">
              <w:t>to 106.4 b</w:t>
            </w:r>
            <w:r w:rsidR="007D5AE6" w:rsidRPr="00995C95">
              <w:t>n CZK</w:t>
            </w:r>
            <w:r w:rsidRPr="00995C95">
              <w:t>.</w:t>
            </w:r>
            <w:r w:rsidR="001846F9" w:rsidRPr="00995C95">
              <w:t xml:space="preserve"> T</w:t>
            </w:r>
            <w:r w:rsidRPr="00995C95">
              <w:t xml:space="preserve">he balance of </w:t>
            </w:r>
            <w:r w:rsidR="001846F9" w:rsidRPr="00995C95">
              <w:t xml:space="preserve">international </w:t>
            </w:r>
            <w:r w:rsidRPr="00995C95">
              <w:t>trade in goods and services reached a surplus of 133.9 b</w:t>
            </w:r>
            <w:r w:rsidR="001846F9" w:rsidRPr="00995C95">
              <w:t xml:space="preserve">n CZK </w:t>
            </w:r>
            <w:r w:rsidRPr="00995C95">
              <w:t>(+9.5 b</w:t>
            </w:r>
            <w:r w:rsidR="001846F9" w:rsidRPr="00995C95">
              <w:t xml:space="preserve">n, </w:t>
            </w:r>
            <w:r w:rsidRPr="00995C95">
              <w:t>year-on-year)</w:t>
            </w:r>
            <w:r w:rsidR="001846F9" w:rsidRPr="00995C95">
              <w:t xml:space="preserve"> </w:t>
            </w:r>
            <w:r w:rsidR="00484915" w:rsidRPr="00995C95">
              <w:t>i</w:t>
            </w:r>
            <w:r w:rsidR="001846F9" w:rsidRPr="00995C95">
              <w:t xml:space="preserve">n </w:t>
            </w:r>
            <w:r w:rsidR="00484915" w:rsidRPr="00995C95">
              <w:t>Q</w:t>
            </w:r>
            <w:r w:rsidR="001846F9" w:rsidRPr="00995C95">
              <w:t>4</w:t>
            </w:r>
            <w:r w:rsidR="00484915" w:rsidRPr="00995C95">
              <w:t xml:space="preserve"> </w:t>
            </w:r>
            <w:r w:rsidR="001846F9" w:rsidRPr="00995C95">
              <w:t>2025 alone</w:t>
            </w:r>
            <w:r w:rsidRPr="00995C95">
              <w:t xml:space="preserve">. </w:t>
            </w:r>
            <w:r w:rsidR="00484915" w:rsidRPr="00995C95">
              <w:t>Both t</w:t>
            </w:r>
            <w:r w:rsidRPr="00995C95">
              <w:t>he balance of trade in goods (+3.8 b</w:t>
            </w:r>
            <w:r w:rsidR="00484915" w:rsidRPr="00995C95">
              <w:t>n CZK</w:t>
            </w:r>
            <w:r w:rsidRPr="00995C95">
              <w:t>) and services (+5.7 b</w:t>
            </w:r>
            <w:r w:rsidR="00484915" w:rsidRPr="00995C95">
              <w:t>n</w:t>
            </w:r>
            <w:r w:rsidRPr="00995C95">
              <w:t>) improved.</w:t>
            </w:r>
            <w:r w:rsidR="00A54275" w:rsidRPr="00995C95">
              <w:t xml:space="preserve"> </w:t>
            </w:r>
            <w:r w:rsidR="0058050D" w:rsidRPr="00995C95">
              <w:t xml:space="preserve">       </w:t>
            </w:r>
          </w:p>
        </w:tc>
      </w:tr>
      <w:tr w:rsidR="0058050D" w:rsidRPr="00995C95" w14:paraId="4983947B" w14:textId="77777777" w:rsidTr="00E87182">
        <w:trPr>
          <w:trHeight w:val="145"/>
        </w:trPr>
        <w:tc>
          <w:tcPr>
            <w:tcW w:w="1806" w:type="dxa"/>
            <w:tcMar>
              <w:left w:w="0" w:type="dxa"/>
            </w:tcMar>
          </w:tcPr>
          <w:p w14:paraId="000EC450" w14:textId="103895C8" w:rsidR="0058050D" w:rsidRPr="00995C95" w:rsidRDefault="00B4263C" w:rsidP="00E87182">
            <w:pPr>
              <w:pStyle w:val="Marginlie"/>
            </w:pPr>
            <w:r w:rsidRPr="00995C95">
              <w:t xml:space="preserve">Services prospered last year. </w:t>
            </w:r>
          </w:p>
        </w:tc>
        <w:tc>
          <w:tcPr>
            <w:tcW w:w="210" w:type="dxa"/>
            <w:tcMar>
              <w:left w:w="0" w:type="dxa"/>
            </w:tcMar>
          </w:tcPr>
          <w:p w14:paraId="518DD45A" w14:textId="77777777" w:rsidR="0058050D" w:rsidRPr="00995C95" w:rsidRDefault="0058050D" w:rsidP="00E87182">
            <w:pPr>
              <w:pStyle w:val="Textpoznpodarou"/>
              <w:jc w:val="both"/>
              <w:rPr>
                <w:spacing w:val="-4"/>
              </w:rPr>
            </w:pPr>
          </w:p>
        </w:tc>
        <w:tc>
          <w:tcPr>
            <w:tcW w:w="7623" w:type="dxa"/>
            <w:tcMar>
              <w:left w:w="0" w:type="dxa"/>
            </w:tcMar>
          </w:tcPr>
          <w:p w14:paraId="49186FBD" w14:textId="2AF320B0" w:rsidR="0058050D" w:rsidRPr="00995C95" w:rsidRDefault="00552F16" w:rsidP="00552F16">
            <w:r w:rsidRPr="00995C95">
              <w:t xml:space="preserve">Gross value added (GVA) increased by 2.8% in real terms last year. The services sector, in particular the weight-important </w:t>
            </w:r>
            <w:r w:rsidR="000354CD" w:rsidRPr="00995C95">
              <w:t xml:space="preserve">group of economic activities </w:t>
            </w:r>
            <w:r w:rsidRPr="00995C95">
              <w:t>trade, transport, accommodation and food service (GVA growth by 4.1%), as well as dynamically developing information and communication</w:t>
            </w:r>
            <w:r w:rsidR="00604A3B" w:rsidRPr="00995C95">
              <w:t xml:space="preserve"> </w:t>
            </w:r>
            <w:r w:rsidRPr="00995C95">
              <w:t xml:space="preserve">(7.8%), contributed significantly to the GVA growth. The diverse </w:t>
            </w:r>
            <w:r w:rsidR="00DA7CDD" w:rsidRPr="00995C95">
              <w:t xml:space="preserve">branch </w:t>
            </w:r>
            <w:r w:rsidRPr="00995C95">
              <w:t xml:space="preserve">of other activities also performed well (5.4%). </w:t>
            </w:r>
            <w:r w:rsidR="00993BEF" w:rsidRPr="00995C95">
              <w:t>A</w:t>
            </w:r>
            <w:r w:rsidRPr="00995C95">
              <w:t>fter a decade of stagnation and decline, a significant recovery</w:t>
            </w:r>
            <w:r w:rsidR="00993BEF" w:rsidRPr="00995C95">
              <w:t xml:space="preserve"> also manifested </w:t>
            </w:r>
            <w:r w:rsidRPr="00995C95">
              <w:t xml:space="preserve">in </w:t>
            </w:r>
            <w:r w:rsidR="00993BEF" w:rsidRPr="00995C95">
              <w:t>c</w:t>
            </w:r>
            <w:r w:rsidRPr="00995C95">
              <w:t>onstruction (6.8%)</w:t>
            </w:r>
            <w:r w:rsidR="00993BEF" w:rsidRPr="00995C95">
              <w:t xml:space="preserve"> in 2025</w:t>
            </w:r>
            <w:r w:rsidRPr="00995C95">
              <w:t xml:space="preserve">. On the </w:t>
            </w:r>
            <w:r w:rsidR="00993BEF" w:rsidRPr="00995C95">
              <w:t>contrary</w:t>
            </w:r>
            <w:r w:rsidRPr="00995C95">
              <w:t xml:space="preserve">, industry followed up on the 2024 GVA decline last year with only a slight increase of 1.5%, of which there was an increase of 1.3% in manufacturing. </w:t>
            </w:r>
            <w:r w:rsidR="00B272BD" w:rsidRPr="00995C95">
              <w:t>Gr</w:t>
            </w:r>
            <w:r w:rsidRPr="00995C95">
              <w:t xml:space="preserve">owth </w:t>
            </w:r>
            <w:r w:rsidR="002867D8" w:rsidRPr="00995C95">
              <w:t>of</w:t>
            </w:r>
            <w:r w:rsidRPr="00995C95">
              <w:t xml:space="preserve"> GVA in professional, scientific, technical and administrative activities (1.7%), public administration, education, </w:t>
            </w:r>
            <w:r w:rsidR="002F266A" w:rsidRPr="00995C95">
              <w:t xml:space="preserve">human </w:t>
            </w:r>
            <w:r w:rsidR="002867D8" w:rsidRPr="00995C95">
              <w:t>h</w:t>
            </w:r>
            <w:r w:rsidRPr="00995C95">
              <w:t>ealth and social work</w:t>
            </w:r>
            <w:r w:rsidR="002F266A" w:rsidRPr="00995C95">
              <w:t xml:space="preserve"> activities</w:t>
            </w:r>
            <w:r w:rsidR="002867D8" w:rsidRPr="00995C95">
              <w:t xml:space="preserve"> </w:t>
            </w:r>
            <w:r w:rsidRPr="00995C95">
              <w:t>(1.5%), real estate activities (1.2%) and financial and insurance activities (0.7%)</w:t>
            </w:r>
            <w:r w:rsidR="00B272BD" w:rsidRPr="00995C95">
              <w:t xml:space="preserve"> was also mild.</w:t>
            </w:r>
            <w:r w:rsidR="0058050D" w:rsidRPr="00995C95">
              <w:t xml:space="preserve">   </w:t>
            </w:r>
          </w:p>
        </w:tc>
      </w:tr>
      <w:tr w:rsidR="0058050D" w:rsidRPr="00995C95" w14:paraId="7CE77583" w14:textId="77777777" w:rsidTr="00E87182">
        <w:trPr>
          <w:trHeight w:val="145"/>
        </w:trPr>
        <w:tc>
          <w:tcPr>
            <w:tcW w:w="1806" w:type="dxa"/>
            <w:tcMar>
              <w:left w:w="0" w:type="dxa"/>
            </w:tcMar>
          </w:tcPr>
          <w:p w14:paraId="57E3FEF6" w14:textId="3F58DFEB" w:rsidR="0058050D" w:rsidRPr="00995C95" w:rsidRDefault="00BB0637" w:rsidP="00BB0637">
            <w:pPr>
              <w:pStyle w:val="Marginlie"/>
            </w:pPr>
            <w:r w:rsidRPr="00995C95">
              <w:lastRenderedPageBreak/>
              <w:t>The end of the year brought a recovery in industry.</w:t>
            </w:r>
          </w:p>
        </w:tc>
        <w:tc>
          <w:tcPr>
            <w:tcW w:w="210" w:type="dxa"/>
            <w:tcMar>
              <w:left w:w="0" w:type="dxa"/>
            </w:tcMar>
          </w:tcPr>
          <w:p w14:paraId="60B8F9C2" w14:textId="77777777" w:rsidR="0058050D" w:rsidRPr="00995C95" w:rsidRDefault="0058050D" w:rsidP="00E87182">
            <w:pPr>
              <w:pStyle w:val="Textpoznpodarou"/>
              <w:jc w:val="both"/>
              <w:rPr>
                <w:spacing w:val="-4"/>
              </w:rPr>
            </w:pPr>
          </w:p>
        </w:tc>
        <w:tc>
          <w:tcPr>
            <w:tcW w:w="7623" w:type="dxa"/>
            <w:tcMar>
              <w:left w:w="0" w:type="dxa"/>
            </w:tcMar>
          </w:tcPr>
          <w:p w14:paraId="335271E0" w14:textId="3F85247C" w:rsidR="0058050D" w:rsidRPr="00995C95" w:rsidRDefault="00101E8C" w:rsidP="0011216E">
            <w:r w:rsidRPr="00995C95">
              <w:t>Gross value added increased by 2.8%</w:t>
            </w:r>
            <w:r w:rsidR="0014513A" w:rsidRPr="00995C95">
              <w:t>,</w:t>
            </w:r>
            <w:r w:rsidRPr="00995C95">
              <w:t xml:space="preserve"> year-on-year</w:t>
            </w:r>
            <w:r w:rsidR="0014513A" w:rsidRPr="00995C95">
              <w:t>,</w:t>
            </w:r>
            <w:r w:rsidRPr="00995C95">
              <w:t xml:space="preserve"> and by 0.5%</w:t>
            </w:r>
            <w:r w:rsidR="0014513A" w:rsidRPr="00995C95">
              <w:t>,</w:t>
            </w:r>
            <w:r w:rsidRPr="00995C95">
              <w:t xml:space="preserve"> quarter-on-quarter</w:t>
            </w:r>
            <w:r w:rsidR="000E0B09" w:rsidRPr="00995C95">
              <w:t>, in Q4 2025 alone</w:t>
            </w:r>
            <w:r w:rsidRPr="00995C95">
              <w:t xml:space="preserve">. Strong year-on-year growth was maintained by information and communication (7.7%), as well as by the group </w:t>
            </w:r>
            <w:r w:rsidR="000E0B09" w:rsidRPr="00995C95">
              <w:t xml:space="preserve">of activities </w:t>
            </w:r>
            <w:r w:rsidRPr="00995C95">
              <w:t xml:space="preserve">trade, transport, accommodation and food service (4.4%) and other activities (5.6%). A noticeable recovery </w:t>
            </w:r>
            <w:r w:rsidR="00940484" w:rsidRPr="00995C95">
              <w:t>of</w:t>
            </w:r>
            <w:r w:rsidRPr="00995C95">
              <w:t xml:space="preserve"> year-on-year GVA growth (2.5%) occurred in manufacturing</w:t>
            </w:r>
            <w:r w:rsidR="00940484" w:rsidRPr="00995C95">
              <w:t xml:space="preserve"> at the end of the year</w:t>
            </w:r>
            <w:r w:rsidRPr="00995C95">
              <w:t xml:space="preserve">. </w:t>
            </w:r>
            <w:r w:rsidR="00940484" w:rsidRPr="00995C95">
              <w:t>In contrast</w:t>
            </w:r>
            <w:r w:rsidRPr="00995C95">
              <w:t xml:space="preserve">, construction maintained an above-average GVA growth (5.6%), </w:t>
            </w:r>
            <w:r w:rsidR="00D147FE" w:rsidRPr="00995C95">
              <w:t xml:space="preserve">nevertheless </w:t>
            </w:r>
            <w:r w:rsidRPr="00995C95">
              <w:t xml:space="preserve">the pace weakened significantly compared to the previous two quarters. The rest of the services sector </w:t>
            </w:r>
            <w:r w:rsidR="000A0D06" w:rsidRPr="00995C95">
              <w:t xml:space="preserve">sustained </w:t>
            </w:r>
            <w:r w:rsidRPr="00995C95">
              <w:t>a slight year-on-year increase in Q4, with the exception of financ</w:t>
            </w:r>
            <w:r w:rsidR="0096666B" w:rsidRPr="00995C95">
              <w:t>ial a</w:t>
            </w:r>
            <w:r w:rsidRPr="00995C95">
              <w:t>nd insurance</w:t>
            </w:r>
            <w:r w:rsidR="0096666B" w:rsidRPr="00995C95">
              <w:t xml:space="preserve"> activities</w:t>
            </w:r>
            <w:r w:rsidRPr="00995C95">
              <w:t xml:space="preserve">, where GVA was lower by 1.2%. Quarter-on-quarter GVA growth was crucially supported by a new impetus in manufacturing in Q4, where </w:t>
            </w:r>
            <w:r w:rsidR="002C1025" w:rsidRPr="00995C95">
              <w:t xml:space="preserve">the </w:t>
            </w:r>
            <w:r w:rsidRPr="00995C95">
              <w:t>GVA grew by 2.2%</w:t>
            </w:r>
            <w:r w:rsidR="002C1025" w:rsidRPr="00995C95">
              <w:t>,</w:t>
            </w:r>
            <w:r w:rsidRPr="00995C95">
              <w:t xml:space="preserve"> quarter-on-quarter</w:t>
            </w:r>
            <w:r w:rsidR="002C1025" w:rsidRPr="00995C95">
              <w:t>,</w:t>
            </w:r>
            <w:r w:rsidRPr="00995C95">
              <w:t xml:space="preserve"> after four quarters of stagnation. A significant quarter-on-quarter increase </w:t>
            </w:r>
            <w:r w:rsidR="00EA40F6" w:rsidRPr="00995C95">
              <w:t>of</w:t>
            </w:r>
            <w:r w:rsidRPr="00995C95">
              <w:t xml:space="preserve"> GVA was also recorded in financ</w:t>
            </w:r>
            <w:r w:rsidR="00EA40F6" w:rsidRPr="00995C95">
              <w:t xml:space="preserve">ial </w:t>
            </w:r>
            <w:r w:rsidRPr="00995C95">
              <w:t>and insurance</w:t>
            </w:r>
            <w:r w:rsidR="00EA40F6" w:rsidRPr="00995C95">
              <w:t xml:space="preserve"> activities</w:t>
            </w:r>
            <w:r w:rsidRPr="00995C95">
              <w:t xml:space="preserve"> (2.7%). On the </w:t>
            </w:r>
            <w:r w:rsidR="00736B32" w:rsidRPr="00995C95">
              <w:t>contrary</w:t>
            </w:r>
            <w:r w:rsidRPr="00995C95">
              <w:t>, after a successful development observed since Q3 2024, construct</w:t>
            </w:r>
            <w:r w:rsidR="00736B32" w:rsidRPr="00995C95">
              <w:t xml:space="preserve">ion </w:t>
            </w:r>
            <w:r w:rsidRPr="00995C95">
              <w:t>lost its breath in Q4 2025 and GVA fell by 3.3%</w:t>
            </w:r>
            <w:r w:rsidR="00FF6DDE" w:rsidRPr="00995C95">
              <w:t>,</w:t>
            </w:r>
            <w:r w:rsidRPr="00995C95">
              <w:t xml:space="preserve"> quarter-on-quarter. The rest of the economy experienced a rather moderate development in </w:t>
            </w:r>
            <w:r w:rsidR="002610E9" w:rsidRPr="00995C95">
              <w:t xml:space="preserve">Q4 </w:t>
            </w:r>
            <w:r w:rsidRPr="00995C95">
              <w:t>– GVA</w:t>
            </w:r>
            <w:r w:rsidR="002610E9" w:rsidRPr="00995C95">
              <w:t xml:space="preserve"> increased by 0.7%</w:t>
            </w:r>
            <w:r w:rsidRPr="00995C95">
              <w:t xml:space="preserve"> in professional, scientific, technical and administrative activities, </w:t>
            </w:r>
            <w:r w:rsidR="008734A8" w:rsidRPr="00995C95">
              <w:t xml:space="preserve">by 0.6% </w:t>
            </w:r>
            <w:r w:rsidRPr="00995C95">
              <w:t>in the group</w:t>
            </w:r>
            <w:r w:rsidR="008734A8" w:rsidRPr="00995C95">
              <w:t xml:space="preserve"> of economic activities</w:t>
            </w:r>
            <w:r w:rsidRPr="00995C95">
              <w:t xml:space="preserve"> trade, transport, accommodation and food service</w:t>
            </w:r>
            <w:r w:rsidR="008734A8" w:rsidRPr="00995C95">
              <w:t xml:space="preserve">, by 0.5% </w:t>
            </w:r>
            <w:r w:rsidRPr="00995C95">
              <w:t>in other activities</w:t>
            </w:r>
            <w:r w:rsidR="008734A8" w:rsidRPr="00995C95">
              <w:t xml:space="preserve"> </w:t>
            </w:r>
            <w:r w:rsidRPr="00995C95">
              <w:t xml:space="preserve">and </w:t>
            </w:r>
            <w:r w:rsidR="009B7E27" w:rsidRPr="00995C95">
              <w:t xml:space="preserve">by 0.4% </w:t>
            </w:r>
            <w:r w:rsidRPr="00995C95">
              <w:t>in information and communication</w:t>
            </w:r>
            <w:r w:rsidR="009B7E27" w:rsidRPr="00995C95">
              <w:t xml:space="preserve">. </w:t>
            </w:r>
            <w:r w:rsidRPr="00995C95">
              <w:t xml:space="preserve">From the point of view of GVA, public administration, education, </w:t>
            </w:r>
            <w:r w:rsidR="002F266A" w:rsidRPr="00995C95">
              <w:t xml:space="preserve">human </w:t>
            </w:r>
            <w:r w:rsidRPr="00995C95">
              <w:t xml:space="preserve">health and social work </w:t>
            </w:r>
            <w:r w:rsidR="002F266A" w:rsidRPr="00995C95">
              <w:t xml:space="preserve">activities </w:t>
            </w:r>
            <w:r w:rsidRPr="00995C95">
              <w:t>stagnated</w:t>
            </w:r>
            <w:r w:rsidR="00064C43" w:rsidRPr="00995C95">
              <w:t>,</w:t>
            </w:r>
            <w:r w:rsidR="0011216E" w:rsidRPr="00995C95">
              <w:t xml:space="preserve"> quarter-on-quarter, and decline was recorded in real estate activities (−0.3%).</w:t>
            </w:r>
          </w:p>
        </w:tc>
      </w:tr>
      <w:tr w:rsidR="0058050D" w:rsidRPr="00995C95" w14:paraId="72FA1F18" w14:textId="77777777" w:rsidTr="00E87182">
        <w:trPr>
          <w:trHeight w:val="170"/>
        </w:trPr>
        <w:tc>
          <w:tcPr>
            <w:tcW w:w="1806" w:type="dxa"/>
            <w:vMerge w:val="restart"/>
            <w:tcMar>
              <w:left w:w="0" w:type="dxa"/>
            </w:tcMar>
          </w:tcPr>
          <w:p w14:paraId="56942C4F" w14:textId="77777777" w:rsidR="0058050D" w:rsidRPr="00995C95" w:rsidRDefault="0058050D" w:rsidP="00E87182">
            <w:pPr>
              <w:pStyle w:val="Marginlie"/>
            </w:pPr>
          </w:p>
        </w:tc>
        <w:tc>
          <w:tcPr>
            <w:tcW w:w="210" w:type="dxa"/>
            <w:vMerge w:val="restart"/>
            <w:tcMar>
              <w:left w:w="0" w:type="dxa"/>
            </w:tcMar>
          </w:tcPr>
          <w:p w14:paraId="0D74A726" w14:textId="77777777" w:rsidR="0058050D" w:rsidRPr="00995C95" w:rsidRDefault="0058050D" w:rsidP="00E87182">
            <w:pPr>
              <w:pStyle w:val="Textpoznpodarou"/>
              <w:jc w:val="both"/>
              <w:rPr>
                <w:spacing w:val="-4"/>
              </w:rPr>
            </w:pPr>
          </w:p>
        </w:tc>
        <w:tc>
          <w:tcPr>
            <w:tcW w:w="7623" w:type="dxa"/>
            <w:tcMar>
              <w:left w:w="0" w:type="dxa"/>
            </w:tcMar>
          </w:tcPr>
          <w:p w14:paraId="4F3D051E" w14:textId="6006AB25" w:rsidR="0058050D" w:rsidRPr="00995C95" w:rsidRDefault="000572CC" w:rsidP="00E87182">
            <w:pPr>
              <w:spacing w:after="0"/>
            </w:pPr>
            <w:r w:rsidRPr="00995C95">
              <w:rPr>
                <w:b/>
                <w:szCs w:val="20"/>
              </w:rPr>
              <w:t xml:space="preserve">Chart </w:t>
            </w:r>
            <w:r w:rsidR="0058050D" w:rsidRPr="00995C95">
              <w:rPr>
                <w:b/>
                <w:szCs w:val="20"/>
              </w:rPr>
              <w:t xml:space="preserve">3 </w:t>
            </w:r>
            <w:r w:rsidR="00447037" w:rsidRPr="00995C95">
              <w:rPr>
                <w:b/>
                <w:szCs w:val="20"/>
              </w:rPr>
              <w:t xml:space="preserve">Contributions of branches to real change in GVA </w:t>
            </w:r>
            <w:r w:rsidR="00447037" w:rsidRPr="00995C95">
              <w:rPr>
                <w:bCs/>
                <w:szCs w:val="20"/>
              </w:rPr>
              <w:t xml:space="preserve">(volume indices, year-on-year contributions in p. p., GVA in %) </w:t>
            </w:r>
          </w:p>
        </w:tc>
      </w:tr>
      <w:tr w:rsidR="0058050D" w:rsidRPr="00995C95" w14:paraId="46440224" w14:textId="77777777" w:rsidTr="001F775B">
        <w:tblPrEx>
          <w:tblCellMar>
            <w:left w:w="70" w:type="dxa"/>
            <w:right w:w="70" w:type="dxa"/>
          </w:tblCellMar>
        </w:tblPrEx>
        <w:trPr>
          <w:trHeight w:val="170"/>
        </w:trPr>
        <w:tc>
          <w:tcPr>
            <w:tcW w:w="1806" w:type="dxa"/>
            <w:vMerge/>
          </w:tcPr>
          <w:p w14:paraId="0087DBB3" w14:textId="77777777" w:rsidR="0058050D" w:rsidRPr="00995C95" w:rsidRDefault="0058050D" w:rsidP="00E87182">
            <w:pPr>
              <w:pStyle w:val="Marginlie"/>
            </w:pPr>
          </w:p>
        </w:tc>
        <w:tc>
          <w:tcPr>
            <w:tcW w:w="210" w:type="dxa"/>
            <w:vMerge/>
          </w:tcPr>
          <w:p w14:paraId="77041ECB" w14:textId="77777777" w:rsidR="0058050D" w:rsidRPr="00995C95" w:rsidRDefault="0058050D" w:rsidP="00E87182">
            <w:pPr>
              <w:pStyle w:val="Textpoznpodarou"/>
              <w:jc w:val="both"/>
              <w:rPr>
                <w:spacing w:val="-4"/>
              </w:rPr>
            </w:pPr>
          </w:p>
        </w:tc>
        <w:tc>
          <w:tcPr>
            <w:tcW w:w="7623" w:type="dxa"/>
          </w:tcPr>
          <w:p w14:paraId="741E377F" w14:textId="0F61053E" w:rsidR="0058050D" w:rsidRPr="00995C95" w:rsidRDefault="001F775B" w:rsidP="00E87182">
            <w:pPr>
              <w:spacing w:after="0"/>
            </w:pPr>
            <w:r>
              <w:rPr>
                <w:noProof/>
              </w:rPr>
              <w:drawing>
                <wp:inline distT="0" distB="0" distL="0" distR="0" wp14:anchorId="1812C88F" wp14:editId="23A4CFCC">
                  <wp:extent cx="4734425" cy="3486525"/>
                  <wp:effectExtent l="0" t="0" r="0" b="0"/>
                  <wp:docPr id="239590249" name="Graf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58050D" w:rsidRPr="00995C95" w14:paraId="32D1E406" w14:textId="77777777" w:rsidTr="00E87182">
        <w:trPr>
          <w:trHeight w:val="170"/>
        </w:trPr>
        <w:tc>
          <w:tcPr>
            <w:tcW w:w="1806" w:type="dxa"/>
            <w:vMerge/>
            <w:tcMar>
              <w:left w:w="0" w:type="dxa"/>
            </w:tcMar>
          </w:tcPr>
          <w:p w14:paraId="3A12F46C" w14:textId="77777777" w:rsidR="0058050D" w:rsidRPr="00995C95" w:rsidRDefault="0058050D" w:rsidP="00E87182">
            <w:pPr>
              <w:pStyle w:val="Marginlie"/>
            </w:pPr>
          </w:p>
        </w:tc>
        <w:tc>
          <w:tcPr>
            <w:tcW w:w="210" w:type="dxa"/>
            <w:vMerge/>
            <w:tcMar>
              <w:left w:w="0" w:type="dxa"/>
            </w:tcMar>
          </w:tcPr>
          <w:p w14:paraId="0437A8CE" w14:textId="77777777" w:rsidR="0058050D" w:rsidRPr="00995C95" w:rsidRDefault="0058050D" w:rsidP="00E87182">
            <w:pPr>
              <w:pStyle w:val="Textpoznpodarou"/>
              <w:jc w:val="both"/>
              <w:rPr>
                <w:spacing w:val="-4"/>
              </w:rPr>
            </w:pPr>
          </w:p>
        </w:tc>
        <w:tc>
          <w:tcPr>
            <w:tcW w:w="7623" w:type="dxa"/>
            <w:tcMar>
              <w:left w:w="0" w:type="dxa"/>
            </w:tcMar>
          </w:tcPr>
          <w:p w14:paraId="6653AAF2" w14:textId="017EBDC6" w:rsidR="00B65139" w:rsidRPr="00995C95" w:rsidRDefault="00133D19" w:rsidP="001F775B">
            <w:pPr>
              <w:rPr>
                <w:b/>
                <w:bCs/>
                <w:sz w:val="16"/>
                <w:szCs w:val="16"/>
              </w:rPr>
            </w:pPr>
            <w:r w:rsidRPr="00995C95">
              <w:rPr>
                <w:sz w:val="14"/>
                <w:szCs w:val="14"/>
              </w:rPr>
              <w:t>Source</w:t>
            </w:r>
            <w:r w:rsidR="0058050D" w:rsidRPr="00995C95">
              <w:rPr>
                <w:sz w:val="14"/>
                <w:szCs w:val="14"/>
              </w:rPr>
              <w:t xml:space="preserve">: </w:t>
            </w:r>
            <w:r w:rsidRPr="00995C95">
              <w:rPr>
                <w:sz w:val="14"/>
                <w:szCs w:val="14"/>
              </w:rPr>
              <w:t>CZSO</w:t>
            </w:r>
          </w:p>
        </w:tc>
      </w:tr>
      <w:bookmarkEnd w:id="1"/>
      <w:bookmarkEnd w:id="2"/>
      <w:bookmarkEnd w:id="3"/>
      <w:bookmarkEnd w:id="4"/>
    </w:tbl>
    <w:p w14:paraId="3925996A" w14:textId="77777777" w:rsidR="0058050D" w:rsidRPr="00995C95" w:rsidRDefault="0058050D" w:rsidP="0058050D">
      <w:pPr>
        <w:pStyle w:val="Nadpis1"/>
        <w:rPr>
          <w:sz w:val="2"/>
          <w:szCs w:val="2"/>
          <w:lang w:val="en-GB"/>
        </w:rPr>
      </w:pPr>
    </w:p>
    <w:bookmarkEnd w:id="5"/>
    <w:bookmarkEnd w:id="6"/>
    <w:p w14:paraId="0538E8DD" w14:textId="2E1A6100" w:rsidR="001F775B" w:rsidRDefault="001F775B">
      <w:pPr>
        <w:spacing w:after="0" w:line="240" w:lineRule="auto"/>
        <w:jc w:val="left"/>
        <w:rPr>
          <w:rFonts w:eastAsia="MS Gothic"/>
          <w:b/>
          <w:bCs/>
          <w:color w:val="86BF5E"/>
          <w:sz w:val="32"/>
          <w:szCs w:val="28"/>
        </w:rPr>
      </w:pPr>
    </w:p>
    <w:sectPr w:rsidR="001F775B" w:rsidSect="00FD123A">
      <w:headerReference w:type="even" r:id="rId14"/>
      <w:headerReference w:type="default" r:id="rId15"/>
      <w:footerReference w:type="even" r:id="rId16"/>
      <w:footerReference w:type="default" r:id="rId17"/>
      <w:pgSz w:w="11906" w:h="16838" w:code="9"/>
      <w:pgMar w:top="1134" w:right="1134" w:bottom="1418" w:left="1134" w:header="680" w:footer="680"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3697" w14:textId="77777777" w:rsidR="0076641F" w:rsidRPr="00995C95" w:rsidRDefault="0076641F" w:rsidP="00E71A58">
      <w:r w:rsidRPr="00995C95">
        <w:separator/>
      </w:r>
    </w:p>
  </w:endnote>
  <w:endnote w:type="continuationSeparator" w:id="0">
    <w:p w14:paraId="725F7FD9" w14:textId="77777777" w:rsidR="0076641F" w:rsidRPr="00995C95" w:rsidRDefault="0076641F" w:rsidP="00E71A58">
      <w:r w:rsidRPr="00995C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0715AFCD" w:rsidR="004C456F" w:rsidRPr="00995C95" w:rsidRDefault="004C456F" w:rsidP="00A418BC">
    <w:pPr>
      <w:pStyle w:val="Zpat"/>
      <w:rPr>
        <w:noProof w:val="0"/>
        <w:szCs w:val="16"/>
        <w:lang w:val="en-GB"/>
      </w:rPr>
    </w:pPr>
    <w:r w:rsidRPr="00995C95">
      <w:rPr>
        <w:szCs w:val="16"/>
        <w:lang w:val="en-GB"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C95">
      <w:rPr>
        <w:noProof w:val="0"/>
        <w:szCs w:val="16"/>
        <w:lang w:val="en-GB"/>
      </w:rPr>
      <w:fldChar w:fldCharType="begin"/>
    </w:r>
    <w:r w:rsidRPr="00995C95">
      <w:rPr>
        <w:noProof w:val="0"/>
        <w:szCs w:val="16"/>
        <w:lang w:val="en-GB"/>
      </w:rPr>
      <w:instrText>PAGE   \* MERGEFORMAT</w:instrText>
    </w:r>
    <w:r w:rsidRPr="00995C95">
      <w:rPr>
        <w:noProof w:val="0"/>
        <w:szCs w:val="16"/>
        <w:lang w:val="en-GB"/>
      </w:rPr>
      <w:fldChar w:fldCharType="separate"/>
    </w:r>
    <w:r w:rsidR="00233D05" w:rsidRPr="00995C95">
      <w:rPr>
        <w:noProof w:val="0"/>
        <w:szCs w:val="16"/>
        <w:lang w:val="en-GB"/>
      </w:rPr>
      <w:t>50</w:t>
    </w:r>
    <w:r w:rsidRPr="00995C95">
      <w:rPr>
        <w:noProof w:val="0"/>
        <w:szCs w:val="16"/>
        <w:lang w:val="en-GB"/>
      </w:rPr>
      <w:fldChar w:fldCharType="end"/>
    </w:r>
    <w:r w:rsidRPr="00995C95">
      <w:rPr>
        <w:noProof w:val="0"/>
        <w:szCs w:val="16"/>
        <w:lang w:val="en-GB"/>
      </w:rPr>
      <w:tab/>
    </w:r>
    <w:r w:rsidR="005A327C" w:rsidRPr="00995C95">
      <w:rPr>
        <w:noProof w:val="0"/>
        <w:szCs w:val="16"/>
        <w:lang w:val="en-GB"/>
      </w:rPr>
      <w:t xml:space="preserve">year </w:t>
    </w:r>
    <w:r w:rsidR="00C5418A" w:rsidRPr="00995C95">
      <w:rPr>
        <w:noProof w:val="0"/>
        <w:szCs w:val="16"/>
        <w:lang w:val="en-GB"/>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360E7FB6" w:rsidR="004C456F" w:rsidRPr="00995C95" w:rsidRDefault="004C456F" w:rsidP="00A418BC">
    <w:pPr>
      <w:pStyle w:val="Zpat"/>
      <w:rPr>
        <w:noProof w:val="0"/>
        <w:szCs w:val="16"/>
        <w:lang w:val="en-GB"/>
      </w:rPr>
    </w:pPr>
    <w:r w:rsidRPr="00995C95">
      <w:rPr>
        <w:szCs w:val="16"/>
        <w:lang w:val="en-GB" w:eastAsia="cs-CZ"/>
      </w:rPr>
      <w:drawing>
        <wp:anchor distT="0" distB="0" distL="114300" distR="114300" simplePos="0" relativeHeight="251658240"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C95">
      <w:rPr>
        <w:noProof w:val="0"/>
        <w:szCs w:val="16"/>
        <w:lang w:val="en-GB"/>
      </w:rPr>
      <w:tab/>
    </w:r>
    <w:r w:rsidR="005370C0" w:rsidRPr="00995C95">
      <w:rPr>
        <w:noProof w:val="0"/>
        <w:szCs w:val="16"/>
        <w:lang w:val="en-GB"/>
      </w:rPr>
      <w:t xml:space="preserve">Year </w:t>
    </w:r>
    <w:r w:rsidRPr="00995C95">
      <w:rPr>
        <w:noProof w:val="0"/>
        <w:szCs w:val="16"/>
        <w:lang w:val="en-GB"/>
      </w:rPr>
      <w:t>2025</w:t>
    </w:r>
    <w:r w:rsidRPr="00995C95">
      <w:rPr>
        <w:noProof w:val="0"/>
        <w:szCs w:val="16"/>
        <w:lang w:val="en-GB"/>
      </w:rPr>
      <w:tab/>
    </w:r>
    <w:r w:rsidRPr="00995C95">
      <w:rPr>
        <w:rStyle w:val="ZpatChar"/>
        <w:noProof w:val="0"/>
        <w:szCs w:val="16"/>
        <w:lang w:val="en-GB"/>
      </w:rPr>
      <w:fldChar w:fldCharType="begin"/>
    </w:r>
    <w:r w:rsidRPr="00995C95">
      <w:rPr>
        <w:rStyle w:val="ZpatChar"/>
        <w:noProof w:val="0"/>
        <w:szCs w:val="16"/>
        <w:lang w:val="en-GB"/>
      </w:rPr>
      <w:instrText>PAGE   \* MERGEFORMAT</w:instrText>
    </w:r>
    <w:r w:rsidRPr="00995C95">
      <w:rPr>
        <w:rStyle w:val="ZpatChar"/>
        <w:noProof w:val="0"/>
        <w:szCs w:val="16"/>
        <w:lang w:val="en-GB"/>
      </w:rPr>
      <w:fldChar w:fldCharType="separate"/>
    </w:r>
    <w:r w:rsidR="00233D05" w:rsidRPr="00995C95">
      <w:rPr>
        <w:rStyle w:val="ZpatChar"/>
        <w:noProof w:val="0"/>
        <w:szCs w:val="16"/>
        <w:lang w:val="en-GB"/>
      </w:rPr>
      <w:t>49</w:t>
    </w:r>
    <w:r w:rsidRPr="00995C95">
      <w:rPr>
        <w:rStyle w:val="ZpatChar"/>
        <w:noProof w:val="0"/>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0A512" w14:textId="77777777" w:rsidR="0076641F" w:rsidRPr="00995C95" w:rsidRDefault="0076641F" w:rsidP="00EA4302">
      <w:pPr>
        <w:spacing w:after="0"/>
      </w:pPr>
      <w:r w:rsidRPr="00995C95">
        <w:separator/>
      </w:r>
    </w:p>
  </w:footnote>
  <w:footnote w:type="continuationSeparator" w:id="0">
    <w:p w14:paraId="05FB30D5" w14:textId="77777777" w:rsidR="0076641F" w:rsidRPr="00995C95" w:rsidRDefault="0076641F" w:rsidP="00E71A58">
      <w:r w:rsidRPr="00995C95">
        <w:continuationSeparator/>
      </w:r>
    </w:p>
  </w:footnote>
  <w:footnote w:id="1">
    <w:p w14:paraId="76986B2A" w14:textId="77777777" w:rsidR="006A1EB8" w:rsidRPr="00995C95" w:rsidRDefault="006A1EB8" w:rsidP="006A1EB8">
      <w:pPr>
        <w:pStyle w:val="Textpoznpodarou"/>
        <w:rPr>
          <w:sz w:val="16"/>
          <w:szCs w:val="16"/>
        </w:rPr>
      </w:pPr>
      <w:r w:rsidRPr="00995C95">
        <w:rPr>
          <w:rStyle w:val="Znakapoznpodarou"/>
          <w:sz w:val="16"/>
          <w:szCs w:val="16"/>
        </w:rPr>
        <w:footnoteRef/>
      </w:r>
      <w:r w:rsidRPr="00995C95">
        <w:rPr>
          <w:sz w:val="16"/>
          <w:szCs w:val="16"/>
        </w:rPr>
        <w:t xml:space="preserve"> The development of the GDP, gross value added, and their components is expressed with the help of the volume indices (i.e. adjusted for changes in prices) and adjusted for seasonal and calendar effects. Data are valid as of 3</w:t>
      </w:r>
      <w:r w:rsidRPr="00995C95">
        <w:rPr>
          <w:sz w:val="16"/>
          <w:szCs w:val="16"/>
          <w:vertAlign w:val="superscript"/>
        </w:rPr>
        <w:t>rd</w:t>
      </w:r>
      <w:r w:rsidRPr="00995C95">
        <w:rPr>
          <w:sz w:val="16"/>
          <w:szCs w:val="16"/>
        </w:rPr>
        <w:t xml:space="preserve"> March 2026.</w:t>
      </w:r>
    </w:p>
  </w:footnote>
  <w:footnote w:id="2">
    <w:p w14:paraId="0679EDA7" w14:textId="307B48BC" w:rsidR="003656AF" w:rsidRPr="00995C95" w:rsidRDefault="003656AF" w:rsidP="005042BB">
      <w:pPr>
        <w:pStyle w:val="Textpoznpodarou"/>
        <w:jc w:val="both"/>
      </w:pPr>
      <w:r w:rsidRPr="00995C95">
        <w:rPr>
          <w:rStyle w:val="Znakapoznpodarou"/>
          <w:sz w:val="16"/>
          <w:szCs w:val="16"/>
        </w:rPr>
        <w:footnoteRef/>
      </w:r>
      <w:r w:rsidRPr="00995C95">
        <w:rPr>
          <w:sz w:val="16"/>
          <w:szCs w:val="16"/>
        </w:rPr>
        <w:t xml:space="preserve"> </w:t>
      </w:r>
      <w:r w:rsidR="005042BB" w:rsidRPr="00995C95">
        <w:rPr>
          <w:sz w:val="16"/>
          <w:szCs w:val="16"/>
        </w:rPr>
        <w:t xml:space="preserve">Employment data are in the national accounts conception (persons), figure seasonally adjusted. </w:t>
      </w:r>
    </w:p>
  </w:footnote>
  <w:footnote w:id="3">
    <w:p w14:paraId="7493E1BF" w14:textId="7EC246B8" w:rsidR="00770FC8" w:rsidRPr="00995C95" w:rsidRDefault="00770FC8" w:rsidP="00770FC8">
      <w:pPr>
        <w:pStyle w:val="Textpoznpodarou"/>
        <w:rPr>
          <w:sz w:val="16"/>
          <w:szCs w:val="16"/>
        </w:rPr>
      </w:pPr>
      <w:r w:rsidRPr="00995C95">
        <w:rPr>
          <w:rStyle w:val="Znakapoznpodarou"/>
          <w:sz w:val="16"/>
          <w:szCs w:val="16"/>
        </w:rPr>
        <w:footnoteRef/>
      </w:r>
      <w:r w:rsidRPr="00995C95">
        <w:rPr>
          <w:sz w:val="16"/>
          <w:szCs w:val="16"/>
        </w:rPr>
        <w:t xml:space="preserve"> </w:t>
      </w:r>
      <w:r w:rsidR="005D67FE" w:rsidRPr="00995C95">
        <w:rPr>
          <w:sz w:val="16"/>
          <w:szCs w:val="16"/>
        </w:rPr>
        <w:t>Converted into the real expression using the deflator of household consumption.</w:t>
      </w:r>
    </w:p>
  </w:footnote>
  <w:footnote w:id="4">
    <w:p w14:paraId="2B1BD088" w14:textId="751FBF73" w:rsidR="00673247" w:rsidRPr="00995C95" w:rsidRDefault="00673247" w:rsidP="006057BE">
      <w:pPr>
        <w:pStyle w:val="Textpoznpodarou"/>
        <w:jc w:val="both"/>
        <w:rPr>
          <w:sz w:val="16"/>
          <w:szCs w:val="16"/>
        </w:rPr>
      </w:pPr>
      <w:r w:rsidRPr="00995C95">
        <w:rPr>
          <w:rStyle w:val="Znakapoznpodarou"/>
          <w:sz w:val="16"/>
          <w:szCs w:val="16"/>
        </w:rPr>
        <w:footnoteRef/>
      </w:r>
      <w:r w:rsidRPr="00995C95">
        <w:rPr>
          <w:sz w:val="16"/>
          <w:szCs w:val="16"/>
        </w:rPr>
        <w:t xml:space="preserve"> </w:t>
      </w:r>
      <w:r w:rsidR="006057BE" w:rsidRPr="00995C95">
        <w:rPr>
          <w:sz w:val="16"/>
          <w:szCs w:val="16"/>
        </w:rPr>
        <w:t xml:space="preserve">This section contains activities of organisations of common interests, repairs of computers and mainly personal and household goods and a number of other personal services (beauty, hairdressing treatment etc.). </w:t>
      </w:r>
    </w:p>
  </w:footnote>
  <w:footnote w:id="5">
    <w:p w14:paraId="33D9EDD0" w14:textId="376E4BE9" w:rsidR="00F160D4" w:rsidRPr="00995C95" w:rsidRDefault="00F160D4" w:rsidP="00344092">
      <w:pPr>
        <w:pStyle w:val="Textpoznpodarou"/>
        <w:rPr>
          <w:sz w:val="16"/>
          <w:szCs w:val="16"/>
        </w:rPr>
      </w:pPr>
      <w:r w:rsidRPr="00995C95">
        <w:rPr>
          <w:rStyle w:val="Znakapoznpodarou"/>
          <w:sz w:val="16"/>
          <w:szCs w:val="16"/>
        </w:rPr>
        <w:footnoteRef/>
      </w:r>
      <w:r w:rsidRPr="00995C95">
        <w:rPr>
          <w:sz w:val="16"/>
          <w:szCs w:val="16"/>
        </w:rPr>
        <w:t xml:space="preserve"> </w:t>
      </w:r>
      <w:r w:rsidR="00344092" w:rsidRPr="00995C95">
        <w:rPr>
          <w:sz w:val="16"/>
          <w:szCs w:val="16"/>
        </w:rPr>
        <w:t xml:space="preserve">If we do not count the extraordinary increase from </w:t>
      </w:r>
      <w:r w:rsidR="00C46423" w:rsidRPr="00995C95">
        <w:rPr>
          <w:sz w:val="16"/>
          <w:szCs w:val="16"/>
        </w:rPr>
        <w:t>Q</w:t>
      </w:r>
      <w:r w:rsidR="00344092" w:rsidRPr="00995C95">
        <w:rPr>
          <w:sz w:val="16"/>
          <w:szCs w:val="16"/>
        </w:rPr>
        <w:t>2</w:t>
      </w:r>
      <w:r w:rsidR="00C46423" w:rsidRPr="00995C95">
        <w:rPr>
          <w:sz w:val="16"/>
          <w:szCs w:val="16"/>
        </w:rPr>
        <w:t xml:space="preserve"> </w:t>
      </w:r>
      <w:r w:rsidR="00344092" w:rsidRPr="00995C95">
        <w:rPr>
          <w:sz w:val="16"/>
          <w:szCs w:val="16"/>
        </w:rPr>
        <w:t xml:space="preserve">2021 affected by covid, then the most since </w:t>
      </w:r>
      <w:r w:rsidR="00C46423" w:rsidRPr="00995C95">
        <w:rPr>
          <w:sz w:val="16"/>
          <w:szCs w:val="16"/>
        </w:rPr>
        <w:t>Q</w:t>
      </w:r>
      <w:r w:rsidR="00344092" w:rsidRPr="00995C95">
        <w:rPr>
          <w:sz w:val="16"/>
          <w:szCs w:val="16"/>
        </w:rPr>
        <w:t>2</w:t>
      </w:r>
      <w:r w:rsidR="00C46423" w:rsidRPr="00995C95">
        <w:rPr>
          <w:sz w:val="16"/>
          <w:szCs w:val="16"/>
        </w:rPr>
        <w:t xml:space="preserve"> </w:t>
      </w:r>
      <w:r w:rsidR="00344092" w:rsidRPr="00995C95">
        <w:rPr>
          <w:sz w:val="16"/>
          <w:szCs w:val="16"/>
        </w:rPr>
        <w:t>2018.</w:t>
      </w:r>
      <w:r w:rsidR="00C46423" w:rsidRPr="00995C95">
        <w:rPr>
          <w:sz w:val="16"/>
          <w:szCs w:val="16"/>
        </w:rPr>
        <w:t xml:space="preserve"> </w:t>
      </w:r>
    </w:p>
  </w:footnote>
  <w:footnote w:id="6">
    <w:p w14:paraId="46E91C5A" w14:textId="77777777" w:rsidR="006F12E9" w:rsidRPr="00995C95" w:rsidRDefault="006F12E9" w:rsidP="006F12E9">
      <w:pPr>
        <w:pStyle w:val="Textpoznpodarou"/>
        <w:rPr>
          <w:sz w:val="16"/>
          <w:szCs w:val="16"/>
        </w:rPr>
      </w:pPr>
      <w:r w:rsidRPr="00995C95">
        <w:rPr>
          <w:rStyle w:val="Znakapoznpodarou"/>
          <w:sz w:val="16"/>
          <w:szCs w:val="16"/>
        </w:rPr>
        <w:footnoteRef/>
      </w:r>
      <w:r w:rsidRPr="00995C95">
        <w:rPr>
          <w:sz w:val="16"/>
          <w:szCs w:val="16"/>
        </w:rPr>
        <w:t xml:space="preserve"> Data regarding consumption based on durability are in domestic conception. </w:t>
      </w:r>
    </w:p>
  </w:footnote>
  <w:footnote w:id="7">
    <w:p w14:paraId="37E28217" w14:textId="0D8F1219" w:rsidR="00AE01AE" w:rsidRPr="00995C95" w:rsidRDefault="00AE01AE" w:rsidP="00D15524">
      <w:pPr>
        <w:pStyle w:val="Textpoznpodarou"/>
        <w:jc w:val="both"/>
        <w:rPr>
          <w:sz w:val="16"/>
          <w:szCs w:val="16"/>
        </w:rPr>
      </w:pPr>
      <w:r w:rsidRPr="00995C95">
        <w:rPr>
          <w:rStyle w:val="Znakapoznpodarou"/>
          <w:sz w:val="16"/>
          <w:szCs w:val="16"/>
        </w:rPr>
        <w:footnoteRef/>
      </w:r>
      <w:r w:rsidRPr="00995C95">
        <w:rPr>
          <w:sz w:val="16"/>
          <w:szCs w:val="16"/>
        </w:rPr>
        <w:t xml:space="preserve"> </w:t>
      </w:r>
      <w:r w:rsidR="00D15524" w:rsidRPr="00995C95">
        <w:rPr>
          <w:sz w:val="16"/>
          <w:szCs w:val="16"/>
        </w:rPr>
        <w:t>Additions to the GDP change after exclusion of imports for final use.</w:t>
      </w:r>
    </w:p>
  </w:footnote>
  <w:footnote w:id="8">
    <w:p w14:paraId="43B01BD3" w14:textId="0ED7A573" w:rsidR="000501B2" w:rsidRPr="00995C95" w:rsidRDefault="000501B2" w:rsidP="00C42869">
      <w:pPr>
        <w:pStyle w:val="Textpoznpodarou"/>
        <w:rPr>
          <w:sz w:val="16"/>
          <w:szCs w:val="16"/>
        </w:rPr>
      </w:pPr>
      <w:r w:rsidRPr="00995C95">
        <w:rPr>
          <w:rStyle w:val="Znakapoznpodarou"/>
          <w:sz w:val="16"/>
          <w:szCs w:val="16"/>
        </w:rPr>
        <w:footnoteRef/>
      </w:r>
      <w:r w:rsidRPr="00995C95">
        <w:rPr>
          <w:sz w:val="16"/>
          <w:szCs w:val="16"/>
        </w:rPr>
        <w:t xml:space="preserve"> </w:t>
      </w:r>
      <w:r w:rsidR="00B4263C" w:rsidRPr="00995C95">
        <w:rPr>
          <w:sz w:val="16"/>
          <w:szCs w:val="16"/>
        </w:rPr>
        <w:t xml:space="preserve">Change of the inventory stock (in current prices and not seasonally adjusted) attained </w:t>
      </w:r>
      <w:r w:rsidR="006A15F2" w:rsidRPr="00995C95">
        <w:rPr>
          <w:sz w:val="16"/>
          <w:szCs w:val="16"/>
        </w:rPr>
        <w:t>+27</w:t>
      </w:r>
      <w:r w:rsidR="00B4263C" w:rsidRPr="00995C95">
        <w:rPr>
          <w:sz w:val="16"/>
          <w:szCs w:val="16"/>
        </w:rPr>
        <w:t>.</w:t>
      </w:r>
      <w:r w:rsidR="006A15F2" w:rsidRPr="00995C95">
        <w:rPr>
          <w:sz w:val="16"/>
          <w:szCs w:val="16"/>
        </w:rPr>
        <w:t>0</w:t>
      </w:r>
      <w:r w:rsidR="00B4263C" w:rsidRPr="00995C95">
        <w:rPr>
          <w:sz w:val="16"/>
          <w:szCs w:val="16"/>
        </w:rPr>
        <w:t xml:space="preserve"> bn CZK in</w:t>
      </w:r>
      <w:r w:rsidR="006A15F2" w:rsidRPr="00995C95">
        <w:rPr>
          <w:sz w:val="16"/>
          <w:szCs w:val="16"/>
        </w:rPr>
        <w:t xml:space="preserve"> year </w:t>
      </w:r>
      <w:r w:rsidR="00B4263C" w:rsidRPr="00995C95">
        <w:rPr>
          <w:sz w:val="16"/>
          <w:szCs w:val="16"/>
        </w:rPr>
        <w:t>2025</w:t>
      </w:r>
      <w:r w:rsidR="006A15F2" w:rsidRPr="00995C95">
        <w:rPr>
          <w:sz w:val="16"/>
          <w:szCs w:val="16"/>
        </w:rPr>
        <w:t xml:space="preserve">, compared to </w:t>
      </w:r>
      <w:r w:rsidRPr="00995C95">
        <w:rPr>
          <w:sz w:val="16"/>
          <w:szCs w:val="16"/>
        </w:rPr>
        <w:t xml:space="preserve">−24,0 </w:t>
      </w:r>
      <w:r w:rsidR="00AD1543" w:rsidRPr="00995C95">
        <w:rPr>
          <w:sz w:val="16"/>
          <w:szCs w:val="16"/>
        </w:rPr>
        <w:t xml:space="preserve">bn in year </w:t>
      </w:r>
      <w:r w:rsidRPr="00995C95">
        <w:rPr>
          <w:sz w:val="16"/>
          <w:szCs w:val="16"/>
        </w:rPr>
        <w:t xml:space="preserve">2024. </w:t>
      </w:r>
      <w:r w:rsidR="00C42869" w:rsidRPr="00995C95">
        <w:rPr>
          <w:sz w:val="16"/>
          <w:szCs w:val="16"/>
        </w:rPr>
        <w:t xml:space="preserve">Inventories increased especially in the first three quarters of the year. In Q4 2025, the change of inventories amounted to −67.9 bn CZK compared to 64.6 bn CZK in Q3 and −63.4 bn in Q4 2024. </w:t>
      </w:r>
      <w:r w:rsidRPr="00995C95">
        <w:rPr>
          <w:sz w:val="16"/>
          <w:szCs w:val="16"/>
        </w:rPr>
        <w:t xml:space="preserve">   </w:t>
      </w:r>
    </w:p>
  </w:footnote>
  <w:footnote w:id="9">
    <w:p w14:paraId="084CEEC6" w14:textId="77777777" w:rsidR="009E16C0" w:rsidRPr="00995C95" w:rsidRDefault="009E16C0" w:rsidP="009E16C0">
      <w:pPr>
        <w:pStyle w:val="Textpoznpodarou"/>
        <w:rPr>
          <w:sz w:val="16"/>
          <w:szCs w:val="16"/>
        </w:rPr>
      </w:pPr>
      <w:r w:rsidRPr="00995C95">
        <w:rPr>
          <w:rStyle w:val="Znakapoznpodarou"/>
          <w:sz w:val="16"/>
          <w:szCs w:val="16"/>
        </w:rPr>
        <w:footnoteRef/>
      </w:r>
      <w:r w:rsidRPr="00995C95">
        <w:rPr>
          <w:sz w:val="16"/>
          <w:szCs w:val="16"/>
        </w:rPr>
        <w:t xml:space="preserve"> According to the methodology of quarterly national accounts (export and import in FOB/FOB prices). International trade balance in current prices and seasonally adjusted.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1194052D" w:rsidR="004C456F" w:rsidRPr="00995C95" w:rsidRDefault="004B5D8A" w:rsidP="00C27E4F">
    <w:pPr>
      <w:pStyle w:val="Zhlav"/>
      <w:rPr>
        <w:lang w:val="en-GB"/>
      </w:rPr>
    </w:pPr>
    <w:r w:rsidRPr="00995C95">
      <w:rPr>
        <w:lang w:val="en-GB"/>
      </w:rP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75889E2" w:rsidR="004C456F" w:rsidRPr="00995C95" w:rsidRDefault="005A327C" w:rsidP="00937AE2">
    <w:pPr>
      <w:pStyle w:val="Zhlav"/>
      <w:rPr>
        <w:lang w:val="en-GB"/>
      </w:rPr>
    </w:pPr>
    <w:r w:rsidRPr="00995C95">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3"/>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2"/>
  </w:num>
  <w:num w:numId="27" w16cid:durableId="223610688">
    <w:abstractNumId w:val="43"/>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5"/>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4"/>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3"/>
  </w:num>
  <w:num w:numId="48" w16cid:durableId="1639922006">
    <w:abstractNumId w:val="43"/>
    <w:lvlOverride w:ilvl="0">
      <w:startOverride w:val="1"/>
    </w:lvlOverride>
  </w:num>
  <w:num w:numId="49" w16cid:durableId="1509101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0EDA"/>
    <w:rsid w:val="00001697"/>
    <w:rsid w:val="0000209D"/>
    <w:rsid w:val="0000213A"/>
    <w:rsid w:val="00003077"/>
    <w:rsid w:val="00003202"/>
    <w:rsid w:val="00003C75"/>
    <w:rsid w:val="00004D5A"/>
    <w:rsid w:val="00004FCC"/>
    <w:rsid w:val="000056D5"/>
    <w:rsid w:val="00006ABD"/>
    <w:rsid w:val="00006D53"/>
    <w:rsid w:val="00006E79"/>
    <w:rsid w:val="0000767A"/>
    <w:rsid w:val="00007880"/>
    <w:rsid w:val="000078DF"/>
    <w:rsid w:val="00007F73"/>
    <w:rsid w:val="00010256"/>
    <w:rsid w:val="000103D1"/>
    <w:rsid w:val="00010702"/>
    <w:rsid w:val="00011031"/>
    <w:rsid w:val="00011912"/>
    <w:rsid w:val="00011959"/>
    <w:rsid w:val="00011B41"/>
    <w:rsid w:val="00011F39"/>
    <w:rsid w:val="00012FA5"/>
    <w:rsid w:val="00014E03"/>
    <w:rsid w:val="00015B3B"/>
    <w:rsid w:val="00015B45"/>
    <w:rsid w:val="000169A6"/>
    <w:rsid w:val="00017058"/>
    <w:rsid w:val="00017134"/>
    <w:rsid w:val="0001750B"/>
    <w:rsid w:val="00020C46"/>
    <w:rsid w:val="0002195D"/>
    <w:rsid w:val="00022C67"/>
    <w:rsid w:val="000234D6"/>
    <w:rsid w:val="00023D29"/>
    <w:rsid w:val="00026006"/>
    <w:rsid w:val="00026389"/>
    <w:rsid w:val="00027613"/>
    <w:rsid w:val="0003024B"/>
    <w:rsid w:val="00031A7B"/>
    <w:rsid w:val="00031AE0"/>
    <w:rsid w:val="00031BBA"/>
    <w:rsid w:val="00031DF3"/>
    <w:rsid w:val="000322EF"/>
    <w:rsid w:val="0003364D"/>
    <w:rsid w:val="00033FCD"/>
    <w:rsid w:val="000347D3"/>
    <w:rsid w:val="00034ACC"/>
    <w:rsid w:val="00034B0E"/>
    <w:rsid w:val="00034EA1"/>
    <w:rsid w:val="000352CE"/>
    <w:rsid w:val="000354CD"/>
    <w:rsid w:val="00035561"/>
    <w:rsid w:val="000358AF"/>
    <w:rsid w:val="000359B2"/>
    <w:rsid w:val="00036A9B"/>
    <w:rsid w:val="00040211"/>
    <w:rsid w:val="0004072B"/>
    <w:rsid w:val="00040D10"/>
    <w:rsid w:val="00041AA3"/>
    <w:rsid w:val="00041CEC"/>
    <w:rsid w:val="00042534"/>
    <w:rsid w:val="000436F5"/>
    <w:rsid w:val="0004427A"/>
    <w:rsid w:val="0004694F"/>
    <w:rsid w:val="00046C77"/>
    <w:rsid w:val="00047175"/>
    <w:rsid w:val="00047A93"/>
    <w:rsid w:val="00050173"/>
    <w:rsid w:val="000501B2"/>
    <w:rsid w:val="0005137A"/>
    <w:rsid w:val="0005142D"/>
    <w:rsid w:val="000522E4"/>
    <w:rsid w:val="0005235B"/>
    <w:rsid w:val="0005414D"/>
    <w:rsid w:val="00054EA4"/>
    <w:rsid w:val="000554BE"/>
    <w:rsid w:val="00055507"/>
    <w:rsid w:val="000572CC"/>
    <w:rsid w:val="000573B7"/>
    <w:rsid w:val="000578C1"/>
    <w:rsid w:val="00057D7B"/>
    <w:rsid w:val="00060AD9"/>
    <w:rsid w:val="00060D9D"/>
    <w:rsid w:val="000610D5"/>
    <w:rsid w:val="000610E1"/>
    <w:rsid w:val="00061107"/>
    <w:rsid w:val="0006166D"/>
    <w:rsid w:val="00062177"/>
    <w:rsid w:val="000626A9"/>
    <w:rsid w:val="00062EC5"/>
    <w:rsid w:val="00062F22"/>
    <w:rsid w:val="00064C17"/>
    <w:rsid w:val="00064C43"/>
    <w:rsid w:val="000673C2"/>
    <w:rsid w:val="000675C7"/>
    <w:rsid w:val="00071146"/>
    <w:rsid w:val="000712B3"/>
    <w:rsid w:val="00071381"/>
    <w:rsid w:val="00072597"/>
    <w:rsid w:val="00072C02"/>
    <w:rsid w:val="00072E8F"/>
    <w:rsid w:val="0007329F"/>
    <w:rsid w:val="00073A4E"/>
    <w:rsid w:val="00073FF8"/>
    <w:rsid w:val="0007457A"/>
    <w:rsid w:val="00074635"/>
    <w:rsid w:val="00074AC2"/>
    <w:rsid w:val="000752CE"/>
    <w:rsid w:val="000816AF"/>
    <w:rsid w:val="0008263E"/>
    <w:rsid w:val="000829B1"/>
    <w:rsid w:val="00082C19"/>
    <w:rsid w:val="00083CB1"/>
    <w:rsid w:val="0008426E"/>
    <w:rsid w:val="00084944"/>
    <w:rsid w:val="00085365"/>
    <w:rsid w:val="00085395"/>
    <w:rsid w:val="00085440"/>
    <w:rsid w:val="000864D8"/>
    <w:rsid w:val="00086848"/>
    <w:rsid w:val="00086C49"/>
    <w:rsid w:val="00087634"/>
    <w:rsid w:val="00087F2B"/>
    <w:rsid w:val="0009044A"/>
    <w:rsid w:val="00090C90"/>
    <w:rsid w:val="000912CC"/>
    <w:rsid w:val="000913C1"/>
    <w:rsid w:val="00092201"/>
    <w:rsid w:val="0009317A"/>
    <w:rsid w:val="0009372A"/>
    <w:rsid w:val="00094112"/>
    <w:rsid w:val="00095135"/>
    <w:rsid w:val="00095C4D"/>
    <w:rsid w:val="000968F4"/>
    <w:rsid w:val="000974D1"/>
    <w:rsid w:val="00097972"/>
    <w:rsid w:val="0009799E"/>
    <w:rsid w:val="000A01AA"/>
    <w:rsid w:val="000A0D06"/>
    <w:rsid w:val="000A1183"/>
    <w:rsid w:val="000A17AA"/>
    <w:rsid w:val="000A1AC6"/>
    <w:rsid w:val="000A256D"/>
    <w:rsid w:val="000A25B3"/>
    <w:rsid w:val="000A25BD"/>
    <w:rsid w:val="000A395A"/>
    <w:rsid w:val="000A3A2C"/>
    <w:rsid w:val="000A3BA8"/>
    <w:rsid w:val="000A3F17"/>
    <w:rsid w:val="000A48F6"/>
    <w:rsid w:val="000A4AFE"/>
    <w:rsid w:val="000A4C10"/>
    <w:rsid w:val="000A5017"/>
    <w:rsid w:val="000A5265"/>
    <w:rsid w:val="000A57D4"/>
    <w:rsid w:val="000A66B9"/>
    <w:rsid w:val="000A7275"/>
    <w:rsid w:val="000A7D27"/>
    <w:rsid w:val="000B1F8C"/>
    <w:rsid w:val="000B2870"/>
    <w:rsid w:val="000B2CB2"/>
    <w:rsid w:val="000B3563"/>
    <w:rsid w:val="000B3CE2"/>
    <w:rsid w:val="000B44D1"/>
    <w:rsid w:val="000B48DB"/>
    <w:rsid w:val="000B772A"/>
    <w:rsid w:val="000B7C8D"/>
    <w:rsid w:val="000C004E"/>
    <w:rsid w:val="000C28DE"/>
    <w:rsid w:val="000C2CF1"/>
    <w:rsid w:val="000C3408"/>
    <w:rsid w:val="000C5923"/>
    <w:rsid w:val="000C6AFD"/>
    <w:rsid w:val="000C7C6F"/>
    <w:rsid w:val="000D0B52"/>
    <w:rsid w:val="000D1B52"/>
    <w:rsid w:val="000D21E0"/>
    <w:rsid w:val="000D248B"/>
    <w:rsid w:val="000D3CE8"/>
    <w:rsid w:val="000D3DFB"/>
    <w:rsid w:val="000D3FEF"/>
    <w:rsid w:val="000D4139"/>
    <w:rsid w:val="000D49C6"/>
    <w:rsid w:val="000D50C8"/>
    <w:rsid w:val="000D5637"/>
    <w:rsid w:val="000E0655"/>
    <w:rsid w:val="000E0B09"/>
    <w:rsid w:val="000E15EA"/>
    <w:rsid w:val="000E1BD5"/>
    <w:rsid w:val="000E22F0"/>
    <w:rsid w:val="000E4A05"/>
    <w:rsid w:val="000E4DFB"/>
    <w:rsid w:val="000E5ADB"/>
    <w:rsid w:val="000E5E94"/>
    <w:rsid w:val="000E6FBD"/>
    <w:rsid w:val="000E722B"/>
    <w:rsid w:val="000F0563"/>
    <w:rsid w:val="000F072B"/>
    <w:rsid w:val="000F17BE"/>
    <w:rsid w:val="000F2DBC"/>
    <w:rsid w:val="000F49A9"/>
    <w:rsid w:val="000F5540"/>
    <w:rsid w:val="000F563A"/>
    <w:rsid w:val="000F63BA"/>
    <w:rsid w:val="000F7A6C"/>
    <w:rsid w:val="00100F5C"/>
    <w:rsid w:val="0010109F"/>
    <w:rsid w:val="001015F8"/>
    <w:rsid w:val="0010181E"/>
    <w:rsid w:val="00101CDA"/>
    <w:rsid w:val="00101E8C"/>
    <w:rsid w:val="00102C41"/>
    <w:rsid w:val="00102C8C"/>
    <w:rsid w:val="00104C4C"/>
    <w:rsid w:val="00105BEE"/>
    <w:rsid w:val="0010768F"/>
    <w:rsid w:val="00107F50"/>
    <w:rsid w:val="00110148"/>
    <w:rsid w:val="001102E1"/>
    <w:rsid w:val="00110840"/>
    <w:rsid w:val="00111F6C"/>
    <w:rsid w:val="00112002"/>
    <w:rsid w:val="0011216E"/>
    <w:rsid w:val="00113333"/>
    <w:rsid w:val="00113951"/>
    <w:rsid w:val="00114E34"/>
    <w:rsid w:val="00115BC3"/>
    <w:rsid w:val="00115FDB"/>
    <w:rsid w:val="001162C6"/>
    <w:rsid w:val="001172EE"/>
    <w:rsid w:val="00117365"/>
    <w:rsid w:val="00117623"/>
    <w:rsid w:val="00117774"/>
    <w:rsid w:val="00117E12"/>
    <w:rsid w:val="0012096D"/>
    <w:rsid w:val="0012192F"/>
    <w:rsid w:val="00122351"/>
    <w:rsid w:val="0012244B"/>
    <w:rsid w:val="001224E5"/>
    <w:rsid w:val="001226D4"/>
    <w:rsid w:val="0012354A"/>
    <w:rsid w:val="00124940"/>
    <w:rsid w:val="0012541F"/>
    <w:rsid w:val="001257AD"/>
    <w:rsid w:val="00125D69"/>
    <w:rsid w:val="00125DCF"/>
    <w:rsid w:val="00125E96"/>
    <w:rsid w:val="0012727F"/>
    <w:rsid w:val="00127CCE"/>
    <w:rsid w:val="00131BA6"/>
    <w:rsid w:val="00132022"/>
    <w:rsid w:val="001321B1"/>
    <w:rsid w:val="00133D19"/>
    <w:rsid w:val="00134AC4"/>
    <w:rsid w:val="001352AD"/>
    <w:rsid w:val="00136221"/>
    <w:rsid w:val="00137BBA"/>
    <w:rsid w:val="001400C5"/>
    <w:rsid w:val="001405FA"/>
    <w:rsid w:val="00141374"/>
    <w:rsid w:val="00142254"/>
    <w:rsid w:val="001425AB"/>
    <w:rsid w:val="001425C3"/>
    <w:rsid w:val="00142940"/>
    <w:rsid w:val="00143E21"/>
    <w:rsid w:val="001448C5"/>
    <w:rsid w:val="0014513A"/>
    <w:rsid w:val="00145BAE"/>
    <w:rsid w:val="001476BD"/>
    <w:rsid w:val="0014793D"/>
    <w:rsid w:val="001501ED"/>
    <w:rsid w:val="00150C2C"/>
    <w:rsid w:val="00151145"/>
    <w:rsid w:val="00151983"/>
    <w:rsid w:val="00151BE2"/>
    <w:rsid w:val="00153A07"/>
    <w:rsid w:val="00153D91"/>
    <w:rsid w:val="00153F2C"/>
    <w:rsid w:val="001543B3"/>
    <w:rsid w:val="00154F9D"/>
    <w:rsid w:val="00156585"/>
    <w:rsid w:val="00161101"/>
    <w:rsid w:val="001612F4"/>
    <w:rsid w:val="00161AB8"/>
    <w:rsid w:val="0016256B"/>
    <w:rsid w:val="001625B5"/>
    <w:rsid w:val="00163793"/>
    <w:rsid w:val="001655A3"/>
    <w:rsid w:val="00165ED3"/>
    <w:rsid w:val="0016649F"/>
    <w:rsid w:val="00170621"/>
    <w:rsid w:val="001706D6"/>
    <w:rsid w:val="001709D9"/>
    <w:rsid w:val="001714F2"/>
    <w:rsid w:val="00172E03"/>
    <w:rsid w:val="00173DC2"/>
    <w:rsid w:val="00174B88"/>
    <w:rsid w:val="00175B9F"/>
    <w:rsid w:val="00175C9E"/>
    <w:rsid w:val="001777BA"/>
    <w:rsid w:val="00180341"/>
    <w:rsid w:val="00180CF9"/>
    <w:rsid w:val="00181BBC"/>
    <w:rsid w:val="00181C33"/>
    <w:rsid w:val="00182925"/>
    <w:rsid w:val="00182C10"/>
    <w:rsid w:val="001837AD"/>
    <w:rsid w:val="0018462C"/>
    <w:rsid w:val="001846F9"/>
    <w:rsid w:val="00184B08"/>
    <w:rsid w:val="00185010"/>
    <w:rsid w:val="001858D3"/>
    <w:rsid w:val="001866B1"/>
    <w:rsid w:val="00187611"/>
    <w:rsid w:val="0019075C"/>
    <w:rsid w:val="00190A93"/>
    <w:rsid w:val="00190F19"/>
    <w:rsid w:val="0019143B"/>
    <w:rsid w:val="00192144"/>
    <w:rsid w:val="00192938"/>
    <w:rsid w:val="0019310E"/>
    <w:rsid w:val="001936A2"/>
    <w:rsid w:val="00193925"/>
    <w:rsid w:val="00193D2D"/>
    <w:rsid w:val="00193E13"/>
    <w:rsid w:val="00195AF7"/>
    <w:rsid w:val="0019688F"/>
    <w:rsid w:val="0019702D"/>
    <w:rsid w:val="001A0044"/>
    <w:rsid w:val="001A0487"/>
    <w:rsid w:val="001A108E"/>
    <w:rsid w:val="001A14D3"/>
    <w:rsid w:val="001A1C28"/>
    <w:rsid w:val="001A2B9D"/>
    <w:rsid w:val="001A2EA4"/>
    <w:rsid w:val="001A451A"/>
    <w:rsid w:val="001A4CA3"/>
    <w:rsid w:val="001A4D40"/>
    <w:rsid w:val="001A4F13"/>
    <w:rsid w:val="001A50CE"/>
    <w:rsid w:val="001A552F"/>
    <w:rsid w:val="001A5661"/>
    <w:rsid w:val="001A5B6F"/>
    <w:rsid w:val="001A6170"/>
    <w:rsid w:val="001A7280"/>
    <w:rsid w:val="001B0A39"/>
    <w:rsid w:val="001B1DB9"/>
    <w:rsid w:val="001B2C41"/>
    <w:rsid w:val="001B2CA9"/>
    <w:rsid w:val="001B3110"/>
    <w:rsid w:val="001B4218"/>
    <w:rsid w:val="001B4729"/>
    <w:rsid w:val="001B478D"/>
    <w:rsid w:val="001B4A9B"/>
    <w:rsid w:val="001B4E69"/>
    <w:rsid w:val="001B6310"/>
    <w:rsid w:val="001B66CB"/>
    <w:rsid w:val="001B6C09"/>
    <w:rsid w:val="001B73E6"/>
    <w:rsid w:val="001B7DE2"/>
    <w:rsid w:val="001C05CD"/>
    <w:rsid w:val="001C3924"/>
    <w:rsid w:val="001C598A"/>
    <w:rsid w:val="001C7433"/>
    <w:rsid w:val="001D01AD"/>
    <w:rsid w:val="001D0236"/>
    <w:rsid w:val="001D0F00"/>
    <w:rsid w:val="001D1815"/>
    <w:rsid w:val="001D1940"/>
    <w:rsid w:val="001D2CEA"/>
    <w:rsid w:val="001D2D03"/>
    <w:rsid w:val="001D40D7"/>
    <w:rsid w:val="001D48D4"/>
    <w:rsid w:val="001D4D6E"/>
    <w:rsid w:val="001D5E6D"/>
    <w:rsid w:val="001D5F9D"/>
    <w:rsid w:val="001D6600"/>
    <w:rsid w:val="001D68B2"/>
    <w:rsid w:val="001D68CA"/>
    <w:rsid w:val="001D7AC6"/>
    <w:rsid w:val="001E15C5"/>
    <w:rsid w:val="001E1BCD"/>
    <w:rsid w:val="001E1C2E"/>
    <w:rsid w:val="001E44B5"/>
    <w:rsid w:val="001E504C"/>
    <w:rsid w:val="001E57ED"/>
    <w:rsid w:val="001E5850"/>
    <w:rsid w:val="001E6062"/>
    <w:rsid w:val="001E6753"/>
    <w:rsid w:val="001E6E34"/>
    <w:rsid w:val="001E709A"/>
    <w:rsid w:val="001E7497"/>
    <w:rsid w:val="001E79C3"/>
    <w:rsid w:val="001F024D"/>
    <w:rsid w:val="001F2170"/>
    <w:rsid w:val="001F2CDE"/>
    <w:rsid w:val="001F32ED"/>
    <w:rsid w:val="001F3BFD"/>
    <w:rsid w:val="001F3E67"/>
    <w:rsid w:val="001F4041"/>
    <w:rsid w:val="001F4597"/>
    <w:rsid w:val="001F591A"/>
    <w:rsid w:val="001F5D9A"/>
    <w:rsid w:val="001F775B"/>
    <w:rsid w:val="00202226"/>
    <w:rsid w:val="00203DA4"/>
    <w:rsid w:val="002047E2"/>
    <w:rsid w:val="00205104"/>
    <w:rsid w:val="002067A6"/>
    <w:rsid w:val="0020733A"/>
    <w:rsid w:val="00207871"/>
    <w:rsid w:val="00210502"/>
    <w:rsid w:val="002118B9"/>
    <w:rsid w:val="00213515"/>
    <w:rsid w:val="002137D3"/>
    <w:rsid w:val="00213E46"/>
    <w:rsid w:val="00214ABA"/>
    <w:rsid w:val="00214CF7"/>
    <w:rsid w:val="00214D9F"/>
    <w:rsid w:val="002152E4"/>
    <w:rsid w:val="00215CD1"/>
    <w:rsid w:val="00215DC5"/>
    <w:rsid w:val="00216255"/>
    <w:rsid w:val="00216286"/>
    <w:rsid w:val="00216A01"/>
    <w:rsid w:val="002175EA"/>
    <w:rsid w:val="00217676"/>
    <w:rsid w:val="002178DF"/>
    <w:rsid w:val="00217C5B"/>
    <w:rsid w:val="00217CF4"/>
    <w:rsid w:val="002208ED"/>
    <w:rsid w:val="0022139E"/>
    <w:rsid w:val="00221F4F"/>
    <w:rsid w:val="00222729"/>
    <w:rsid w:val="00222833"/>
    <w:rsid w:val="00222EF2"/>
    <w:rsid w:val="002232AB"/>
    <w:rsid w:val="002238B5"/>
    <w:rsid w:val="00223BF5"/>
    <w:rsid w:val="00225218"/>
    <w:rsid w:val="002252E0"/>
    <w:rsid w:val="002255F6"/>
    <w:rsid w:val="00226A43"/>
    <w:rsid w:val="00227850"/>
    <w:rsid w:val="00227A53"/>
    <w:rsid w:val="00227DA6"/>
    <w:rsid w:val="0023038D"/>
    <w:rsid w:val="00230682"/>
    <w:rsid w:val="00230A96"/>
    <w:rsid w:val="00230C6E"/>
    <w:rsid w:val="00230D06"/>
    <w:rsid w:val="002317B3"/>
    <w:rsid w:val="00233052"/>
    <w:rsid w:val="00233546"/>
    <w:rsid w:val="00233CD7"/>
    <w:rsid w:val="00233D05"/>
    <w:rsid w:val="002341E2"/>
    <w:rsid w:val="00235014"/>
    <w:rsid w:val="00235BFD"/>
    <w:rsid w:val="00235CCD"/>
    <w:rsid w:val="00236443"/>
    <w:rsid w:val="0023665A"/>
    <w:rsid w:val="00237B95"/>
    <w:rsid w:val="002411EA"/>
    <w:rsid w:val="00241328"/>
    <w:rsid w:val="0024148B"/>
    <w:rsid w:val="00241B06"/>
    <w:rsid w:val="00242119"/>
    <w:rsid w:val="002421C4"/>
    <w:rsid w:val="00242C10"/>
    <w:rsid w:val="00242CF0"/>
    <w:rsid w:val="002436BA"/>
    <w:rsid w:val="00244A15"/>
    <w:rsid w:val="00245617"/>
    <w:rsid w:val="0024611B"/>
    <w:rsid w:val="0024661A"/>
    <w:rsid w:val="00247319"/>
    <w:rsid w:val="0024741D"/>
    <w:rsid w:val="0024799E"/>
    <w:rsid w:val="00247EE7"/>
    <w:rsid w:val="00251928"/>
    <w:rsid w:val="00252475"/>
    <w:rsid w:val="0025270B"/>
    <w:rsid w:val="00252D48"/>
    <w:rsid w:val="00253C0F"/>
    <w:rsid w:val="00254181"/>
    <w:rsid w:val="002543D7"/>
    <w:rsid w:val="002551A3"/>
    <w:rsid w:val="002558C1"/>
    <w:rsid w:val="00255985"/>
    <w:rsid w:val="00255B30"/>
    <w:rsid w:val="0025735B"/>
    <w:rsid w:val="00260149"/>
    <w:rsid w:val="00260303"/>
    <w:rsid w:val="0026031E"/>
    <w:rsid w:val="0026033E"/>
    <w:rsid w:val="002610E9"/>
    <w:rsid w:val="00261A17"/>
    <w:rsid w:val="00263FDC"/>
    <w:rsid w:val="00264251"/>
    <w:rsid w:val="00264E5F"/>
    <w:rsid w:val="00264F47"/>
    <w:rsid w:val="002659AC"/>
    <w:rsid w:val="00265F50"/>
    <w:rsid w:val="00267033"/>
    <w:rsid w:val="00267B71"/>
    <w:rsid w:val="00270752"/>
    <w:rsid w:val="0027099B"/>
    <w:rsid w:val="002710E9"/>
    <w:rsid w:val="00271465"/>
    <w:rsid w:val="00272844"/>
    <w:rsid w:val="0027398A"/>
    <w:rsid w:val="002740D8"/>
    <w:rsid w:val="00275385"/>
    <w:rsid w:val="00275657"/>
    <w:rsid w:val="002763D6"/>
    <w:rsid w:val="0027724A"/>
    <w:rsid w:val="00280386"/>
    <w:rsid w:val="00280B2A"/>
    <w:rsid w:val="00281666"/>
    <w:rsid w:val="00281DE0"/>
    <w:rsid w:val="00281FB2"/>
    <w:rsid w:val="0028207A"/>
    <w:rsid w:val="00282918"/>
    <w:rsid w:val="00283600"/>
    <w:rsid w:val="00283DE9"/>
    <w:rsid w:val="00283DF4"/>
    <w:rsid w:val="00284145"/>
    <w:rsid w:val="00284D28"/>
    <w:rsid w:val="00285412"/>
    <w:rsid w:val="00285868"/>
    <w:rsid w:val="002864B9"/>
    <w:rsid w:val="002866A1"/>
    <w:rsid w:val="002867D8"/>
    <w:rsid w:val="002869B8"/>
    <w:rsid w:val="00290725"/>
    <w:rsid w:val="00291407"/>
    <w:rsid w:val="00291640"/>
    <w:rsid w:val="00292339"/>
    <w:rsid w:val="00292B59"/>
    <w:rsid w:val="00292D62"/>
    <w:rsid w:val="002931F2"/>
    <w:rsid w:val="00293DCB"/>
    <w:rsid w:val="00294BE5"/>
    <w:rsid w:val="0029568F"/>
    <w:rsid w:val="00295A5D"/>
    <w:rsid w:val="0029663C"/>
    <w:rsid w:val="00296B21"/>
    <w:rsid w:val="00297ECA"/>
    <w:rsid w:val="00297F7D"/>
    <w:rsid w:val="002A02D5"/>
    <w:rsid w:val="002A1407"/>
    <w:rsid w:val="002A16D4"/>
    <w:rsid w:val="002A230C"/>
    <w:rsid w:val="002A23FD"/>
    <w:rsid w:val="002A28FC"/>
    <w:rsid w:val="002A3DA7"/>
    <w:rsid w:val="002A5287"/>
    <w:rsid w:val="002A53C9"/>
    <w:rsid w:val="002A56A6"/>
    <w:rsid w:val="002A59D2"/>
    <w:rsid w:val="002A6268"/>
    <w:rsid w:val="002A66B0"/>
    <w:rsid w:val="002A73AC"/>
    <w:rsid w:val="002B14BE"/>
    <w:rsid w:val="002B2299"/>
    <w:rsid w:val="002B333E"/>
    <w:rsid w:val="002B478A"/>
    <w:rsid w:val="002B4845"/>
    <w:rsid w:val="002B48B4"/>
    <w:rsid w:val="002B518C"/>
    <w:rsid w:val="002B5326"/>
    <w:rsid w:val="002B62BB"/>
    <w:rsid w:val="002B7440"/>
    <w:rsid w:val="002C1025"/>
    <w:rsid w:val="002C2029"/>
    <w:rsid w:val="002C2899"/>
    <w:rsid w:val="002C2FE9"/>
    <w:rsid w:val="002C3E22"/>
    <w:rsid w:val="002C43BD"/>
    <w:rsid w:val="002C4587"/>
    <w:rsid w:val="002C4700"/>
    <w:rsid w:val="002C4B4F"/>
    <w:rsid w:val="002C4DD7"/>
    <w:rsid w:val="002C5568"/>
    <w:rsid w:val="002C55E4"/>
    <w:rsid w:val="002C59FD"/>
    <w:rsid w:val="002C5B9A"/>
    <w:rsid w:val="002C6E0A"/>
    <w:rsid w:val="002D0E59"/>
    <w:rsid w:val="002E02A1"/>
    <w:rsid w:val="002E273D"/>
    <w:rsid w:val="002E30BE"/>
    <w:rsid w:val="002E3BE7"/>
    <w:rsid w:val="002E42AC"/>
    <w:rsid w:val="002E4E4C"/>
    <w:rsid w:val="002E5FE3"/>
    <w:rsid w:val="002E6A7F"/>
    <w:rsid w:val="002F0BC1"/>
    <w:rsid w:val="002F1ABE"/>
    <w:rsid w:val="002F1BA0"/>
    <w:rsid w:val="002F266A"/>
    <w:rsid w:val="002F3A5E"/>
    <w:rsid w:val="002F3E4F"/>
    <w:rsid w:val="002F47DD"/>
    <w:rsid w:val="002F48F7"/>
    <w:rsid w:val="002F564C"/>
    <w:rsid w:val="002F5C7F"/>
    <w:rsid w:val="002F6A3C"/>
    <w:rsid w:val="002F6BE3"/>
    <w:rsid w:val="002F787D"/>
    <w:rsid w:val="003000D7"/>
    <w:rsid w:val="00300927"/>
    <w:rsid w:val="00300F53"/>
    <w:rsid w:val="00302ADD"/>
    <w:rsid w:val="00304771"/>
    <w:rsid w:val="0030495D"/>
    <w:rsid w:val="003052D4"/>
    <w:rsid w:val="00306C5B"/>
    <w:rsid w:val="00307B34"/>
    <w:rsid w:val="003103E0"/>
    <w:rsid w:val="003107EA"/>
    <w:rsid w:val="00310A58"/>
    <w:rsid w:val="003113A6"/>
    <w:rsid w:val="0031173F"/>
    <w:rsid w:val="0031233C"/>
    <w:rsid w:val="0031241D"/>
    <w:rsid w:val="00313263"/>
    <w:rsid w:val="003145B3"/>
    <w:rsid w:val="00314BBE"/>
    <w:rsid w:val="00314F9F"/>
    <w:rsid w:val="00315C01"/>
    <w:rsid w:val="00315E9B"/>
    <w:rsid w:val="003162C5"/>
    <w:rsid w:val="00316DC1"/>
    <w:rsid w:val="0031748E"/>
    <w:rsid w:val="0032050F"/>
    <w:rsid w:val="003209D6"/>
    <w:rsid w:val="00320A06"/>
    <w:rsid w:val="00321205"/>
    <w:rsid w:val="00321924"/>
    <w:rsid w:val="00322F9E"/>
    <w:rsid w:val="00323353"/>
    <w:rsid w:val="00324442"/>
    <w:rsid w:val="0032656E"/>
    <w:rsid w:val="00327467"/>
    <w:rsid w:val="00327D4E"/>
    <w:rsid w:val="00331BDC"/>
    <w:rsid w:val="00331C10"/>
    <w:rsid w:val="00332190"/>
    <w:rsid w:val="003321C3"/>
    <w:rsid w:val="00332D84"/>
    <w:rsid w:val="00333289"/>
    <w:rsid w:val="00333A75"/>
    <w:rsid w:val="00334A3A"/>
    <w:rsid w:val="00334E68"/>
    <w:rsid w:val="003352EB"/>
    <w:rsid w:val="003355FA"/>
    <w:rsid w:val="00336EF5"/>
    <w:rsid w:val="00336FC2"/>
    <w:rsid w:val="00340188"/>
    <w:rsid w:val="00340586"/>
    <w:rsid w:val="00341625"/>
    <w:rsid w:val="00341824"/>
    <w:rsid w:val="003421E1"/>
    <w:rsid w:val="0034226A"/>
    <w:rsid w:val="00343182"/>
    <w:rsid w:val="0034335E"/>
    <w:rsid w:val="00343FA5"/>
    <w:rsid w:val="00344092"/>
    <w:rsid w:val="00344668"/>
    <w:rsid w:val="0034540D"/>
    <w:rsid w:val="0034571B"/>
    <w:rsid w:val="003462D9"/>
    <w:rsid w:val="0034749A"/>
    <w:rsid w:val="00347B3C"/>
    <w:rsid w:val="00347F45"/>
    <w:rsid w:val="00350895"/>
    <w:rsid w:val="00350FEA"/>
    <w:rsid w:val="0035253A"/>
    <w:rsid w:val="00352FFD"/>
    <w:rsid w:val="00353044"/>
    <w:rsid w:val="00354DEC"/>
    <w:rsid w:val="00355256"/>
    <w:rsid w:val="00356287"/>
    <w:rsid w:val="00356723"/>
    <w:rsid w:val="00360C86"/>
    <w:rsid w:val="00360FBC"/>
    <w:rsid w:val="00361951"/>
    <w:rsid w:val="003619E4"/>
    <w:rsid w:val="00362133"/>
    <w:rsid w:val="00362328"/>
    <w:rsid w:val="00362DEB"/>
    <w:rsid w:val="00362E90"/>
    <w:rsid w:val="0036408E"/>
    <w:rsid w:val="003646EA"/>
    <w:rsid w:val="00364728"/>
    <w:rsid w:val="00364875"/>
    <w:rsid w:val="00364FA0"/>
    <w:rsid w:val="00365420"/>
    <w:rsid w:val="003656AF"/>
    <w:rsid w:val="003657F3"/>
    <w:rsid w:val="0036587E"/>
    <w:rsid w:val="00366248"/>
    <w:rsid w:val="00366591"/>
    <w:rsid w:val="00366EA0"/>
    <w:rsid w:val="00370268"/>
    <w:rsid w:val="00370EDF"/>
    <w:rsid w:val="00371826"/>
    <w:rsid w:val="00373504"/>
    <w:rsid w:val="003738E1"/>
    <w:rsid w:val="00373E47"/>
    <w:rsid w:val="003740E7"/>
    <w:rsid w:val="00374FEF"/>
    <w:rsid w:val="003751D1"/>
    <w:rsid w:val="003766F8"/>
    <w:rsid w:val="00376778"/>
    <w:rsid w:val="00377162"/>
    <w:rsid w:val="00377C0F"/>
    <w:rsid w:val="0038123E"/>
    <w:rsid w:val="003818DC"/>
    <w:rsid w:val="00382C5B"/>
    <w:rsid w:val="00383708"/>
    <w:rsid w:val="00384327"/>
    <w:rsid w:val="0038561B"/>
    <w:rsid w:val="00385D98"/>
    <w:rsid w:val="003873D1"/>
    <w:rsid w:val="003877E5"/>
    <w:rsid w:val="00390517"/>
    <w:rsid w:val="00390833"/>
    <w:rsid w:val="00391ACF"/>
    <w:rsid w:val="00391B12"/>
    <w:rsid w:val="00392FB5"/>
    <w:rsid w:val="0039595A"/>
    <w:rsid w:val="003A0393"/>
    <w:rsid w:val="003A1A03"/>
    <w:rsid w:val="003A1F60"/>
    <w:rsid w:val="003A2B4D"/>
    <w:rsid w:val="003A2B5E"/>
    <w:rsid w:val="003A2D12"/>
    <w:rsid w:val="003A478C"/>
    <w:rsid w:val="003A5525"/>
    <w:rsid w:val="003A5529"/>
    <w:rsid w:val="003A6626"/>
    <w:rsid w:val="003A6B38"/>
    <w:rsid w:val="003A7362"/>
    <w:rsid w:val="003A7C49"/>
    <w:rsid w:val="003B00FF"/>
    <w:rsid w:val="003B07B3"/>
    <w:rsid w:val="003B0A0F"/>
    <w:rsid w:val="003B1C54"/>
    <w:rsid w:val="003B224C"/>
    <w:rsid w:val="003B3AFF"/>
    <w:rsid w:val="003B461F"/>
    <w:rsid w:val="003B54A6"/>
    <w:rsid w:val="003B5A32"/>
    <w:rsid w:val="003B5F52"/>
    <w:rsid w:val="003B6097"/>
    <w:rsid w:val="003B6309"/>
    <w:rsid w:val="003B6B31"/>
    <w:rsid w:val="003B7AFA"/>
    <w:rsid w:val="003C0365"/>
    <w:rsid w:val="003C0458"/>
    <w:rsid w:val="003C1099"/>
    <w:rsid w:val="003C2324"/>
    <w:rsid w:val="003C2ADC"/>
    <w:rsid w:val="003C3281"/>
    <w:rsid w:val="003C3490"/>
    <w:rsid w:val="003C3BFE"/>
    <w:rsid w:val="003C49B9"/>
    <w:rsid w:val="003C631A"/>
    <w:rsid w:val="003C6550"/>
    <w:rsid w:val="003C68ED"/>
    <w:rsid w:val="003C7549"/>
    <w:rsid w:val="003C7792"/>
    <w:rsid w:val="003C7E62"/>
    <w:rsid w:val="003D1A7F"/>
    <w:rsid w:val="003D5946"/>
    <w:rsid w:val="003D5A56"/>
    <w:rsid w:val="003D5B4E"/>
    <w:rsid w:val="003D60FE"/>
    <w:rsid w:val="003D6920"/>
    <w:rsid w:val="003D6A58"/>
    <w:rsid w:val="003D74CF"/>
    <w:rsid w:val="003D7B09"/>
    <w:rsid w:val="003E0C17"/>
    <w:rsid w:val="003E10D3"/>
    <w:rsid w:val="003E1252"/>
    <w:rsid w:val="003E1419"/>
    <w:rsid w:val="003E1D28"/>
    <w:rsid w:val="003E2301"/>
    <w:rsid w:val="003E3F1E"/>
    <w:rsid w:val="003E48F2"/>
    <w:rsid w:val="003E4C91"/>
    <w:rsid w:val="003E5DB7"/>
    <w:rsid w:val="003E62A5"/>
    <w:rsid w:val="003F0011"/>
    <w:rsid w:val="003F10C7"/>
    <w:rsid w:val="003F13A5"/>
    <w:rsid w:val="003F313C"/>
    <w:rsid w:val="003F346D"/>
    <w:rsid w:val="003F37FC"/>
    <w:rsid w:val="003F4B2C"/>
    <w:rsid w:val="003F551C"/>
    <w:rsid w:val="003F5AD6"/>
    <w:rsid w:val="003F62B0"/>
    <w:rsid w:val="003F6448"/>
    <w:rsid w:val="003F68C1"/>
    <w:rsid w:val="003F72ED"/>
    <w:rsid w:val="003F73E4"/>
    <w:rsid w:val="003F7D23"/>
    <w:rsid w:val="004005A2"/>
    <w:rsid w:val="00400A0E"/>
    <w:rsid w:val="00400DF4"/>
    <w:rsid w:val="00402489"/>
    <w:rsid w:val="00402612"/>
    <w:rsid w:val="00403226"/>
    <w:rsid w:val="00403D59"/>
    <w:rsid w:val="004043F2"/>
    <w:rsid w:val="0040550D"/>
    <w:rsid w:val="004069FF"/>
    <w:rsid w:val="00406A16"/>
    <w:rsid w:val="00406D06"/>
    <w:rsid w:val="00406F34"/>
    <w:rsid w:val="00407510"/>
    <w:rsid w:val="00407526"/>
    <w:rsid w:val="004076D8"/>
    <w:rsid w:val="00407C13"/>
    <w:rsid w:val="0041041D"/>
    <w:rsid w:val="00410638"/>
    <w:rsid w:val="00410694"/>
    <w:rsid w:val="00410C52"/>
    <w:rsid w:val="00410D1C"/>
    <w:rsid w:val="00410EB0"/>
    <w:rsid w:val="004111A5"/>
    <w:rsid w:val="0041172B"/>
    <w:rsid w:val="0041368A"/>
    <w:rsid w:val="00413788"/>
    <w:rsid w:val="0041501E"/>
    <w:rsid w:val="004159C3"/>
    <w:rsid w:val="00416EB7"/>
    <w:rsid w:val="00417505"/>
    <w:rsid w:val="00420136"/>
    <w:rsid w:val="004206B6"/>
    <w:rsid w:val="00420CFF"/>
    <w:rsid w:val="00420DC0"/>
    <w:rsid w:val="0042359B"/>
    <w:rsid w:val="00423AE9"/>
    <w:rsid w:val="00424375"/>
    <w:rsid w:val="00426C41"/>
    <w:rsid w:val="004304E9"/>
    <w:rsid w:val="004307FC"/>
    <w:rsid w:val="00432A58"/>
    <w:rsid w:val="00432D19"/>
    <w:rsid w:val="00433C0A"/>
    <w:rsid w:val="00433D92"/>
    <w:rsid w:val="00434395"/>
    <w:rsid w:val="004345F4"/>
    <w:rsid w:val="00434617"/>
    <w:rsid w:val="004349BF"/>
    <w:rsid w:val="00435361"/>
    <w:rsid w:val="00435656"/>
    <w:rsid w:val="00436477"/>
    <w:rsid w:val="00436DCF"/>
    <w:rsid w:val="00437A54"/>
    <w:rsid w:val="00437FD1"/>
    <w:rsid w:val="00440900"/>
    <w:rsid w:val="00441A23"/>
    <w:rsid w:val="00441BF6"/>
    <w:rsid w:val="00442D09"/>
    <w:rsid w:val="00442E6B"/>
    <w:rsid w:val="00443556"/>
    <w:rsid w:val="004437FE"/>
    <w:rsid w:val="004441A0"/>
    <w:rsid w:val="00444B1D"/>
    <w:rsid w:val="004455BA"/>
    <w:rsid w:val="00446D0C"/>
    <w:rsid w:val="00446D77"/>
    <w:rsid w:val="00447037"/>
    <w:rsid w:val="004501F9"/>
    <w:rsid w:val="0045021C"/>
    <w:rsid w:val="0045078A"/>
    <w:rsid w:val="0045086D"/>
    <w:rsid w:val="00450A94"/>
    <w:rsid w:val="00451305"/>
    <w:rsid w:val="00451504"/>
    <w:rsid w:val="00451878"/>
    <w:rsid w:val="00451FEF"/>
    <w:rsid w:val="00453626"/>
    <w:rsid w:val="00453F52"/>
    <w:rsid w:val="004554AD"/>
    <w:rsid w:val="004557A9"/>
    <w:rsid w:val="00456339"/>
    <w:rsid w:val="0045677C"/>
    <w:rsid w:val="004607BF"/>
    <w:rsid w:val="004609D9"/>
    <w:rsid w:val="00460FB3"/>
    <w:rsid w:val="0046255F"/>
    <w:rsid w:val="00463329"/>
    <w:rsid w:val="00463B19"/>
    <w:rsid w:val="004644C4"/>
    <w:rsid w:val="0046474F"/>
    <w:rsid w:val="0046530C"/>
    <w:rsid w:val="00465F26"/>
    <w:rsid w:val="0046627E"/>
    <w:rsid w:val="00467406"/>
    <w:rsid w:val="00467A03"/>
    <w:rsid w:val="004717BF"/>
    <w:rsid w:val="004749E3"/>
    <w:rsid w:val="00475C63"/>
    <w:rsid w:val="00475F3F"/>
    <w:rsid w:val="00476240"/>
    <w:rsid w:val="00476439"/>
    <w:rsid w:val="0047735C"/>
    <w:rsid w:val="004776BC"/>
    <w:rsid w:val="0048139F"/>
    <w:rsid w:val="00481CEB"/>
    <w:rsid w:val="00481E40"/>
    <w:rsid w:val="00481F58"/>
    <w:rsid w:val="00483465"/>
    <w:rsid w:val="004834E5"/>
    <w:rsid w:val="00483BED"/>
    <w:rsid w:val="0048429C"/>
    <w:rsid w:val="004842DB"/>
    <w:rsid w:val="00484319"/>
    <w:rsid w:val="00484915"/>
    <w:rsid w:val="00484D49"/>
    <w:rsid w:val="00484ECE"/>
    <w:rsid w:val="00484FF1"/>
    <w:rsid w:val="00485567"/>
    <w:rsid w:val="00485B0F"/>
    <w:rsid w:val="00485B76"/>
    <w:rsid w:val="00485E39"/>
    <w:rsid w:val="00487E9D"/>
    <w:rsid w:val="00490F35"/>
    <w:rsid w:val="004915CB"/>
    <w:rsid w:val="00492327"/>
    <w:rsid w:val="004924DC"/>
    <w:rsid w:val="004925F0"/>
    <w:rsid w:val="00493AE0"/>
    <w:rsid w:val="00494CB8"/>
    <w:rsid w:val="00495663"/>
    <w:rsid w:val="004962DC"/>
    <w:rsid w:val="004963C7"/>
    <w:rsid w:val="00496E81"/>
    <w:rsid w:val="004976EF"/>
    <w:rsid w:val="004A14E4"/>
    <w:rsid w:val="004A21DE"/>
    <w:rsid w:val="004A3212"/>
    <w:rsid w:val="004A3A0F"/>
    <w:rsid w:val="004A3D00"/>
    <w:rsid w:val="004A46B3"/>
    <w:rsid w:val="004A5494"/>
    <w:rsid w:val="004A6198"/>
    <w:rsid w:val="004A61C5"/>
    <w:rsid w:val="004A767E"/>
    <w:rsid w:val="004A77DF"/>
    <w:rsid w:val="004B1321"/>
    <w:rsid w:val="004B1417"/>
    <w:rsid w:val="004B3545"/>
    <w:rsid w:val="004B55B7"/>
    <w:rsid w:val="004B57B8"/>
    <w:rsid w:val="004B5893"/>
    <w:rsid w:val="004B5A60"/>
    <w:rsid w:val="004B5D8A"/>
    <w:rsid w:val="004B6468"/>
    <w:rsid w:val="004B672F"/>
    <w:rsid w:val="004B6A60"/>
    <w:rsid w:val="004B7125"/>
    <w:rsid w:val="004B7985"/>
    <w:rsid w:val="004B7D56"/>
    <w:rsid w:val="004C123D"/>
    <w:rsid w:val="004C180F"/>
    <w:rsid w:val="004C1A40"/>
    <w:rsid w:val="004C2A08"/>
    <w:rsid w:val="004C2DE9"/>
    <w:rsid w:val="004C384C"/>
    <w:rsid w:val="004C3867"/>
    <w:rsid w:val="004C456F"/>
    <w:rsid w:val="004C4CD0"/>
    <w:rsid w:val="004C5B81"/>
    <w:rsid w:val="004C5E2B"/>
    <w:rsid w:val="004C6092"/>
    <w:rsid w:val="004C63B5"/>
    <w:rsid w:val="004C64E7"/>
    <w:rsid w:val="004C68CC"/>
    <w:rsid w:val="004C70DC"/>
    <w:rsid w:val="004D0211"/>
    <w:rsid w:val="004D0794"/>
    <w:rsid w:val="004D0974"/>
    <w:rsid w:val="004D1C4E"/>
    <w:rsid w:val="004D40CC"/>
    <w:rsid w:val="004D43B0"/>
    <w:rsid w:val="004D4C36"/>
    <w:rsid w:val="004D54EE"/>
    <w:rsid w:val="004D5C93"/>
    <w:rsid w:val="004D797A"/>
    <w:rsid w:val="004D7F47"/>
    <w:rsid w:val="004E1288"/>
    <w:rsid w:val="004E1CDC"/>
    <w:rsid w:val="004E285C"/>
    <w:rsid w:val="004E32F5"/>
    <w:rsid w:val="004E350A"/>
    <w:rsid w:val="004E418F"/>
    <w:rsid w:val="004E53BA"/>
    <w:rsid w:val="004E5681"/>
    <w:rsid w:val="004E5A45"/>
    <w:rsid w:val="004E5A64"/>
    <w:rsid w:val="004E70E9"/>
    <w:rsid w:val="004E75B6"/>
    <w:rsid w:val="004E7646"/>
    <w:rsid w:val="004E7C6B"/>
    <w:rsid w:val="004F06F5"/>
    <w:rsid w:val="004F1254"/>
    <w:rsid w:val="004F16B2"/>
    <w:rsid w:val="004F16E1"/>
    <w:rsid w:val="004F1744"/>
    <w:rsid w:val="004F19AD"/>
    <w:rsid w:val="004F2652"/>
    <w:rsid w:val="004F2C1B"/>
    <w:rsid w:val="004F33A0"/>
    <w:rsid w:val="004F3A59"/>
    <w:rsid w:val="004F3A84"/>
    <w:rsid w:val="004F5E61"/>
    <w:rsid w:val="004F6154"/>
    <w:rsid w:val="005005CD"/>
    <w:rsid w:val="00500CEE"/>
    <w:rsid w:val="005015F6"/>
    <w:rsid w:val="005019AE"/>
    <w:rsid w:val="00501E5A"/>
    <w:rsid w:val="0050385E"/>
    <w:rsid w:val="00503A6E"/>
    <w:rsid w:val="00503B80"/>
    <w:rsid w:val="005040A8"/>
    <w:rsid w:val="005042BB"/>
    <w:rsid w:val="00504EE1"/>
    <w:rsid w:val="0050689D"/>
    <w:rsid w:val="0050736A"/>
    <w:rsid w:val="005075D4"/>
    <w:rsid w:val="005076A1"/>
    <w:rsid w:val="00510205"/>
    <w:rsid w:val="005108C0"/>
    <w:rsid w:val="00510A58"/>
    <w:rsid w:val="00511873"/>
    <w:rsid w:val="00511DE3"/>
    <w:rsid w:val="005124B6"/>
    <w:rsid w:val="00512A2F"/>
    <w:rsid w:val="00512F82"/>
    <w:rsid w:val="00513B7E"/>
    <w:rsid w:val="00513EE1"/>
    <w:rsid w:val="00513F7F"/>
    <w:rsid w:val="0051484B"/>
    <w:rsid w:val="00514AE7"/>
    <w:rsid w:val="00515684"/>
    <w:rsid w:val="00515737"/>
    <w:rsid w:val="00515C74"/>
    <w:rsid w:val="00515D55"/>
    <w:rsid w:val="00516086"/>
    <w:rsid w:val="00516E42"/>
    <w:rsid w:val="0051713B"/>
    <w:rsid w:val="0052007E"/>
    <w:rsid w:val="00520D1D"/>
    <w:rsid w:val="00521344"/>
    <w:rsid w:val="0052164F"/>
    <w:rsid w:val="005217F8"/>
    <w:rsid w:val="00521B64"/>
    <w:rsid w:val="00522317"/>
    <w:rsid w:val="005223DB"/>
    <w:rsid w:val="0052337A"/>
    <w:rsid w:val="005235E2"/>
    <w:rsid w:val="00523720"/>
    <w:rsid w:val="005243E8"/>
    <w:rsid w:val="00525137"/>
    <w:rsid w:val="005251DD"/>
    <w:rsid w:val="00525933"/>
    <w:rsid w:val="005259A8"/>
    <w:rsid w:val="00526DF6"/>
    <w:rsid w:val="00526FCE"/>
    <w:rsid w:val="00530D0C"/>
    <w:rsid w:val="005325DB"/>
    <w:rsid w:val="0053263A"/>
    <w:rsid w:val="00532CE7"/>
    <w:rsid w:val="00532E62"/>
    <w:rsid w:val="00532F43"/>
    <w:rsid w:val="0053324C"/>
    <w:rsid w:val="00533323"/>
    <w:rsid w:val="00533DAC"/>
    <w:rsid w:val="00533E77"/>
    <w:rsid w:val="00534644"/>
    <w:rsid w:val="00534A28"/>
    <w:rsid w:val="00534D01"/>
    <w:rsid w:val="00535403"/>
    <w:rsid w:val="00535514"/>
    <w:rsid w:val="00536E13"/>
    <w:rsid w:val="00536EE7"/>
    <w:rsid w:val="005370C0"/>
    <w:rsid w:val="00537F1F"/>
    <w:rsid w:val="00541508"/>
    <w:rsid w:val="00542F0D"/>
    <w:rsid w:val="00543409"/>
    <w:rsid w:val="00543498"/>
    <w:rsid w:val="00544315"/>
    <w:rsid w:val="00545290"/>
    <w:rsid w:val="00545512"/>
    <w:rsid w:val="00545834"/>
    <w:rsid w:val="005467BD"/>
    <w:rsid w:val="00547D28"/>
    <w:rsid w:val="005502CF"/>
    <w:rsid w:val="00550D51"/>
    <w:rsid w:val="005515C5"/>
    <w:rsid w:val="00552952"/>
    <w:rsid w:val="0055298F"/>
    <w:rsid w:val="00552F16"/>
    <w:rsid w:val="00553016"/>
    <w:rsid w:val="00554DC2"/>
    <w:rsid w:val="005552D3"/>
    <w:rsid w:val="00555943"/>
    <w:rsid w:val="0055599F"/>
    <w:rsid w:val="00556995"/>
    <w:rsid w:val="00556D68"/>
    <w:rsid w:val="00557C98"/>
    <w:rsid w:val="00560AAF"/>
    <w:rsid w:val="0056129B"/>
    <w:rsid w:val="005624E3"/>
    <w:rsid w:val="00562CFC"/>
    <w:rsid w:val="0056347F"/>
    <w:rsid w:val="00563EB8"/>
    <w:rsid w:val="005647BF"/>
    <w:rsid w:val="0056486D"/>
    <w:rsid w:val="00564AF1"/>
    <w:rsid w:val="00564F39"/>
    <w:rsid w:val="0056516B"/>
    <w:rsid w:val="0056601A"/>
    <w:rsid w:val="005675BA"/>
    <w:rsid w:val="00570868"/>
    <w:rsid w:val="00571D4F"/>
    <w:rsid w:val="005722EB"/>
    <w:rsid w:val="0057364B"/>
    <w:rsid w:val="00574773"/>
    <w:rsid w:val="005763D0"/>
    <w:rsid w:val="00576DB1"/>
    <w:rsid w:val="00577F85"/>
    <w:rsid w:val="005803F3"/>
    <w:rsid w:val="0058050D"/>
    <w:rsid w:val="005825E4"/>
    <w:rsid w:val="0058308D"/>
    <w:rsid w:val="0058383C"/>
    <w:rsid w:val="00583FFD"/>
    <w:rsid w:val="00584678"/>
    <w:rsid w:val="0058472C"/>
    <w:rsid w:val="00584F6E"/>
    <w:rsid w:val="005853F9"/>
    <w:rsid w:val="00585C37"/>
    <w:rsid w:val="005860A7"/>
    <w:rsid w:val="00586645"/>
    <w:rsid w:val="00586801"/>
    <w:rsid w:val="00586C79"/>
    <w:rsid w:val="00587873"/>
    <w:rsid w:val="00591099"/>
    <w:rsid w:val="005911BE"/>
    <w:rsid w:val="0059174C"/>
    <w:rsid w:val="00592E71"/>
    <w:rsid w:val="00593152"/>
    <w:rsid w:val="00593455"/>
    <w:rsid w:val="00593649"/>
    <w:rsid w:val="005938E3"/>
    <w:rsid w:val="00593B81"/>
    <w:rsid w:val="00593F47"/>
    <w:rsid w:val="00594294"/>
    <w:rsid w:val="00595412"/>
    <w:rsid w:val="00596010"/>
    <w:rsid w:val="005A0C11"/>
    <w:rsid w:val="005A0DA4"/>
    <w:rsid w:val="005A0EF2"/>
    <w:rsid w:val="005A10F2"/>
    <w:rsid w:val="005A117B"/>
    <w:rsid w:val="005A14E8"/>
    <w:rsid w:val="005A2052"/>
    <w:rsid w:val="005A21E0"/>
    <w:rsid w:val="005A28FF"/>
    <w:rsid w:val="005A2F33"/>
    <w:rsid w:val="005A3003"/>
    <w:rsid w:val="005A30C1"/>
    <w:rsid w:val="005A327C"/>
    <w:rsid w:val="005A3DF8"/>
    <w:rsid w:val="005A4270"/>
    <w:rsid w:val="005A5113"/>
    <w:rsid w:val="005A5549"/>
    <w:rsid w:val="005A5960"/>
    <w:rsid w:val="005A609F"/>
    <w:rsid w:val="005A6ADC"/>
    <w:rsid w:val="005A6E72"/>
    <w:rsid w:val="005A7038"/>
    <w:rsid w:val="005A70B0"/>
    <w:rsid w:val="005B0A44"/>
    <w:rsid w:val="005B1010"/>
    <w:rsid w:val="005B121D"/>
    <w:rsid w:val="005B1FC6"/>
    <w:rsid w:val="005B2C13"/>
    <w:rsid w:val="005B2E23"/>
    <w:rsid w:val="005B3361"/>
    <w:rsid w:val="005B3CE6"/>
    <w:rsid w:val="005B4276"/>
    <w:rsid w:val="005B461B"/>
    <w:rsid w:val="005B650E"/>
    <w:rsid w:val="005B684D"/>
    <w:rsid w:val="005B70DB"/>
    <w:rsid w:val="005B720C"/>
    <w:rsid w:val="005C06ED"/>
    <w:rsid w:val="005C0E54"/>
    <w:rsid w:val="005C17A3"/>
    <w:rsid w:val="005C2609"/>
    <w:rsid w:val="005C3800"/>
    <w:rsid w:val="005C415F"/>
    <w:rsid w:val="005C45E1"/>
    <w:rsid w:val="005C4A78"/>
    <w:rsid w:val="005C4E8C"/>
    <w:rsid w:val="005C51EA"/>
    <w:rsid w:val="005C572E"/>
    <w:rsid w:val="005C63DE"/>
    <w:rsid w:val="005C6589"/>
    <w:rsid w:val="005C69C1"/>
    <w:rsid w:val="005C6CF0"/>
    <w:rsid w:val="005D0D46"/>
    <w:rsid w:val="005D1C83"/>
    <w:rsid w:val="005D2579"/>
    <w:rsid w:val="005D2CDA"/>
    <w:rsid w:val="005D4DDB"/>
    <w:rsid w:val="005D5600"/>
    <w:rsid w:val="005D5802"/>
    <w:rsid w:val="005D5B5E"/>
    <w:rsid w:val="005D67FE"/>
    <w:rsid w:val="005D7119"/>
    <w:rsid w:val="005D7241"/>
    <w:rsid w:val="005D7890"/>
    <w:rsid w:val="005D78EA"/>
    <w:rsid w:val="005E1A7A"/>
    <w:rsid w:val="005E1F82"/>
    <w:rsid w:val="005E274A"/>
    <w:rsid w:val="005E57C0"/>
    <w:rsid w:val="005E5E4D"/>
    <w:rsid w:val="005E6221"/>
    <w:rsid w:val="005E705E"/>
    <w:rsid w:val="005E7C78"/>
    <w:rsid w:val="005F0465"/>
    <w:rsid w:val="005F131C"/>
    <w:rsid w:val="005F18C5"/>
    <w:rsid w:val="005F19BD"/>
    <w:rsid w:val="005F19DB"/>
    <w:rsid w:val="005F3033"/>
    <w:rsid w:val="005F3374"/>
    <w:rsid w:val="005F3491"/>
    <w:rsid w:val="005F3EB1"/>
    <w:rsid w:val="005F3F91"/>
    <w:rsid w:val="005F46D8"/>
    <w:rsid w:val="005F5469"/>
    <w:rsid w:val="005F6E1D"/>
    <w:rsid w:val="005F73E7"/>
    <w:rsid w:val="00601755"/>
    <w:rsid w:val="00602444"/>
    <w:rsid w:val="00603FF5"/>
    <w:rsid w:val="00604307"/>
    <w:rsid w:val="00604792"/>
    <w:rsid w:val="0060487F"/>
    <w:rsid w:val="00604A3B"/>
    <w:rsid w:val="00604EAD"/>
    <w:rsid w:val="006057BE"/>
    <w:rsid w:val="00605D96"/>
    <w:rsid w:val="00606957"/>
    <w:rsid w:val="006104FB"/>
    <w:rsid w:val="006105C1"/>
    <w:rsid w:val="0061096C"/>
    <w:rsid w:val="00610A25"/>
    <w:rsid w:val="0061142E"/>
    <w:rsid w:val="00611CC2"/>
    <w:rsid w:val="00612A2F"/>
    <w:rsid w:val="00613469"/>
    <w:rsid w:val="0061390C"/>
    <w:rsid w:val="00615195"/>
    <w:rsid w:val="00615DB6"/>
    <w:rsid w:val="006162DC"/>
    <w:rsid w:val="006165E5"/>
    <w:rsid w:val="006167D7"/>
    <w:rsid w:val="00616997"/>
    <w:rsid w:val="00616E05"/>
    <w:rsid w:val="006206AF"/>
    <w:rsid w:val="00622275"/>
    <w:rsid w:val="00622E4E"/>
    <w:rsid w:val="00623178"/>
    <w:rsid w:val="006234F7"/>
    <w:rsid w:val="00623D49"/>
    <w:rsid w:val="00623DAE"/>
    <w:rsid w:val="00624093"/>
    <w:rsid w:val="00625F8F"/>
    <w:rsid w:val="006266AD"/>
    <w:rsid w:val="00626BF5"/>
    <w:rsid w:val="00626EDC"/>
    <w:rsid w:val="006273B9"/>
    <w:rsid w:val="00631232"/>
    <w:rsid w:val="006313A5"/>
    <w:rsid w:val="006322E1"/>
    <w:rsid w:val="0063327C"/>
    <w:rsid w:val="006340DD"/>
    <w:rsid w:val="00634144"/>
    <w:rsid w:val="00634272"/>
    <w:rsid w:val="00634573"/>
    <w:rsid w:val="00634F8F"/>
    <w:rsid w:val="00634FA8"/>
    <w:rsid w:val="006350D5"/>
    <w:rsid w:val="0063592B"/>
    <w:rsid w:val="006369C4"/>
    <w:rsid w:val="00637719"/>
    <w:rsid w:val="006404A7"/>
    <w:rsid w:val="006413CE"/>
    <w:rsid w:val="00641A8B"/>
    <w:rsid w:val="00642EAC"/>
    <w:rsid w:val="00642FA3"/>
    <w:rsid w:val="00643D6B"/>
    <w:rsid w:val="00643D99"/>
    <w:rsid w:val="006451E4"/>
    <w:rsid w:val="00645392"/>
    <w:rsid w:val="00645B33"/>
    <w:rsid w:val="006463B9"/>
    <w:rsid w:val="00647166"/>
    <w:rsid w:val="006509D3"/>
    <w:rsid w:val="00650DD6"/>
    <w:rsid w:val="006510BC"/>
    <w:rsid w:val="006516CB"/>
    <w:rsid w:val="00652C41"/>
    <w:rsid w:val="00653662"/>
    <w:rsid w:val="006554E9"/>
    <w:rsid w:val="00656FC8"/>
    <w:rsid w:val="00657168"/>
    <w:rsid w:val="006576BA"/>
    <w:rsid w:val="00657E87"/>
    <w:rsid w:val="00660023"/>
    <w:rsid w:val="00660072"/>
    <w:rsid w:val="00661C4F"/>
    <w:rsid w:val="006625C2"/>
    <w:rsid w:val="00662BD4"/>
    <w:rsid w:val="006630A1"/>
    <w:rsid w:val="00664803"/>
    <w:rsid w:val="0066504F"/>
    <w:rsid w:val="006658AB"/>
    <w:rsid w:val="00665BA4"/>
    <w:rsid w:val="00666906"/>
    <w:rsid w:val="00666AE9"/>
    <w:rsid w:val="00666DCD"/>
    <w:rsid w:val="006674B6"/>
    <w:rsid w:val="00667AF2"/>
    <w:rsid w:val="0067086B"/>
    <w:rsid w:val="006710C9"/>
    <w:rsid w:val="006712EC"/>
    <w:rsid w:val="00671407"/>
    <w:rsid w:val="006714DC"/>
    <w:rsid w:val="0067229E"/>
    <w:rsid w:val="00673247"/>
    <w:rsid w:val="006732EA"/>
    <w:rsid w:val="006741AC"/>
    <w:rsid w:val="00674D89"/>
    <w:rsid w:val="00675596"/>
    <w:rsid w:val="0067563A"/>
    <w:rsid w:val="00675E37"/>
    <w:rsid w:val="00676CA2"/>
    <w:rsid w:val="00676F28"/>
    <w:rsid w:val="006812CF"/>
    <w:rsid w:val="0068174E"/>
    <w:rsid w:val="00681C9F"/>
    <w:rsid w:val="00681DCE"/>
    <w:rsid w:val="006825E7"/>
    <w:rsid w:val="0068260E"/>
    <w:rsid w:val="006838AC"/>
    <w:rsid w:val="006840DA"/>
    <w:rsid w:val="006843C9"/>
    <w:rsid w:val="00685695"/>
    <w:rsid w:val="0068672C"/>
    <w:rsid w:val="0068697A"/>
    <w:rsid w:val="00687E97"/>
    <w:rsid w:val="00690FBB"/>
    <w:rsid w:val="00691046"/>
    <w:rsid w:val="00693265"/>
    <w:rsid w:val="00693CAA"/>
    <w:rsid w:val="00693FEC"/>
    <w:rsid w:val="006947DD"/>
    <w:rsid w:val="006947E3"/>
    <w:rsid w:val="0069490A"/>
    <w:rsid w:val="00694CC9"/>
    <w:rsid w:val="00694D9C"/>
    <w:rsid w:val="00695158"/>
    <w:rsid w:val="00695BEF"/>
    <w:rsid w:val="0069608D"/>
    <w:rsid w:val="006969F4"/>
    <w:rsid w:val="006977F6"/>
    <w:rsid w:val="00697A13"/>
    <w:rsid w:val="006A0211"/>
    <w:rsid w:val="006A0658"/>
    <w:rsid w:val="006A109C"/>
    <w:rsid w:val="006A1507"/>
    <w:rsid w:val="006A1528"/>
    <w:rsid w:val="006A15F2"/>
    <w:rsid w:val="006A1E43"/>
    <w:rsid w:val="006A1EB8"/>
    <w:rsid w:val="006A2056"/>
    <w:rsid w:val="006A211B"/>
    <w:rsid w:val="006A31AB"/>
    <w:rsid w:val="006A363D"/>
    <w:rsid w:val="006A3D17"/>
    <w:rsid w:val="006A5477"/>
    <w:rsid w:val="006A55AA"/>
    <w:rsid w:val="006A70B1"/>
    <w:rsid w:val="006B0F92"/>
    <w:rsid w:val="006B173A"/>
    <w:rsid w:val="006B1C9A"/>
    <w:rsid w:val="006B2AFD"/>
    <w:rsid w:val="006B32C8"/>
    <w:rsid w:val="006B344A"/>
    <w:rsid w:val="006B4367"/>
    <w:rsid w:val="006B436C"/>
    <w:rsid w:val="006B6C74"/>
    <w:rsid w:val="006B759B"/>
    <w:rsid w:val="006B78D8"/>
    <w:rsid w:val="006B7F88"/>
    <w:rsid w:val="006C055D"/>
    <w:rsid w:val="006C0BAC"/>
    <w:rsid w:val="006C0BE2"/>
    <w:rsid w:val="006C0E68"/>
    <w:rsid w:val="006C113F"/>
    <w:rsid w:val="006C123E"/>
    <w:rsid w:val="006C1752"/>
    <w:rsid w:val="006C1901"/>
    <w:rsid w:val="006C1957"/>
    <w:rsid w:val="006C398B"/>
    <w:rsid w:val="006C4460"/>
    <w:rsid w:val="006C4C0E"/>
    <w:rsid w:val="006C4ED6"/>
    <w:rsid w:val="006C56D4"/>
    <w:rsid w:val="006C6071"/>
    <w:rsid w:val="006C6924"/>
    <w:rsid w:val="006C70EB"/>
    <w:rsid w:val="006C7CA6"/>
    <w:rsid w:val="006D006E"/>
    <w:rsid w:val="006D0720"/>
    <w:rsid w:val="006D146C"/>
    <w:rsid w:val="006D1917"/>
    <w:rsid w:val="006D2077"/>
    <w:rsid w:val="006D2CB3"/>
    <w:rsid w:val="006D3E8A"/>
    <w:rsid w:val="006D4017"/>
    <w:rsid w:val="006D61F6"/>
    <w:rsid w:val="006D6FE6"/>
    <w:rsid w:val="006E1465"/>
    <w:rsid w:val="006E1709"/>
    <w:rsid w:val="006E279A"/>
    <w:rsid w:val="006E313B"/>
    <w:rsid w:val="006E3ACB"/>
    <w:rsid w:val="006E3C21"/>
    <w:rsid w:val="006E41EC"/>
    <w:rsid w:val="006E4254"/>
    <w:rsid w:val="006E4448"/>
    <w:rsid w:val="006E50F8"/>
    <w:rsid w:val="006E6A58"/>
    <w:rsid w:val="006E7227"/>
    <w:rsid w:val="006E7AAF"/>
    <w:rsid w:val="006F0002"/>
    <w:rsid w:val="006F12E9"/>
    <w:rsid w:val="006F2394"/>
    <w:rsid w:val="006F31C9"/>
    <w:rsid w:val="006F438E"/>
    <w:rsid w:val="006F5416"/>
    <w:rsid w:val="006F67E5"/>
    <w:rsid w:val="006F7076"/>
    <w:rsid w:val="006F71F3"/>
    <w:rsid w:val="00702368"/>
    <w:rsid w:val="00702448"/>
    <w:rsid w:val="007038CD"/>
    <w:rsid w:val="00703F77"/>
    <w:rsid w:val="00705242"/>
    <w:rsid w:val="007057B2"/>
    <w:rsid w:val="00706755"/>
    <w:rsid w:val="00706AD4"/>
    <w:rsid w:val="00707150"/>
    <w:rsid w:val="0070732E"/>
    <w:rsid w:val="00707CCC"/>
    <w:rsid w:val="00710078"/>
    <w:rsid w:val="00710229"/>
    <w:rsid w:val="007119E0"/>
    <w:rsid w:val="0071217E"/>
    <w:rsid w:val="0071371F"/>
    <w:rsid w:val="007140BE"/>
    <w:rsid w:val="007143B4"/>
    <w:rsid w:val="007150C7"/>
    <w:rsid w:val="0071517E"/>
    <w:rsid w:val="00717F5E"/>
    <w:rsid w:val="00720155"/>
    <w:rsid w:val="007204F0"/>
    <w:rsid w:val="00720C33"/>
    <w:rsid w:val="007211F5"/>
    <w:rsid w:val="00721212"/>
    <w:rsid w:val="00721E09"/>
    <w:rsid w:val="0072213B"/>
    <w:rsid w:val="0072313F"/>
    <w:rsid w:val="00723605"/>
    <w:rsid w:val="00723946"/>
    <w:rsid w:val="007240E2"/>
    <w:rsid w:val="00725BB5"/>
    <w:rsid w:val="00730517"/>
    <w:rsid w:val="00730996"/>
    <w:rsid w:val="00730AE8"/>
    <w:rsid w:val="00730F1B"/>
    <w:rsid w:val="00731EEE"/>
    <w:rsid w:val="0073215D"/>
    <w:rsid w:val="00733628"/>
    <w:rsid w:val="007342AC"/>
    <w:rsid w:val="00734E77"/>
    <w:rsid w:val="00735104"/>
    <w:rsid w:val="007357C1"/>
    <w:rsid w:val="007358C3"/>
    <w:rsid w:val="00736B32"/>
    <w:rsid w:val="0074009D"/>
    <w:rsid w:val="00740A88"/>
    <w:rsid w:val="00740BC7"/>
    <w:rsid w:val="00740CF5"/>
    <w:rsid w:val="00741493"/>
    <w:rsid w:val="007435D2"/>
    <w:rsid w:val="00743B7C"/>
    <w:rsid w:val="00743C34"/>
    <w:rsid w:val="00743C7A"/>
    <w:rsid w:val="007457F6"/>
    <w:rsid w:val="00746155"/>
    <w:rsid w:val="0074779B"/>
    <w:rsid w:val="00751A85"/>
    <w:rsid w:val="00752180"/>
    <w:rsid w:val="00752D71"/>
    <w:rsid w:val="00753CAB"/>
    <w:rsid w:val="00753EB4"/>
    <w:rsid w:val="007551EA"/>
    <w:rsid w:val="00755202"/>
    <w:rsid w:val="00755C4F"/>
    <w:rsid w:val="00755D3A"/>
    <w:rsid w:val="00756417"/>
    <w:rsid w:val="00756C54"/>
    <w:rsid w:val="00756EAB"/>
    <w:rsid w:val="00757754"/>
    <w:rsid w:val="007578D3"/>
    <w:rsid w:val="007579AE"/>
    <w:rsid w:val="00757EBE"/>
    <w:rsid w:val="00760522"/>
    <w:rsid w:val="0076097A"/>
    <w:rsid w:val="007609C6"/>
    <w:rsid w:val="00760EA4"/>
    <w:rsid w:val="00761361"/>
    <w:rsid w:val="0076175D"/>
    <w:rsid w:val="00763B85"/>
    <w:rsid w:val="00764344"/>
    <w:rsid w:val="00764744"/>
    <w:rsid w:val="0076521E"/>
    <w:rsid w:val="007653FB"/>
    <w:rsid w:val="00765C12"/>
    <w:rsid w:val="007661E9"/>
    <w:rsid w:val="00766359"/>
    <w:rsid w:val="0076641F"/>
    <w:rsid w:val="007679B9"/>
    <w:rsid w:val="00770784"/>
    <w:rsid w:val="00770A8A"/>
    <w:rsid w:val="00770FC8"/>
    <w:rsid w:val="00773220"/>
    <w:rsid w:val="00773598"/>
    <w:rsid w:val="00773692"/>
    <w:rsid w:val="00774215"/>
    <w:rsid w:val="007745D4"/>
    <w:rsid w:val="00774C0A"/>
    <w:rsid w:val="00774D45"/>
    <w:rsid w:val="007755ED"/>
    <w:rsid w:val="00776169"/>
    <w:rsid w:val="00776527"/>
    <w:rsid w:val="00776EAB"/>
    <w:rsid w:val="00777CAB"/>
    <w:rsid w:val="00780903"/>
    <w:rsid w:val="00780EF1"/>
    <w:rsid w:val="00781D13"/>
    <w:rsid w:val="00781F7F"/>
    <w:rsid w:val="00782952"/>
    <w:rsid w:val="00782AD8"/>
    <w:rsid w:val="00783F21"/>
    <w:rsid w:val="00785275"/>
    <w:rsid w:val="00786429"/>
    <w:rsid w:val="0078669A"/>
    <w:rsid w:val="00786880"/>
    <w:rsid w:val="00787D37"/>
    <w:rsid w:val="00787E2A"/>
    <w:rsid w:val="00790711"/>
    <w:rsid w:val="00790764"/>
    <w:rsid w:val="0079124F"/>
    <w:rsid w:val="00791254"/>
    <w:rsid w:val="00791F56"/>
    <w:rsid w:val="007928AB"/>
    <w:rsid w:val="00793DB3"/>
    <w:rsid w:val="0079453C"/>
    <w:rsid w:val="00794677"/>
    <w:rsid w:val="007946E5"/>
    <w:rsid w:val="007956AB"/>
    <w:rsid w:val="00795928"/>
    <w:rsid w:val="00797445"/>
    <w:rsid w:val="007A0265"/>
    <w:rsid w:val="007A3861"/>
    <w:rsid w:val="007A4282"/>
    <w:rsid w:val="007A4577"/>
    <w:rsid w:val="007A4DEE"/>
    <w:rsid w:val="007A516D"/>
    <w:rsid w:val="007A60A6"/>
    <w:rsid w:val="007A72C3"/>
    <w:rsid w:val="007A7985"/>
    <w:rsid w:val="007B14DE"/>
    <w:rsid w:val="007B1827"/>
    <w:rsid w:val="007B23EC"/>
    <w:rsid w:val="007B4498"/>
    <w:rsid w:val="007B5212"/>
    <w:rsid w:val="007B6689"/>
    <w:rsid w:val="007C042D"/>
    <w:rsid w:val="007C17A1"/>
    <w:rsid w:val="007C20B2"/>
    <w:rsid w:val="007C222B"/>
    <w:rsid w:val="007C2D11"/>
    <w:rsid w:val="007C398F"/>
    <w:rsid w:val="007C4222"/>
    <w:rsid w:val="007C42C1"/>
    <w:rsid w:val="007C4955"/>
    <w:rsid w:val="007C6BBD"/>
    <w:rsid w:val="007C7252"/>
    <w:rsid w:val="007C7381"/>
    <w:rsid w:val="007D0B6E"/>
    <w:rsid w:val="007D13C8"/>
    <w:rsid w:val="007D223A"/>
    <w:rsid w:val="007D293C"/>
    <w:rsid w:val="007D318F"/>
    <w:rsid w:val="007D385F"/>
    <w:rsid w:val="007D3C6C"/>
    <w:rsid w:val="007D40DF"/>
    <w:rsid w:val="007D5AE6"/>
    <w:rsid w:val="007D713E"/>
    <w:rsid w:val="007D7DF1"/>
    <w:rsid w:val="007E10B7"/>
    <w:rsid w:val="007E11DF"/>
    <w:rsid w:val="007E1327"/>
    <w:rsid w:val="007E1FE8"/>
    <w:rsid w:val="007E29B4"/>
    <w:rsid w:val="007E2E22"/>
    <w:rsid w:val="007E435A"/>
    <w:rsid w:val="007E5052"/>
    <w:rsid w:val="007E5B38"/>
    <w:rsid w:val="007E5C29"/>
    <w:rsid w:val="007E6A6D"/>
    <w:rsid w:val="007E76C3"/>
    <w:rsid w:val="007E79DF"/>
    <w:rsid w:val="007E7DD7"/>
    <w:rsid w:val="007E7E61"/>
    <w:rsid w:val="007E7FCE"/>
    <w:rsid w:val="007F0076"/>
    <w:rsid w:val="007F02BF"/>
    <w:rsid w:val="007F0845"/>
    <w:rsid w:val="007F1D19"/>
    <w:rsid w:val="007F2276"/>
    <w:rsid w:val="007F2FC9"/>
    <w:rsid w:val="007F3C5C"/>
    <w:rsid w:val="007F4FAD"/>
    <w:rsid w:val="007F6133"/>
    <w:rsid w:val="007F6CA3"/>
    <w:rsid w:val="007F6DCB"/>
    <w:rsid w:val="007F708D"/>
    <w:rsid w:val="007F74C4"/>
    <w:rsid w:val="007F7CA0"/>
    <w:rsid w:val="00800216"/>
    <w:rsid w:val="00800A3B"/>
    <w:rsid w:val="0080170D"/>
    <w:rsid w:val="00801C76"/>
    <w:rsid w:val="00801E13"/>
    <w:rsid w:val="008031D4"/>
    <w:rsid w:val="00804202"/>
    <w:rsid w:val="00804252"/>
    <w:rsid w:val="00804B15"/>
    <w:rsid w:val="00804BA6"/>
    <w:rsid w:val="008068B1"/>
    <w:rsid w:val="00806CCE"/>
    <w:rsid w:val="00807365"/>
    <w:rsid w:val="00807C82"/>
    <w:rsid w:val="00810C82"/>
    <w:rsid w:val="00811E1D"/>
    <w:rsid w:val="00811EC3"/>
    <w:rsid w:val="00812141"/>
    <w:rsid w:val="00813F1A"/>
    <w:rsid w:val="008143E9"/>
    <w:rsid w:val="008145C6"/>
    <w:rsid w:val="008147D5"/>
    <w:rsid w:val="00814B15"/>
    <w:rsid w:val="008161A3"/>
    <w:rsid w:val="00816905"/>
    <w:rsid w:val="00817E55"/>
    <w:rsid w:val="00820D37"/>
    <w:rsid w:val="00820E1C"/>
    <w:rsid w:val="0082132C"/>
    <w:rsid w:val="00821373"/>
    <w:rsid w:val="0082151E"/>
    <w:rsid w:val="0082159F"/>
    <w:rsid w:val="00821777"/>
    <w:rsid w:val="00821C44"/>
    <w:rsid w:val="00821FF6"/>
    <w:rsid w:val="00822574"/>
    <w:rsid w:val="00822BB6"/>
    <w:rsid w:val="00822EE1"/>
    <w:rsid w:val="0082342B"/>
    <w:rsid w:val="0082466B"/>
    <w:rsid w:val="0082526C"/>
    <w:rsid w:val="00825C4D"/>
    <w:rsid w:val="00825CC3"/>
    <w:rsid w:val="00826D39"/>
    <w:rsid w:val="008304D1"/>
    <w:rsid w:val="0083071E"/>
    <w:rsid w:val="0083078E"/>
    <w:rsid w:val="00830824"/>
    <w:rsid w:val="008308D5"/>
    <w:rsid w:val="00830D03"/>
    <w:rsid w:val="0083143E"/>
    <w:rsid w:val="00831631"/>
    <w:rsid w:val="00831CDE"/>
    <w:rsid w:val="00832736"/>
    <w:rsid w:val="00833097"/>
    <w:rsid w:val="00833F17"/>
    <w:rsid w:val="00834304"/>
    <w:rsid w:val="00834FAA"/>
    <w:rsid w:val="0083516C"/>
    <w:rsid w:val="00836086"/>
    <w:rsid w:val="008403BB"/>
    <w:rsid w:val="00840DD4"/>
    <w:rsid w:val="00842B6F"/>
    <w:rsid w:val="008439CC"/>
    <w:rsid w:val="00843A14"/>
    <w:rsid w:val="00843FE9"/>
    <w:rsid w:val="0084472B"/>
    <w:rsid w:val="008456E4"/>
    <w:rsid w:val="00845CD7"/>
    <w:rsid w:val="00846121"/>
    <w:rsid w:val="008462A8"/>
    <w:rsid w:val="008464C4"/>
    <w:rsid w:val="0084708F"/>
    <w:rsid w:val="008477C8"/>
    <w:rsid w:val="00847963"/>
    <w:rsid w:val="00850815"/>
    <w:rsid w:val="0085114D"/>
    <w:rsid w:val="0085194F"/>
    <w:rsid w:val="00852217"/>
    <w:rsid w:val="00852C9C"/>
    <w:rsid w:val="008534B7"/>
    <w:rsid w:val="00853B8D"/>
    <w:rsid w:val="00854B29"/>
    <w:rsid w:val="00854F24"/>
    <w:rsid w:val="00855408"/>
    <w:rsid w:val="00855712"/>
    <w:rsid w:val="00856D65"/>
    <w:rsid w:val="00856FA5"/>
    <w:rsid w:val="008575BE"/>
    <w:rsid w:val="00860454"/>
    <w:rsid w:val="008606F3"/>
    <w:rsid w:val="00860E39"/>
    <w:rsid w:val="0086148F"/>
    <w:rsid w:val="00861B41"/>
    <w:rsid w:val="00861BE3"/>
    <w:rsid w:val="00863434"/>
    <w:rsid w:val="00864382"/>
    <w:rsid w:val="00864386"/>
    <w:rsid w:val="008644C3"/>
    <w:rsid w:val="008649BC"/>
    <w:rsid w:val="00865D45"/>
    <w:rsid w:val="00865E4C"/>
    <w:rsid w:val="00867414"/>
    <w:rsid w:val="008701E4"/>
    <w:rsid w:val="0087052A"/>
    <w:rsid w:val="00871069"/>
    <w:rsid w:val="008715A3"/>
    <w:rsid w:val="00872C9A"/>
    <w:rsid w:val="008734A8"/>
    <w:rsid w:val="008734E6"/>
    <w:rsid w:val="008736BF"/>
    <w:rsid w:val="008738FC"/>
    <w:rsid w:val="00875473"/>
    <w:rsid w:val="00875A32"/>
    <w:rsid w:val="00876086"/>
    <w:rsid w:val="008766AC"/>
    <w:rsid w:val="00876995"/>
    <w:rsid w:val="008774C1"/>
    <w:rsid w:val="00877928"/>
    <w:rsid w:val="00877BEC"/>
    <w:rsid w:val="008809C2"/>
    <w:rsid w:val="008813CE"/>
    <w:rsid w:val="00881EAF"/>
    <w:rsid w:val="008825B0"/>
    <w:rsid w:val="0088317A"/>
    <w:rsid w:val="0088395C"/>
    <w:rsid w:val="00884AD6"/>
    <w:rsid w:val="00884D49"/>
    <w:rsid w:val="00884EC7"/>
    <w:rsid w:val="00884F46"/>
    <w:rsid w:val="00885509"/>
    <w:rsid w:val="008870F7"/>
    <w:rsid w:val="008871FC"/>
    <w:rsid w:val="008873D4"/>
    <w:rsid w:val="0088793E"/>
    <w:rsid w:val="00890D6D"/>
    <w:rsid w:val="0089126C"/>
    <w:rsid w:val="0089151D"/>
    <w:rsid w:val="0089296D"/>
    <w:rsid w:val="00893119"/>
    <w:rsid w:val="00893404"/>
    <w:rsid w:val="00893E85"/>
    <w:rsid w:val="00894031"/>
    <w:rsid w:val="008942C9"/>
    <w:rsid w:val="00895508"/>
    <w:rsid w:val="0089588A"/>
    <w:rsid w:val="00896167"/>
    <w:rsid w:val="008965B7"/>
    <w:rsid w:val="00896807"/>
    <w:rsid w:val="00897F41"/>
    <w:rsid w:val="008A0BBE"/>
    <w:rsid w:val="008A1483"/>
    <w:rsid w:val="008A2099"/>
    <w:rsid w:val="008A28CE"/>
    <w:rsid w:val="008A3594"/>
    <w:rsid w:val="008A3D77"/>
    <w:rsid w:val="008A473C"/>
    <w:rsid w:val="008A6493"/>
    <w:rsid w:val="008A6CB4"/>
    <w:rsid w:val="008B09A7"/>
    <w:rsid w:val="008B13FE"/>
    <w:rsid w:val="008B1FA6"/>
    <w:rsid w:val="008B258B"/>
    <w:rsid w:val="008B2877"/>
    <w:rsid w:val="008B3A79"/>
    <w:rsid w:val="008B4833"/>
    <w:rsid w:val="008B4FCF"/>
    <w:rsid w:val="008B4FD8"/>
    <w:rsid w:val="008B542E"/>
    <w:rsid w:val="008B59B2"/>
    <w:rsid w:val="008B5CF6"/>
    <w:rsid w:val="008B5E01"/>
    <w:rsid w:val="008B5F6A"/>
    <w:rsid w:val="008B7103"/>
    <w:rsid w:val="008B768D"/>
    <w:rsid w:val="008B76AB"/>
    <w:rsid w:val="008B7C02"/>
    <w:rsid w:val="008B7D2B"/>
    <w:rsid w:val="008C0049"/>
    <w:rsid w:val="008C054D"/>
    <w:rsid w:val="008C0A0B"/>
    <w:rsid w:val="008C0B3A"/>
    <w:rsid w:val="008C0E29"/>
    <w:rsid w:val="008C0E88"/>
    <w:rsid w:val="008C1968"/>
    <w:rsid w:val="008C2537"/>
    <w:rsid w:val="008C3953"/>
    <w:rsid w:val="008C3ED5"/>
    <w:rsid w:val="008C4486"/>
    <w:rsid w:val="008C53CB"/>
    <w:rsid w:val="008C6CF4"/>
    <w:rsid w:val="008C6FD4"/>
    <w:rsid w:val="008C713F"/>
    <w:rsid w:val="008C762C"/>
    <w:rsid w:val="008D07B9"/>
    <w:rsid w:val="008D1BA1"/>
    <w:rsid w:val="008D1E6A"/>
    <w:rsid w:val="008D2A16"/>
    <w:rsid w:val="008D2F53"/>
    <w:rsid w:val="008D38B6"/>
    <w:rsid w:val="008D3BDF"/>
    <w:rsid w:val="008D5398"/>
    <w:rsid w:val="008D5792"/>
    <w:rsid w:val="008D60FD"/>
    <w:rsid w:val="008D632C"/>
    <w:rsid w:val="008D6B35"/>
    <w:rsid w:val="008D6C14"/>
    <w:rsid w:val="008D75D9"/>
    <w:rsid w:val="008D792D"/>
    <w:rsid w:val="008E163D"/>
    <w:rsid w:val="008E215D"/>
    <w:rsid w:val="008E2C57"/>
    <w:rsid w:val="008E31FF"/>
    <w:rsid w:val="008E3D12"/>
    <w:rsid w:val="008E3E9D"/>
    <w:rsid w:val="008E4A7C"/>
    <w:rsid w:val="008E582C"/>
    <w:rsid w:val="008E6542"/>
    <w:rsid w:val="008E6F06"/>
    <w:rsid w:val="008E6F24"/>
    <w:rsid w:val="008E6F8B"/>
    <w:rsid w:val="008E72A6"/>
    <w:rsid w:val="008E7336"/>
    <w:rsid w:val="008E77B5"/>
    <w:rsid w:val="008E7FC9"/>
    <w:rsid w:val="008F029B"/>
    <w:rsid w:val="008F100E"/>
    <w:rsid w:val="008F16B9"/>
    <w:rsid w:val="008F1D0A"/>
    <w:rsid w:val="008F3FC9"/>
    <w:rsid w:val="008F4380"/>
    <w:rsid w:val="008F4B7F"/>
    <w:rsid w:val="008F4F78"/>
    <w:rsid w:val="008F585B"/>
    <w:rsid w:val="008F5E37"/>
    <w:rsid w:val="008F5EC9"/>
    <w:rsid w:val="008F63C8"/>
    <w:rsid w:val="008F6CE6"/>
    <w:rsid w:val="008F75BE"/>
    <w:rsid w:val="008F75C5"/>
    <w:rsid w:val="008F7E77"/>
    <w:rsid w:val="009003A8"/>
    <w:rsid w:val="0090149C"/>
    <w:rsid w:val="00901518"/>
    <w:rsid w:val="0090157D"/>
    <w:rsid w:val="00901BCC"/>
    <w:rsid w:val="0090225A"/>
    <w:rsid w:val="00902500"/>
    <w:rsid w:val="009029A4"/>
    <w:rsid w:val="00902EFF"/>
    <w:rsid w:val="00903165"/>
    <w:rsid w:val="00903C11"/>
    <w:rsid w:val="00906401"/>
    <w:rsid w:val="0090651C"/>
    <w:rsid w:val="00907C10"/>
    <w:rsid w:val="0091155E"/>
    <w:rsid w:val="00911F27"/>
    <w:rsid w:val="00912A92"/>
    <w:rsid w:val="00914878"/>
    <w:rsid w:val="00914968"/>
    <w:rsid w:val="00914A3D"/>
    <w:rsid w:val="00916567"/>
    <w:rsid w:val="009165A2"/>
    <w:rsid w:val="00916AF7"/>
    <w:rsid w:val="00916BC1"/>
    <w:rsid w:val="00917170"/>
    <w:rsid w:val="0091728D"/>
    <w:rsid w:val="0092180B"/>
    <w:rsid w:val="00921F14"/>
    <w:rsid w:val="00922EC2"/>
    <w:rsid w:val="009231A3"/>
    <w:rsid w:val="00923FAC"/>
    <w:rsid w:val="00924097"/>
    <w:rsid w:val="009246F6"/>
    <w:rsid w:val="00924751"/>
    <w:rsid w:val="00924AC8"/>
    <w:rsid w:val="0092597A"/>
    <w:rsid w:val="00925E75"/>
    <w:rsid w:val="00927E8F"/>
    <w:rsid w:val="00930992"/>
    <w:rsid w:val="00930FB1"/>
    <w:rsid w:val="0093139F"/>
    <w:rsid w:val="00932443"/>
    <w:rsid w:val="00932AC9"/>
    <w:rsid w:val="009343AD"/>
    <w:rsid w:val="00934464"/>
    <w:rsid w:val="00934B5F"/>
    <w:rsid w:val="00936F50"/>
    <w:rsid w:val="0093790E"/>
    <w:rsid w:val="00937AE2"/>
    <w:rsid w:val="00940484"/>
    <w:rsid w:val="00941E15"/>
    <w:rsid w:val="00942ACC"/>
    <w:rsid w:val="00943853"/>
    <w:rsid w:val="0094427A"/>
    <w:rsid w:val="00944A35"/>
    <w:rsid w:val="00945245"/>
    <w:rsid w:val="009452D0"/>
    <w:rsid w:val="00947CEF"/>
    <w:rsid w:val="00950CC1"/>
    <w:rsid w:val="00951CB1"/>
    <w:rsid w:val="00953E53"/>
    <w:rsid w:val="00954FD6"/>
    <w:rsid w:val="00955E5A"/>
    <w:rsid w:val="00956572"/>
    <w:rsid w:val="00957309"/>
    <w:rsid w:val="0095759C"/>
    <w:rsid w:val="009607C5"/>
    <w:rsid w:val="00961532"/>
    <w:rsid w:val="00961BD9"/>
    <w:rsid w:val="0096307C"/>
    <w:rsid w:val="00963AB3"/>
    <w:rsid w:val="0096593B"/>
    <w:rsid w:val="009659E1"/>
    <w:rsid w:val="00965EEF"/>
    <w:rsid w:val="0096666B"/>
    <w:rsid w:val="00966940"/>
    <w:rsid w:val="00966E1F"/>
    <w:rsid w:val="0096774F"/>
    <w:rsid w:val="00967E1B"/>
    <w:rsid w:val="00967E76"/>
    <w:rsid w:val="00970716"/>
    <w:rsid w:val="00970DF4"/>
    <w:rsid w:val="009714FD"/>
    <w:rsid w:val="00971519"/>
    <w:rsid w:val="00972129"/>
    <w:rsid w:val="009721DB"/>
    <w:rsid w:val="0097239B"/>
    <w:rsid w:val="00973107"/>
    <w:rsid w:val="00974071"/>
    <w:rsid w:val="009748DF"/>
    <w:rsid w:val="00974923"/>
    <w:rsid w:val="00974AEB"/>
    <w:rsid w:val="00975BF2"/>
    <w:rsid w:val="009808F7"/>
    <w:rsid w:val="00980D3D"/>
    <w:rsid w:val="00980F3E"/>
    <w:rsid w:val="00981177"/>
    <w:rsid w:val="00981FFA"/>
    <w:rsid w:val="00983035"/>
    <w:rsid w:val="0098378C"/>
    <w:rsid w:val="00985569"/>
    <w:rsid w:val="009855E1"/>
    <w:rsid w:val="00986D06"/>
    <w:rsid w:val="00987A30"/>
    <w:rsid w:val="00990102"/>
    <w:rsid w:val="00991E07"/>
    <w:rsid w:val="00992CF3"/>
    <w:rsid w:val="00993BEF"/>
    <w:rsid w:val="00993C2A"/>
    <w:rsid w:val="0099450E"/>
    <w:rsid w:val="00994868"/>
    <w:rsid w:val="0099574A"/>
    <w:rsid w:val="00995C6D"/>
    <w:rsid w:val="00995C95"/>
    <w:rsid w:val="00995D56"/>
    <w:rsid w:val="009967F2"/>
    <w:rsid w:val="009968D6"/>
    <w:rsid w:val="00996A53"/>
    <w:rsid w:val="00996DBD"/>
    <w:rsid w:val="00997F37"/>
    <w:rsid w:val="009A0AD3"/>
    <w:rsid w:val="009A1761"/>
    <w:rsid w:val="009A1CAB"/>
    <w:rsid w:val="009A1DEB"/>
    <w:rsid w:val="009A28B2"/>
    <w:rsid w:val="009A2E25"/>
    <w:rsid w:val="009A461A"/>
    <w:rsid w:val="009A4E7B"/>
    <w:rsid w:val="009A60D1"/>
    <w:rsid w:val="009A643E"/>
    <w:rsid w:val="009A795A"/>
    <w:rsid w:val="009B0AC7"/>
    <w:rsid w:val="009B0AFB"/>
    <w:rsid w:val="009B2633"/>
    <w:rsid w:val="009B263B"/>
    <w:rsid w:val="009B2896"/>
    <w:rsid w:val="009B2C7D"/>
    <w:rsid w:val="009B4034"/>
    <w:rsid w:val="009B475E"/>
    <w:rsid w:val="009B48C0"/>
    <w:rsid w:val="009B49B1"/>
    <w:rsid w:val="009B6508"/>
    <w:rsid w:val="009B6F12"/>
    <w:rsid w:val="009B6FD3"/>
    <w:rsid w:val="009B7BED"/>
    <w:rsid w:val="009B7C76"/>
    <w:rsid w:val="009B7E27"/>
    <w:rsid w:val="009C02C3"/>
    <w:rsid w:val="009C0956"/>
    <w:rsid w:val="009C1750"/>
    <w:rsid w:val="009C1C14"/>
    <w:rsid w:val="009C2ACA"/>
    <w:rsid w:val="009C2E29"/>
    <w:rsid w:val="009C3F5D"/>
    <w:rsid w:val="009C3F70"/>
    <w:rsid w:val="009C4883"/>
    <w:rsid w:val="009C4EC5"/>
    <w:rsid w:val="009C554B"/>
    <w:rsid w:val="009C58CC"/>
    <w:rsid w:val="009C59D0"/>
    <w:rsid w:val="009C61F3"/>
    <w:rsid w:val="009C6352"/>
    <w:rsid w:val="009C65DC"/>
    <w:rsid w:val="009C6EF9"/>
    <w:rsid w:val="009C719E"/>
    <w:rsid w:val="009C7240"/>
    <w:rsid w:val="009C7A10"/>
    <w:rsid w:val="009C7E11"/>
    <w:rsid w:val="009D1120"/>
    <w:rsid w:val="009D14F4"/>
    <w:rsid w:val="009D201B"/>
    <w:rsid w:val="009D24D5"/>
    <w:rsid w:val="009D29DB"/>
    <w:rsid w:val="009D3803"/>
    <w:rsid w:val="009D3ACD"/>
    <w:rsid w:val="009D3B3F"/>
    <w:rsid w:val="009D4785"/>
    <w:rsid w:val="009D5649"/>
    <w:rsid w:val="009D7FC6"/>
    <w:rsid w:val="009E0CDF"/>
    <w:rsid w:val="009E16C0"/>
    <w:rsid w:val="009E1988"/>
    <w:rsid w:val="009E33BB"/>
    <w:rsid w:val="009E3AF1"/>
    <w:rsid w:val="009E4927"/>
    <w:rsid w:val="009E5127"/>
    <w:rsid w:val="009E5273"/>
    <w:rsid w:val="009E5685"/>
    <w:rsid w:val="009E5AD5"/>
    <w:rsid w:val="009E5DDB"/>
    <w:rsid w:val="009E7F05"/>
    <w:rsid w:val="009F034E"/>
    <w:rsid w:val="009F46B7"/>
    <w:rsid w:val="009F4CA7"/>
    <w:rsid w:val="009F563F"/>
    <w:rsid w:val="009F7558"/>
    <w:rsid w:val="009F791A"/>
    <w:rsid w:val="00A00CEF"/>
    <w:rsid w:val="00A0156B"/>
    <w:rsid w:val="00A022B7"/>
    <w:rsid w:val="00A03BF3"/>
    <w:rsid w:val="00A0406E"/>
    <w:rsid w:val="00A044C1"/>
    <w:rsid w:val="00A044D8"/>
    <w:rsid w:val="00A04CEF"/>
    <w:rsid w:val="00A06374"/>
    <w:rsid w:val="00A0642E"/>
    <w:rsid w:val="00A077E2"/>
    <w:rsid w:val="00A10BE6"/>
    <w:rsid w:val="00A10D66"/>
    <w:rsid w:val="00A10D89"/>
    <w:rsid w:val="00A12306"/>
    <w:rsid w:val="00A12CAE"/>
    <w:rsid w:val="00A13BDB"/>
    <w:rsid w:val="00A14114"/>
    <w:rsid w:val="00A144BA"/>
    <w:rsid w:val="00A14995"/>
    <w:rsid w:val="00A1537C"/>
    <w:rsid w:val="00A16413"/>
    <w:rsid w:val="00A1684E"/>
    <w:rsid w:val="00A16E1D"/>
    <w:rsid w:val="00A178D0"/>
    <w:rsid w:val="00A17918"/>
    <w:rsid w:val="00A17A35"/>
    <w:rsid w:val="00A17D5B"/>
    <w:rsid w:val="00A17EB2"/>
    <w:rsid w:val="00A206E5"/>
    <w:rsid w:val="00A20CC0"/>
    <w:rsid w:val="00A2141F"/>
    <w:rsid w:val="00A21D25"/>
    <w:rsid w:val="00A220CB"/>
    <w:rsid w:val="00A22C64"/>
    <w:rsid w:val="00A22DA7"/>
    <w:rsid w:val="00A23447"/>
    <w:rsid w:val="00A23E43"/>
    <w:rsid w:val="00A24A80"/>
    <w:rsid w:val="00A25216"/>
    <w:rsid w:val="00A25477"/>
    <w:rsid w:val="00A25DB9"/>
    <w:rsid w:val="00A25DC6"/>
    <w:rsid w:val="00A267EF"/>
    <w:rsid w:val="00A30825"/>
    <w:rsid w:val="00A30D32"/>
    <w:rsid w:val="00A30D6F"/>
    <w:rsid w:val="00A30DE7"/>
    <w:rsid w:val="00A30F65"/>
    <w:rsid w:val="00A318DC"/>
    <w:rsid w:val="00A32BF2"/>
    <w:rsid w:val="00A33549"/>
    <w:rsid w:val="00A33814"/>
    <w:rsid w:val="00A33A89"/>
    <w:rsid w:val="00A33FC9"/>
    <w:rsid w:val="00A349DB"/>
    <w:rsid w:val="00A34D27"/>
    <w:rsid w:val="00A37C50"/>
    <w:rsid w:val="00A40373"/>
    <w:rsid w:val="00A40A0B"/>
    <w:rsid w:val="00A40A92"/>
    <w:rsid w:val="00A40EAC"/>
    <w:rsid w:val="00A40EDD"/>
    <w:rsid w:val="00A418BC"/>
    <w:rsid w:val="00A4206C"/>
    <w:rsid w:val="00A4279D"/>
    <w:rsid w:val="00A4346A"/>
    <w:rsid w:val="00A44D0C"/>
    <w:rsid w:val="00A4632B"/>
    <w:rsid w:val="00A46DE0"/>
    <w:rsid w:val="00A472EB"/>
    <w:rsid w:val="00A47FCA"/>
    <w:rsid w:val="00A50D73"/>
    <w:rsid w:val="00A51070"/>
    <w:rsid w:val="00A527E8"/>
    <w:rsid w:val="00A52CAD"/>
    <w:rsid w:val="00A53458"/>
    <w:rsid w:val="00A53FC7"/>
    <w:rsid w:val="00A5402E"/>
    <w:rsid w:val="00A54275"/>
    <w:rsid w:val="00A55208"/>
    <w:rsid w:val="00A563D1"/>
    <w:rsid w:val="00A57C75"/>
    <w:rsid w:val="00A601C4"/>
    <w:rsid w:val="00A6051A"/>
    <w:rsid w:val="00A60799"/>
    <w:rsid w:val="00A6118B"/>
    <w:rsid w:val="00A61B63"/>
    <w:rsid w:val="00A6238E"/>
    <w:rsid w:val="00A62CE1"/>
    <w:rsid w:val="00A63C9B"/>
    <w:rsid w:val="00A64380"/>
    <w:rsid w:val="00A64B59"/>
    <w:rsid w:val="00A668A3"/>
    <w:rsid w:val="00A66F56"/>
    <w:rsid w:val="00A6741E"/>
    <w:rsid w:val="00A73109"/>
    <w:rsid w:val="00A73C0E"/>
    <w:rsid w:val="00A74EBD"/>
    <w:rsid w:val="00A754EA"/>
    <w:rsid w:val="00A75E40"/>
    <w:rsid w:val="00A765FD"/>
    <w:rsid w:val="00A76AF7"/>
    <w:rsid w:val="00A770F4"/>
    <w:rsid w:val="00A77D1D"/>
    <w:rsid w:val="00A82A8A"/>
    <w:rsid w:val="00A8349D"/>
    <w:rsid w:val="00A83B53"/>
    <w:rsid w:val="00A8449B"/>
    <w:rsid w:val="00A84A6A"/>
    <w:rsid w:val="00A857C0"/>
    <w:rsid w:val="00A85B5F"/>
    <w:rsid w:val="00A87F87"/>
    <w:rsid w:val="00A90FED"/>
    <w:rsid w:val="00A915C7"/>
    <w:rsid w:val="00A91AAB"/>
    <w:rsid w:val="00A91C1B"/>
    <w:rsid w:val="00A91EF3"/>
    <w:rsid w:val="00A94174"/>
    <w:rsid w:val="00A941F8"/>
    <w:rsid w:val="00A94ED2"/>
    <w:rsid w:val="00A95478"/>
    <w:rsid w:val="00A958F0"/>
    <w:rsid w:val="00A96371"/>
    <w:rsid w:val="00A97E48"/>
    <w:rsid w:val="00AA0591"/>
    <w:rsid w:val="00AA0ABE"/>
    <w:rsid w:val="00AA2996"/>
    <w:rsid w:val="00AA2A70"/>
    <w:rsid w:val="00AA2DA1"/>
    <w:rsid w:val="00AA4B30"/>
    <w:rsid w:val="00AA52BF"/>
    <w:rsid w:val="00AA559A"/>
    <w:rsid w:val="00AA58D7"/>
    <w:rsid w:val="00AA6953"/>
    <w:rsid w:val="00AA765D"/>
    <w:rsid w:val="00AB235A"/>
    <w:rsid w:val="00AB2AF1"/>
    <w:rsid w:val="00AB32CC"/>
    <w:rsid w:val="00AB5242"/>
    <w:rsid w:val="00AB535B"/>
    <w:rsid w:val="00AB63D5"/>
    <w:rsid w:val="00AB7936"/>
    <w:rsid w:val="00AB7F52"/>
    <w:rsid w:val="00AB7FE4"/>
    <w:rsid w:val="00AC45BD"/>
    <w:rsid w:val="00AC5791"/>
    <w:rsid w:val="00AC633A"/>
    <w:rsid w:val="00AC634C"/>
    <w:rsid w:val="00AC6D7C"/>
    <w:rsid w:val="00AC6D9A"/>
    <w:rsid w:val="00AC73C6"/>
    <w:rsid w:val="00AD0FBF"/>
    <w:rsid w:val="00AD101F"/>
    <w:rsid w:val="00AD1543"/>
    <w:rsid w:val="00AD15BB"/>
    <w:rsid w:val="00AD168E"/>
    <w:rsid w:val="00AD1DA1"/>
    <w:rsid w:val="00AD1E15"/>
    <w:rsid w:val="00AD2A17"/>
    <w:rsid w:val="00AD2BF6"/>
    <w:rsid w:val="00AD306C"/>
    <w:rsid w:val="00AD3EB3"/>
    <w:rsid w:val="00AD4F16"/>
    <w:rsid w:val="00AD4FC5"/>
    <w:rsid w:val="00AD5152"/>
    <w:rsid w:val="00AD5323"/>
    <w:rsid w:val="00AD5B55"/>
    <w:rsid w:val="00AD5D52"/>
    <w:rsid w:val="00AD5E10"/>
    <w:rsid w:val="00AD68C4"/>
    <w:rsid w:val="00AD7A0A"/>
    <w:rsid w:val="00AE01AE"/>
    <w:rsid w:val="00AE09B3"/>
    <w:rsid w:val="00AE0ED3"/>
    <w:rsid w:val="00AE153F"/>
    <w:rsid w:val="00AE1585"/>
    <w:rsid w:val="00AE1A2E"/>
    <w:rsid w:val="00AE1A83"/>
    <w:rsid w:val="00AE31A7"/>
    <w:rsid w:val="00AE39CE"/>
    <w:rsid w:val="00AE5CB9"/>
    <w:rsid w:val="00AE63ED"/>
    <w:rsid w:val="00AE678D"/>
    <w:rsid w:val="00AF1DE9"/>
    <w:rsid w:val="00AF24F1"/>
    <w:rsid w:val="00AF2CC1"/>
    <w:rsid w:val="00AF3683"/>
    <w:rsid w:val="00AF3D9E"/>
    <w:rsid w:val="00AF4D60"/>
    <w:rsid w:val="00AF5579"/>
    <w:rsid w:val="00AF5911"/>
    <w:rsid w:val="00AF6128"/>
    <w:rsid w:val="00AF76EF"/>
    <w:rsid w:val="00B00913"/>
    <w:rsid w:val="00B01439"/>
    <w:rsid w:val="00B01593"/>
    <w:rsid w:val="00B01CF3"/>
    <w:rsid w:val="00B023F2"/>
    <w:rsid w:val="00B03033"/>
    <w:rsid w:val="00B04705"/>
    <w:rsid w:val="00B04911"/>
    <w:rsid w:val="00B04E70"/>
    <w:rsid w:val="00B04EF7"/>
    <w:rsid w:val="00B05704"/>
    <w:rsid w:val="00B06251"/>
    <w:rsid w:val="00B06547"/>
    <w:rsid w:val="00B07939"/>
    <w:rsid w:val="00B07959"/>
    <w:rsid w:val="00B07BBB"/>
    <w:rsid w:val="00B10325"/>
    <w:rsid w:val="00B104EC"/>
    <w:rsid w:val="00B10A08"/>
    <w:rsid w:val="00B10A4D"/>
    <w:rsid w:val="00B10E75"/>
    <w:rsid w:val="00B123E8"/>
    <w:rsid w:val="00B124EF"/>
    <w:rsid w:val="00B128A6"/>
    <w:rsid w:val="00B13EF3"/>
    <w:rsid w:val="00B14A5D"/>
    <w:rsid w:val="00B14BC1"/>
    <w:rsid w:val="00B15997"/>
    <w:rsid w:val="00B159F7"/>
    <w:rsid w:val="00B15A8D"/>
    <w:rsid w:val="00B175C8"/>
    <w:rsid w:val="00B17E71"/>
    <w:rsid w:val="00B17FDE"/>
    <w:rsid w:val="00B207A7"/>
    <w:rsid w:val="00B21017"/>
    <w:rsid w:val="00B2176C"/>
    <w:rsid w:val="00B21E2C"/>
    <w:rsid w:val="00B21EF9"/>
    <w:rsid w:val="00B2322A"/>
    <w:rsid w:val="00B2327B"/>
    <w:rsid w:val="00B2379C"/>
    <w:rsid w:val="00B24437"/>
    <w:rsid w:val="00B25189"/>
    <w:rsid w:val="00B2687D"/>
    <w:rsid w:val="00B26897"/>
    <w:rsid w:val="00B2724A"/>
    <w:rsid w:val="00B272BD"/>
    <w:rsid w:val="00B27A6B"/>
    <w:rsid w:val="00B30BA8"/>
    <w:rsid w:val="00B329E8"/>
    <w:rsid w:val="00B32DDB"/>
    <w:rsid w:val="00B333BC"/>
    <w:rsid w:val="00B333C7"/>
    <w:rsid w:val="00B34528"/>
    <w:rsid w:val="00B34CC9"/>
    <w:rsid w:val="00B35675"/>
    <w:rsid w:val="00B35763"/>
    <w:rsid w:val="00B35E8D"/>
    <w:rsid w:val="00B35FC1"/>
    <w:rsid w:val="00B379FE"/>
    <w:rsid w:val="00B40069"/>
    <w:rsid w:val="00B402FC"/>
    <w:rsid w:val="00B405BD"/>
    <w:rsid w:val="00B4263C"/>
    <w:rsid w:val="00B42F87"/>
    <w:rsid w:val="00B435B6"/>
    <w:rsid w:val="00B439DA"/>
    <w:rsid w:val="00B46604"/>
    <w:rsid w:val="00B46FA4"/>
    <w:rsid w:val="00B47195"/>
    <w:rsid w:val="00B47732"/>
    <w:rsid w:val="00B47C25"/>
    <w:rsid w:val="00B5060E"/>
    <w:rsid w:val="00B50624"/>
    <w:rsid w:val="00B5237E"/>
    <w:rsid w:val="00B5296C"/>
    <w:rsid w:val="00B530CD"/>
    <w:rsid w:val="00B53A26"/>
    <w:rsid w:val="00B55F5E"/>
    <w:rsid w:val="00B5752E"/>
    <w:rsid w:val="00B60423"/>
    <w:rsid w:val="00B63A11"/>
    <w:rsid w:val="00B63B6A"/>
    <w:rsid w:val="00B64C24"/>
    <w:rsid w:val="00B64CEC"/>
    <w:rsid w:val="00B64D8E"/>
    <w:rsid w:val="00B65139"/>
    <w:rsid w:val="00B6608F"/>
    <w:rsid w:val="00B66354"/>
    <w:rsid w:val="00B67472"/>
    <w:rsid w:val="00B67681"/>
    <w:rsid w:val="00B67768"/>
    <w:rsid w:val="00B679FB"/>
    <w:rsid w:val="00B702E6"/>
    <w:rsid w:val="00B704BC"/>
    <w:rsid w:val="00B71EF7"/>
    <w:rsid w:val="00B7288D"/>
    <w:rsid w:val="00B7289D"/>
    <w:rsid w:val="00B72EB1"/>
    <w:rsid w:val="00B7358C"/>
    <w:rsid w:val="00B74326"/>
    <w:rsid w:val="00B7665A"/>
    <w:rsid w:val="00B76D1E"/>
    <w:rsid w:val="00B77292"/>
    <w:rsid w:val="00B8028A"/>
    <w:rsid w:val="00B80B8B"/>
    <w:rsid w:val="00B80DE0"/>
    <w:rsid w:val="00B80EC6"/>
    <w:rsid w:val="00B82874"/>
    <w:rsid w:val="00B82905"/>
    <w:rsid w:val="00B829DF"/>
    <w:rsid w:val="00B82E21"/>
    <w:rsid w:val="00B83446"/>
    <w:rsid w:val="00B8424C"/>
    <w:rsid w:val="00B84B72"/>
    <w:rsid w:val="00B84B89"/>
    <w:rsid w:val="00B84CF6"/>
    <w:rsid w:val="00B857A1"/>
    <w:rsid w:val="00B85CC7"/>
    <w:rsid w:val="00B86A96"/>
    <w:rsid w:val="00B875A7"/>
    <w:rsid w:val="00B87623"/>
    <w:rsid w:val="00B90BAE"/>
    <w:rsid w:val="00B92D1D"/>
    <w:rsid w:val="00B938C5"/>
    <w:rsid w:val="00B94199"/>
    <w:rsid w:val="00B94C53"/>
    <w:rsid w:val="00B94D8F"/>
    <w:rsid w:val="00B95940"/>
    <w:rsid w:val="00B95957"/>
    <w:rsid w:val="00B96FAD"/>
    <w:rsid w:val="00B977D1"/>
    <w:rsid w:val="00BA2B75"/>
    <w:rsid w:val="00BA3029"/>
    <w:rsid w:val="00BA3793"/>
    <w:rsid w:val="00BA37EA"/>
    <w:rsid w:val="00BA4B77"/>
    <w:rsid w:val="00BA5256"/>
    <w:rsid w:val="00BA6AAF"/>
    <w:rsid w:val="00BA6C2B"/>
    <w:rsid w:val="00BB0637"/>
    <w:rsid w:val="00BB0E67"/>
    <w:rsid w:val="00BB22F6"/>
    <w:rsid w:val="00BB4283"/>
    <w:rsid w:val="00BB46F3"/>
    <w:rsid w:val="00BB4A29"/>
    <w:rsid w:val="00BB4CB1"/>
    <w:rsid w:val="00BB4F98"/>
    <w:rsid w:val="00BB5CCF"/>
    <w:rsid w:val="00BB73ED"/>
    <w:rsid w:val="00BB7875"/>
    <w:rsid w:val="00BC1DD9"/>
    <w:rsid w:val="00BC2788"/>
    <w:rsid w:val="00BC3208"/>
    <w:rsid w:val="00BC4F88"/>
    <w:rsid w:val="00BC5938"/>
    <w:rsid w:val="00BC5C12"/>
    <w:rsid w:val="00BC5E22"/>
    <w:rsid w:val="00BC6007"/>
    <w:rsid w:val="00BC7154"/>
    <w:rsid w:val="00BC731E"/>
    <w:rsid w:val="00BC7396"/>
    <w:rsid w:val="00BC77F6"/>
    <w:rsid w:val="00BD0046"/>
    <w:rsid w:val="00BD15F8"/>
    <w:rsid w:val="00BD1ED8"/>
    <w:rsid w:val="00BD3055"/>
    <w:rsid w:val="00BD366B"/>
    <w:rsid w:val="00BD6D50"/>
    <w:rsid w:val="00BE18B9"/>
    <w:rsid w:val="00BE19ED"/>
    <w:rsid w:val="00BE2495"/>
    <w:rsid w:val="00BE2D3D"/>
    <w:rsid w:val="00BE2D99"/>
    <w:rsid w:val="00BE35EA"/>
    <w:rsid w:val="00BE390E"/>
    <w:rsid w:val="00BE3D06"/>
    <w:rsid w:val="00BE4BED"/>
    <w:rsid w:val="00BE53A6"/>
    <w:rsid w:val="00BE5DAB"/>
    <w:rsid w:val="00BE6572"/>
    <w:rsid w:val="00BE7117"/>
    <w:rsid w:val="00BE7BCD"/>
    <w:rsid w:val="00BE7FCB"/>
    <w:rsid w:val="00BF1578"/>
    <w:rsid w:val="00BF1FA2"/>
    <w:rsid w:val="00BF2223"/>
    <w:rsid w:val="00BF3B1D"/>
    <w:rsid w:val="00BF3D6E"/>
    <w:rsid w:val="00BF4BD4"/>
    <w:rsid w:val="00BF59B6"/>
    <w:rsid w:val="00BF6D32"/>
    <w:rsid w:val="00BF71A0"/>
    <w:rsid w:val="00BF723F"/>
    <w:rsid w:val="00C0100E"/>
    <w:rsid w:val="00C02714"/>
    <w:rsid w:val="00C02943"/>
    <w:rsid w:val="00C03294"/>
    <w:rsid w:val="00C03ACD"/>
    <w:rsid w:val="00C03E33"/>
    <w:rsid w:val="00C04EA2"/>
    <w:rsid w:val="00C05360"/>
    <w:rsid w:val="00C05597"/>
    <w:rsid w:val="00C05B27"/>
    <w:rsid w:val="00C07A3D"/>
    <w:rsid w:val="00C10440"/>
    <w:rsid w:val="00C11B46"/>
    <w:rsid w:val="00C12629"/>
    <w:rsid w:val="00C12B02"/>
    <w:rsid w:val="00C12CFD"/>
    <w:rsid w:val="00C132F3"/>
    <w:rsid w:val="00C13980"/>
    <w:rsid w:val="00C13B37"/>
    <w:rsid w:val="00C144D7"/>
    <w:rsid w:val="00C1648C"/>
    <w:rsid w:val="00C16FB0"/>
    <w:rsid w:val="00C17B96"/>
    <w:rsid w:val="00C20A51"/>
    <w:rsid w:val="00C210CB"/>
    <w:rsid w:val="00C21325"/>
    <w:rsid w:val="00C21442"/>
    <w:rsid w:val="00C21721"/>
    <w:rsid w:val="00C21F94"/>
    <w:rsid w:val="00C22AA6"/>
    <w:rsid w:val="00C2307C"/>
    <w:rsid w:val="00C2330B"/>
    <w:rsid w:val="00C23319"/>
    <w:rsid w:val="00C240F3"/>
    <w:rsid w:val="00C26765"/>
    <w:rsid w:val="00C2750F"/>
    <w:rsid w:val="00C27913"/>
    <w:rsid w:val="00C27E4F"/>
    <w:rsid w:val="00C325AE"/>
    <w:rsid w:val="00C32964"/>
    <w:rsid w:val="00C32B5A"/>
    <w:rsid w:val="00C32BFF"/>
    <w:rsid w:val="00C32E5D"/>
    <w:rsid w:val="00C33B68"/>
    <w:rsid w:val="00C34756"/>
    <w:rsid w:val="00C34B09"/>
    <w:rsid w:val="00C354A2"/>
    <w:rsid w:val="00C36A79"/>
    <w:rsid w:val="00C36BCC"/>
    <w:rsid w:val="00C37C3D"/>
    <w:rsid w:val="00C401D2"/>
    <w:rsid w:val="00C405D4"/>
    <w:rsid w:val="00C4098C"/>
    <w:rsid w:val="00C41650"/>
    <w:rsid w:val="00C41D07"/>
    <w:rsid w:val="00C420B7"/>
    <w:rsid w:val="00C42869"/>
    <w:rsid w:val="00C42C3D"/>
    <w:rsid w:val="00C42CE8"/>
    <w:rsid w:val="00C4431F"/>
    <w:rsid w:val="00C44E9D"/>
    <w:rsid w:val="00C4513B"/>
    <w:rsid w:val="00C4627C"/>
    <w:rsid w:val="00C46423"/>
    <w:rsid w:val="00C473D4"/>
    <w:rsid w:val="00C4763B"/>
    <w:rsid w:val="00C52C3E"/>
    <w:rsid w:val="00C53854"/>
    <w:rsid w:val="00C5390B"/>
    <w:rsid w:val="00C53E5D"/>
    <w:rsid w:val="00C53E65"/>
    <w:rsid w:val="00C54141"/>
    <w:rsid w:val="00C5418A"/>
    <w:rsid w:val="00C54697"/>
    <w:rsid w:val="00C55400"/>
    <w:rsid w:val="00C56A5F"/>
    <w:rsid w:val="00C57BF0"/>
    <w:rsid w:val="00C6007E"/>
    <w:rsid w:val="00C60B8B"/>
    <w:rsid w:val="00C61BEF"/>
    <w:rsid w:val="00C62FEF"/>
    <w:rsid w:val="00C64A15"/>
    <w:rsid w:val="00C65535"/>
    <w:rsid w:val="00C65B6D"/>
    <w:rsid w:val="00C65C22"/>
    <w:rsid w:val="00C65F06"/>
    <w:rsid w:val="00C66222"/>
    <w:rsid w:val="00C66B0D"/>
    <w:rsid w:val="00C67599"/>
    <w:rsid w:val="00C718F3"/>
    <w:rsid w:val="00C71E85"/>
    <w:rsid w:val="00C7209C"/>
    <w:rsid w:val="00C72884"/>
    <w:rsid w:val="00C72CDE"/>
    <w:rsid w:val="00C72F3B"/>
    <w:rsid w:val="00C73885"/>
    <w:rsid w:val="00C73BA9"/>
    <w:rsid w:val="00C7466F"/>
    <w:rsid w:val="00C747B1"/>
    <w:rsid w:val="00C74B82"/>
    <w:rsid w:val="00C74CD8"/>
    <w:rsid w:val="00C7674F"/>
    <w:rsid w:val="00C76D12"/>
    <w:rsid w:val="00C77572"/>
    <w:rsid w:val="00C77AC4"/>
    <w:rsid w:val="00C77E1A"/>
    <w:rsid w:val="00C81BA9"/>
    <w:rsid w:val="00C82191"/>
    <w:rsid w:val="00C83134"/>
    <w:rsid w:val="00C843D9"/>
    <w:rsid w:val="00C845FA"/>
    <w:rsid w:val="00C85545"/>
    <w:rsid w:val="00C85845"/>
    <w:rsid w:val="00C85F8A"/>
    <w:rsid w:val="00C8788E"/>
    <w:rsid w:val="00C9003C"/>
    <w:rsid w:val="00C90847"/>
    <w:rsid w:val="00C90CF4"/>
    <w:rsid w:val="00C9288C"/>
    <w:rsid w:val="00C92EB6"/>
    <w:rsid w:val="00C93229"/>
    <w:rsid w:val="00C93389"/>
    <w:rsid w:val="00C945BC"/>
    <w:rsid w:val="00C949A2"/>
    <w:rsid w:val="00C95DB2"/>
    <w:rsid w:val="00C96040"/>
    <w:rsid w:val="00C96F2E"/>
    <w:rsid w:val="00C96F89"/>
    <w:rsid w:val="00C9769E"/>
    <w:rsid w:val="00CA0914"/>
    <w:rsid w:val="00CA1DC0"/>
    <w:rsid w:val="00CA4B7C"/>
    <w:rsid w:val="00CA591D"/>
    <w:rsid w:val="00CA6AB4"/>
    <w:rsid w:val="00CA6C88"/>
    <w:rsid w:val="00CA76F6"/>
    <w:rsid w:val="00CA78F5"/>
    <w:rsid w:val="00CA7BE7"/>
    <w:rsid w:val="00CB0A22"/>
    <w:rsid w:val="00CB1C2E"/>
    <w:rsid w:val="00CB2D0E"/>
    <w:rsid w:val="00CB2F3F"/>
    <w:rsid w:val="00CB340E"/>
    <w:rsid w:val="00CB4930"/>
    <w:rsid w:val="00CB5441"/>
    <w:rsid w:val="00CB67BF"/>
    <w:rsid w:val="00CB67F0"/>
    <w:rsid w:val="00CB6E6E"/>
    <w:rsid w:val="00CC028E"/>
    <w:rsid w:val="00CC06EE"/>
    <w:rsid w:val="00CC08A4"/>
    <w:rsid w:val="00CC0E87"/>
    <w:rsid w:val="00CC1DC5"/>
    <w:rsid w:val="00CC2E7D"/>
    <w:rsid w:val="00CC445E"/>
    <w:rsid w:val="00CC64C1"/>
    <w:rsid w:val="00CC6B42"/>
    <w:rsid w:val="00CC6BB9"/>
    <w:rsid w:val="00CD03BC"/>
    <w:rsid w:val="00CD085A"/>
    <w:rsid w:val="00CD09AC"/>
    <w:rsid w:val="00CD10A5"/>
    <w:rsid w:val="00CD12C0"/>
    <w:rsid w:val="00CD2076"/>
    <w:rsid w:val="00CD22D2"/>
    <w:rsid w:val="00CD29B5"/>
    <w:rsid w:val="00CD4DE9"/>
    <w:rsid w:val="00CD5A9D"/>
    <w:rsid w:val="00CD5D9F"/>
    <w:rsid w:val="00CD5E63"/>
    <w:rsid w:val="00CD6331"/>
    <w:rsid w:val="00CD6C83"/>
    <w:rsid w:val="00CD7494"/>
    <w:rsid w:val="00CD7704"/>
    <w:rsid w:val="00CD7AC0"/>
    <w:rsid w:val="00CD7AFB"/>
    <w:rsid w:val="00CE10DA"/>
    <w:rsid w:val="00CE173A"/>
    <w:rsid w:val="00CE233D"/>
    <w:rsid w:val="00CE27B2"/>
    <w:rsid w:val="00CE3932"/>
    <w:rsid w:val="00CE3E57"/>
    <w:rsid w:val="00CE51C5"/>
    <w:rsid w:val="00CE5794"/>
    <w:rsid w:val="00CE670B"/>
    <w:rsid w:val="00CE74E1"/>
    <w:rsid w:val="00CF11A4"/>
    <w:rsid w:val="00CF19CB"/>
    <w:rsid w:val="00CF2371"/>
    <w:rsid w:val="00CF262D"/>
    <w:rsid w:val="00CF322D"/>
    <w:rsid w:val="00CF39C9"/>
    <w:rsid w:val="00CF4908"/>
    <w:rsid w:val="00CF51EC"/>
    <w:rsid w:val="00CF59E5"/>
    <w:rsid w:val="00CF5CEA"/>
    <w:rsid w:val="00CF6459"/>
    <w:rsid w:val="00CF719E"/>
    <w:rsid w:val="00CF73AE"/>
    <w:rsid w:val="00CF7E85"/>
    <w:rsid w:val="00D00C24"/>
    <w:rsid w:val="00D0105D"/>
    <w:rsid w:val="00D012DB"/>
    <w:rsid w:val="00D0381E"/>
    <w:rsid w:val="00D040DD"/>
    <w:rsid w:val="00D043A0"/>
    <w:rsid w:val="00D04C1F"/>
    <w:rsid w:val="00D06B25"/>
    <w:rsid w:val="00D075BE"/>
    <w:rsid w:val="00D075CF"/>
    <w:rsid w:val="00D07D61"/>
    <w:rsid w:val="00D10999"/>
    <w:rsid w:val="00D11A3A"/>
    <w:rsid w:val="00D12B5B"/>
    <w:rsid w:val="00D13273"/>
    <w:rsid w:val="00D133BB"/>
    <w:rsid w:val="00D13986"/>
    <w:rsid w:val="00D147FE"/>
    <w:rsid w:val="00D15524"/>
    <w:rsid w:val="00D167DC"/>
    <w:rsid w:val="00D168EE"/>
    <w:rsid w:val="00D1753E"/>
    <w:rsid w:val="00D17AA6"/>
    <w:rsid w:val="00D17BB8"/>
    <w:rsid w:val="00D21687"/>
    <w:rsid w:val="00D21D83"/>
    <w:rsid w:val="00D2218D"/>
    <w:rsid w:val="00D2231E"/>
    <w:rsid w:val="00D2296F"/>
    <w:rsid w:val="00D22A86"/>
    <w:rsid w:val="00D235B7"/>
    <w:rsid w:val="00D237A7"/>
    <w:rsid w:val="00D23C02"/>
    <w:rsid w:val="00D23F97"/>
    <w:rsid w:val="00D23F99"/>
    <w:rsid w:val="00D24011"/>
    <w:rsid w:val="00D25F28"/>
    <w:rsid w:val="00D25FD1"/>
    <w:rsid w:val="00D26071"/>
    <w:rsid w:val="00D268CA"/>
    <w:rsid w:val="00D2738E"/>
    <w:rsid w:val="00D2760C"/>
    <w:rsid w:val="00D276BF"/>
    <w:rsid w:val="00D27973"/>
    <w:rsid w:val="00D3074E"/>
    <w:rsid w:val="00D30B3A"/>
    <w:rsid w:val="00D30D0F"/>
    <w:rsid w:val="00D31188"/>
    <w:rsid w:val="00D32468"/>
    <w:rsid w:val="00D35C3D"/>
    <w:rsid w:val="00D35E1A"/>
    <w:rsid w:val="00D36119"/>
    <w:rsid w:val="00D37C1E"/>
    <w:rsid w:val="00D40B2B"/>
    <w:rsid w:val="00D40F7C"/>
    <w:rsid w:val="00D41384"/>
    <w:rsid w:val="00D417B7"/>
    <w:rsid w:val="00D4182F"/>
    <w:rsid w:val="00D42211"/>
    <w:rsid w:val="00D42756"/>
    <w:rsid w:val="00D43F40"/>
    <w:rsid w:val="00D4446D"/>
    <w:rsid w:val="00D445AD"/>
    <w:rsid w:val="00D44F50"/>
    <w:rsid w:val="00D4551E"/>
    <w:rsid w:val="00D45569"/>
    <w:rsid w:val="00D455F5"/>
    <w:rsid w:val="00D458AD"/>
    <w:rsid w:val="00D46FF9"/>
    <w:rsid w:val="00D4758C"/>
    <w:rsid w:val="00D50F46"/>
    <w:rsid w:val="00D51744"/>
    <w:rsid w:val="00D54688"/>
    <w:rsid w:val="00D55033"/>
    <w:rsid w:val="00D567C6"/>
    <w:rsid w:val="00D575B0"/>
    <w:rsid w:val="00D57677"/>
    <w:rsid w:val="00D60773"/>
    <w:rsid w:val="00D60B90"/>
    <w:rsid w:val="00D6190C"/>
    <w:rsid w:val="00D619A8"/>
    <w:rsid w:val="00D61DF8"/>
    <w:rsid w:val="00D61FB9"/>
    <w:rsid w:val="00D62E64"/>
    <w:rsid w:val="00D6320C"/>
    <w:rsid w:val="00D638C8"/>
    <w:rsid w:val="00D6496E"/>
    <w:rsid w:val="00D650C7"/>
    <w:rsid w:val="00D65174"/>
    <w:rsid w:val="00D65537"/>
    <w:rsid w:val="00D658DF"/>
    <w:rsid w:val="00D65B26"/>
    <w:rsid w:val="00D66223"/>
    <w:rsid w:val="00D674D7"/>
    <w:rsid w:val="00D71625"/>
    <w:rsid w:val="00D71B65"/>
    <w:rsid w:val="00D71E43"/>
    <w:rsid w:val="00D7385F"/>
    <w:rsid w:val="00D751DA"/>
    <w:rsid w:val="00D756D2"/>
    <w:rsid w:val="00D76EC6"/>
    <w:rsid w:val="00D76FC3"/>
    <w:rsid w:val="00D7778F"/>
    <w:rsid w:val="00D8084C"/>
    <w:rsid w:val="00D8454D"/>
    <w:rsid w:val="00D865FF"/>
    <w:rsid w:val="00D900EA"/>
    <w:rsid w:val="00D901F4"/>
    <w:rsid w:val="00D915EA"/>
    <w:rsid w:val="00D92636"/>
    <w:rsid w:val="00D92EDA"/>
    <w:rsid w:val="00D9454B"/>
    <w:rsid w:val="00D94BF8"/>
    <w:rsid w:val="00D95195"/>
    <w:rsid w:val="00D95B04"/>
    <w:rsid w:val="00D95B68"/>
    <w:rsid w:val="00D96855"/>
    <w:rsid w:val="00D9785D"/>
    <w:rsid w:val="00DA2756"/>
    <w:rsid w:val="00DA3745"/>
    <w:rsid w:val="00DA3F50"/>
    <w:rsid w:val="00DA44DC"/>
    <w:rsid w:val="00DA47A8"/>
    <w:rsid w:val="00DA48C1"/>
    <w:rsid w:val="00DA724F"/>
    <w:rsid w:val="00DA7C0C"/>
    <w:rsid w:val="00DA7CDD"/>
    <w:rsid w:val="00DB08A9"/>
    <w:rsid w:val="00DB0DA5"/>
    <w:rsid w:val="00DB1019"/>
    <w:rsid w:val="00DB2EC8"/>
    <w:rsid w:val="00DB4AEF"/>
    <w:rsid w:val="00DB4E31"/>
    <w:rsid w:val="00DB5AF8"/>
    <w:rsid w:val="00DB5FC0"/>
    <w:rsid w:val="00DB6035"/>
    <w:rsid w:val="00DB6566"/>
    <w:rsid w:val="00DB77BB"/>
    <w:rsid w:val="00DC048E"/>
    <w:rsid w:val="00DC0DBD"/>
    <w:rsid w:val="00DC1B9B"/>
    <w:rsid w:val="00DC1E84"/>
    <w:rsid w:val="00DC36AA"/>
    <w:rsid w:val="00DC40D2"/>
    <w:rsid w:val="00DC48F1"/>
    <w:rsid w:val="00DC4DB8"/>
    <w:rsid w:val="00DC4EDE"/>
    <w:rsid w:val="00DC53F3"/>
    <w:rsid w:val="00DC5B3B"/>
    <w:rsid w:val="00DC6594"/>
    <w:rsid w:val="00DC788B"/>
    <w:rsid w:val="00DD0A61"/>
    <w:rsid w:val="00DD129F"/>
    <w:rsid w:val="00DD340B"/>
    <w:rsid w:val="00DD3E0E"/>
    <w:rsid w:val="00DD492B"/>
    <w:rsid w:val="00DD4B4B"/>
    <w:rsid w:val="00DD4C01"/>
    <w:rsid w:val="00DD4EFE"/>
    <w:rsid w:val="00DD5B19"/>
    <w:rsid w:val="00DD6243"/>
    <w:rsid w:val="00DD6956"/>
    <w:rsid w:val="00DE020E"/>
    <w:rsid w:val="00DE02BD"/>
    <w:rsid w:val="00DE05F6"/>
    <w:rsid w:val="00DE161B"/>
    <w:rsid w:val="00DE3DE3"/>
    <w:rsid w:val="00DE58BE"/>
    <w:rsid w:val="00DE5DBA"/>
    <w:rsid w:val="00DE7747"/>
    <w:rsid w:val="00DF2766"/>
    <w:rsid w:val="00DF2C89"/>
    <w:rsid w:val="00DF3DF6"/>
    <w:rsid w:val="00DF42FF"/>
    <w:rsid w:val="00DF4A1C"/>
    <w:rsid w:val="00DF5908"/>
    <w:rsid w:val="00DF6241"/>
    <w:rsid w:val="00DF768A"/>
    <w:rsid w:val="00DF7D4E"/>
    <w:rsid w:val="00E00AF8"/>
    <w:rsid w:val="00E01C0E"/>
    <w:rsid w:val="00E01F0A"/>
    <w:rsid w:val="00E0328D"/>
    <w:rsid w:val="00E03F9A"/>
    <w:rsid w:val="00E0465E"/>
    <w:rsid w:val="00E04694"/>
    <w:rsid w:val="00E049AE"/>
    <w:rsid w:val="00E0609D"/>
    <w:rsid w:val="00E06322"/>
    <w:rsid w:val="00E063CE"/>
    <w:rsid w:val="00E06D4B"/>
    <w:rsid w:val="00E0741F"/>
    <w:rsid w:val="00E114D5"/>
    <w:rsid w:val="00E12B1E"/>
    <w:rsid w:val="00E12F7C"/>
    <w:rsid w:val="00E13733"/>
    <w:rsid w:val="00E13784"/>
    <w:rsid w:val="00E13996"/>
    <w:rsid w:val="00E15B76"/>
    <w:rsid w:val="00E15F11"/>
    <w:rsid w:val="00E16208"/>
    <w:rsid w:val="00E16E65"/>
    <w:rsid w:val="00E17262"/>
    <w:rsid w:val="00E17608"/>
    <w:rsid w:val="00E207A9"/>
    <w:rsid w:val="00E20B53"/>
    <w:rsid w:val="00E239CE"/>
    <w:rsid w:val="00E24B6C"/>
    <w:rsid w:val="00E24BFC"/>
    <w:rsid w:val="00E253A2"/>
    <w:rsid w:val="00E25D3B"/>
    <w:rsid w:val="00E26274"/>
    <w:rsid w:val="00E27397"/>
    <w:rsid w:val="00E3030A"/>
    <w:rsid w:val="00E30AD3"/>
    <w:rsid w:val="00E30BB0"/>
    <w:rsid w:val="00E312D1"/>
    <w:rsid w:val="00E314B9"/>
    <w:rsid w:val="00E31932"/>
    <w:rsid w:val="00E31B27"/>
    <w:rsid w:val="00E31BA0"/>
    <w:rsid w:val="00E329EF"/>
    <w:rsid w:val="00E3309D"/>
    <w:rsid w:val="00E3442B"/>
    <w:rsid w:val="00E3680C"/>
    <w:rsid w:val="00E374F4"/>
    <w:rsid w:val="00E409C2"/>
    <w:rsid w:val="00E41A0E"/>
    <w:rsid w:val="00E42316"/>
    <w:rsid w:val="00E430FC"/>
    <w:rsid w:val="00E439D3"/>
    <w:rsid w:val="00E43C1C"/>
    <w:rsid w:val="00E43E9D"/>
    <w:rsid w:val="00E43EC0"/>
    <w:rsid w:val="00E44F51"/>
    <w:rsid w:val="00E45931"/>
    <w:rsid w:val="00E45C44"/>
    <w:rsid w:val="00E45D3D"/>
    <w:rsid w:val="00E4643F"/>
    <w:rsid w:val="00E46F7E"/>
    <w:rsid w:val="00E472EB"/>
    <w:rsid w:val="00E476F4"/>
    <w:rsid w:val="00E47774"/>
    <w:rsid w:val="00E47EBA"/>
    <w:rsid w:val="00E50156"/>
    <w:rsid w:val="00E50469"/>
    <w:rsid w:val="00E5114C"/>
    <w:rsid w:val="00E514E4"/>
    <w:rsid w:val="00E51643"/>
    <w:rsid w:val="00E519FD"/>
    <w:rsid w:val="00E524A3"/>
    <w:rsid w:val="00E53470"/>
    <w:rsid w:val="00E53874"/>
    <w:rsid w:val="00E539F6"/>
    <w:rsid w:val="00E53DAC"/>
    <w:rsid w:val="00E54E39"/>
    <w:rsid w:val="00E55091"/>
    <w:rsid w:val="00E56671"/>
    <w:rsid w:val="00E5780A"/>
    <w:rsid w:val="00E61923"/>
    <w:rsid w:val="00E62BB4"/>
    <w:rsid w:val="00E63040"/>
    <w:rsid w:val="00E64E38"/>
    <w:rsid w:val="00E6519D"/>
    <w:rsid w:val="00E66127"/>
    <w:rsid w:val="00E67696"/>
    <w:rsid w:val="00E67A9F"/>
    <w:rsid w:val="00E7058D"/>
    <w:rsid w:val="00E710BB"/>
    <w:rsid w:val="00E71654"/>
    <w:rsid w:val="00E716AC"/>
    <w:rsid w:val="00E71A58"/>
    <w:rsid w:val="00E72A7A"/>
    <w:rsid w:val="00E7388C"/>
    <w:rsid w:val="00E75C94"/>
    <w:rsid w:val="00E7629E"/>
    <w:rsid w:val="00E7677B"/>
    <w:rsid w:val="00E80858"/>
    <w:rsid w:val="00E80EBB"/>
    <w:rsid w:val="00E81532"/>
    <w:rsid w:val="00E83327"/>
    <w:rsid w:val="00E84024"/>
    <w:rsid w:val="00E849A6"/>
    <w:rsid w:val="00E84B8D"/>
    <w:rsid w:val="00E850DA"/>
    <w:rsid w:val="00E855F6"/>
    <w:rsid w:val="00E85810"/>
    <w:rsid w:val="00E868CA"/>
    <w:rsid w:val="00E87031"/>
    <w:rsid w:val="00E908FB"/>
    <w:rsid w:val="00E90DED"/>
    <w:rsid w:val="00E91024"/>
    <w:rsid w:val="00E920F4"/>
    <w:rsid w:val="00E92EA6"/>
    <w:rsid w:val="00E93125"/>
    <w:rsid w:val="00E93514"/>
    <w:rsid w:val="00E936C9"/>
    <w:rsid w:val="00E93820"/>
    <w:rsid w:val="00E93E62"/>
    <w:rsid w:val="00E944EF"/>
    <w:rsid w:val="00E94A86"/>
    <w:rsid w:val="00E94D5E"/>
    <w:rsid w:val="00E94DB2"/>
    <w:rsid w:val="00E95113"/>
    <w:rsid w:val="00E95491"/>
    <w:rsid w:val="00E9591B"/>
    <w:rsid w:val="00E96143"/>
    <w:rsid w:val="00E967F7"/>
    <w:rsid w:val="00E96CF8"/>
    <w:rsid w:val="00EA0093"/>
    <w:rsid w:val="00EA038B"/>
    <w:rsid w:val="00EA0987"/>
    <w:rsid w:val="00EA0C68"/>
    <w:rsid w:val="00EA22CB"/>
    <w:rsid w:val="00EA2F7F"/>
    <w:rsid w:val="00EA32BC"/>
    <w:rsid w:val="00EA40B7"/>
    <w:rsid w:val="00EA40F6"/>
    <w:rsid w:val="00EA4302"/>
    <w:rsid w:val="00EA4327"/>
    <w:rsid w:val="00EA4391"/>
    <w:rsid w:val="00EA58E5"/>
    <w:rsid w:val="00EA5C8C"/>
    <w:rsid w:val="00EA6058"/>
    <w:rsid w:val="00EA696B"/>
    <w:rsid w:val="00EA6C97"/>
    <w:rsid w:val="00EA7407"/>
    <w:rsid w:val="00EB0418"/>
    <w:rsid w:val="00EB12EE"/>
    <w:rsid w:val="00EB25F1"/>
    <w:rsid w:val="00EB2B67"/>
    <w:rsid w:val="00EB2C86"/>
    <w:rsid w:val="00EB2FA5"/>
    <w:rsid w:val="00EB39C7"/>
    <w:rsid w:val="00EB3D8F"/>
    <w:rsid w:val="00EB4511"/>
    <w:rsid w:val="00EB4A12"/>
    <w:rsid w:val="00EB5180"/>
    <w:rsid w:val="00EB650B"/>
    <w:rsid w:val="00EB7A12"/>
    <w:rsid w:val="00EB7F7C"/>
    <w:rsid w:val="00EC03D7"/>
    <w:rsid w:val="00EC074F"/>
    <w:rsid w:val="00EC0A8B"/>
    <w:rsid w:val="00EC14D7"/>
    <w:rsid w:val="00EC15CC"/>
    <w:rsid w:val="00EC243D"/>
    <w:rsid w:val="00EC2A23"/>
    <w:rsid w:val="00EC313D"/>
    <w:rsid w:val="00EC34CA"/>
    <w:rsid w:val="00EC3C00"/>
    <w:rsid w:val="00EC3C2A"/>
    <w:rsid w:val="00EC6962"/>
    <w:rsid w:val="00EC6FA8"/>
    <w:rsid w:val="00ED049D"/>
    <w:rsid w:val="00ED0692"/>
    <w:rsid w:val="00ED0A16"/>
    <w:rsid w:val="00ED1680"/>
    <w:rsid w:val="00ED27C9"/>
    <w:rsid w:val="00ED40FA"/>
    <w:rsid w:val="00ED5CBD"/>
    <w:rsid w:val="00ED62C6"/>
    <w:rsid w:val="00ED64C1"/>
    <w:rsid w:val="00EE0AE7"/>
    <w:rsid w:val="00EE0E68"/>
    <w:rsid w:val="00EE28A7"/>
    <w:rsid w:val="00EE3374"/>
    <w:rsid w:val="00EE3446"/>
    <w:rsid w:val="00EE3E78"/>
    <w:rsid w:val="00EE4B1B"/>
    <w:rsid w:val="00EE539F"/>
    <w:rsid w:val="00EE7410"/>
    <w:rsid w:val="00EE7684"/>
    <w:rsid w:val="00EE7F19"/>
    <w:rsid w:val="00EF00A4"/>
    <w:rsid w:val="00EF150D"/>
    <w:rsid w:val="00EF1CDA"/>
    <w:rsid w:val="00EF1F5A"/>
    <w:rsid w:val="00EF221F"/>
    <w:rsid w:val="00EF27E6"/>
    <w:rsid w:val="00EF2B3F"/>
    <w:rsid w:val="00EF2CFC"/>
    <w:rsid w:val="00EF3A22"/>
    <w:rsid w:val="00EF47BF"/>
    <w:rsid w:val="00EF64B2"/>
    <w:rsid w:val="00EF6DB3"/>
    <w:rsid w:val="00EF77C4"/>
    <w:rsid w:val="00EF7C70"/>
    <w:rsid w:val="00EF7EA6"/>
    <w:rsid w:val="00F00698"/>
    <w:rsid w:val="00F01008"/>
    <w:rsid w:val="00F02331"/>
    <w:rsid w:val="00F04811"/>
    <w:rsid w:val="00F0488C"/>
    <w:rsid w:val="00F0536E"/>
    <w:rsid w:val="00F05798"/>
    <w:rsid w:val="00F05F7E"/>
    <w:rsid w:val="00F066CF"/>
    <w:rsid w:val="00F06ED4"/>
    <w:rsid w:val="00F07A88"/>
    <w:rsid w:val="00F101CF"/>
    <w:rsid w:val="00F10823"/>
    <w:rsid w:val="00F10941"/>
    <w:rsid w:val="00F10C15"/>
    <w:rsid w:val="00F10F11"/>
    <w:rsid w:val="00F11063"/>
    <w:rsid w:val="00F12D59"/>
    <w:rsid w:val="00F130CC"/>
    <w:rsid w:val="00F132B8"/>
    <w:rsid w:val="00F13B3B"/>
    <w:rsid w:val="00F15AAA"/>
    <w:rsid w:val="00F15BEF"/>
    <w:rsid w:val="00F15D9A"/>
    <w:rsid w:val="00F15FB2"/>
    <w:rsid w:val="00F160D4"/>
    <w:rsid w:val="00F16122"/>
    <w:rsid w:val="00F17E83"/>
    <w:rsid w:val="00F2180B"/>
    <w:rsid w:val="00F21C12"/>
    <w:rsid w:val="00F23D4A"/>
    <w:rsid w:val="00F241FB"/>
    <w:rsid w:val="00F24407"/>
    <w:rsid w:val="00F24931"/>
    <w:rsid w:val="00F24A89"/>
    <w:rsid w:val="00F24FAA"/>
    <w:rsid w:val="00F252A0"/>
    <w:rsid w:val="00F25837"/>
    <w:rsid w:val="00F25B4A"/>
    <w:rsid w:val="00F25DEE"/>
    <w:rsid w:val="00F26464"/>
    <w:rsid w:val="00F27A58"/>
    <w:rsid w:val="00F3012E"/>
    <w:rsid w:val="00F30195"/>
    <w:rsid w:val="00F304B2"/>
    <w:rsid w:val="00F307AF"/>
    <w:rsid w:val="00F319DC"/>
    <w:rsid w:val="00F32A18"/>
    <w:rsid w:val="00F33623"/>
    <w:rsid w:val="00F3364D"/>
    <w:rsid w:val="00F34609"/>
    <w:rsid w:val="00F36977"/>
    <w:rsid w:val="00F41B46"/>
    <w:rsid w:val="00F42B24"/>
    <w:rsid w:val="00F42CA5"/>
    <w:rsid w:val="00F437CC"/>
    <w:rsid w:val="00F43E29"/>
    <w:rsid w:val="00F44537"/>
    <w:rsid w:val="00F44B6A"/>
    <w:rsid w:val="00F4607E"/>
    <w:rsid w:val="00F46325"/>
    <w:rsid w:val="00F468D9"/>
    <w:rsid w:val="00F47067"/>
    <w:rsid w:val="00F472FC"/>
    <w:rsid w:val="00F501F1"/>
    <w:rsid w:val="00F503E4"/>
    <w:rsid w:val="00F50FC3"/>
    <w:rsid w:val="00F51087"/>
    <w:rsid w:val="00F5188A"/>
    <w:rsid w:val="00F52106"/>
    <w:rsid w:val="00F525EB"/>
    <w:rsid w:val="00F52BD7"/>
    <w:rsid w:val="00F5317B"/>
    <w:rsid w:val="00F54D07"/>
    <w:rsid w:val="00F5657D"/>
    <w:rsid w:val="00F61027"/>
    <w:rsid w:val="00F61D00"/>
    <w:rsid w:val="00F624A2"/>
    <w:rsid w:val="00F62AAB"/>
    <w:rsid w:val="00F63A05"/>
    <w:rsid w:val="00F63DDE"/>
    <w:rsid w:val="00F63EF8"/>
    <w:rsid w:val="00F63FB7"/>
    <w:rsid w:val="00F6421B"/>
    <w:rsid w:val="00F643E2"/>
    <w:rsid w:val="00F646E8"/>
    <w:rsid w:val="00F649D2"/>
    <w:rsid w:val="00F65951"/>
    <w:rsid w:val="00F6602B"/>
    <w:rsid w:val="00F6657C"/>
    <w:rsid w:val="00F66643"/>
    <w:rsid w:val="00F66E76"/>
    <w:rsid w:val="00F66FD9"/>
    <w:rsid w:val="00F67C4E"/>
    <w:rsid w:val="00F708C6"/>
    <w:rsid w:val="00F70D20"/>
    <w:rsid w:val="00F71F53"/>
    <w:rsid w:val="00F72275"/>
    <w:rsid w:val="00F72904"/>
    <w:rsid w:val="00F73990"/>
    <w:rsid w:val="00F73A0C"/>
    <w:rsid w:val="00F73F9D"/>
    <w:rsid w:val="00F742A4"/>
    <w:rsid w:val="00F750CF"/>
    <w:rsid w:val="00F756DB"/>
    <w:rsid w:val="00F7728A"/>
    <w:rsid w:val="00F804B9"/>
    <w:rsid w:val="00F8210F"/>
    <w:rsid w:val="00F823E2"/>
    <w:rsid w:val="00F84E7D"/>
    <w:rsid w:val="00F85066"/>
    <w:rsid w:val="00F853CC"/>
    <w:rsid w:val="00F868C6"/>
    <w:rsid w:val="00F87484"/>
    <w:rsid w:val="00F87A4D"/>
    <w:rsid w:val="00F90035"/>
    <w:rsid w:val="00F906CD"/>
    <w:rsid w:val="00F91FCF"/>
    <w:rsid w:val="00F92283"/>
    <w:rsid w:val="00F923AC"/>
    <w:rsid w:val="00F934FE"/>
    <w:rsid w:val="00F93F05"/>
    <w:rsid w:val="00F95FAC"/>
    <w:rsid w:val="00F96D69"/>
    <w:rsid w:val="00F9785E"/>
    <w:rsid w:val="00FA11B5"/>
    <w:rsid w:val="00FA2CD4"/>
    <w:rsid w:val="00FA319D"/>
    <w:rsid w:val="00FA3FF4"/>
    <w:rsid w:val="00FA5D4D"/>
    <w:rsid w:val="00FA60AD"/>
    <w:rsid w:val="00FA6DCA"/>
    <w:rsid w:val="00FA7115"/>
    <w:rsid w:val="00FA76DA"/>
    <w:rsid w:val="00FA7F0A"/>
    <w:rsid w:val="00FA7F4A"/>
    <w:rsid w:val="00FB01E6"/>
    <w:rsid w:val="00FB0EE2"/>
    <w:rsid w:val="00FB18F0"/>
    <w:rsid w:val="00FB28F9"/>
    <w:rsid w:val="00FB2A62"/>
    <w:rsid w:val="00FB4423"/>
    <w:rsid w:val="00FB52BA"/>
    <w:rsid w:val="00FB52DF"/>
    <w:rsid w:val="00FB542E"/>
    <w:rsid w:val="00FB6631"/>
    <w:rsid w:val="00FB6778"/>
    <w:rsid w:val="00FB6BEB"/>
    <w:rsid w:val="00FC08F7"/>
    <w:rsid w:val="00FC0C9E"/>
    <w:rsid w:val="00FC0CF0"/>
    <w:rsid w:val="00FC0D05"/>
    <w:rsid w:val="00FC0E5F"/>
    <w:rsid w:val="00FC1A95"/>
    <w:rsid w:val="00FC227C"/>
    <w:rsid w:val="00FC2455"/>
    <w:rsid w:val="00FC56DE"/>
    <w:rsid w:val="00FC5D41"/>
    <w:rsid w:val="00FC6700"/>
    <w:rsid w:val="00FC684B"/>
    <w:rsid w:val="00FC7F05"/>
    <w:rsid w:val="00FD109B"/>
    <w:rsid w:val="00FD123A"/>
    <w:rsid w:val="00FD1A5F"/>
    <w:rsid w:val="00FD1BAB"/>
    <w:rsid w:val="00FD1E33"/>
    <w:rsid w:val="00FD1FC5"/>
    <w:rsid w:val="00FD2055"/>
    <w:rsid w:val="00FD3265"/>
    <w:rsid w:val="00FD3B95"/>
    <w:rsid w:val="00FD3F24"/>
    <w:rsid w:val="00FD4A5D"/>
    <w:rsid w:val="00FD4CF6"/>
    <w:rsid w:val="00FD4EAC"/>
    <w:rsid w:val="00FD5F03"/>
    <w:rsid w:val="00FD5F92"/>
    <w:rsid w:val="00FD66F9"/>
    <w:rsid w:val="00FD78F8"/>
    <w:rsid w:val="00FD7E05"/>
    <w:rsid w:val="00FE0953"/>
    <w:rsid w:val="00FE2315"/>
    <w:rsid w:val="00FE2F78"/>
    <w:rsid w:val="00FE470B"/>
    <w:rsid w:val="00FF0650"/>
    <w:rsid w:val="00FF153C"/>
    <w:rsid w:val="00FF17D1"/>
    <w:rsid w:val="00FF1EA9"/>
    <w:rsid w:val="00FF21D9"/>
    <w:rsid w:val="00FF2D5D"/>
    <w:rsid w:val="00FF2E47"/>
    <w:rsid w:val="00FF35C4"/>
    <w:rsid w:val="00FF4082"/>
    <w:rsid w:val="00FF4206"/>
    <w:rsid w:val="00FF5A31"/>
    <w:rsid w:val="00FF61F3"/>
    <w:rsid w:val="00FF6DDE"/>
    <w:rsid w:val="00FF7090"/>
    <w:rsid w:val="00FF78AF"/>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val="en-GB"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eng/Makroanal&#253;za%20grafy_e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eng/Makroanal&#253;za%20grafy_e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eng/Makroanal&#253;za%20grafy_e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2240163796014418E-2"/>
          <c:y val="2.3046636085626952E-2"/>
          <c:w val="0.93617042384329663"/>
          <c:h val="0.74192840256670856"/>
        </c:manualLayout>
      </c:layout>
      <c:barChart>
        <c:barDir val="col"/>
        <c:grouping val="clustered"/>
        <c:varyColors val="0"/>
        <c:ser>
          <c:idx val="0"/>
          <c:order val="0"/>
          <c:tx>
            <c:strRef>
              <c:f>'souhrnná výkonnost 1'!$C$4</c:f>
              <c:strCache>
                <c:ptCount val="1"/>
                <c:pt idx="0">
                  <c:v>CR year-on-year change</c:v>
                </c:pt>
              </c:strCache>
            </c:strRef>
          </c:tx>
          <c:spPr>
            <a:solidFill>
              <a:srgbClr val="85898E"/>
            </a:solidFill>
            <a:ln>
              <a:noFill/>
            </a:ln>
          </c:spPr>
          <c:invertIfNegative val="0"/>
          <c:cat>
            <c:multiLvlStrRef>
              <c:f>'souhrnná výkonnost 1'!$A$13:$B$36</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1'!$C$13:$C$36</c:f>
              <c:numCache>
                <c:formatCode>0.0</c:formatCode>
                <c:ptCount val="24"/>
                <c:pt idx="0">
                  <c:v>-1.5351861916054617</c:v>
                </c:pt>
                <c:pt idx="1">
                  <c:v>-10.559587702388853</c:v>
                </c:pt>
                <c:pt idx="2">
                  <c:v>-4.6694083752601188</c:v>
                </c:pt>
                <c:pt idx="3">
                  <c:v>-4.5192273145153194</c:v>
                </c:pt>
                <c:pt idx="4">
                  <c:v>-1.2664124847114806</c:v>
                </c:pt>
                <c:pt idx="5">
                  <c:v>9.7297062446547216</c:v>
                </c:pt>
                <c:pt idx="6">
                  <c:v>3.9961916951869227</c:v>
                </c:pt>
                <c:pt idx="7">
                  <c:v>3.9239124588274592</c:v>
                </c:pt>
                <c:pt idx="8">
                  <c:v>4.8491281313959291</c:v>
                </c:pt>
                <c:pt idx="9">
                  <c:v>3.6598190972935782</c:v>
                </c:pt>
                <c:pt idx="10">
                  <c:v>2.0291799214766684</c:v>
                </c:pt>
                <c:pt idx="11">
                  <c:v>0.95170963681438536</c:v>
                </c:pt>
                <c:pt idx="12">
                  <c:v>0.26248598087539676</c:v>
                </c:pt>
                <c:pt idx="13">
                  <c:v>0.21777400207922426</c:v>
                </c:pt>
                <c:pt idx="14">
                  <c:v>-0.2818883582691285</c:v>
                </c:pt>
                <c:pt idx="15">
                  <c:v>0.48633188147042006</c:v>
                </c:pt>
                <c:pt idx="16">
                  <c:v>0.50112217790925229</c:v>
                </c:pt>
                <c:pt idx="17">
                  <c:v>0.53795436954789011</c:v>
                </c:pt>
                <c:pt idx="18">
                  <c:v>1.5167845788735406</c:v>
                </c:pt>
                <c:pt idx="19">
                  <c:v>1.9540450586190872</c:v>
                </c:pt>
                <c:pt idx="20">
                  <c:v>2.4336347581521522</c:v>
                </c:pt>
                <c:pt idx="21">
                  <c:v>2.5962890487377024</c:v>
                </c:pt>
                <c:pt idx="22">
                  <c:v>2.7833123155343031</c:v>
                </c:pt>
                <c:pt idx="23">
                  <c:v>2.5574982004102083</c:v>
                </c:pt>
              </c:numCache>
            </c:numRef>
          </c:val>
          <c:extLst>
            <c:ext xmlns:c16="http://schemas.microsoft.com/office/drawing/2014/chart" uri="{C3380CC4-5D6E-409C-BE32-E72D297353CC}">
              <c16:uniqueId val="{00000000-1374-4F50-A9C2-FD72F7E04A72}"/>
            </c:ext>
          </c:extLst>
        </c:ser>
        <c:ser>
          <c:idx val="1"/>
          <c:order val="1"/>
          <c:tx>
            <c:strRef>
              <c:f>'souhrnná výkonnost 1'!$D$4</c:f>
              <c:strCache>
                <c:ptCount val="1"/>
                <c:pt idx="0">
                  <c:v>EU28 year-on-year change</c:v>
                </c:pt>
              </c:strCache>
            </c:strRef>
          </c:tx>
          <c:spPr>
            <a:solidFill>
              <a:srgbClr val="B8BBC0"/>
            </a:solidFill>
            <a:ln>
              <a:noFill/>
            </a:ln>
          </c:spPr>
          <c:invertIfNegative val="0"/>
          <c:cat>
            <c:multiLvlStrRef>
              <c:f>'souhrnná výkonnost 1'!$A$13:$B$36</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1'!$D$13:$D$36</c:f>
              <c:numCache>
                <c:formatCode>#\ ##0.##########</c:formatCode>
                <c:ptCount val="24"/>
                <c:pt idx="0">
                  <c:v>-2.2000000000000002</c:v>
                </c:pt>
                <c:pt idx="1">
                  <c:v>-13.1</c:v>
                </c:pt>
                <c:pt idx="2">
                  <c:v>-3.9</c:v>
                </c:pt>
                <c:pt idx="3">
                  <c:v>-3.5</c:v>
                </c:pt>
                <c:pt idx="4">
                  <c:v>0.3</c:v>
                </c:pt>
                <c:pt idx="5">
                  <c:v>14.7</c:v>
                </c:pt>
                <c:pt idx="6">
                  <c:v>5.3</c:v>
                </c:pt>
                <c:pt idx="7">
                  <c:v>5.8</c:v>
                </c:pt>
                <c:pt idx="8">
                  <c:v>5.6</c:v>
                </c:pt>
                <c:pt idx="9">
                  <c:v>4.2</c:v>
                </c:pt>
                <c:pt idx="10">
                  <c:v>2.9</c:v>
                </c:pt>
                <c:pt idx="11">
                  <c:v>1.8</c:v>
                </c:pt>
                <c:pt idx="12">
                  <c:v>1.2</c:v>
                </c:pt>
                <c:pt idx="13">
                  <c:v>0.4</c:v>
                </c:pt>
                <c:pt idx="14">
                  <c:v>0.1</c:v>
                </c:pt>
                <c:pt idx="15">
                  <c:v>0.4</c:v>
                </c:pt>
                <c:pt idx="16">
                  <c:v>0.6</c:v>
                </c:pt>
                <c:pt idx="17">
                  <c:v>0.8</c:v>
                </c:pt>
                <c:pt idx="18">
                  <c:v>1.1000000000000001</c:v>
                </c:pt>
                <c:pt idx="19">
                  <c:v>1.5</c:v>
                </c:pt>
                <c:pt idx="20">
                  <c:v>1.7</c:v>
                </c:pt>
                <c:pt idx="21">
                  <c:v>1.7</c:v>
                </c:pt>
                <c:pt idx="22">
                  <c:v>1.7</c:v>
                </c:pt>
                <c:pt idx="23">
                  <c:v>1.4</c:v>
                </c:pt>
              </c:numCache>
            </c:numRef>
          </c:val>
          <c:extLst>
            <c:ext xmlns:c16="http://schemas.microsoft.com/office/drawing/2014/chart" uri="{C3380CC4-5D6E-409C-BE32-E72D297353CC}">
              <c16:uniqueId val="{00000001-1374-4F50-A9C2-FD72F7E04A72}"/>
            </c:ext>
          </c:extLst>
        </c:ser>
        <c:dLbls>
          <c:showLegendKey val="0"/>
          <c:showVal val="0"/>
          <c:showCatName val="0"/>
          <c:showSerName val="0"/>
          <c:showPercent val="0"/>
          <c:showBubbleSize val="0"/>
        </c:dLbls>
        <c:gapWidth val="100"/>
        <c:axId val="115054080"/>
        <c:axId val="115056000"/>
      </c:barChart>
      <c:lineChart>
        <c:grouping val="standard"/>
        <c:varyColors val="0"/>
        <c:ser>
          <c:idx val="2"/>
          <c:order val="2"/>
          <c:tx>
            <c:strRef>
              <c:f>'souhrnná výkonnost 1'!$E$4</c:f>
              <c:strCache>
                <c:ptCount val="1"/>
                <c:pt idx="0">
                  <c:v>ČR quarter-on-quarter change</c:v>
                </c:pt>
              </c:strCache>
            </c:strRef>
          </c:tx>
          <c:spPr>
            <a:ln w="19050">
              <a:noFill/>
            </a:ln>
          </c:spPr>
          <c:marker>
            <c:symbol val="dash"/>
            <c:size val="8"/>
            <c:spPr>
              <a:solidFill>
                <a:srgbClr val="009CB5"/>
              </a:solidFill>
              <a:ln>
                <a:noFill/>
              </a:ln>
            </c:spPr>
          </c:marker>
          <c:cat>
            <c:multiLvlStrRef>
              <c:f>'souhrnná výkonnost 1'!$A$13:$B$36</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1'!$E$13:$E$36</c:f>
              <c:numCache>
                <c:formatCode>0.0</c:formatCode>
                <c:ptCount val="24"/>
                <c:pt idx="0">
                  <c:v>-3.2943412602672453</c:v>
                </c:pt>
                <c:pt idx="1">
                  <c:v>-8.7133959463388635</c:v>
                </c:pt>
                <c:pt idx="2">
                  <c:v>7.3327293273359544</c:v>
                </c:pt>
                <c:pt idx="3">
                  <c:v>0.76850445129137768</c:v>
                </c:pt>
                <c:pt idx="4">
                  <c:v>2.0267802636908527E-4</c:v>
                </c:pt>
                <c:pt idx="5">
                  <c:v>1.4533402357052267</c:v>
                </c:pt>
                <c:pt idx="6">
                  <c:v>1.724459823175593</c:v>
                </c:pt>
                <c:pt idx="7">
                  <c:v>0.69846851601238313</c:v>
                </c:pt>
                <c:pt idx="8">
                  <c:v>0.89048627675430225</c:v>
                </c:pt>
                <c:pt idx="9">
                  <c:v>0.30254979774397839</c:v>
                </c:pt>
                <c:pt idx="10">
                  <c:v>0.12426515979501573</c:v>
                </c:pt>
                <c:pt idx="11">
                  <c:v>-0.36494890653776224</c:v>
                </c:pt>
                <c:pt idx="12">
                  <c:v>0.20168060866517123</c:v>
                </c:pt>
                <c:pt idx="13">
                  <c:v>0.25781995251938383</c:v>
                </c:pt>
                <c:pt idx="14">
                  <c:v>-0.37493098735598096</c:v>
                </c:pt>
                <c:pt idx="15">
                  <c:v>0.4026314414784764</c:v>
                </c:pt>
                <c:pt idx="16">
                  <c:v>0.21642900809541743</c:v>
                </c:pt>
                <c:pt idx="17">
                  <c:v>0.29456297745026916</c:v>
                </c:pt>
                <c:pt idx="18">
                  <c:v>0.59501143654981092</c:v>
                </c:pt>
                <c:pt idx="19">
                  <c:v>0.83509295977751208</c:v>
                </c:pt>
                <c:pt idx="20">
                  <c:v>0.68784499800180754</c:v>
                </c:pt>
                <c:pt idx="21">
                  <c:v>0.45382063758503932</c:v>
                </c:pt>
                <c:pt idx="22">
                  <c:v>0.77838656480000168</c:v>
                </c:pt>
                <c:pt idx="23">
                  <c:v>0.61355906699667173</c:v>
                </c:pt>
              </c:numCache>
            </c:numRef>
          </c:val>
          <c:smooth val="0"/>
          <c:extLst>
            <c:ext xmlns:c16="http://schemas.microsoft.com/office/drawing/2014/chart" uri="{C3380CC4-5D6E-409C-BE32-E72D297353CC}">
              <c16:uniqueId val="{00000002-1374-4F50-A9C2-FD72F7E04A72}"/>
            </c:ext>
          </c:extLst>
        </c:ser>
        <c:ser>
          <c:idx val="3"/>
          <c:order val="3"/>
          <c:tx>
            <c:strRef>
              <c:f>'souhrnná výkonnost 1'!$F$4</c:f>
              <c:strCache>
                <c:ptCount val="1"/>
                <c:pt idx="0">
                  <c:v>EU28 quarter-on-quarter change</c:v>
                </c:pt>
              </c:strCache>
            </c:strRef>
          </c:tx>
          <c:spPr>
            <a:ln w="19050">
              <a:noFill/>
            </a:ln>
          </c:spPr>
          <c:marker>
            <c:symbol val="dash"/>
            <c:size val="8"/>
            <c:spPr>
              <a:solidFill>
                <a:srgbClr val="BC5B80"/>
              </a:solidFill>
              <a:ln>
                <a:noFill/>
              </a:ln>
            </c:spPr>
          </c:marker>
          <c:cat>
            <c:multiLvlStrRef>
              <c:f>'souhrnná výkonnost 1'!$A$13:$B$36</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1'!$F$13:$F$36</c:f>
              <c:numCache>
                <c:formatCode>#\ ##0.##########</c:formatCode>
                <c:ptCount val="24"/>
                <c:pt idx="0">
                  <c:v>-2.9</c:v>
                </c:pt>
                <c:pt idx="1">
                  <c:v>-10.8</c:v>
                </c:pt>
                <c:pt idx="2">
                  <c:v>10.8</c:v>
                </c:pt>
                <c:pt idx="3">
                  <c:v>0.5</c:v>
                </c:pt>
                <c:pt idx="4">
                  <c:v>0.9</c:v>
                </c:pt>
                <c:pt idx="5">
                  <c:v>2.1</c:v>
                </c:pt>
                <c:pt idx="6">
                  <c:v>1.7</c:v>
                </c:pt>
                <c:pt idx="7" formatCode="#\ ##0.0">
                  <c:v>1</c:v>
                </c:pt>
                <c:pt idx="8">
                  <c:v>0.7</c:v>
                </c:pt>
                <c:pt idx="9">
                  <c:v>0.8</c:v>
                </c:pt>
                <c:pt idx="10">
                  <c:v>0.4</c:v>
                </c:pt>
                <c:pt idx="11">
                  <c:v>-0.2</c:v>
                </c:pt>
                <c:pt idx="12">
                  <c:v>0.1</c:v>
                </c:pt>
                <c:pt idx="13">
                  <c:v>0.1</c:v>
                </c:pt>
                <c:pt idx="14">
                  <c:v>0.1</c:v>
                </c:pt>
                <c:pt idx="15">
                  <c:v>0.1</c:v>
                </c:pt>
                <c:pt idx="16">
                  <c:v>0.4</c:v>
                </c:pt>
                <c:pt idx="17">
                  <c:v>0.3</c:v>
                </c:pt>
                <c:pt idx="18">
                  <c:v>0.4</c:v>
                </c:pt>
                <c:pt idx="19">
                  <c:v>0.5</c:v>
                </c:pt>
                <c:pt idx="20">
                  <c:v>0.5</c:v>
                </c:pt>
                <c:pt idx="21">
                  <c:v>0.3</c:v>
                </c:pt>
                <c:pt idx="22">
                  <c:v>0.4</c:v>
                </c:pt>
                <c:pt idx="23">
                  <c:v>0.2</c:v>
                </c:pt>
              </c:numCache>
            </c:numRef>
          </c:val>
          <c:smooth val="0"/>
          <c:extLst>
            <c:ext xmlns:c16="http://schemas.microsoft.com/office/drawing/2014/chart" uri="{C3380CC4-5D6E-409C-BE32-E72D297353CC}">
              <c16:uniqueId val="{00000003-1374-4F50-A9C2-FD72F7E04A72}"/>
            </c:ext>
          </c:extLst>
        </c:ser>
        <c:dLbls>
          <c:showLegendKey val="0"/>
          <c:showVal val="0"/>
          <c:showCatName val="0"/>
          <c:showSerName val="0"/>
          <c:showPercent val="0"/>
          <c:showBubbleSize val="0"/>
        </c:dLbls>
        <c:marker val="1"/>
        <c:smooth val="0"/>
        <c:axId val="115054080"/>
        <c:axId val="115056000"/>
      </c:lineChart>
      <c:catAx>
        <c:axId val="115054080"/>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15056000"/>
        <c:crosses val="autoZero"/>
        <c:auto val="1"/>
        <c:lblAlgn val="ctr"/>
        <c:lblOffset val="100"/>
        <c:noMultiLvlLbl val="0"/>
      </c:catAx>
      <c:valAx>
        <c:axId val="115056000"/>
        <c:scaling>
          <c:orientation val="minMax"/>
          <c:max val="15"/>
          <c:min val="-15"/>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054080"/>
        <c:crosses val="autoZero"/>
        <c:crossBetween val="between"/>
        <c:majorUnit val="3"/>
      </c:valAx>
      <c:spPr>
        <a:ln>
          <a:solidFill>
            <a:schemeClr val="tx1"/>
          </a:solidFill>
        </a:ln>
      </c:spPr>
    </c:plotArea>
    <c:legend>
      <c:legendPos val="b"/>
      <c:layout>
        <c:manualLayout>
          <c:xMode val="edge"/>
          <c:yMode val="edge"/>
          <c:x val="5.0375530939407026E-2"/>
          <c:y val="0.89437255125717996"/>
          <c:w val="0.92644083516900477"/>
          <c:h val="9.0301755758791014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948352704928246E-2"/>
          <c:y val="2.8458510079622041E-2"/>
          <c:w val="0.93956464282120367"/>
          <c:h val="0.6497469886299676"/>
        </c:manualLayout>
      </c:layout>
      <c:barChart>
        <c:barDir val="col"/>
        <c:grouping val="stacked"/>
        <c:varyColors val="0"/>
        <c:ser>
          <c:idx val="1"/>
          <c:order val="0"/>
          <c:tx>
            <c:strRef>
              <c:f>'souhrnná výkonnost 3'!$F$5</c:f>
              <c:strCache>
                <c:ptCount val="1"/>
                <c:pt idx="0">
                  <c:v>Foreign trade balance</c:v>
                </c:pt>
              </c:strCache>
            </c:strRef>
          </c:tx>
          <c:spPr>
            <a:solidFill>
              <a:srgbClr val="86BF5E"/>
            </a:solidFill>
            <a:ln>
              <a:noFill/>
            </a:ln>
          </c:spPr>
          <c:invertIfNegative val="0"/>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3'!$F$14:$F$37</c:f>
              <c:numCache>
                <c:formatCode>#\ ##0.0</c:formatCode>
                <c:ptCount val="24"/>
                <c:pt idx="0">
                  <c:v>-1.5220098818172303</c:v>
                </c:pt>
                <c:pt idx="1">
                  <c:v>-8.6080644896923371</c:v>
                </c:pt>
                <c:pt idx="2">
                  <c:v>-0.87113777913486379</c:v>
                </c:pt>
                <c:pt idx="3">
                  <c:v>1.614021737138305</c:v>
                </c:pt>
                <c:pt idx="4">
                  <c:v>1.00806823267428</c:v>
                </c:pt>
                <c:pt idx="5">
                  <c:v>6.0445409199098634</c:v>
                </c:pt>
                <c:pt idx="6">
                  <c:v>-3.6147534072472292</c:v>
                </c:pt>
                <c:pt idx="7">
                  <c:v>-3.6138200235464661</c:v>
                </c:pt>
                <c:pt idx="8">
                  <c:v>-1.7829602338092709</c:v>
                </c:pt>
                <c:pt idx="9">
                  <c:v>-0.36779214215191103</c:v>
                </c:pt>
                <c:pt idx="10">
                  <c:v>3.4250247402899241</c:v>
                </c:pt>
                <c:pt idx="11">
                  <c:v>1.5571662732257714</c:v>
                </c:pt>
                <c:pt idx="12">
                  <c:v>1.389081636710952</c:v>
                </c:pt>
                <c:pt idx="13">
                  <c:v>2.0848251500495598</c:v>
                </c:pt>
                <c:pt idx="14">
                  <c:v>-6.9193170333818277E-2</c:v>
                </c:pt>
                <c:pt idx="15">
                  <c:v>1.9371733646297469</c:v>
                </c:pt>
                <c:pt idx="16">
                  <c:v>1.3656021569064456</c:v>
                </c:pt>
                <c:pt idx="17">
                  <c:v>0.55718364150554223</c:v>
                </c:pt>
                <c:pt idx="18">
                  <c:v>0.70240933543370643</c:v>
                </c:pt>
                <c:pt idx="19">
                  <c:v>-0.99272856503726026</c:v>
                </c:pt>
                <c:pt idx="20">
                  <c:v>-1.7593788662101151E-2</c:v>
                </c:pt>
                <c:pt idx="21">
                  <c:v>-0.37568878287551799</c:v>
                </c:pt>
                <c:pt idx="22">
                  <c:v>0.22560583536934153</c:v>
                </c:pt>
                <c:pt idx="23">
                  <c:v>0.67080215712061486</c:v>
                </c:pt>
              </c:numCache>
            </c:numRef>
          </c:val>
          <c:extLst>
            <c:ext xmlns:c16="http://schemas.microsoft.com/office/drawing/2014/chart" uri="{C3380CC4-5D6E-409C-BE32-E72D297353CC}">
              <c16:uniqueId val="{00000000-52E8-4BFE-B4D1-114707C26B37}"/>
            </c:ext>
          </c:extLst>
        </c:ser>
        <c:ser>
          <c:idx val="2"/>
          <c:order val="1"/>
          <c:tx>
            <c:strRef>
              <c:f>'souhrnná výkonnost 3'!$H$5</c:f>
              <c:strCache>
                <c:ptCount val="1"/>
                <c:pt idx="0">
                  <c:v>Change in inventories</c:v>
                </c:pt>
              </c:strCache>
            </c:strRef>
          </c:tx>
          <c:spPr>
            <a:solidFill>
              <a:srgbClr val="D8A7B7"/>
            </a:solidFill>
            <a:ln>
              <a:noFill/>
            </a:ln>
          </c:spPr>
          <c:invertIfNegative val="0"/>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3'!$H$14:$H$37</c:f>
              <c:numCache>
                <c:formatCode>#\ ##0.0</c:formatCode>
                <c:ptCount val="24"/>
                <c:pt idx="0">
                  <c:v>-0.41142612595158018</c:v>
                </c:pt>
                <c:pt idx="1">
                  <c:v>0.47087204680237044</c:v>
                </c:pt>
                <c:pt idx="2">
                  <c:v>-1.2262407779150233</c:v>
                </c:pt>
                <c:pt idx="3">
                  <c:v>-2.1516080620905655</c:v>
                </c:pt>
                <c:pt idx="4">
                  <c:v>0.31270763257798917</c:v>
                </c:pt>
                <c:pt idx="5">
                  <c:v>0.61650741218595939</c:v>
                </c:pt>
                <c:pt idx="6">
                  <c:v>2.6077548225619727</c:v>
                </c:pt>
                <c:pt idx="7">
                  <c:v>1.4587483911788564</c:v>
                </c:pt>
                <c:pt idx="8">
                  <c:v>0.7370032046500693</c:v>
                </c:pt>
                <c:pt idx="9">
                  <c:v>1.6997333429922492</c:v>
                </c:pt>
                <c:pt idx="10">
                  <c:v>-0.76175295397537413</c:v>
                </c:pt>
                <c:pt idx="11">
                  <c:v>0.95369117492959898</c:v>
                </c:pt>
                <c:pt idx="12">
                  <c:v>0.47915445264561807</c:v>
                </c:pt>
                <c:pt idx="13">
                  <c:v>-1.4971510065677742</c:v>
                </c:pt>
                <c:pt idx="14">
                  <c:v>-0.50712143488440276</c:v>
                </c:pt>
                <c:pt idx="15">
                  <c:v>-3.4417223821981748</c:v>
                </c:pt>
                <c:pt idx="16">
                  <c:v>-2.7592900025370692</c:v>
                </c:pt>
                <c:pt idx="17">
                  <c:v>-0.69852262297165268</c:v>
                </c:pt>
                <c:pt idx="18">
                  <c:v>0.16687464100094435</c:v>
                </c:pt>
                <c:pt idx="19">
                  <c:v>2.62714578191486</c:v>
                </c:pt>
                <c:pt idx="20">
                  <c:v>1.8936486449738312</c:v>
                </c:pt>
                <c:pt idx="21">
                  <c:v>1.2072690642491575</c:v>
                </c:pt>
                <c:pt idx="22">
                  <c:v>0.41112719795444386</c:v>
                </c:pt>
                <c:pt idx="23">
                  <c:v>-0.96493077823615525</c:v>
                </c:pt>
              </c:numCache>
            </c:numRef>
          </c:val>
          <c:extLst>
            <c:ext xmlns:c16="http://schemas.microsoft.com/office/drawing/2014/chart" uri="{C3380CC4-5D6E-409C-BE32-E72D297353CC}">
              <c16:uniqueId val="{00000001-52E8-4BFE-B4D1-114707C26B37}"/>
            </c:ext>
          </c:extLst>
        </c:ser>
        <c:ser>
          <c:idx val="3"/>
          <c:order val="2"/>
          <c:tx>
            <c:strRef>
              <c:f>'souhrnná výkonnost 3'!$G$5</c:f>
              <c:strCache>
                <c:ptCount val="1"/>
                <c:pt idx="0">
                  <c:v>Gross fixed capital formation</c:v>
                </c:pt>
              </c:strCache>
            </c:strRef>
          </c:tx>
          <c:spPr>
            <a:solidFill>
              <a:srgbClr val="BC5B80"/>
            </a:solidFill>
            <a:ln>
              <a:noFill/>
            </a:ln>
          </c:spPr>
          <c:invertIfNegative val="0"/>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3'!$G$14:$G$37</c:f>
              <c:numCache>
                <c:formatCode>#\ ##0.0</c:formatCode>
                <c:ptCount val="24"/>
                <c:pt idx="0">
                  <c:v>-0.26700598408244552</c:v>
                </c:pt>
                <c:pt idx="1">
                  <c:v>0.17117214561128005</c:v>
                </c:pt>
                <c:pt idx="2">
                  <c:v>-1.0835608783889494</c:v>
                </c:pt>
                <c:pt idx="3">
                  <c:v>-1.2503151391513465</c:v>
                </c:pt>
                <c:pt idx="4">
                  <c:v>0.19329716710704048</c:v>
                </c:pt>
                <c:pt idx="5">
                  <c:v>4.4129877412921126E-2</c:v>
                </c:pt>
                <c:pt idx="6">
                  <c:v>1.9442632515958205</c:v>
                </c:pt>
                <c:pt idx="7">
                  <c:v>2.0044020268363827</c:v>
                </c:pt>
                <c:pt idx="8">
                  <c:v>2.0518449819968736</c:v>
                </c:pt>
                <c:pt idx="9">
                  <c:v>1.4499382287130853</c:v>
                </c:pt>
                <c:pt idx="10">
                  <c:v>0.92691645618860796</c:v>
                </c:pt>
                <c:pt idx="11">
                  <c:v>0.8739358711392371</c:v>
                </c:pt>
                <c:pt idx="12">
                  <c:v>0.34095431774632395</c:v>
                </c:pt>
                <c:pt idx="13">
                  <c:v>0.87661322433525268</c:v>
                </c:pt>
                <c:pt idx="14">
                  <c:v>0.8151154367611948</c:v>
                </c:pt>
                <c:pt idx="15">
                  <c:v>0.96102158219447764</c:v>
                </c:pt>
                <c:pt idx="16">
                  <c:v>0.30346748665372919</c:v>
                </c:pt>
                <c:pt idx="17">
                  <c:v>-0.48069417125986957</c:v>
                </c:pt>
                <c:pt idx="18">
                  <c:v>-0.87280673126229236</c:v>
                </c:pt>
                <c:pt idx="19">
                  <c:v>-1.332707794600857</c:v>
                </c:pt>
                <c:pt idx="20">
                  <c:v>-0.50752902708722225</c:v>
                </c:pt>
                <c:pt idx="21">
                  <c:v>8.7079348973971321E-2</c:v>
                </c:pt>
                <c:pt idx="22">
                  <c:v>0.58656405454890914</c:v>
                </c:pt>
                <c:pt idx="23">
                  <c:v>1.1914367699610569</c:v>
                </c:pt>
              </c:numCache>
            </c:numRef>
          </c:val>
          <c:extLst>
            <c:ext xmlns:c16="http://schemas.microsoft.com/office/drawing/2014/chart" uri="{C3380CC4-5D6E-409C-BE32-E72D297353CC}">
              <c16:uniqueId val="{00000002-52E8-4BFE-B4D1-114707C26B37}"/>
            </c:ext>
          </c:extLst>
        </c:ser>
        <c:ser>
          <c:idx val="5"/>
          <c:order val="4"/>
          <c:tx>
            <c:strRef>
              <c:f>'souhrnná výkonnost 3'!$D$5</c:f>
              <c:strCache>
                <c:ptCount val="1"/>
                <c:pt idx="0">
                  <c:v>Final consumption expenditure of households (inc. non-profit inst.)</c:v>
                </c:pt>
              </c:strCache>
            </c:strRef>
          </c:tx>
          <c:spPr>
            <a:solidFill>
              <a:srgbClr val="009CB5"/>
            </a:solidFill>
            <a:ln>
              <a:noFill/>
            </a:ln>
          </c:spPr>
          <c:invertIfNegative val="0"/>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3'!$D$14:$D$37</c:f>
              <c:numCache>
                <c:formatCode>#\ ##0.0</c:formatCode>
                <c:ptCount val="24"/>
                <c:pt idx="0">
                  <c:v>-0.20652462785548492</c:v>
                </c:pt>
                <c:pt idx="1">
                  <c:v>-3.1846278495284714</c:v>
                </c:pt>
                <c:pt idx="2">
                  <c:v>-1.7932936482460928</c:v>
                </c:pt>
                <c:pt idx="3">
                  <c:v>-4.1601529367988528</c:v>
                </c:pt>
                <c:pt idx="4">
                  <c:v>-2.7114582495040898</c:v>
                </c:pt>
                <c:pt idx="5">
                  <c:v>3.0643008969551713</c:v>
                </c:pt>
                <c:pt idx="6">
                  <c:v>1.9670161927809442</c:v>
                </c:pt>
                <c:pt idx="7">
                  <c:v>3.8180993600086053</c:v>
                </c:pt>
                <c:pt idx="8">
                  <c:v>3.31386782283117</c:v>
                </c:pt>
                <c:pt idx="9">
                  <c:v>0.16881001369198514</c:v>
                </c:pt>
                <c:pt idx="10">
                  <c:v>-1.3101813511687193</c:v>
                </c:pt>
                <c:pt idx="11">
                  <c:v>-2.089708487125038</c:v>
                </c:pt>
                <c:pt idx="12">
                  <c:v>-2.6013321896959831</c:v>
                </c:pt>
                <c:pt idx="13">
                  <c:v>-1.7057384010523833</c:v>
                </c:pt>
                <c:pt idx="14">
                  <c:v>-1.1009050834144585</c:v>
                </c:pt>
                <c:pt idx="15">
                  <c:v>0.28178742175377886</c:v>
                </c:pt>
                <c:pt idx="16">
                  <c:v>1.0137894571059509</c:v>
                </c:pt>
                <c:pt idx="17">
                  <c:v>0.32301326056167923</c:v>
                </c:pt>
                <c:pt idx="18">
                  <c:v>0.74204257138144858</c:v>
                </c:pt>
                <c:pt idx="19">
                  <c:v>0.97184134487184903</c:v>
                </c:pt>
                <c:pt idx="20">
                  <c:v>0.70181007938438944</c:v>
                </c:pt>
                <c:pt idx="21">
                  <c:v>1.2324382827855747</c:v>
                </c:pt>
                <c:pt idx="22">
                  <c:v>1.1283868796699228</c:v>
                </c:pt>
                <c:pt idx="23">
                  <c:v>1.140433516521199</c:v>
                </c:pt>
              </c:numCache>
            </c:numRef>
          </c:val>
          <c:extLst>
            <c:ext xmlns:c16="http://schemas.microsoft.com/office/drawing/2014/chart" uri="{C3380CC4-5D6E-409C-BE32-E72D297353CC}">
              <c16:uniqueId val="{00000003-52E8-4BFE-B4D1-114707C26B37}"/>
            </c:ext>
          </c:extLst>
        </c:ser>
        <c:ser>
          <c:idx val="4"/>
          <c:order val="5"/>
          <c:tx>
            <c:strRef>
              <c:f>'souhrnná výkonnost 3'!$E$5</c:f>
              <c:strCache>
                <c:ptCount val="1"/>
                <c:pt idx="0">
                  <c:v>Final consumption expenditure of government institutions</c:v>
                </c:pt>
              </c:strCache>
            </c:strRef>
          </c:tx>
          <c:spPr>
            <a:solidFill>
              <a:srgbClr val="9FC9D7"/>
            </a:solidFill>
            <a:ln>
              <a:noFill/>
            </a:ln>
          </c:spPr>
          <c:invertIfNegative val="0"/>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3'!$E$14:$E$37</c:f>
              <c:numCache>
                <c:formatCode>#\ ##0.0</c:formatCode>
                <c:ptCount val="24"/>
                <c:pt idx="0">
                  <c:v>0.86512840343977537</c:v>
                </c:pt>
                <c:pt idx="1">
                  <c:v>0.57364238954899127</c:v>
                </c:pt>
                <c:pt idx="2">
                  <c:v>0.30782450653884724</c:v>
                </c:pt>
                <c:pt idx="3">
                  <c:v>1.4124984433188399</c:v>
                </c:pt>
                <c:pt idx="4">
                  <c:v>-0.11329209027996652</c:v>
                </c:pt>
                <c:pt idx="5">
                  <c:v>-7.0904860317901872E-2</c:v>
                </c:pt>
                <c:pt idx="6">
                  <c:v>0.99024135484615394</c:v>
                </c:pt>
                <c:pt idx="7">
                  <c:v>8.7306640760843102E-2</c:v>
                </c:pt>
                <c:pt idx="8">
                  <c:v>0.39862222919793239</c:v>
                </c:pt>
                <c:pt idx="9">
                  <c:v>0.55855858849053874</c:v>
                </c:pt>
                <c:pt idx="10">
                  <c:v>-0.333976366812193</c:v>
                </c:pt>
                <c:pt idx="11">
                  <c:v>-0.31055874129171235</c:v>
                </c:pt>
                <c:pt idx="12">
                  <c:v>0.59888687487615944</c:v>
                </c:pt>
                <c:pt idx="13">
                  <c:v>0.46547224810803889</c:v>
                </c:pt>
                <c:pt idx="14">
                  <c:v>0.57996402837612049</c:v>
                </c:pt>
                <c:pt idx="15">
                  <c:v>0.62077939777900504</c:v>
                </c:pt>
                <c:pt idx="16">
                  <c:v>0.4976218135363028</c:v>
                </c:pt>
                <c:pt idx="17">
                  <c:v>0.71118296182321328</c:v>
                </c:pt>
                <c:pt idx="18">
                  <c:v>0.64263920955276566</c:v>
                </c:pt>
                <c:pt idx="19">
                  <c:v>0.61804008890538431</c:v>
                </c:pt>
                <c:pt idx="20">
                  <c:v>0.33913099174035255</c:v>
                </c:pt>
                <c:pt idx="21">
                  <c:v>0.41279419041996912</c:v>
                </c:pt>
                <c:pt idx="22">
                  <c:v>0.40700528769182204</c:v>
                </c:pt>
                <c:pt idx="23">
                  <c:v>0.47708380893619212</c:v>
                </c:pt>
              </c:numCache>
            </c:numRef>
          </c:val>
          <c:extLst>
            <c:ext xmlns:c16="http://schemas.microsoft.com/office/drawing/2014/chart" uri="{C3380CC4-5D6E-409C-BE32-E72D297353CC}">
              <c16:uniqueId val="{00000004-52E8-4BFE-B4D1-114707C26B37}"/>
            </c:ext>
          </c:extLst>
        </c:ser>
        <c:dLbls>
          <c:showLegendKey val="0"/>
          <c:showVal val="0"/>
          <c:showCatName val="0"/>
          <c:showSerName val="0"/>
          <c:showPercent val="0"/>
          <c:showBubbleSize val="0"/>
        </c:dLbls>
        <c:gapWidth val="90"/>
        <c:overlap val="100"/>
        <c:axId val="115206784"/>
        <c:axId val="115286400"/>
      </c:barChart>
      <c:lineChart>
        <c:grouping val="standard"/>
        <c:varyColors val="0"/>
        <c:ser>
          <c:idx val="0"/>
          <c:order val="3"/>
          <c:tx>
            <c:strRef>
              <c:f>'souhrnná výkonnost 3'!$C$5</c:f>
              <c:strCache>
                <c:ptCount val="1"/>
                <c:pt idx="0">
                  <c:v>GDP</c:v>
                </c:pt>
              </c:strCache>
            </c:strRef>
          </c:tx>
          <c:spPr>
            <a:ln>
              <a:solidFill>
                <a:prstClr val="black"/>
              </a:solidFill>
            </a:ln>
          </c:spPr>
          <c:marker>
            <c:symbol val="none"/>
          </c:marker>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3'!$C$14:$C$37</c:f>
              <c:numCache>
                <c:formatCode>#\ ##0.0</c:formatCode>
                <c:ptCount val="24"/>
                <c:pt idx="0">
                  <c:v>-1.5351860152398018</c:v>
                </c:pt>
                <c:pt idx="1">
                  <c:v>-10.559588208597859</c:v>
                </c:pt>
                <c:pt idx="2">
                  <c:v>-4.6693672774553789</c:v>
                </c:pt>
                <c:pt idx="3">
                  <c:v>-4.5192220435162938</c:v>
                </c:pt>
                <c:pt idx="4">
                  <c:v>-1.2664242830816619</c:v>
                </c:pt>
                <c:pt idx="5">
                  <c:v>9.7297344586924766</c:v>
                </c:pt>
                <c:pt idx="6">
                  <c:v>3.996179947304455</c:v>
                </c:pt>
                <c:pt idx="7">
                  <c:v>3.9239119810993373</c:v>
                </c:pt>
                <c:pt idx="8">
                  <c:v>4.8491184646536567</c:v>
                </c:pt>
                <c:pt idx="9">
                  <c:v>3.6598013831556528</c:v>
                </c:pt>
                <c:pt idx="10">
                  <c:v>2.0291770951442913</c:v>
                </c:pt>
                <c:pt idx="11">
                  <c:v>0.95170578002515072</c:v>
                </c:pt>
                <c:pt idx="12">
                  <c:v>0.26249013974401691</c:v>
                </c:pt>
                <c:pt idx="13">
                  <c:v>0.21779356784705328</c:v>
                </c:pt>
                <c:pt idx="14">
                  <c:v>-0.28185838328641921</c:v>
                </c:pt>
                <c:pt idx="15">
                  <c:v>0.48630488598595889</c:v>
                </c:pt>
                <c:pt idx="16">
                  <c:v>0.50109966208633239</c:v>
                </c:pt>
                <c:pt idx="17">
                  <c:v>0.53792839687616834</c:v>
                </c:pt>
                <c:pt idx="18">
                  <c:v>1.5167593336196603</c:v>
                </c:pt>
                <c:pt idx="19">
                  <c:v>1.9540920716112566</c:v>
                </c:pt>
                <c:pt idx="20">
                  <c:v>2.4336713698293693</c:v>
                </c:pt>
                <c:pt idx="21">
                  <c:v>2.5963071293802358</c:v>
                </c:pt>
                <c:pt idx="22">
                  <c:v>2.7833074905334314</c:v>
                </c:pt>
                <c:pt idx="23">
                  <c:v>2.5575048195052972</c:v>
                </c:pt>
              </c:numCache>
            </c:numRef>
          </c:val>
          <c:smooth val="0"/>
          <c:extLst>
            <c:ext xmlns:c16="http://schemas.microsoft.com/office/drawing/2014/chart" uri="{C3380CC4-5D6E-409C-BE32-E72D297353CC}">
              <c16:uniqueId val="{00000005-52E8-4BFE-B4D1-114707C26B37}"/>
            </c:ext>
          </c:extLst>
        </c:ser>
        <c:dLbls>
          <c:showLegendKey val="0"/>
          <c:showVal val="0"/>
          <c:showCatName val="0"/>
          <c:showSerName val="0"/>
          <c:showPercent val="0"/>
          <c:showBubbleSize val="0"/>
        </c:dLbls>
        <c:marker val="1"/>
        <c:smooth val="0"/>
        <c:axId val="115206784"/>
        <c:axId val="115286400"/>
      </c:lineChart>
      <c:catAx>
        <c:axId val="115206784"/>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115286400"/>
        <c:crosses val="autoZero"/>
        <c:auto val="1"/>
        <c:lblAlgn val="ctr"/>
        <c:lblOffset val="100"/>
        <c:noMultiLvlLbl val="0"/>
      </c:catAx>
      <c:valAx>
        <c:axId val="115286400"/>
        <c:scaling>
          <c:orientation val="minMax"/>
          <c:max val="10"/>
          <c:min val="-12"/>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206784"/>
        <c:crosses val="autoZero"/>
        <c:crossBetween val="between"/>
        <c:majorUnit val="2"/>
      </c:valAx>
      <c:spPr>
        <a:ln>
          <a:solidFill>
            <a:schemeClr val="tx1"/>
          </a:solidFill>
        </a:ln>
      </c:spPr>
    </c:plotArea>
    <c:legend>
      <c:legendPos val="b"/>
      <c:layout>
        <c:manualLayout>
          <c:xMode val="edge"/>
          <c:yMode val="edge"/>
          <c:x val="5.2922564529558701E-2"/>
          <c:y val="0.79687874638673362"/>
          <c:w val="0.93952929520758033"/>
          <c:h val="0.20312125361326638"/>
        </c:manualLayout>
      </c:layout>
      <c:overlay val="0"/>
      <c:spPr>
        <a:ln w="6350">
          <a:no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404035346808687E-2"/>
          <c:y val="3.7154479717354444E-2"/>
          <c:w val="0.93674937195830332"/>
          <c:h val="0.63445260610154264"/>
        </c:manualLayout>
      </c:layout>
      <c:barChart>
        <c:barDir val="col"/>
        <c:grouping val="stacked"/>
        <c:varyColors val="0"/>
        <c:ser>
          <c:idx val="4"/>
          <c:order val="0"/>
          <c:tx>
            <c:strRef>
              <c:f>'souhrnná výkonnost 4'!$C$5</c:f>
              <c:strCache>
                <c:ptCount val="1"/>
                <c:pt idx="0">
                  <c:v>Agriculture, forestry and fishing</c:v>
                </c:pt>
              </c:strCache>
            </c:strRef>
          </c:tx>
          <c:spPr>
            <a:solidFill>
              <a:srgbClr val="7DBB2D"/>
            </a:solidFill>
            <a:ln>
              <a:noFill/>
            </a:ln>
          </c:spPr>
          <c:invertIfNegative val="0"/>
          <c:cat>
            <c:multiLvlStrRef>
              <c:f>'souhrnná výkonnost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4'!$C$14:$C$37</c:f>
              <c:numCache>
                <c:formatCode>#\ ##0.0</c:formatCode>
                <c:ptCount val="24"/>
                <c:pt idx="0">
                  <c:v>0.20474410757490741</c:v>
                </c:pt>
                <c:pt idx="1">
                  <c:v>0.18193909338973391</c:v>
                </c:pt>
                <c:pt idx="2">
                  <c:v>0.12986799571839833</c:v>
                </c:pt>
                <c:pt idx="3">
                  <c:v>6.0774672253045774E-2</c:v>
                </c:pt>
                <c:pt idx="4">
                  <c:v>-0.21896810900573507</c:v>
                </c:pt>
                <c:pt idx="5">
                  <c:v>-0.35546246774022089</c:v>
                </c:pt>
                <c:pt idx="6">
                  <c:v>-0.31345773827216172</c:v>
                </c:pt>
                <c:pt idx="7">
                  <c:v>-0.28221462677607811</c:v>
                </c:pt>
                <c:pt idx="8">
                  <c:v>-2.7607081723218754E-2</c:v>
                </c:pt>
                <c:pt idx="9">
                  <c:v>8.8416510484459823E-2</c:v>
                </c:pt>
                <c:pt idx="10">
                  <c:v>0.11003669694477575</c:v>
                </c:pt>
                <c:pt idx="11">
                  <c:v>-7.1734601521123695E-2</c:v>
                </c:pt>
                <c:pt idx="12">
                  <c:v>0.55251546503756477</c:v>
                </c:pt>
                <c:pt idx="13">
                  <c:v>0.43246198901845179</c:v>
                </c:pt>
                <c:pt idx="14">
                  <c:v>0.26031798923309352</c:v>
                </c:pt>
                <c:pt idx="15">
                  <c:v>0.57187060565368231</c:v>
                </c:pt>
                <c:pt idx="16">
                  <c:v>-9.2484293084104385E-2</c:v>
                </c:pt>
                <c:pt idx="17">
                  <c:v>1.5763907422232673E-2</c:v>
                </c:pt>
                <c:pt idx="18">
                  <c:v>0.16060866097379706</c:v>
                </c:pt>
                <c:pt idx="19">
                  <c:v>4.0801953905620608E-2</c:v>
                </c:pt>
                <c:pt idx="20">
                  <c:v>6.6142073173369412E-2</c:v>
                </c:pt>
                <c:pt idx="21">
                  <c:v>6.9252296314730344E-2</c:v>
                </c:pt>
                <c:pt idx="22">
                  <c:v>7.5663251456639199E-2</c:v>
                </c:pt>
                <c:pt idx="23">
                  <c:v>7.6138284642775167E-2</c:v>
                </c:pt>
              </c:numCache>
            </c:numRef>
          </c:val>
          <c:extLst>
            <c:ext xmlns:c16="http://schemas.microsoft.com/office/drawing/2014/chart" uri="{C3380CC4-5D6E-409C-BE32-E72D297353CC}">
              <c16:uniqueId val="{00000000-D861-4ACE-AFF9-39061A39B8A8}"/>
            </c:ext>
          </c:extLst>
        </c:ser>
        <c:ser>
          <c:idx val="1"/>
          <c:order val="1"/>
          <c:tx>
            <c:strRef>
              <c:f>'souhrnná výkonnost 4'!$F$5</c:f>
              <c:strCache>
                <c:ptCount val="1"/>
                <c:pt idx="0">
                  <c:v>Construction</c:v>
                </c:pt>
              </c:strCache>
            </c:strRef>
          </c:tx>
          <c:spPr>
            <a:solidFill>
              <a:srgbClr val="174F70"/>
            </a:solidFill>
            <a:ln>
              <a:noFill/>
            </a:ln>
          </c:spPr>
          <c:invertIfNegative val="0"/>
          <c:cat>
            <c:multiLvlStrRef>
              <c:f>'souhrnná výkonnost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4'!$F$14:$F$37</c:f>
              <c:numCache>
                <c:formatCode>#\ ##0.0</c:formatCode>
                <c:ptCount val="24"/>
                <c:pt idx="0">
                  <c:v>-0.30166772298617284</c:v>
                </c:pt>
                <c:pt idx="1">
                  <c:v>-0.48053456061289057</c:v>
                </c:pt>
                <c:pt idx="2">
                  <c:v>-0.45378387986882363</c:v>
                </c:pt>
                <c:pt idx="3">
                  <c:v>-0.43586476428987242</c:v>
                </c:pt>
                <c:pt idx="4">
                  <c:v>-0.33833459958051637</c:v>
                </c:pt>
                <c:pt idx="5">
                  <c:v>-6.4883402484855884E-2</c:v>
                </c:pt>
                <c:pt idx="6">
                  <c:v>-5.6735775192007655E-2</c:v>
                </c:pt>
                <c:pt idx="7">
                  <c:v>-0.11209281400825521</c:v>
                </c:pt>
                <c:pt idx="8">
                  <c:v>-0.10546033608204923</c:v>
                </c:pt>
                <c:pt idx="9">
                  <c:v>-0.29054660345106559</c:v>
                </c:pt>
                <c:pt idx="10">
                  <c:v>-0.451821017159387</c:v>
                </c:pt>
                <c:pt idx="11">
                  <c:v>-0.32901397344166938</c:v>
                </c:pt>
                <c:pt idx="12">
                  <c:v>-0.13840591105504113</c:v>
                </c:pt>
                <c:pt idx="13">
                  <c:v>-1.2903984714601602E-2</c:v>
                </c:pt>
                <c:pt idx="14">
                  <c:v>0.1616031723963629</c:v>
                </c:pt>
                <c:pt idx="15">
                  <c:v>3.5760466298751591E-2</c:v>
                </c:pt>
                <c:pt idx="16">
                  <c:v>3.2788154642874101E-2</c:v>
                </c:pt>
                <c:pt idx="17">
                  <c:v>2.0320941881718829E-2</c:v>
                </c:pt>
                <c:pt idx="18">
                  <c:v>2.2792210802845641E-2</c:v>
                </c:pt>
                <c:pt idx="19">
                  <c:v>0.12360584964670659</c:v>
                </c:pt>
                <c:pt idx="20">
                  <c:v>0.26578753913466358</c:v>
                </c:pt>
                <c:pt idx="21">
                  <c:v>0.3825604512050701</c:v>
                </c:pt>
                <c:pt idx="22">
                  <c:v>0.55363100581088176</c:v>
                </c:pt>
                <c:pt idx="23">
                  <c:v>0.3116678757757167</c:v>
                </c:pt>
              </c:numCache>
            </c:numRef>
          </c:val>
          <c:extLst>
            <c:ext xmlns:c16="http://schemas.microsoft.com/office/drawing/2014/chart" uri="{C3380CC4-5D6E-409C-BE32-E72D297353CC}">
              <c16:uniqueId val="{00000001-D861-4ACE-AFF9-39061A39B8A8}"/>
            </c:ext>
          </c:extLst>
        </c:ser>
        <c:ser>
          <c:idx val="2"/>
          <c:order val="2"/>
          <c:tx>
            <c:strRef>
              <c:f>'souhrnná výkonnost 4'!$E$5</c:f>
              <c:strCache>
                <c:ptCount val="1"/>
                <c:pt idx="0">
                  <c:v>Other industrial branches (CZ-NACE B,D,E)</c:v>
                </c:pt>
              </c:strCache>
            </c:strRef>
          </c:tx>
          <c:spPr>
            <a:solidFill>
              <a:srgbClr val="9FC9D7"/>
            </a:solidFill>
            <a:ln>
              <a:noFill/>
            </a:ln>
          </c:spPr>
          <c:invertIfNegative val="0"/>
          <c:cat>
            <c:multiLvlStrRef>
              <c:f>'souhrnná výkonnost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4'!$E$14:$E$37</c:f>
              <c:numCache>
                <c:formatCode>#\ ##0.0</c:formatCode>
                <c:ptCount val="24"/>
                <c:pt idx="0">
                  <c:v>-0.19031586783510557</c:v>
                </c:pt>
                <c:pt idx="1">
                  <c:v>-0.24885055868865447</c:v>
                </c:pt>
                <c:pt idx="2">
                  <c:v>-6.8100757785281907E-2</c:v>
                </c:pt>
                <c:pt idx="3">
                  <c:v>8.6873524737786978E-2</c:v>
                </c:pt>
                <c:pt idx="4">
                  <c:v>0.37090166603725971</c:v>
                </c:pt>
                <c:pt idx="5">
                  <c:v>0.43449287266447101</c:v>
                </c:pt>
                <c:pt idx="6">
                  <c:v>0.30466221362414897</c:v>
                </c:pt>
                <c:pt idx="7">
                  <c:v>1.7094673925321713E-2</c:v>
                </c:pt>
                <c:pt idx="8">
                  <c:v>-0.49498548983118773</c:v>
                </c:pt>
                <c:pt idx="9">
                  <c:v>-0.36703909153071357</c:v>
                </c:pt>
                <c:pt idx="10">
                  <c:v>-0.58289817942589317</c:v>
                </c:pt>
                <c:pt idx="11">
                  <c:v>-0.85284564576950173</c:v>
                </c:pt>
                <c:pt idx="12">
                  <c:v>-0.72089004231394793</c:v>
                </c:pt>
                <c:pt idx="13">
                  <c:v>-0.9587984772254694</c:v>
                </c:pt>
                <c:pt idx="14">
                  <c:v>-0.86317511484719223</c:v>
                </c:pt>
                <c:pt idx="15">
                  <c:v>-0.50223553688522504</c:v>
                </c:pt>
                <c:pt idx="16">
                  <c:v>-7.7240003452301531E-2</c:v>
                </c:pt>
                <c:pt idx="17">
                  <c:v>0.12703981604473547</c:v>
                </c:pt>
                <c:pt idx="18">
                  <c:v>0.25583372727332165</c:v>
                </c:pt>
                <c:pt idx="19">
                  <c:v>0.18500163447617468</c:v>
                </c:pt>
                <c:pt idx="20">
                  <c:v>0.14122285837562884</c:v>
                </c:pt>
                <c:pt idx="21">
                  <c:v>0.19424883401953347</c:v>
                </c:pt>
                <c:pt idx="22">
                  <c:v>0.10605257367440112</c:v>
                </c:pt>
                <c:pt idx="23">
                  <c:v>3.915439334887405E-2</c:v>
                </c:pt>
              </c:numCache>
            </c:numRef>
          </c:val>
          <c:extLst>
            <c:ext xmlns:c16="http://schemas.microsoft.com/office/drawing/2014/chart" uri="{C3380CC4-5D6E-409C-BE32-E72D297353CC}">
              <c16:uniqueId val="{00000002-D861-4ACE-AFF9-39061A39B8A8}"/>
            </c:ext>
          </c:extLst>
        </c:ser>
        <c:ser>
          <c:idx val="3"/>
          <c:order val="3"/>
          <c:tx>
            <c:strRef>
              <c:f>'souhrnná výkonnost 4'!$D$5</c:f>
              <c:strCache>
                <c:ptCount val="1"/>
                <c:pt idx="0">
                  <c:v>Manufacturing (CZ-NACE C)</c:v>
                </c:pt>
              </c:strCache>
            </c:strRef>
          </c:tx>
          <c:spPr>
            <a:solidFill>
              <a:srgbClr val="009CB5"/>
            </a:solidFill>
            <a:ln>
              <a:noFill/>
            </a:ln>
          </c:spPr>
          <c:invertIfNegative val="0"/>
          <c:cat>
            <c:multiLvlStrRef>
              <c:f>'souhrnná výkonnost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4'!$D$14:$D$37</c:f>
              <c:numCache>
                <c:formatCode>#\ ##0.0</c:formatCode>
                <c:ptCount val="24"/>
                <c:pt idx="0">
                  <c:v>-0.99913036972300806</c:v>
                </c:pt>
                <c:pt idx="1">
                  <c:v>-5.8646555137341574</c:v>
                </c:pt>
                <c:pt idx="2">
                  <c:v>-2.1534841805298068</c:v>
                </c:pt>
                <c:pt idx="3">
                  <c:v>-1.5540721517892744</c:v>
                </c:pt>
                <c:pt idx="4">
                  <c:v>-0.79750382840225398</c:v>
                </c:pt>
                <c:pt idx="5">
                  <c:v>3.9909379237888789</c:v>
                </c:pt>
                <c:pt idx="6">
                  <c:v>-0.74858711455149796</c:v>
                </c:pt>
                <c:pt idx="7">
                  <c:v>-0.90527326488749837</c:v>
                </c:pt>
                <c:pt idx="8">
                  <c:v>0.68544605235729006</c:v>
                </c:pt>
                <c:pt idx="9">
                  <c:v>1.6014259985527444</c:v>
                </c:pt>
                <c:pt idx="10">
                  <c:v>2.2123375450016312</c:v>
                </c:pt>
                <c:pt idx="11">
                  <c:v>2.6313203520667794</c:v>
                </c:pt>
                <c:pt idx="12">
                  <c:v>1.6312980907507209</c:v>
                </c:pt>
                <c:pt idx="13">
                  <c:v>1.105966757109025</c:v>
                </c:pt>
                <c:pt idx="14">
                  <c:v>0.58899302624669825</c:v>
                </c:pt>
                <c:pt idx="15">
                  <c:v>0.50026396716330868</c:v>
                </c:pt>
                <c:pt idx="16">
                  <c:v>-0.97314885656961803</c:v>
                </c:pt>
                <c:pt idx="17">
                  <c:v>-1.3133220466188547</c:v>
                </c:pt>
                <c:pt idx="18">
                  <c:v>-0.73770683474410603</c:v>
                </c:pt>
                <c:pt idx="19">
                  <c:v>-1.0591488873237926</c:v>
                </c:pt>
                <c:pt idx="20">
                  <c:v>0.10619860832019534</c:v>
                </c:pt>
                <c:pt idx="21">
                  <c:v>0.39309904501994147</c:v>
                </c:pt>
                <c:pt idx="22">
                  <c:v>8.9567423934869259E-2</c:v>
                </c:pt>
                <c:pt idx="23">
                  <c:v>0.53564923901138273</c:v>
                </c:pt>
              </c:numCache>
            </c:numRef>
          </c:val>
          <c:extLst>
            <c:ext xmlns:c16="http://schemas.microsoft.com/office/drawing/2014/chart" uri="{C3380CC4-5D6E-409C-BE32-E72D297353CC}">
              <c16:uniqueId val="{00000003-D861-4ACE-AFF9-39061A39B8A8}"/>
            </c:ext>
          </c:extLst>
        </c:ser>
        <c:ser>
          <c:idx val="0"/>
          <c:order val="4"/>
          <c:tx>
            <c:strRef>
              <c:f>'souhrnná výkonnost 4'!$G$5</c:f>
              <c:strCache>
                <c:ptCount val="1"/>
                <c:pt idx="0">
                  <c:v>Services (CZ-NACE G to U)</c:v>
                </c:pt>
              </c:strCache>
            </c:strRef>
          </c:tx>
          <c:spPr>
            <a:solidFill>
              <a:srgbClr val="BC5B80"/>
            </a:solidFill>
            <a:ln>
              <a:noFill/>
            </a:ln>
          </c:spPr>
          <c:invertIfNegative val="0"/>
          <c:cat>
            <c:multiLvlStrRef>
              <c:f>'souhrnná výkonnost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4'!$G$14:$G$37</c:f>
              <c:numCache>
                <c:formatCode>#\ ##0.0</c:formatCode>
                <c:ptCount val="24"/>
                <c:pt idx="0">
                  <c:v>7.093155569492321E-2</c:v>
                </c:pt>
                <c:pt idx="1">
                  <c:v>-4.3045407242818117</c:v>
                </c:pt>
                <c:pt idx="2">
                  <c:v>-1.7237030445478896</c:v>
                </c:pt>
                <c:pt idx="3">
                  <c:v>-2.2257304528365829</c:v>
                </c:pt>
                <c:pt idx="4">
                  <c:v>-0.13287358134730987</c:v>
                </c:pt>
                <c:pt idx="5">
                  <c:v>6.0094667700580624</c:v>
                </c:pt>
                <c:pt idx="6">
                  <c:v>4.4583427477661246</c:v>
                </c:pt>
                <c:pt idx="7">
                  <c:v>4.7441380023749824</c:v>
                </c:pt>
                <c:pt idx="8">
                  <c:v>4.2794753272124808</c:v>
                </c:pt>
                <c:pt idx="9">
                  <c:v>2.6644708506253814</c:v>
                </c:pt>
                <c:pt idx="10">
                  <c:v>0.75291420064175929</c:v>
                </c:pt>
                <c:pt idx="11">
                  <c:v>0.24070555003152422</c:v>
                </c:pt>
                <c:pt idx="12">
                  <c:v>0.21267121835186337</c:v>
                </c:pt>
                <c:pt idx="13">
                  <c:v>9.5064594177366207E-2</c:v>
                </c:pt>
                <c:pt idx="14">
                  <c:v>0.17753332068364941</c:v>
                </c:pt>
                <c:pt idx="15">
                  <c:v>-0.33669513337032031</c:v>
                </c:pt>
                <c:pt idx="16">
                  <c:v>0.5628897258482618</c:v>
                </c:pt>
                <c:pt idx="17">
                  <c:v>1.1508415136414849</c:v>
                </c:pt>
                <c:pt idx="18">
                  <c:v>1.3525782035243568</c:v>
                </c:pt>
                <c:pt idx="19">
                  <c:v>2.1230818104608744</c:v>
                </c:pt>
                <c:pt idx="20">
                  <c:v>2.0898613930157879</c:v>
                </c:pt>
                <c:pt idx="21">
                  <c:v>1.7582549561810406</c:v>
                </c:pt>
                <c:pt idx="22">
                  <c:v>2.0498560627420264</c:v>
                </c:pt>
                <c:pt idx="23">
                  <c:v>1.8134045628609765</c:v>
                </c:pt>
              </c:numCache>
            </c:numRef>
          </c:val>
          <c:extLst>
            <c:ext xmlns:c16="http://schemas.microsoft.com/office/drawing/2014/chart" uri="{C3380CC4-5D6E-409C-BE32-E72D297353CC}">
              <c16:uniqueId val="{00000004-D861-4ACE-AFF9-39061A39B8A8}"/>
            </c:ext>
          </c:extLst>
        </c:ser>
        <c:dLbls>
          <c:showLegendKey val="0"/>
          <c:showVal val="0"/>
          <c:showCatName val="0"/>
          <c:showSerName val="0"/>
          <c:showPercent val="0"/>
          <c:showBubbleSize val="0"/>
        </c:dLbls>
        <c:gapWidth val="70"/>
        <c:overlap val="100"/>
        <c:axId val="115446144"/>
        <c:axId val="115447680"/>
      </c:barChart>
      <c:lineChart>
        <c:grouping val="standard"/>
        <c:varyColors val="0"/>
        <c:ser>
          <c:idx val="5"/>
          <c:order val="5"/>
          <c:tx>
            <c:strRef>
              <c:f>'souhrnná výkonnost 4'!$H$5</c:f>
              <c:strCache>
                <c:ptCount val="1"/>
                <c:pt idx="0">
                  <c:v>Total gross value added</c:v>
                </c:pt>
              </c:strCache>
            </c:strRef>
          </c:tx>
          <c:spPr>
            <a:ln w="19050">
              <a:solidFill>
                <a:prstClr val="black"/>
              </a:solidFill>
            </a:ln>
          </c:spPr>
          <c:marker>
            <c:symbol val="none"/>
          </c:marker>
          <c:cat>
            <c:multiLvlStrRef>
              <c:f>'souhrnná výkonnost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4'!$H$14:$H$37</c:f>
              <c:numCache>
                <c:formatCode>#\ ##0.0</c:formatCode>
                <c:ptCount val="24"/>
                <c:pt idx="0">
                  <c:v>-1.2153058513710135</c:v>
                </c:pt>
                <c:pt idx="1">
                  <c:v>-10.716443173048049</c:v>
                </c:pt>
                <c:pt idx="2">
                  <c:v>-4.2693530438049407</c:v>
                </c:pt>
                <c:pt idx="3">
                  <c:v>-4.0682252377118857</c:v>
                </c:pt>
                <c:pt idx="4">
                  <c:v>-1.1167681102123339</c:v>
                </c:pt>
                <c:pt idx="5">
                  <c:v>10.014414773055606</c:v>
                </c:pt>
                <c:pt idx="6">
                  <c:v>3.6442422755888657</c:v>
                </c:pt>
                <c:pt idx="7">
                  <c:v>3.4619136451914159</c:v>
                </c:pt>
                <c:pt idx="8">
                  <c:v>4.3369045569128275</c:v>
                </c:pt>
                <c:pt idx="9">
                  <c:v>3.6967487112593602</c:v>
                </c:pt>
                <c:pt idx="10">
                  <c:v>2.0405324001032739</c:v>
                </c:pt>
                <c:pt idx="11">
                  <c:v>1.6183474426606779</c:v>
                </c:pt>
                <c:pt idx="12">
                  <c:v>1.5370994075002642</c:v>
                </c:pt>
                <c:pt idx="13">
                  <c:v>0.66174660015900599</c:v>
                </c:pt>
                <c:pt idx="14">
                  <c:v>0.32525261895825963</c:v>
                </c:pt>
                <c:pt idx="15">
                  <c:v>0.26916645993897248</c:v>
                </c:pt>
                <c:pt idx="16">
                  <c:v>-0.54725583809319289</c:v>
                </c:pt>
                <c:pt idx="17">
                  <c:v>6.9891165477997674E-4</c:v>
                </c:pt>
                <c:pt idx="18">
                  <c:v>1.0542044185658739</c:v>
                </c:pt>
                <c:pt idx="19">
                  <c:v>1.4132267851239675</c:v>
                </c:pt>
                <c:pt idx="20">
                  <c:v>2.6691992752886193</c:v>
                </c:pt>
                <c:pt idx="21">
                  <c:v>2.7973044563693463</c:v>
                </c:pt>
                <c:pt idx="22">
                  <c:v>2.8746592022160371</c:v>
                </c:pt>
                <c:pt idx="23">
                  <c:v>2.7763841605447084</c:v>
                </c:pt>
              </c:numCache>
            </c:numRef>
          </c:val>
          <c:smooth val="0"/>
          <c:extLst>
            <c:ext xmlns:c16="http://schemas.microsoft.com/office/drawing/2014/chart" uri="{C3380CC4-5D6E-409C-BE32-E72D297353CC}">
              <c16:uniqueId val="{00000005-D861-4ACE-AFF9-39061A39B8A8}"/>
            </c:ext>
          </c:extLst>
        </c:ser>
        <c:dLbls>
          <c:showLegendKey val="0"/>
          <c:showVal val="0"/>
          <c:showCatName val="0"/>
          <c:showSerName val="0"/>
          <c:showPercent val="0"/>
          <c:showBubbleSize val="0"/>
        </c:dLbls>
        <c:marker val="1"/>
        <c:smooth val="0"/>
        <c:axId val="115446144"/>
        <c:axId val="115447680"/>
      </c:lineChart>
      <c:catAx>
        <c:axId val="115446144"/>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115447680"/>
        <c:crosses val="autoZero"/>
        <c:auto val="1"/>
        <c:lblAlgn val="ctr"/>
        <c:lblOffset val="100"/>
        <c:noMultiLvlLbl val="0"/>
      </c:catAx>
      <c:valAx>
        <c:axId val="115447680"/>
        <c:scaling>
          <c:orientation val="minMax"/>
          <c:max val="12"/>
          <c:min val="-12"/>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446144"/>
        <c:crosses val="autoZero"/>
        <c:crossBetween val="between"/>
        <c:majorUnit val="2"/>
      </c:valAx>
      <c:spPr>
        <a:ln>
          <a:solidFill>
            <a:schemeClr val="tx1"/>
          </a:solidFill>
        </a:ln>
      </c:spPr>
    </c:plotArea>
    <c:legend>
      <c:legendPos val="b"/>
      <c:layout>
        <c:manualLayout>
          <c:xMode val="edge"/>
          <c:yMode val="edge"/>
          <c:x val="4.8782884397989404E-2"/>
          <c:y val="0.79016604750647301"/>
          <c:w val="0.92922619274506457"/>
          <c:h val="0.19462484520995055"/>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83CEA5EB905EA4A80C471566B3EA34E" ma:contentTypeVersion="4" ma:contentTypeDescription="Vytvoří nový dokument" ma:contentTypeScope="" ma:versionID="665595f58a29ebd0fb50f52fd1a3fb16">
  <xsd:schema xmlns:xsd="http://www.w3.org/2001/XMLSchema" xmlns:xs="http://www.w3.org/2001/XMLSchema" xmlns:p="http://schemas.microsoft.com/office/2006/metadata/properties" xmlns:ns2="7af72279-59da-4f02-a702-8316938752d7" targetNamespace="http://schemas.microsoft.com/office/2006/metadata/properties" ma:root="true" ma:fieldsID="8b23c26673a00a9a43ab51476a2e445e" ns2:_="">
    <xsd:import namespace="7af72279-59da-4f02-a702-8316938752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2279-59da-4f02-a702-831693875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customXml/itemProps2.xml><?xml version="1.0" encoding="utf-8"?>
<ds:datastoreItem xmlns:ds="http://schemas.openxmlformats.org/officeDocument/2006/customXml" ds:itemID="{BCCC6C72-FE0A-4006-8736-F1547CB6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2279-59da-4f02-a702-831693875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A8A1E1-1E99-4B4F-B9B5-70567730A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Pages>
  <Words>2046</Words>
  <Characters>12078</Characters>
  <Application>Microsoft Office Word</Application>
  <DocSecurity>0</DocSecurity>
  <Lines>100</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CSU</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49</cp:revision>
  <cp:lastPrinted>2014-07-17T14:07:00Z</cp:lastPrinted>
  <dcterms:created xsi:type="dcterms:W3CDTF">2026-04-14T10:07:00Z</dcterms:created>
  <dcterms:modified xsi:type="dcterms:W3CDTF">2026-04-16T10:42:00Z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0x010100A83CEA5EB905EA4A80C471566B3EA34E</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SIP_Label_29db9e61-aac5-4f6e-805d-ceb8cb9983a1_Enabled">
    <vt:lpwstr>true</vt:lpwstr>
  </property>
  <property fmtid="{D5CDD505-2E9C-101B-9397-08002B2CF9AE}" pid="17" name="MSIP_Label_29db9e61-aac5-4f6e-805d-ceb8cb9983a1_SetDate">
    <vt:lpwstr>2026-03-20T16:21:23Z</vt:lpwstr>
  </property>
  <property fmtid="{D5CDD505-2E9C-101B-9397-08002B2CF9AE}" pid="18" name="MSIP_Label_29db9e61-aac5-4f6e-805d-ceb8cb9983a1_Method">
    <vt:lpwstr>Standard</vt:lpwstr>
  </property>
  <property fmtid="{D5CDD505-2E9C-101B-9397-08002B2CF9AE}" pid="19" name="MSIP_Label_29db9e61-aac5-4f6e-805d-ceb8cb9983a1_Name">
    <vt:lpwstr>UniCredit - Internal Use Only - no visual markings</vt:lpwstr>
  </property>
  <property fmtid="{D5CDD505-2E9C-101B-9397-08002B2CF9AE}" pid="20" name="MSIP_Label_29db9e61-aac5-4f6e-805d-ceb8cb9983a1_SiteId">
    <vt:lpwstr>2cc49ce9-66a1-41ac-a96b-bdc54247696a</vt:lpwstr>
  </property>
  <property fmtid="{D5CDD505-2E9C-101B-9397-08002B2CF9AE}" pid="21" name="MSIP_Label_29db9e61-aac5-4f6e-805d-ceb8cb9983a1_ActionId">
    <vt:lpwstr>0aa2fcd6-2b26-4770-b8b2-cc6b4d35ce54</vt:lpwstr>
  </property>
  <property fmtid="{D5CDD505-2E9C-101B-9397-08002B2CF9AE}" pid="22" name="MSIP_Label_29db9e61-aac5-4f6e-805d-ceb8cb9983a1_ContentBits">
    <vt:lpwstr>0</vt:lpwstr>
  </property>
  <property fmtid="{D5CDD505-2E9C-101B-9397-08002B2CF9AE}" pid="23" name="MSIP_Label_29db9e61-aac5-4f6e-805d-ceb8cb9983a1_Tag">
    <vt:lpwstr>10, 3, 0, 1</vt:lpwstr>
  </property>
</Properties>
</file>